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DAF292" w14:textId="77777777" w:rsidR="00B54F4E" w:rsidRPr="0080307F" w:rsidRDefault="00B54F4E" w:rsidP="00B54F4E">
      <w:pPr>
        <w:spacing w:before="0" w:after="160" w:line="259" w:lineRule="auto"/>
        <w:jc w:val="left"/>
      </w:pPr>
      <w:bookmarkStart w:id="0" w:name="_Hlk480022597"/>
      <w:bookmarkEnd w:id="0"/>
    </w:p>
    <w:p w14:paraId="5598AA32" w14:textId="77777777" w:rsidR="00B54F4E" w:rsidRDefault="00B54F4E" w:rsidP="00B54F4E">
      <w:pPr>
        <w:spacing w:before="0" w:after="160" w:line="259" w:lineRule="auto"/>
        <w:jc w:val="left"/>
      </w:pPr>
    </w:p>
    <w:p w14:paraId="5CC6343A" w14:textId="77777777" w:rsidR="00B54F4E" w:rsidRDefault="00B54F4E" w:rsidP="00B54F4E">
      <w:pPr>
        <w:spacing w:before="0" w:after="160" w:line="259" w:lineRule="auto"/>
        <w:jc w:val="left"/>
      </w:pPr>
    </w:p>
    <w:p w14:paraId="3ACE7CC6" w14:textId="77777777" w:rsidR="00B54F4E" w:rsidRDefault="00B54F4E" w:rsidP="00B54F4E">
      <w:pPr>
        <w:spacing w:before="0" w:after="160" w:line="259" w:lineRule="auto"/>
        <w:jc w:val="left"/>
      </w:pPr>
    </w:p>
    <w:p w14:paraId="1E957A65" w14:textId="77777777" w:rsidR="00B54F4E" w:rsidRDefault="00B54F4E" w:rsidP="00B54F4E">
      <w:pPr>
        <w:jc w:val="center"/>
        <w:rPr>
          <w:b/>
          <w:sz w:val="28"/>
          <w:szCs w:val="28"/>
        </w:rPr>
      </w:pPr>
    </w:p>
    <w:p w14:paraId="67852C96" w14:textId="77777777" w:rsidR="00B54F4E" w:rsidRDefault="00B54F4E" w:rsidP="00B54F4E">
      <w:pPr>
        <w:jc w:val="center"/>
        <w:rPr>
          <w:b/>
          <w:sz w:val="28"/>
          <w:szCs w:val="28"/>
        </w:rPr>
      </w:pPr>
    </w:p>
    <w:p w14:paraId="7B0C63A9" w14:textId="77777777" w:rsidR="00B54F4E" w:rsidRDefault="00B54F4E" w:rsidP="00B54F4E">
      <w:pPr>
        <w:jc w:val="center"/>
        <w:rPr>
          <w:b/>
          <w:sz w:val="28"/>
          <w:szCs w:val="28"/>
        </w:rPr>
      </w:pPr>
    </w:p>
    <w:p w14:paraId="25583D30" w14:textId="77777777" w:rsidR="00B54F4E" w:rsidRDefault="00B54F4E" w:rsidP="00B54F4E">
      <w:pPr>
        <w:jc w:val="center"/>
        <w:rPr>
          <w:b/>
          <w:sz w:val="28"/>
          <w:szCs w:val="28"/>
        </w:rPr>
      </w:pPr>
    </w:p>
    <w:p w14:paraId="45301867" w14:textId="77777777" w:rsidR="00B54F4E" w:rsidRDefault="00B54F4E" w:rsidP="00B54F4E">
      <w:pPr>
        <w:jc w:val="center"/>
        <w:rPr>
          <w:b/>
          <w:sz w:val="28"/>
          <w:szCs w:val="28"/>
        </w:rPr>
      </w:pPr>
    </w:p>
    <w:p w14:paraId="61250993" w14:textId="77777777" w:rsidR="00B54F4E" w:rsidRPr="00350C95" w:rsidRDefault="00B54F4E" w:rsidP="00B54F4E">
      <w:pPr>
        <w:jc w:val="center"/>
        <w:rPr>
          <w:b/>
          <w:sz w:val="36"/>
          <w:szCs w:val="36"/>
        </w:rPr>
      </w:pPr>
      <w:r w:rsidRPr="00350C95">
        <w:rPr>
          <w:b/>
          <w:sz w:val="36"/>
          <w:szCs w:val="36"/>
        </w:rPr>
        <w:t>Evaluación Económica del Programa</w:t>
      </w:r>
      <w:r w:rsidRPr="002262C8">
        <w:t xml:space="preserve"> </w:t>
      </w:r>
      <w:r w:rsidRPr="002262C8">
        <w:rPr>
          <w:b/>
          <w:sz w:val="36"/>
          <w:szCs w:val="36"/>
        </w:rPr>
        <w:t>Apoyo al Desarrollo Sostenible del Sector de Energético de Panamá</w:t>
      </w:r>
    </w:p>
    <w:p w14:paraId="64ED244B" w14:textId="77777777" w:rsidR="00B54F4E" w:rsidRDefault="00B54F4E" w:rsidP="00B54F4E">
      <w:pPr>
        <w:jc w:val="center"/>
        <w:rPr>
          <w:b/>
          <w:sz w:val="28"/>
          <w:szCs w:val="28"/>
        </w:rPr>
      </w:pPr>
    </w:p>
    <w:p w14:paraId="78962D8E" w14:textId="77777777" w:rsidR="00B54F4E" w:rsidRDefault="00B54F4E" w:rsidP="00B54F4E">
      <w:pPr>
        <w:jc w:val="center"/>
        <w:rPr>
          <w:b/>
          <w:sz w:val="28"/>
          <w:szCs w:val="28"/>
        </w:rPr>
      </w:pPr>
    </w:p>
    <w:p w14:paraId="345E9866" w14:textId="77777777" w:rsidR="00B54F4E" w:rsidRDefault="00B54F4E" w:rsidP="00B54F4E">
      <w:pPr>
        <w:jc w:val="center"/>
        <w:rPr>
          <w:b/>
          <w:sz w:val="28"/>
          <w:szCs w:val="28"/>
        </w:rPr>
      </w:pPr>
    </w:p>
    <w:p w14:paraId="2C09459E" w14:textId="77777777" w:rsidR="00B54F4E" w:rsidRPr="00DA75BB" w:rsidRDefault="00B54F4E" w:rsidP="00B54F4E">
      <w:pPr>
        <w:jc w:val="center"/>
        <w:rPr>
          <w:b/>
          <w:sz w:val="28"/>
          <w:szCs w:val="28"/>
          <w:lang w:val="pt-BR"/>
        </w:rPr>
      </w:pPr>
      <w:r w:rsidRPr="00DA75BB">
        <w:rPr>
          <w:b/>
          <w:sz w:val="28"/>
          <w:szCs w:val="28"/>
          <w:lang w:val="pt-BR"/>
        </w:rPr>
        <w:t>Informe Final</w:t>
      </w:r>
    </w:p>
    <w:p w14:paraId="7AC07997" w14:textId="77777777" w:rsidR="00B54F4E" w:rsidRPr="00DA75BB" w:rsidRDefault="00B54F4E" w:rsidP="00B54F4E">
      <w:pPr>
        <w:jc w:val="center"/>
        <w:rPr>
          <w:b/>
          <w:sz w:val="28"/>
          <w:szCs w:val="28"/>
          <w:lang w:val="pt-BR"/>
        </w:rPr>
      </w:pPr>
    </w:p>
    <w:p w14:paraId="450582BA" w14:textId="77777777" w:rsidR="00B54F4E" w:rsidRPr="00DA75BB" w:rsidRDefault="00B54F4E" w:rsidP="00B54F4E">
      <w:pPr>
        <w:jc w:val="center"/>
        <w:rPr>
          <w:b/>
          <w:sz w:val="28"/>
          <w:szCs w:val="28"/>
          <w:lang w:val="pt-BR"/>
        </w:rPr>
      </w:pPr>
    </w:p>
    <w:p w14:paraId="7F74F08F" w14:textId="77777777" w:rsidR="00B54F4E" w:rsidRPr="00DA75BB" w:rsidRDefault="00B54F4E" w:rsidP="00B54F4E">
      <w:pPr>
        <w:jc w:val="center"/>
        <w:rPr>
          <w:b/>
          <w:sz w:val="28"/>
          <w:szCs w:val="28"/>
          <w:lang w:val="pt-BR"/>
        </w:rPr>
      </w:pPr>
    </w:p>
    <w:p w14:paraId="443D99BB" w14:textId="77777777" w:rsidR="00B54F4E" w:rsidRPr="00DA75BB" w:rsidRDefault="00B54F4E" w:rsidP="00B54F4E">
      <w:pPr>
        <w:jc w:val="center"/>
        <w:rPr>
          <w:b/>
          <w:sz w:val="28"/>
          <w:szCs w:val="28"/>
          <w:lang w:val="pt-BR"/>
        </w:rPr>
      </w:pPr>
      <w:r w:rsidRPr="00DA75BB">
        <w:rPr>
          <w:b/>
          <w:sz w:val="28"/>
          <w:szCs w:val="28"/>
          <w:lang w:val="pt-BR"/>
        </w:rPr>
        <w:t>Presentado por Eduardo Afanador</w:t>
      </w:r>
    </w:p>
    <w:p w14:paraId="0A3F7779" w14:textId="77777777" w:rsidR="00B54F4E" w:rsidRDefault="00B54F4E" w:rsidP="00B54F4E">
      <w:pPr>
        <w:jc w:val="center"/>
        <w:rPr>
          <w:b/>
          <w:sz w:val="28"/>
          <w:szCs w:val="28"/>
        </w:rPr>
      </w:pPr>
      <w:r>
        <w:rPr>
          <w:b/>
          <w:sz w:val="28"/>
          <w:szCs w:val="28"/>
        </w:rPr>
        <w:t>Junio 1 de 2017</w:t>
      </w:r>
    </w:p>
    <w:p w14:paraId="3FD71CF2" w14:textId="77777777" w:rsidR="00B54F4E" w:rsidRDefault="00B54F4E" w:rsidP="00B54F4E">
      <w:pPr>
        <w:jc w:val="center"/>
        <w:rPr>
          <w:b/>
          <w:sz w:val="28"/>
          <w:szCs w:val="28"/>
        </w:rPr>
      </w:pPr>
    </w:p>
    <w:p w14:paraId="3A7E4E66" w14:textId="77777777" w:rsidR="00B54F4E" w:rsidRDefault="00B54F4E" w:rsidP="00B54F4E">
      <w:pPr>
        <w:jc w:val="center"/>
        <w:rPr>
          <w:b/>
          <w:sz w:val="28"/>
          <w:szCs w:val="28"/>
        </w:rPr>
      </w:pPr>
    </w:p>
    <w:p w14:paraId="1A927AC5" w14:textId="77777777" w:rsidR="00B54F4E" w:rsidRDefault="00B54F4E" w:rsidP="00B54F4E">
      <w:pPr>
        <w:jc w:val="center"/>
        <w:rPr>
          <w:b/>
          <w:sz w:val="28"/>
          <w:szCs w:val="28"/>
        </w:rPr>
      </w:pPr>
    </w:p>
    <w:sdt>
      <w:sdtPr>
        <w:rPr>
          <w:rFonts w:ascii="Times New Roman" w:eastAsia="Times New Roman" w:hAnsi="Times New Roman" w:cs="Times New Roman"/>
          <w:color w:val="auto"/>
          <w:sz w:val="24"/>
          <w:szCs w:val="20"/>
          <w:lang w:val="es-ES" w:eastAsia="en-US"/>
        </w:rPr>
        <w:id w:val="-1389019497"/>
        <w:docPartObj>
          <w:docPartGallery w:val="Table of Contents"/>
          <w:docPartUnique/>
        </w:docPartObj>
      </w:sdtPr>
      <w:sdtEndPr>
        <w:rPr>
          <w:rFonts w:ascii="Arial" w:hAnsi="Arial"/>
          <w:b/>
          <w:bCs/>
          <w:sz w:val="22"/>
        </w:rPr>
      </w:sdtEndPr>
      <w:sdtContent>
        <w:p w14:paraId="007C97A2" w14:textId="77777777" w:rsidR="00B54F4E" w:rsidRDefault="00B54F4E" w:rsidP="00B54F4E">
          <w:pPr>
            <w:pStyle w:val="TOCHeading"/>
          </w:pPr>
          <w:r>
            <w:rPr>
              <w:lang w:val="es-ES"/>
            </w:rPr>
            <w:t>Tabla de contenido</w:t>
          </w:r>
        </w:p>
        <w:p w14:paraId="46D1E0F1" w14:textId="77777777" w:rsidR="00B54F4E" w:rsidRDefault="00B54F4E" w:rsidP="00B54F4E">
          <w:pPr>
            <w:pStyle w:val="TOC1"/>
            <w:tabs>
              <w:tab w:val="left" w:pos="480"/>
              <w:tab w:val="right" w:leader="dot" w:pos="8828"/>
            </w:tabs>
            <w:rPr>
              <w:rFonts w:asciiTheme="minorHAnsi" w:eastAsiaTheme="minorEastAsia" w:hAnsiTheme="minorHAnsi" w:cstheme="minorBidi"/>
              <w:noProof/>
              <w:szCs w:val="22"/>
              <w:lang w:eastAsia="es-CO"/>
            </w:rPr>
          </w:pPr>
          <w:r>
            <w:rPr>
              <w:lang w:val="en-US"/>
            </w:rPr>
            <w:fldChar w:fldCharType="begin"/>
          </w:r>
          <w:r>
            <w:instrText xml:space="preserve"> TOC \o "1-3" \h \z \u </w:instrText>
          </w:r>
          <w:r>
            <w:rPr>
              <w:lang w:val="en-US"/>
            </w:rPr>
            <w:fldChar w:fldCharType="separate"/>
          </w:r>
          <w:hyperlink w:anchor="_Toc484097014" w:history="1">
            <w:r w:rsidRPr="001816E6">
              <w:rPr>
                <w:rStyle w:val="Hyperlink"/>
                <w:noProof/>
              </w:rPr>
              <w:t>1</w:t>
            </w:r>
            <w:r>
              <w:rPr>
                <w:rFonts w:asciiTheme="minorHAnsi" w:eastAsiaTheme="minorEastAsia" w:hAnsiTheme="minorHAnsi" w:cstheme="minorBidi"/>
                <w:noProof/>
                <w:szCs w:val="22"/>
                <w:lang w:eastAsia="es-CO"/>
              </w:rPr>
              <w:tab/>
            </w:r>
            <w:r w:rsidRPr="001816E6">
              <w:rPr>
                <w:rStyle w:val="Hyperlink"/>
                <w:noProof/>
              </w:rPr>
              <w:t>Introducción – Antecedentes y objetivos</w:t>
            </w:r>
            <w:r>
              <w:rPr>
                <w:noProof/>
                <w:webHidden/>
              </w:rPr>
              <w:tab/>
            </w:r>
            <w:r>
              <w:rPr>
                <w:noProof/>
                <w:webHidden/>
              </w:rPr>
              <w:fldChar w:fldCharType="begin"/>
            </w:r>
            <w:r>
              <w:rPr>
                <w:noProof/>
                <w:webHidden/>
              </w:rPr>
              <w:instrText xml:space="preserve"> PAGEREF _Toc484097014 \h </w:instrText>
            </w:r>
            <w:r>
              <w:rPr>
                <w:noProof/>
                <w:webHidden/>
              </w:rPr>
            </w:r>
            <w:r>
              <w:rPr>
                <w:noProof/>
                <w:webHidden/>
              </w:rPr>
              <w:fldChar w:fldCharType="separate"/>
            </w:r>
            <w:r>
              <w:rPr>
                <w:noProof/>
                <w:webHidden/>
              </w:rPr>
              <w:t>7</w:t>
            </w:r>
            <w:r>
              <w:rPr>
                <w:noProof/>
                <w:webHidden/>
              </w:rPr>
              <w:fldChar w:fldCharType="end"/>
            </w:r>
          </w:hyperlink>
        </w:p>
        <w:p w14:paraId="7CAF5524"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15" w:history="1">
            <w:r w:rsidR="00B54F4E" w:rsidRPr="001816E6">
              <w:rPr>
                <w:rStyle w:val="Hyperlink"/>
                <w:noProof/>
              </w:rPr>
              <w:t>1.1</w:t>
            </w:r>
            <w:r w:rsidR="00B54F4E">
              <w:rPr>
                <w:rFonts w:asciiTheme="minorHAnsi" w:eastAsiaTheme="minorEastAsia" w:hAnsiTheme="minorHAnsi" w:cstheme="minorBidi"/>
                <w:noProof/>
                <w:szCs w:val="22"/>
                <w:lang w:eastAsia="es-CO"/>
              </w:rPr>
              <w:tab/>
            </w:r>
            <w:r w:rsidR="00B54F4E" w:rsidRPr="001816E6">
              <w:rPr>
                <w:rStyle w:val="Hyperlink"/>
                <w:noProof/>
              </w:rPr>
              <w:t>Antecedentes y objetivo del Programa</w:t>
            </w:r>
            <w:r w:rsidR="00B54F4E">
              <w:rPr>
                <w:noProof/>
                <w:webHidden/>
              </w:rPr>
              <w:tab/>
            </w:r>
            <w:r w:rsidR="00B54F4E">
              <w:rPr>
                <w:noProof/>
                <w:webHidden/>
              </w:rPr>
              <w:fldChar w:fldCharType="begin"/>
            </w:r>
            <w:r w:rsidR="00B54F4E">
              <w:rPr>
                <w:noProof/>
                <w:webHidden/>
              </w:rPr>
              <w:instrText xml:space="preserve"> PAGEREF _Toc484097015 \h </w:instrText>
            </w:r>
            <w:r w:rsidR="00B54F4E">
              <w:rPr>
                <w:noProof/>
                <w:webHidden/>
              </w:rPr>
            </w:r>
            <w:r w:rsidR="00B54F4E">
              <w:rPr>
                <w:noProof/>
                <w:webHidden/>
              </w:rPr>
              <w:fldChar w:fldCharType="separate"/>
            </w:r>
            <w:r w:rsidR="00B54F4E">
              <w:rPr>
                <w:noProof/>
                <w:webHidden/>
              </w:rPr>
              <w:t>7</w:t>
            </w:r>
            <w:r w:rsidR="00B54F4E">
              <w:rPr>
                <w:noProof/>
                <w:webHidden/>
              </w:rPr>
              <w:fldChar w:fldCharType="end"/>
            </w:r>
          </w:hyperlink>
        </w:p>
        <w:p w14:paraId="6D623857"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16" w:history="1">
            <w:r w:rsidR="00B54F4E" w:rsidRPr="001816E6">
              <w:rPr>
                <w:rStyle w:val="Hyperlink"/>
                <w:noProof/>
              </w:rPr>
              <w:t>1.2</w:t>
            </w:r>
            <w:r w:rsidR="00B54F4E">
              <w:rPr>
                <w:rFonts w:asciiTheme="minorHAnsi" w:eastAsiaTheme="minorEastAsia" w:hAnsiTheme="minorHAnsi" w:cstheme="minorBidi"/>
                <w:noProof/>
                <w:szCs w:val="22"/>
                <w:lang w:eastAsia="es-CO"/>
              </w:rPr>
              <w:tab/>
            </w:r>
            <w:r w:rsidR="00B54F4E" w:rsidRPr="001816E6">
              <w:rPr>
                <w:rStyle w:val="Hyperlink"/>
                <w:noProof/>
              </w:rPr>
              <w:t>Objetivo del Análisis Económico</w:t>
            </w:r>
            <w:r w:rsidR="00B54F4E">
              <w:rPr>
                <w:noProof/>
                <w:webHidden/>
              </w:rPr>
              <w:tab/>
            </w:r>
            <w:r w:rsidR="00B54F4E">
              <w:rPr>
                <w:noProof/>
                <w:webHidden/>
              </w:rPr>
              <w:fldChar w:fldCharType="begin"/>
            </w:r>
            <w:r w:rsidR="00B54F4E">
              <w:rPr>
                <w:noProof/>
                <w:webHidden/>
              </w:rPr>
              <w:instrText xml:space="preserve"> PAGEREF _Toc484097016 \h </w:instrText>
            </w:r>
            <w:r w:rsidR="00B54F4E">
              <w:rPr>
                <w:noProof/>
                <w:webHidden/>
              </w:rPr>
            </w:r>
            <w:r w:rsidR="00B54F4E">
              <w:rPr>
                <w:noProof/>
                <w:webHidden/>
              </w:rPr>
              <w:fldChar w:fldCharType="separate"/>
            </w:r>
            <w:r w:rsidR="00B54F4E">
              <w:rPr>
                <w:noProof/>
                <w:webHidden/>
              </w:rPr>
              <w:t>8</w:t>
            </w:r>
            <w:r w:rsidR="00B54F4E">
              <w:rPr>
                <w:noProof/>
                <w:webHidden/>
              </w:rPr>
              <w:fldChar w:fldCharType="end"/>
            </w:r>
          </w:hyperlink>
        </w:p>
        <w:p w14:paraId="6C1861F5"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17" w:history="1">
            <w:r w:rsidR="00B54F4E" w:rsidRPr="001816E6">
              <w:rPr>
                <w:rStyle w:val="Hyperlink"/>
                <w:noProof/>
              </w:rPr>
              <w:t>1.3</w:t>
            </w:r>
            <w:r w:rsidR="00B54F4E">
              <w:rPr>
                <w:rFonts w:asciiTheme="minorHAnsi" w:eastAsiaTheme="minorEastAsia" w:hAnsiTheme="minorHAnsi" w:cstheme="minorBidi"/>
                <w:noProof/>
                <w:szCs w:val="22"/>
                <w:lang w:eastAsia="es-CO"/>
              </w:rPr>
              <w:tab/>
            </w:r>
            <w:r w:rsidR="00B54F4E" w:rsidRPr="001816E6">
              <w:rPr>
                <w:rStyle w:val="Hyperlink"/>
                <w:noProof/>
              </w:rPr>
              <w:t>Breve referencia a las Guías BID para evaluación económica del PBP</w:t>
            </w:r>
            <w:r w:rsidR="00B54F4E">
              <w:rPr>
                <w:noProof/>
                <w:webHidden/>
              </w:rPr>
              <w:tab/>
            </w:r>
            <w:r w:rsidR="00B54F4E">
              <w:rPr>
                <w:noProof/>
                <w:webHidden/>
              </w:rPr>
              <w:fldChar w:fldCharType="begin"/>
            </w:r>
            <w:r w:rsidR="00B54F4E">
              <w:rPr>
                <w:noProof/>
                <w:webHidden/>
              </w:rPr>
              <w:instrText xml:space="preserve"> PAGEREF _Toc484097017 \h </w:instrText>
            </w:r>
            <w:r w:rsidR="00B54F4E">
              <w:rPr>
                <w:noProof/>
                <w:webHidden/>
              </w:rPr>
            </w:r>
            <w:r w:rsidR="00B54F4E">
              <w:rPr>
                <w:noProof/>
                <w:webHidden/>
              </w:rPr>
              <w:fldChar w:fldCharType="separate"/>
            </w:r>
            <w:r w:rsidR="00B54F4E">
              <w:rPr>
                <w:noProof/>
                <w:webHidden/>
              </w:rPr>
              <w:t>9</w:t>
            </w:r>
            <w:r w:rsidR="00B54F4E">
              <w:rPr>
                <w:noProof/>
                <w:webHidden/>
              </w:rPr>
              <w:fldChar w:fldCharType="end"/>
            </w:r>
          </w:hyperlink>
        </w:p>
        <w:p w14:paraId="7E72D3AF"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18" w:history="1">
            <w:r w:rsidR="00B54F4E" w:rsidRPr="001816E6">
              <w:rPr>
                <w:rStyle w:val="Hyperlink"/>
                <w:noProof/>
                <w:lang w:val="es-ES"/>
              </w:rPr>
              <w:t>1.4</w:t>
            </w:r>
            <w:r w:rsidR="00B54F4E">
              <w:rPr>
                <w:rFonts w:asciiTheme="minorHAnsi" w:eastAsiaTheme="minorEastAsia" w:hAnsiTheme="minorHAnsi" w:cstheme="minorBidi"/>
                <w:noProof/>
                <w:szCs w:val="22"/>
                <w:lang w:eastAsia="es-CO"/>
              </w:rPr>
              <w:tab/>
            </w:r>
            <w:r w:rsidR="00B54F4E" w:rsidRPr="001816E6">
              <w:rPr>
                <w:rStyle w:val="Hyperlink"/>
                <w:noProof/>
                <w:lang w:val="es-ES"/>
              </w:rPr>
              <w:t>Objetivo del Programa y Matriz de Políticas</w:t>
            </w:r>
            <w:r w:rsidR="00B54F4E">
              <w:rPr>
                <w:noProof/>
                <w:webHidden/>
              </w:rPr>
              <w:tab/>
            </w:r>
            <w:r w:rsidR="00B54F4E">
              <w:rPr>
                <w:noProof/>
                <w:webHidden/>
              </w:rPr>
              <w:fldChar w:fldCharType="begin"/>
            </w:r>
            <w:r w:rsidR="00B54F4E">
              <w:rPr>
                <w:noProof/>
                <w:webHidden/>
              </w:rPr>
              <w:instrText xml:space="preserve"> PAGEREF _Toc484097018 \h </w:instrText>
            </w:r>
            <w:r w:rsidR="00B54F4E">
              <w:rPr>
                <w:noProof/>
                <w:webHidden/>
              </w:rPr>
            </w:r>
            <w:r w:rsidR="00B54F4E">
              <w:rPr>
                <w:noProof/>
                <w:webHidden/>
              </w:rPr>
              <w:fldChar w:fldCharType="separate"/>
            </w:r>
            <w:r w:rsidR="00B54F4E">
              <w:rPr>
                <w:noProof/>
                <w:webHidden/>
              </w:rPr>
              <w:t>10</w:t>
            </w:r>
            <w:r w:rsidR="00B54F4E">
              <w:rPr>
                <w:noProof/>
                <w:webHidden/>
              </w:rPr>
              <w:fldChar w:fldCharType="end"/>
            </w:r>
          </w:hyperlink>
        </w:p>
        <w:p w14:paraId="162FDF22" w14:textId="77777777" w:rsidR="00B54F4E" w:rsidRDefault="00487C7A" w:rsidP="00B54F4E">
          <w:pPr>
            <w:pStyle w:val="TOC1"/>
            <w:tabs>
              <w:tab w:val="left" w:pos="480"/>
              <w:tab w:val="right" w:leader="dot" w:pos="8828"/>
            </w:tabs>
            <w:rPr>
              <w:rFonts w:asciiTheme="minorHAnsi" w:eastAsiaTheme="minorEastAsia" w:hAnsiTheme="minorHAnsi" w:cstheme="minorBidi"/>
              <w:noProof/>
              <w:szCs w:val="22"/>
              <w:lang w:eastAsia="es-CO"/>
            </w:rPr>
          </w:pPr>
          <w:hyperlink w:anchor="_Toc484097019" w:history="1">
            <w:r w:rsidR="00B54F4E" w:rsidRPr="001816E6">
              <w:rPr>
                <w:rStyle w:val="Hyperlink"/>
                <w:noProof/>
                <w:lang w:val="es-ES"/>
              </w:rPr>
              <w:t>2</w:t>
            </w:r>
            <w:r w:rsidR="00B54F4E">
              <w:rPr>
                <w:rFonts w:asciiTheme="minorHAnsi" w:eastAsiaTheme="minorEastAsia" w:hAnsiTheme="minorHAnsi" w:cstheme="minorBidi"/>
                <w:noProof/>
                <w:szCs w:val="22"/>
                <w:lang w:eastAsia="es-CO"/>
              </w:rPr>
              <w:tab/>
            </w:r>
            <w:r w:rsidR="00B54F4E" w:rsidRPr="001816E6">
              <w:rPr>
                <w:rStyle w:val="Hyperlink"/>
                <w:noProof/>
                <w:lang w:val="es-ES"/>
              </w:rPr>
              <w:t>Evaluación económica del Componente 2.1 Desarrollo de una matriz energética social y ambientalmente sostenible</w:t>
            </w:r>
            <w:r w:rsidR="00B54F4E">
              <w:rPr>
                <w:noProof/>
                <w:webHidden/>
              </w:rPr>
              <w:tab/>
            </w:r>
            <w:r w:rsidR="00B54F4E">
              <w:rPr>
                <w:noProof/>
                <w:webHidden/>
              </w:rPr>
              <w:fldChar w:fldCharType="begin"/>
            </w:r>
            <w:r w:rsidR="00B54F4E">
              <w:rPr>
                <w:noProof/>
                <w:webHidden/>
              </w:rPr>
              <w:instrText xml:space="preserve"> PAGEREF _Toc484097019 \h </w:instrText>
            </w:r>
            <w:r w:rsidR="00B54F4E">
              <w:rPr>
                <w:noProof/>
                <w:webHidden/>
              </w:rPr>
            </w:r>
            <w:r w:rsidR="00B54F4E">
              <w:rPr>
                <w:noProof/>
                <w:webHidden/>
              </w:rPr>
              <w:fldChar w:fldCharType="separate"/>
            </w:r>
            <w:r w:rsidR="00B54F4E">
              <w:rPr>
                <w:noProof/>
                <w:webHidden/>
              </w:rPr>
              <w:t>10</w:t>
            </w:r>
            <w:r w:rsidR="00B54F4E">
              <w:rPr>
                <w:noProof/>
                <w:webHidden/>
              </w:rPr>
              <w:fldChar w:fldCharType="end"/>
            </w:r>
          </w:hyperlink>
        </w:p>
        <w:p w14:paraId="458FC6E3"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20" w:history="1">
            <w:r w:rsidR="00B54F4E" w:rsidRPr="001816E6">
              <w:rPr>
                <w:rStyle w:val="Hyperlink"/>
                <w:noProof/>
              </w:rPr>
              <w:t>2.1</w:t>
            </w:r>
            <w:r w:rsidR="00B54F4E">
              <w:rPr>
                <w:rFonts w:asciiTheme="minorHAnsi" w:eastAsiaTheme="minorEastAsia" w:hAnsiTheme="minorHAnsi" w:cstheme="minorBidi"/>
                <w:noProof/>
                <w:szCs w:val="22"/>
                <w:lang w:eastAsia="es-CO"/>
              </w:rPr>
              <w:tab/>
            </w:r>
            <w:r w:rsidR="00B54F4E" w:rsidRPr="001816E6">
              <w:rPr>
                <w:rStyle w:val="Hyperlink"/>
                <w:noProof/>
              </w:rPr>
              <w:t>Consideraciones sobre el contexto del sector eléctrico panameño para efectos de la evaluación económica</w:t>
            </w:r>
            <w:r w:rsidR="00B54F4E">
              <w:rPr>
                <w:noProof/>
                <w:webHidden/>
              </w:rPr>
              <w:tab/>
            </w:r>
            <w:r w:rsidR="00B54F4E">
              <w:rPr>
                <w:noProof/>
                <w:webHidden/>
              </w:rPr>
              <w:fldChar w:fldCharType="begin"/>
            </w:r>
            <w:r w:rsidR="00B54F4E">
              <w:rPr>
                <w:noProof/>
                <w:webHidden/>
              </w:rPr>
              <w:instrText xml:space="preserve"> PAGEREF _Toc484097020 \h </w:instrText>
            </w:r>
            <w:r w:rsidR="00B54F4E">
              <w:rPr>
                <w:noProof/>
                <w:webHidden/>
              </w:rPr>
            </w:r>
            <w:r w:rsidR="00B54F4E">
              <w:rPr>
                <w:noProof/>
                <w:webHidden/>
              </w:rPr>
              <w:fldChar w:fldCharType="separate"/>
            </w:r>
            <w:r w:rsidR="00B54F4E">
              <w:rPr>
                <w:noProof/>
                <w:webHidden/>
              </w:rPr>
              <w:t>11</w:t>
            </w:r>
            <w:r w:rsidR="00B54F4E">
              <w:rPr>
                <w:noProof/>
                <w:webHidden/>
              </w:rPr>
              <w:fldChar w:fldCharType="end"/>
            </w:r>
          </w:hyperlink>
        </w:p>
        <w:p w14:paraId="37CDBA66"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21" w:history="1">
            <w:r w:rsidR="00B54F4E" w:rsidRPr="001816E6">
              <w:rPr>
                <w:rStyle w:val="Hyperlink"/>
                <w:noProof/>
              </w:rPr>
              <w:t>2.2</w:t>
            </w:r>
            <w:r w:rsidR="00B54F4E">
              <w:rPr>
                <w:rFonts w:asciiTheme="minorHAnsi" w:eastAsiaTheme="minorEastAsia" w:hAnsiTheme="minorHAnsi" w:cstheme="minorBidi"/>
                <w:noProof/>
                <w:szCs w:val="22"/>
                <w:lang w:eastAsia="es-CO"/>
              </w:rPr>
              <w:tab/>
            </w:r>
            <w:r w:rsidR="00B54F4E" w:rsidRPr="001816E6">
              <w:rPr>
                <w:rStyle w:val="Hyperlink"/>
                <w:noProof/>
              </w:rPr>
              <w:t>Evaluación económica del desarrollo de las Energías Renovables (ER)</w:t>
            </w:r>
            <w:r w:rsidR="00B54F4E">
              <w:rPr>
                <w:noProof/>
                <w:webHidden/>
              </w:rPr>
              <w:tab/>
            </w:r>
            <w:r w:rsidR="00B54F4E">
              <w:rPr>
                <w:noProof/>
                <w:webHidden/>
              </w:rPr>
              <w:fldChar w:fldCharType="begin"/>
            </w:r>
            <w:r w:rsidR="00B54F4E">
              <w:rPr>
                <w:noProof/>
                <w:webHidden/>
              </w:rPr>
              <w:instrText xml:space="preserve"> PAGEREF _Toc484097021 \h </w:instrText>
            </w:r>
            <w:r w:rsidR="00B54F4E">
              <w:rPr>
                <w:noProof/>
                <w:webHidden/>
              </w:rPr>
            </w:r>
            <w:r w:rsidR="00B54F4E">
              <w:rPr>
                <w:noProof/>
                <w:webHidden/>
              </w:rPr>
              <w:fldChar w:fldCharType="separate"/>
            </w:r>
            <w:r w:rsidR="00B54F4E">
              <w:rPr>
                <w:noProof/>
                <w:webHidden/>
              </w:rPr>
              <w:t>11</w:t>
            </w:r>
            <w:r w:rsidR="00B54F4E">
              <w:rPr>
                <w:noProof/>
                <w:webHidden/>
              </w:rPr>
              <w:fldChar w:fldCharType="end"/>
            </w:r>
          </w:hyperlink>
        </w:p>
        <w:p w14:paraId="6A749CEA"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22" w:history="1">
            <w:r w:rsidR="00B54F4E" w:rsidRPr="001816E6">
              <w:rPr>
                <w:rStyle w:val="Hyperlink"/>
                <w:noProof/>
                <w:lang w:val="es-ES"/>
              </w:rPr>
              <w:t>2.2.1</w:t>
            </w:r>
            <w:r w:rsidR="00B54F4E">
              <w:rPr>
                <w:rFonts w:asciiTheme="minorHAnsi" w:eastAsiaTheme="minorEastAsia" w:hAnsiTheme="minorHAnsi" w:cstheme="minorBidi"/>
                <w:noProof/>
                <w:szCs w:val="22"/>
                <w:lang w:eastAsia="es-CO"/>
              </w:rPr>
              <w:tab/>
            </w:r>
            <w:r w:rsidR="00B54F4E" w:rsidRPr="001816E6">
              <w:rPr>
                <w:rStyle w:val="Hyperlink"/>
                <w:noProof/>
                <w:lang w:val="es-ES"/>
              </w:rPr>
              <w:t>Supuestos y metodología</w:t>
            </w:r>
            <w:r w:rsidR="00B54F4E">
              <w:rPr>
                <w:noProof/>
                <w:webHidden/>
              </w:rPr>
              <w:tab/>
            </w:r>
            <w:r w:rsidR="00B54F4E">
              <w:rPr>
                <w:noProof/>
                <w:webHidden/>
              </w:rPr>
              <w:fldChar w:fldCharType="begin"/>
            </w:r>
            <w:r w:rsidR="00B54F4E">
              <w:rPr>
                <w:noProof/>
                <w:webHidden/>
              </w:rPr>
              <w:instrText xml:space="preserve"> PAGEREF _Toc484097022 \h </w:instrText>
            </w:r>
            <w:r w:rsidR="00B54F4E">
              <w:rPr>
                <w:noProof/>
                <w:webHidden/>
              </w:rPr>
            </w:r>
            <w:r w:rsidR="00B54F4E">
              <w:rPr>
                <w:noProof/>
                <w:webHidden/>
              </w:rPr>
              <w:fldChar w:fldCharType="separate"/>
            </w:r>
            <w:r w:rsidR="00B54F4E">
              <w:rPr>
                <w:noProof/>
                <w:webHidden/>
              </w:rPr>
              <w:t>12</w:t>
            </w:r>
            <w:r w:rsidR="00B54F4E">
              <w:rPr>
                <w:noProof/>
                <w:webHidden/>
              </w:rPr>
              <w:fldChar w:fldCharType="end"/>
            </w:r>
          </w:hyperlink>
        </w:p>
        <w:p w14:paraId="16B4B040"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23" w:history="1">
            <w:r w:rsidR="00B54F4E" w:rsidRPr="001816E6">
              <w:rPr>
                <w:rStyle w:val="Hyperlink"/>
                <w:noProof/>
                <w:lang w:val="es-ES"/>
              </w:rPr>
              <w:t>2.2.2</w:t>
            </w:r>
            <w:r w:rsidR="00B54F4E">
              <w:rPr>
                <w:rFonts w:asciiTheme="minorHAnsi" w:eastAsiaTheme="minorEastAsia" w:hAnsiTheme="minorHAnsi" w:cstheme="minorBidi"/>
                <w:noProof/>
                <w:szCs w:val="22"/>
                <w:lang w:eastAsia="es-CO"/>
              </w:rPr>
              <w:tab/>
            </w:r>
            <w:r w:rsidR="00B54F4E" w:rsidRPr="001816E6">
              <w:rPr>
                <w:rStyle w:val="Hyperlink"/>
                <w:noProof/>
                <w:lang w:val="es-ES"/>
              </w:rPr>
              <w:t>Cálculo de beneficios netos del desarrollo de las energías renovables en el SIN</w:t>
            </w:r>
            <w:r w:rsidR="00B54F4E">
              <w:rPr>
                <w:rStyle w:val="Hyperlink"/>
                <w:noProof/>
                <w:lang w:val="es-ES"/>
              </w:rPr>
              <w:tab/>
            </w:r>
            <w:r w:rsidR="00B54F4E">
              <w:rPr>
                <w:noProof/>
                <w:webHidden/>
              </w:rPr>
              <w:tab/>
            </w:r>
            <w:r w:rsidR="00B54F4E">
              <w:rPr>
                <w:noProof/>
                <w:webHidden/>
              </w:rPr>
              <w:fldChar w:fldCharType="begin"/>
            </w:r>
            <w:r w:rsidR="00B54F4E">
              <w:rPr>
                <w:noProof/>
                <w:webHidden/>
              </w:rPr>
              <w:instrText xml:space="preserve"> PAGEREF _Toc484097023 \h </w:instrText>
            </w:r>
            <w:r w:rsidR="00B54F4E">
              <w:rPr>
                <w:noProof/>
                <w:webHidden/>
              </w:rPr>
            </w:r>
            <w:r w:rsidR="00B54F4E">
              <w:rPr>
                <w:noProof/>
                <w:webHidden/>
              </w:rPr>
              <w:fldChar w:fldCharType="separate"/>
            </w:r>
            <w:r w:rsidR="00B54F4E">
              <w:rPr>
                <w:noProof/>
                <w:webHidden/>
              </w:rPr>
              <w:t>15</w:t>
            </w:r>
            <w:r w:rsidR="00B54F4E">
              <w:rPr>
                <w:noProof/>
                <w:webHidden/>
              </w:rPr>
              <w:fldChar w:fldCharType="end"/>
            </w:r>
          </w:hyperlink>
        </w:p>
        <w:p w14:paraId="2CDA48AA"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24" w:history="1">
            <w:r w:rsidR="00B54F4E" w:rsidRPr="001816E6">
              <w:rPr>
                <w:rStyle w:val="Hyperlink"/>
                <w:noProof/>
              </w:rPr>
              <w:t>2.2.3</w:t>
            </w:r>
            <w:r w:rsidR="00B54F4E">
              <w:rPr>
                <w:rFonts w:asciiTheme="minorHAnsi" w:eastAsiaTheme="minorEastAsia" w:hAnsiTheme="minorHAnsi" w:cstheme="minorBidi"/>
                <w:noProof/>
                <w:szCs w:val="22"/>
                <w:lang w:eastAsia="es-CO"/>
              </w:rPr>
              <w:tab/>
            </w:r>
            <w:r w:rsidR="00B54F4E" w:rsidRPr="001816E6">
              <w:rPr>
                <w:rStyle w:val="Hyperlink"/>
                <w:noProof/>
              </w:rPr>
              <w:t>Análisis de sensibilidad</w:t>
            </w:r>
            <w:r w:rsidR="00B54F4E">
              <w:rPr>
                <w:noProof/>
                <w:webHidden/>
              </w:rPr>
              <w:tab/>
            </w:r>
            <w:r w:rsidR="00B54F4E">
              <w:rPr>
                <w:noProof/>
                <w:webHidden/>
              </w:rPr>
              <w:fldChar w:fldCharType="begin"/>
            </w:r>
            <w:r w:rsidR="00B54F4E">
              <w:rPr>
                <w:noProof/>
                <w:webHidden/>
              </w:rPr>
              <w:instrText xml:space="preserve"> PAGEREF _Toc484097024 \h </w:instrText>
            </w:r>
            <w:r w:rsidR="00B54F4E">
              <w:rPr>
                <w:noProof/>
                <w:webHidden/>
              </w:rPr>
            </w:r>
            <w:r w:rsidR="00B54F4E">
              <w:rPr>
                <w:noProof/>
                <w:webHidden/>
              </w:rPr>
              <w:fldChar w:fldCharType="separate"/>
            </w:r>
            <w:r w:rsidR="00B54F4E">
              <w:rPr>
                <w:noProof/>
                <w:webHidden/>
              </w:rPr>
              <w:t>22</w:t>
            </w:r>
            <w:r w:rsidR="00B54F4E">
              <w:rPr>
                <w:noProof/>
                <w:webHidden/>
              </w:rPr>
              <w:fldChar w:fldCharType="end"/>
            </w:r>
          </w:hyperlink>
        </w:p>
        <w:p w14:paraId="4D226B30"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25" w:history="1">
            <w:r w:rsidR="00B54F4E" w:rsidRPr="001816E6">
              <w:rPr>
                <w:rStyle w:val="Hyperlink"/>
                <w:noProof/>
              </w:rPr>
              <w:t>2.3</w:t>
            </w:r>
            <w:r w:rsidR="00B54F4E">
              <w:rPr>
                <w:rFonts w:asciiTheme="minorHAnsi" w:eastAsiaTheme="minorEastAsia" w:hAnsiTheme="minorHAnsi" w:cstheme="minorBidi"/>
                <w:noProof/>
                <w:szCs w:val="22"/>
                <w:lang w:eastAsia="es-CO"/>
              </w:rPr>
              <w:tab/>
            </w:r>
            <w:r w:rsidR="00B54F4E" w:rsidRPr="001816E6">
              <w:rPr>
                <w:rStyle w:val="Hyperlink"/>
                <w:noProof/>
              </w:rPr>
              <w:t>Evaluación económica de las medidas tendientes al desarrollo del gas natural (GN) para generación eléctrica</w:t>
            </w:r>
            <w:r w:rsidR="00B54F4E">
              <w:rPr>
                <w:noProof/>
                <w:webHidden/>
              </w:rPr>
              <w:tab/>
            </w:r>
            <w:r w:rsidR="00B54F4E">
              <w:rPr>
                <w:noProof/>
                <w:webHidden/>
              </w:rPr>
              <w:fldChar w:fldCharType="begin"/>
            </w:r>
            <w:r w:rsidR="00B54F4E">
              <w:rPr>
                <w:noProof/>
                <w:webHidden/>
              </w:rPr>
              <w:instrText xml:space="preserve"> PAGEREF _Toc484097025 \h </w:instrText>
            </w:r>
            <w:r w:rsidR="00B54F4E">
              <w:rPr>
                <w:noProof/>
                <w:webHidden/>
              </w:rPr>
            </w:r>
            <w:r w:rsidR="00B54F4E">
              <w:rPr>
                <w:noProof/>
                <w:webHidden/>
              </w:rPr>
              <w:fldChar w:fldCharType="separate"/>
            </w:r>
            <w:r w:rsidR="00B54F4E">
              <w:rPr>
                <w:noProof/>
                <w:webHidden/>
              </w:rPr>
              <w:t>23</w:t>
            </w:r>
            <w:r w:rsidR="00B54F4E">
              <w:rPr>
                <w:noProof/>
                <w:webHidden/>
              </w:rPr>
              <w:fldChar w:fldCharType="end"/>
            </w:r>
          </w:hyperlink>
        </w:p>
        <w:p w14:paraId="3C76EA94"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26" w:history="1">
            <w:r w:rsidR="00B54F4E" w:rsidRPr="001816E6">
              <w:rPr>
                <w:rStyle w:val="Hyperlink"/>
                <w:noProof/>
                <w:lang w:val="es-ES"/>
              </w:rPr>
              <w:t>2.3.1</w:t>
            </w:r>
            <w:r w:rsidR="00B54F4E">
              <w:rPr>
                <w:rFonts w:asciiTheme="minorHAnsi" w:eastAsiaTheme="minorEastAsia" w:hAnsiTheme="minorHAnsi" w:cstheme="minorBidi"/>
                <w:noProof/>
                <w:szCs w:val="22"/>
                <w:lang w:eastAsia="es-CO"/>
              </w:rPr>
              <w:tab/>
            </w:r>
            <w:r w:rsidR="00B54F4E" w:rsidRPr="001816E6">
              <w:rPr>
                <w:rStyle w:val="Hyperlink"/>
                <w:noProof/>
                <w:lang w:val="es-ES"/>
              </w:rPr>
              <w:t>Supuestos y metodología</w:t>
            </w:r>
            <w:r w:rsidR="00B54F4E">
              <w:rPr>
                <w:noProof/>
                <w:webHidden/>
              </w:rPr>
              <w:tab/>
            </w:r>
            <w:r w:rsidR="00B54F4E">
              <w:rPr>
                <w:noProof/>
                <w:webHidden/>
              </w:rPr>
              <w:fldChar w:fldCharType="begin"/>
            </w:r>
            <w:r w:rsidR="00B54F4E">
              <w:rPr>
                <w:noProof/>
                <w:webHidden/>
              </w:rPr>
              <w:instrText xml:space="preserve"> PAGEREF _Toc484097026 \h </w:instrText>
            </w:r>
            <w:r w:rsidR="00B54F4E">
              <w:rPr>
                <w:noProof/>
                <w:webHidden/>
              </w:rPr>
            </w:r>
            <w:r w:rsidR="00B54F4E">
              <w:rPr>
                <w:noProof/>
                <w:webHidden/>
              </w:rPr>
              <w:fldChar w:fldCharType="separate"/>
            </w:r>
            <w:r w:rsidR="00B54F4E">
              <w:rPr>
                <w:noProof/>
                <w:webHidden/>
              </w:rPr>
              <w:t>24</w:t>
            </w:r>
            <w:r w:rsidR="00B54F4E">
              <w:rPr>
                <w:noProof/>
                <w:webHidden/>
              </w:rPr>
              <w:fldChar w:fldCharType="end"/>
            </w:r>
          </w:hyperlink>
        </w:p>
        <w:p w14:paraId="3911F6F3"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27" w:history="1">
            <w:r w:rsidR="00B54F4E" w:rsidRPr="001816E6">
              <w:rPr>
                <w:rStyle w:val="Hyperlink"/>
                <w:noProof/>
              </w:rPr>
              <w:t>2.3.2</w:t>
            </w:r>
            <w:r w:rsidR="00B54F4E">
              <w:rPr>
                <w:rFonts w:asciiTheme="minorHAnsi" w:eastAsiaTheme="minorEastAsia" w:hAnsiTheme="minorHAnsi" w:cstheme="minorBidi"/>
                <w:noProof/>
                <w:szCs w:val="22"/>
                <w:lang w:eastAsia="es-CO"/>
              </w:rPr>
              <w:tab/>
            </w:r>
            <w:r w:rsidR="00B54F4E" w:rsidRPr="001816E6">
              <w:rPr>
                <w:rStyle w:val="Hyperlink"/>
                <w:noProof/>
                <w:lang w:val="es-ES"/>
              </w:rPr>
              <w:t>Beneficios</w:t>
            </w:r>
            <w:r w:rsidR="00B54F4E" w:rsidRPr="001816E6">
              <w:rPr>
                <w:rStyle w:val="Hyperlink"/>
                <w:noProof/>
              </w:rPr>
              <w:t xml:space="preserve"> netos del desarrollo del gas natural (GN) para generación eléctrica</w:t>
            </w:r>
            <w:r w:rsidR="00B54F4E">
              <w:rPr>
                <w:noProof/>
                <w:webHidden/>
              </w:rPr>
              <w:tab/>
            </w:r>
            <w:r w:rsidR="00B54F4E">
              <w:rPr>
                <w:noProof/>
                <w:webHidden/>
              </w:rPr>
              <w:tab/>
            </w:r>
            <w:r w:rsidR="00B54F4E">
              <w:rPr>
                <w:noProof/>
                <w:webHidden/>
              </w:rPr>
              <w:fldChar w:fldCharType="begin"/>
            </w:r>
            <w:r w:rsidR="00B54F4E">
              <w:rPr>
                <w:noProof/>
                <w:webHidden/>
              </w:rPr>
              <w:instrText xml:space="preserve"> PAGEREF _Toc484097027 \h </w:instrText>
            </w:r>
            <w:r w:rsidR="00B54F4E">
              <w:rPr>
                <w:noProof/>
                <w:webHidden/>
              </w:rPr>
            </w:r>
            <w:r w:rsidR="00B54F4E">
              <w:rPr>
                <w:noProof/>
                <w:webHidden/>
              </w:rPr>
              <w:fldChar w:fldCharType="separate"/>
            </w:r>
            <w:r w:rsidR="00B54F4E">
              <w:rPr>
                <w:noProof/>
                <w:webHidden/>
              </w:rPr>
              <w:t>25</w:t>
            </w:r>
            <w:r w:rsidR="00B54F4E">
              <w:rPr>
                <w:noProof/>
                <w:webHidden/>
              </w:rPr>
              <w:fldChar w:fldCharType="end"/>
            </w:r>
          </w:hyperlink>
        </w:p>
        <w:p w14:paraId="013B9130"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28" w:history="1">
            <w:r w:rsidR="00B54F4E" w:rsidRPr="001816E6">
              <w:rPr>
                <w:rStyle w:val="Hyperlink"/>
                <w:noProof/>
              </w:rPr>
              <w:t>2.4</w:t>
            </w:r>
            <w:r w:rsidR="00B54F4E">
              <w:rPr>
                <w:rFonts w:asciiTheme="minorHAnsi" w:eastAsiaTheme="minorEastAsia" w:hAnsiTheme="minorHAnsi" w:cstheme="minorBidi"/>
                <w:noProof/>
                <w:szCs w:val="22"/>
                <w:lang w:eastAsia="es-CO"/>
              </w:rPr>
              <w:tab/>
            </w:r>
            <w:r w:rsidR="00B54F4E" w:rsidRPr="001816E6">
              <w:rPr>
                <w:rStyle w:val="Hyperlink"/>
                <w:noProof/>
              </w:rPr>
              <w:t>Evaluación económica de la implementación de medid</w:t>
            </w:r>
            <w:r w:rsidR="00B54F4E">
              <w:rPr>
                <w:rStyle w:val="Hyperlink"/>
                <w:noProof/>
              </w:rPr>
              <w:t>as de eficiencia energética</w:t>
            </w:r>
            <w:r w:rsidR="00B54F4E">
              <w:rPr>
                <w:rStyle w:val="Hyperlink"/>
                <w:noProof/>
              </w:rPr>
              <w:tab/>
            </w:r>
            <w:r w:rsidR="00B54F4E">
              <w:rPr>
                <w:rStyle w:val="Hyperlink"/>
                <w:noProof/>
              </w:rPr>
              <w:tab/>
            </w:r>
            <w:r w:rsidR="00B54F4E">
              <w:rPr>
                <w:noProof/>
                <w:webHidden/>
              </w:rPr>
              <w:tab/>
            </w:r>
            <w:r w:rsidR="00B54F4E">
              <w:rPr>
                <w:noProof/>
                <w:webHidden/>
              </w:rPr>
              <w:fldChar w:fldCharType="begin"/>
            </w:r>
            <w:r w:rsidR="00B54F4E">
              <w:rPr>
                <w:noProof/>
                <w:webHidden/>
              </w:rPr>
              <w:instrText xml:space="preserve"> PAGEREF _Toc484097028 \h </w:instrText>
            </w:r>
            <w:r w:rsidR="00B54F4E">
              <w:rPr>
                <w:noProof/>
                <w:webHidden/>
              </w:rPr>
            </w:r>
            <w:r w:rsidR="00B54F4E">
              <w:rPr>
                <w:noProof/>
                <w:webHidden/>
              </w:rPr>
              <w:fldChar w:fldCharType="separate"/>
            </w:r>
            <w:r w:rsidR="00B54F4E">
              <w:rPr>
                <w:noProof/>
                <w:webHidden/>
              </w:rPr>
              <w:t>28</w:t>
            </w:r>
            <w:r w:rsidR="00B54F4E">
              <w:rPr>
                <w:noProof/>
                <w:webHidden/>
              </w:rPr>
              <w:fldChar w:fldCharType="end"/>
            </w:r>
          </w:hyperlink>
        </w:p>
        <w:p w14:paraId="653D87CC"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29" w:history="1">
            <w:r w:rsidR="00B54F4E" w:rsidRPr="001816E6">
              <w:rPr>
                <w:rStyle w:val="Hyperlink"/>
                <w:noProof/>
                <w:lang w:val="es-ES"/>
              </w:rPr>
              <w:t>2.4.1</w:t>
            </w:r>
            <w:r w:rsidR="00B54F4E">
              <w:rPr>
                <w:rFonts w:asciiTheme="minorHAnsi" w:eastAsiaTheme="minorEastAsia" w:hAnsiTheme="minorHAnsi" w:cstheme="minorBidi"/>
                <w:noProof/>
                <w:szCs w:val="22"/>
                <w:lang w:eastAsia="es-CO"/>
              </w:rPr>
              <w:tab/>
            </w:r>
            <w:r w:rsidR="00B54F4E" w:rsidRPr="001816E6">
              <w:rPr>
                <w:rStyle w:val="Hyperlink"/>
                <w:noProof/>
                <w:lang w:val="es-ES"/>
              </w:rPr>
              <w:t>Supuestos y metodología</w:t>
            </w:r>
            <w:r w:rsidR="00B54F4E">
              <w:rPr>
                <w:noProof/>
                <w:webHidden/>
              </w:rPr>
              <w:tab/>
            </w:r>
            <w:r w:rsidR="00B54F4E">
              <w:rPr>
                <w:noProof/>
                <w:webHidden/>
              </w:rPr>
              <w:fldChar w:fldCharType="begin"/>
            </w:r>
            <w:r w:rsidR="00B54F4E">
              <w:rPr>
                <w:noProof/>
                <w:webHidden/>
              </w:rPr>
              <w:instrText xml:space="preserve"> PAGEREF _Toc484097029 \h </w:instrText>
            </w:r>
            <w:r w:rsidR="00B54F4E">
              <w:rPr>
                <w:noProof/>
                <w:webHidden/>
              </w:rPr>
            </w:r>
            <w:r w:rsidR="00B54F4E">
              <w:rPr>
                <w:noProof/>
                <w:webHidden/>
              </w:rPr>
              <w:fldChar w:fldCharType="separate"/>
            </w:r>
            <w:r w:rsidR="00B54F4E">
              <w:rPr>
                <w:noProof/>
                <w:webHidden/>
              </w:rPr>
              <w:t>28</w:t>
            </w:r>
            <w:r w:rsidR="00B54F4E">
              <w:rPr>
                <w:noProof/>
                <w:webHidden/>
              </w:rPr>
              <w:fldChar w:fldCharType="end"/>
            </w:r>
          </w:hyperlink>
        </w:p>
        <w:p w14:paraId="048F8125"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30" w:history="1">
            <w:r w:rsidR="00B54F4E" w:rsidRPr="001816E6">
              <w:rPr>
                <w:rStyle w:val="Hyperlink"/>
                <w:noProof/>
              </w:rPr>
              <w:t>2.4.2</w:t>
            </w:r>
            <w:r w:rsidR="00B54F4E">
              <w:rPr>
                <w:rFonts w:asciiTheme="minorHAnsi" w:eastAsiaTheme="minorEastAsia" w:hAnsiTheme="minorHAnsi" w:cstheme="minorBidi"/>
                <w:noProof/>
                <w:szCs w:val="22"/>
                <w:lang w:eastAsia="es-CO"/>
              </w:rPr>
              <w:tab/>
            </w:r>
            <w:r w:rsidR="00B54F4E" w:rsidRPr="001816E6">
              <w:rPr>
                <w:rStyle w:val="Hyperlink"/>
                <w:noProof/>
                <w:lang w:val="es-ES"/>
              </w:rPr>
              <w:t>Beneficios</w:t>
            </w:r>
            <w:r w:rsidR="00B54F4E" w:rsidRPr="001816E6">
              <w:rPr>
                <w:rStyle w:val="Hyperlink"/>
                <w:noProof/>
              </w:rPr>
              <w:t xml:space="preserve"> netos de las medidas de eficiencia energética</w:t>
            </w:r>
            <w:r w:rsidR="00B54F4E">
              <w:rPr>
                <w:noProof/>
                <w:webHidden/>
              </w:rPr>
              <w:tab/>
            </w:r>
            <w:r w:rsidR="00B54F4E">
              <w:rPr>
                <w:noProof/>
                <w:webHidden/>
              </w:rPr>
              <w:fldChar w:fldCharType="begin"/>
            </w:r>
            <w:r w:rsidR="00B54F4E">
              <w:rPr>
                <w:noProof/>
                <w:webHidden/>
              </w:rPr>
              <w:instrText xml:space="preserve"> PAGEREF _Toc484097030 \h </w:instrText>
            </w:r>
            <w:r w:rsidR="00B54F4E">
              <w:rPr>
                <w:noProof/>
                <w:webHidden/>
              </w:rPr>
            </w:r>
            <w:r w:rsidR="00B54F4E">
              <w:rPr>
                <w:noProof/>
                <w:webHidden/>
              </w:rPr>
              <w:fldChar w:fldCharType="separate"/>
            </w:r>
            <w:r w:rsidR="00B54F4E">
              <w:rPr>
                <w:noProof/>
                <w:webHidden/>
              </w:rPr>
              <w:t>30</w:t>
            </w:r>
            <w:r w:rsidR="00B54F4E">
              <w:rPr>
                <w:noProof/>
                <w:webHidden/>
              </w:rPr>
              <w:fldChar w:fldCharType="end"/>
            </w:r>
          </w:hyperlink>
        </w:p>
        <w:p w14:paraId="105A13D4"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31" w:history="1">
            <w:r w:rsidR="00B54F4E" w:rsidRPr="001816E6">
              <w:rPr>
                <w:rStyle w:val="Hyperlink"/>
                <w:noProof/>
              </w:rPr>
              <w:t>2.4.3</w:t>
            </w:r>
            <w:r w:rsidR="00B54F4E">
              <w:rPr>
                <w:rFonts w:asciiTheme="minorHAnsi" w:eastAsiaTheme="minorEastAsia" w:hAnsiTheme="minorHAnsi" w:cstheme="minorBidi"/>
                <w:noProof/>
                <w:szCs w:val="22"/>
                <w:lang w:eastAsia="es-CO"/>
              </w:rPr>
              <w:tab/>
            </w:r>
            <w:r w:rsidR="00B54F4E" w:rsidRPr="001816E6">
              <w:rPr>
                <w:rStyle w:val="Hyperlink"/>
                <w:noProof/>
                <w:lang w:val="es-ES"/>
              </w:rPr>
              <w:t>Análisis</w:t>
            </w:r>
            <w:r w:rsidR="00B54F4E" w:rsidRPr="001816E6">
              <w:rPr>
                <w:rStyle w:val="Hyperlink"/>
                <w:noProof/>
              </w:rPr>
              <w:t xml:space="preserve"> de sensibilidad</w:t>
            </w:r>
            <w:r w:rsidR="00B54F4E">
              <w:rPr>
                <w:noProof/>
                <w:webHidden/>
              </w:rPr>
              <w:tab/>
            </w:r>
            <w:r w:rsidR="00B54F4E">
              <w:rPr>
                <w:noProof/>
                <w:webHidden/>
              </w:rPr>
              <w:fldChar w:fldCharType="begin"/>
            </w:r>
            <w:r w:rsidR="00B54F4E">
              <w:rPr>
                <w:noProof/>
                <w:webHidden/>
              </w:rPr>
              <w:instrText xml:space="preserve"> PAGEREF _Toc484097031 \h </w:instrText>
            </w:r>
            <w:r w:rsidR="00B54F4E">
              <w:rPr>
                <w:noProof/>
                <w:webHidden/>
              </w:rPr>
            </w:r>
            <w:r w:rsidR="00B54F4E">
              <w:rPr>
                <w:noProof/>
                <w:webHidden/>
              </w:rPr>
              <w:fldChar w:fldCharType="separate"/>
            </w:r>
            <w:r w:rsidR="00B54F4E">
              <w:rPr>
                <w:noProof/>
                <w:webHidden/>
              </w:rPr>
              <w:t>36</w:t>
            </w:r>
            <w:r w:rsidR="00B54F4E">
              <w:rPr>
                <w:noProof/>
                <w:webHidden/>
              </w:rPr>
              <w:fldChar w:fldCharType="end"/>
            </w:r>
          </w:hyperlink>
        </w:p>
        <w:p w14:paraId="6AB76602"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32" w:history="1">
            <w:r w:rsidR="00B54F4E" w:rsidRPr="001816E6">
              <w:rPr>
                <w:rStyle w:val="Hyperlink"/>
                <w:noProof/>
              </w:rPr>
              <w:t>2.5</w:t>
            </w:r>
            <w:r w:rsidR="00B54F4E">
              <w:rPr>
                <w:rFonts w:asciiTheme="minorHAnsi" w:eastAsiaTheme="minorEastAsia" w:hAnsiTheme="minorHAnsi" w:cstheme="minorBidi"/>
                <w:noProof/>
                <w:szCs w:val="22"/>
                <w:lang w:eastAsia="es-CO"/>
              </w:rPr>
              <w:tab/>
            </w:r>
            <w:r w:rsidR="00B54F4E" w:rsidRPr="001816E6">
              <w:rPr>
                <w:rStyle w:val="Hyperlink"/>
                <w:noProof/>
              </w:rPr>
              <w:t>Consideraciones sobre la integración eléctrica regional</w:t>
            </w:r>
            <w:r w:rsidR="00B54F4E">
              <w:rPr>
                <w:noProof/>
                <w:webHidden/>
              </w:rPr>
              <w:tab/>
            </w:r>
            <w:r w:rsidR="00B54F4E">
              <w:rPr>
                <w:noProof/>
                <w:webHidden/>
              </w:rPr>
              <w:fldChar w:fldCharType="begin"/>
            </w:r>
            <w:r w:rsidR="00B54F4E">
              <w:rPr>
                <w:noProof/>
                <w:webHidden/>
              </w:rPr>
              <w:instrText xml:space="preserve"> PAGEREF _Toc484097032 \h </w:instrText>
            </w:r>
            <w:r w:rsidR="00B54F4E">
              <w:rPr>
                <w:noProof/>
                <w:webHidden/>
              </w:rPr>
            </w:r>
            <w:r w:rsidR="00B54F4E">
              <w:rPr>
                <w:noProof/>
                <w:webHidden/>
              </w:rPr>
              <w:fldChar w:fldCharType="separate"/>
            </w:r>
            <w:r w:rsidR="00B54F4E">
              <w:rPr>
                <w:noProof/>
                <w:webHidden/>
              </w:rPr>
              <w:t>38</w:t>
            </w:r>
            <w:r w:rsidR="00B54F4E">
              <w:rPr>
                <w:noProof/>
                <w:webHidden/>
              </w:rPr>
              <w:fldChar w:fldCharType="end"/>
            </w:r>
          </w:hyperlink>
        </w:p>
        <w:p w14:paraId="18D14B32" w14:textId="77777777" w:rsidR="00B54F4E" w:rsidRDefault="00487C7A" w:rsidP="00B54F4E">
          <w:pPr>
            <w:pStyle w:val="TOC2"/>
            <w:tabs>
              <w:tab w:val="left" w:pos="880"/>
              <w:tab w:val="right" w:leader="dot" w:pos="8828"/>
            </w:tabs>
            <w:rPr>
              <w:rFonts w:asciiTheme="minorHAnsi" w:eastAsiaTheme="minorEastAsia" w:hAnsiTheme="minorHAnsi" w:cstheme="minorBidi"/>
              <w:noProof/>
              <w:szCs w:val="22"/>
              <w:lang w:eastAsia="es-CO"/>
            </w:rPr>
          </w:pPr>
          <w:hyperlink w:anchor="_Toc484097033" w:history="1">
            <w:r w:rsidR="00B54F4E" w:rsidRPr="001816E6">
              <w:rPr>
                <w:rStyle w:val="Hyperlink"/>
                <w:noProof/>
              </w:rPr>
              <w:t>2.6</w:t>
            </w:r>
            <w:r w:rsidR="00B54F4E">
              <w:rPr>
                <w:rFonts w:asciiTheme="minorHAnsi" w:eastAsiaTheme="minorEastAsia" w:hAnsiTheme="minorHAnsi" w:cstheme="minorBidi"/>
                <w:noProof/>
                <w:szCs w:val="22"/>
                <w:lang w:eastAsia="es-CO"/>
              </w:rPr>
              <w:tab/>
            </w:r>
            <w:r w:rsidR="00B54F4E" w:rsidRPr="001816E6">
              <w:rPr>
                <w:rStyle w:val="Hyperlink"/>
                <w:noProof/>
              </w:rPr>
              <w:t>Conclusiones de la evaluación económica del Componente 2.1</w:t>
            </w:r>
            <w:r w:rsidR="00B54F4E">
              <w:rPr>
                <w:noProof/>
                <w:webHidden/>
              </w:rPr>
              <w:tab/>
            </w:r>
            <w:r w:rsidR="00B54F4E">
              <w:rPr>
                <w:noProof/>
                <w:webHidden/>
              </w:rPr>
              <w:fldChar w:fldCharType="begin"/>
            </w:r>
            <w:r w:rsidR="00B54F4E">
              <w:rPr>
                <w:noProof/>
                <w:webHidden/>
              </w:rPr>
              <w:instrText xml:space="preserve"> PAGEREF _Toc484097033 \h </w:instrText>
            </w:r>
            <w:r w:rsidR="00B54F4E">
              <w:rPr>
                <w:noProof/>
                <w:webHidden/>
              </w:rPr>
            </w:r>
            <w:r w:rsidR="00B54F4E">
              <w:rPr>
                <w:noProof/>
                <w:webHidden/>
              </w:rPr>
              <w:fldChar w:fldCharType="separate"/>
            </w:r>
            <w:r w:rsidR="00B54F4E">
              <w:rPr>
                <w:noProof/>
                <w:webHidden/>
              </w:rPr>
              <w:t>39</w:t>
            </w:r>
            <w:r w:rsidR="00B54F4E">
              <w:rPr>
                <w:noProof/>
                <w:webHidden/>
              </w:rPr>
              <w:fldChar w:fldCharType="end"/>
            </w:r>
          </w:hyperlink>
        </w:p>
        <w:p w14:paraId="303E894B" w14:textId="77777777" w:rsidR="00B54F4E" w:rsidRDefault="00487C7A" w:rsidP="00B54F4E">
          <w:pPr>
            <w:pStyle w:val="TOC1"/>
            <w:tabs>
              <w:tab w:val="left" w:pos="480"/>
              <w:tab w:val="right" w:leader="dot" w:pos="8828"/>
            </w:tabs>
            <w:rPr>
              <w:rFonts w:asciiTheme="minorHAnsi" w:eastAsiaTheme="minorEastAsia" w:hAnsiTheme="minorHAnsi" w:cstheme="minorBidi"/>
              <w:noProof/>
              <w:szCs w:val="22"/>
              <w:lang w:eastAsia="es-CO"/>
            </w:rPr>
          </w:pPr>
          <w:hyperlink w:anchor="_Toc484097034" w:history="1">
            <w:r w:rsidR="00B54F4E" w:rsidRPr="001816E6">
              <w:rPr>
                <w:rStyle w:val="Hyperlink"/>
                <w:noProof/>
                <w:lang w:val="es-ES"/>
              </w:rPr>
              <w:t>3</w:t>
            </w:r>
            <w:r w:rsidR="00B54F4E">
              <w:rPr>
                <w:rFonts w:asciiTheme="minorHAnsi" w:eastAsiaTheme="minorEastAsia" w:hAnsiTheme="minorHAnsi" w:cstheme="minorBidi"/>
                <w:noProof/>
                <w:szCs w:val="22"/>
                <w:lang w:eastAsia="es-CO"/>
              </w:rPr>
              <w:tab/>
            </w:r>
            <w:r w:rsidR="00B54F4E" w:rsidRPr="001816E6">
              <w:rPr>
                <w:rStyle w:val="Hyperlink"/>
                <w:noProof/>
                <w:lang w:val="es-ES"/>
              </w:rPr>
              <w:t>Evaluación económica del Componente 2.3 Racionalización de los subsidios en el sector energético</w:t>
            </w:r>
            <w:r w:rsidR="00B54F4E">
              <w:rPr>
                <w:noProof/>
                <w:webHidden/>
              </w:rPr>
              <w:tab/>
            </w:r>
            <w:r w:rsidR="00B54F4E">
              <w:rPr>
                <w:noProof/>
                <w:webHidden/>
              </w:rPr>
              <w:fldChar w:fldCharType="begin"/>
            </w:r>
            <w:r w:rsidR="00B54F4E">
              <w:rPr>
                <w:noProof/>
                <w:webHidden/>
              </w:rPr>
              <w:instrText xml:space="preserve"> PAGEREF _Toc484097034 \h </w:instrText>
            </w:r>
            <w:r w:rsidR="00B54F4E">
              <w:rPr>
                <w:noProof/>
                <w:webHidden/>
              </w:rPr>
            </w:r>
            <w:r w:rsidR="00B54F4E">
              <w:rPr>
                <w:noProof/>
                <w:webHidden/>
              </w:rPr>
              <w:fldChar w:fldCharType="separate"/>
            </w:r>
            <w:r w:rsidR="00B54F4E">
              <w:rPr>
                <w:noProof/>
                <w:webHidden/>
              </w:rPr>
              <w:t>41</w:t>
            </w:r>
            <w:r w:rsidR="00B54F4E">
              <w:rPr>
                <w:noProof/>
                <w:webHidden/>
              </w:rPr>
              <w:fldChar w:fldCharType="end"/>
            </w:r>
          </w:hyperlink>
        </w:p>
        <w:p w14:paraId="6A25CAB3"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35" w:history="1">
            <w:r w:rsidR="00B54F4E" w:rsidRPr="001816E6">
              <w:rPr>
                <w:rStyle w:val="Hyperlink"/>
                <w:noProof/>
              </w:rPr>
              <w:t>3.1.1</w:t>
            </w:r>
            <w:r w:rsidR="00B54F4E">
              <w:rPr>
                <w:rFonts w:asciiTheme="minorHAnsi" w:eastAsiaTheme="minorEastAsia" w:hAnsiTheme="minorHAnsi" w:cstheme="minorBidi"/>
                <w:noProof/>
                <w:szCs w:val="22"/>
                <w:lang w:eastAsia="es-CO"/>
              </w:rPr>
              <w:tab/>
            </w:r>
            <w:r w:rsidR="00B54F4E" w:rsidRPr="001816E6">
              <w:rPr>
                <w:rStyle w:val="Hyperlink"/>
                <w:noProof/>
              </w:rPr>
              <w:t>El esquema de subsidios a los consumidores del sector eléctrico de Panamá</w:t>
            </w:r>
            <w:r w:rsidR="00B54F4E">
              <w:rPr>
                <w:noProof/>
                <w:webHidden/>
              </w:rPr>
              <w:tab/>
            </w:r>
            <w:r w:rsidR="00B54F4E">
              <w:rPr>
                <w:noProof/>
                <w:webHidden/>
              </w:rPr>
              <w:fldChar w:fldCharType="begin"/>
            </w:r>
            <w:r w:rsidR="00B54F4E">
              <w:rPr>
                <w:noProof/>
                <w:webHidden/>
              </w:rPr>
              <w:instrText xml:space="preserve"> PAGEREF _Toc484097035 \h </w:instrText>
            </w:r>
            <w:r w:rsidR="00B54F4E">
              <w:rPr>
                <w:noProof/>
                <w:webHidden/>
              </w:rPr>
            </w:r>
            <w:r w:rsidR="00B54F4E">
              <w:rPr>
                <w:noProof/>
                <w:webHidden/>
              </w:rPr>
              <w:fldChar w:fldCharType="separate"/>
            </w:r>
            <w:r w:rsidR="00B54F4E">
              <w:rPr>
                <w:noProof/>
                <w:webHidden/>
              </w:rPr>
              <w:t>41</w:t>
            </w:r>
            <w:r w:rsidR="00B54F4E">
              <w:rPr>
                <w:noProof/>
                <w:webHidden/>
              </w:rPr>
              <w:fldChar w:fldCharType="end"/>
            </w:r>
          </w:hyperlink>
        </w:p>
        <w:p w14:paraId="46DE27AB"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36" w:history="1">
            <w:r w:rsidR="00B54F4E" w:rsidRPr="001816E6">
              <w:rPr>
                <w:rStyle w:val="Hyperlink"/>
                <w:noProof/>
              </w:rPr>
              <w:t>3.1.2</w:t>
            </w:r>
            <w:r w:rsidR="00B54F4E">
              <w:rPr>
                <w:rFonts w:asciiTheme="minorHAnsi" w:eastAsiaTheme="minorEastAsia" w:hAnsiTheme="minorHAnsi" w:cstheme="minorBidi"/>
                <w:noProof/>
                <w:szCs w:val="22"/>
                <w:lang w:eastAsia="es-CO"/>
              </w:rPr>
              <w:tab/>
            </w:r>
            <w:r w:rsidR="00B54F4E" w:rsidRPr="001816E6">
              <w:rPr>
                <w:rStyle w:val="Hyperlink"/>
                <w:noProof/>
              </w:rPr>
              <w:t>Supuestos y metodología</w:t>
            </w:r>
            <w:r w:rsidR="00B54F4E">
              <w:rPr>
                <w:noProof/>
                <w:webHidden/>
              </w:rPr>
              <w:tab/>
            </w:r>
            <w:r w:rsidR="00B54F4E">
              <w:rPr>
                <w:noProof/>
                <w:webHidden/>
              </w:rPr>
              <w:fldChar w:fldCharType="begin"/>
            </w:r>
            <w:r w:rsidR="00B54F4E">
              <w:rPr>
                <w:noProof/>
                <w:webHidden/>
              </w:rPr>
              <w:instrText xml:space="preserve"> PAGEREF _Toc484097036 \h </w:instrText>
            </w:r>
            <w:r w:rsidR="00B54F4E">
              <w:rPr>
                <w:noProof/>
                <w:webHidden/>
              </w:rPr>
            </w:r>
            <w:r w:rsidR="00B54F4E">
              <w:rPr>
                <w:noProof/>
                <w:webHidden/>
              </w:rPr>
              <w:fldChar w:fldCharType="separate"/>
            </w:r>
            <w:r w:rsidR="00B54F4E">
              <w:rPr>
                <w:noProof/>
                <w:webHidden/>
              </w:rPr>
              <w:t>45</w:t>
            </w:r>
            <w:r w:rsidR="00B54F4E">
              <w:rPr>
                <w:noProof/>
                <w:webHidden/>
              </w:rPr>
              <w:fldChar w:fldCharType="end"/>
            </w:r>
          </w:hyperlink>
        </w:p>
        <w:p w14:paraId="53A4A183"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37" w:history="1">
            <w:r w:rsidR="00B54F4E" w:rsidRPr="001816E6">
              <w:rPr>
                <w:rStyle w:val="Hyperlink"/>
                <w:noProof/>
              </w:rPr>
              <w:t>3.1.3</w:t>
            </w:r>
            <w:r w:rsidR="00B54F4E">
              <w:rPr>
                <w:rFonts w:asciiTheme="minorHAnsi" w:eastAsiaTheme="minorEastAsia" w:hAnsiTheme="minorHAnsi" w:cstheme="minorBidi"/>
                <w:noProof/>
                <w:szCs w:val="22"/>
                <w:lang w:eastAsia="es-CO"/>
              </w:rPr>
              <w:tab/>
            </w:r>
            <w:r w:rsidR="00B54F4E" w:rsidRPr="001816E6">
              <w:rPr>
                <w:rStyle w:val="Hyperlink"/>
                <w:noProof/>
              </w:rPr>
              <w:t>Análisis de beneficios de la racionalización de los subsidios en el sector energético</w:t>
            </w:r>
            <w:r w:rsidR="00B54F4E">
              <w:rPr>
                <w:noProof/>
                <w:webHidden/>
              </w:rPr>
              <w:tab/>
            </w:r>
            <w:r w:rsidR="00B54F4E">
              <w:rPr>
                <w:noProof/>
                <w:webHidden/>
              </w:rPr>
              <w:fldChar w:fldCharType="begin"/>
            </w:r>
            <w:r w:rsidR="00B54F4E">
              <w:rPr>
                <w:noProof/>
                <w:webHidden/>
              </w:rPr>
              <w:instrText xml:space="preserve"> PAGEREF _Toc484097037 \h </w:instrText>
            </w:r>
            <w:r w:rsidR="00B54F4E">
              <w:rPr>
                <w:noProof/>
                <w:webHidden/>
              </w:rPr>
            </w:r>
            <w:r w:rsidR="00B54F4E">
              <w:rPr>
                <w:noProof/>
                <w:webHidden/>
              </w:rPr>
              <w:fldChar w:fldCharType="separate"/>
            </w:r>
            <w:r w:rsidR="00B54F4E">
              <w:rPr>
                <w:noProof/>
                <w:webHidden/>
              </w:rPr>
              <w:t>46</w:t>
            </w:r>
            <w:r w:rsidR="00B54F4E">
              <w:rPr>
                <w:noProof/>
                <w:webHidden/>
              </w:rPr>
              <w:fldChar w:fldCharType="end"/>
            </w:r>
          </w:hyperlink>
        </w:p>
        <w:p w14:paraId="6DD508FC" w14:textId="77777777" w:rsidR="00B54F4E" w:rsidRDefault="00487C7A" w:rsidP="00B54F4E">
          <w:pPr>
            <w:pStyle w:val="TOC3"/>
            <w:tabs>
              <w:tab w:val="left" w:pos="1320"/>
              <w:tab w:val="right" w:leader="dot" w:pos="8828"/>
            </w:tabs>
            <w:rPr>
              <w:rFonts w:asciiTheme="minorHAnsi" w:eastAsiaTheme="minorEastAsia" w:hAnsiTheme="minorHAnsi" w:cstheme="minorBidi"/>
              <w:noProof/>
              <w:szCs w:val="22"/>
              <w:lang w:eastAsia="es-CO"/>
            </w:rPr>
          </w:pPr>
          <w:hyperlink w:anchor="_Toc484097038" w:history="1">
            <w:r w:rsidR="00B54F4E" w:rsidRPr="001816E6">
              <w:rPr>
                <w:rStyle w:val="Hyperlink"/>
                <w:noProof/>
              </w:rPr>
              <w:t>3.1.4</w:t>
            </w:r>
            <w:r w:rsidR="00B54F4E">
              <w:rPr>
                <w:rFonts w:asciiTheme="minorHAnsi" w:eastAsiaTheme="minorEastAsia" w:hAnsiTheme="minorHAnsi" w:cstheme="minorBidi"/>
                <w:noProof/>
                <w:szCs w:val="22"/>
                <w:lang w:eastAsia="es-CO"/>
              </w:rPr>
              <w:tab/>
            </w:r>
            <w:r w:rsidR="00B54F4E" w:rsidRPr="001816E6">
              <w:rPr>
                <w:rStyle w:val="Hyperlink"/>
                <w:noProof/>
              </w:rPr>
              <w:t>Análisis de sensibilidad de los beneficios de la racionalización de los subsidios en el sector energético</w:t>
            </w:r>
            <w:r w:rsidR="00B54F4E">
              <w:rPr>
                <w:noProof/>
                <w:webHidden/>
              </w:rPr>
              <w:tab/>
            </w:r>
            <w:r w:rsidR="00B54F4E">
              <w:rPr>
                <w:noProof/>
                <w:webHidden/>
              </w:rPr>
              <w:fldChar w:fldCharType="begin"/>
            </w:r>
            <w:r w:rsidR="00B54F4E">
              <w:rPr>
                <w:noProof/>
                <w:webHidden/>
              </w:rPr>
              <w:instrText xml:space="preserve"> PAGEREF _Toc484097038 \h </w:instrText>
            </w:r>
            <w:r w:rsidR="00B54F4E">
              <w:rPr>
                <w:noProof/>
                <w:webHidden/>
              </w:rPr>
            </w:r>
            <w:r w:rsidR="00B54F4E">
              <w:rPr>
                <w:noProof/>
                <w:webHidden/>
              </w:rPr>
              <w:fldChar w:fldCharType="separate"/>
            </w:r>
            <w:r w:rsidR="00B54F4E">
              <w:rPr>
                <w:noProof/>
                <w:webHidden/>
              </w:rPr>
              <w:t>47</w:t>
            </w:r>
            <w:r w:rsidR="00B54F4E">
              <w:rPr>
                <w:noProof/>
                <w:webHidden/>
              </w:rPr>
              <w:fldChar w:fldCharType="end"/>
            </w:r>
          </w:hyperlink>
        </w:p>
        <w:p w14:paraId="20C6A90E" w14:textId="77777777" w:rsidR="00B54F4E" w:rsidRDefault="00487C7A" w:rsidP="00B54F4E">
          <w:pPr>
            <w:pStyle w:val="TOC1"/>
            <w:tabs>
              <w:tab w:val="left" w:pos="480"/>
              <w:tab w:val="right" w:leader="dot" w:pos="8828"/>
            </w:tabs>
            <w:rPr>
              <w:rFonts w:asciiTheme="minorHAnsi" w:eastAsiaTheme="minorEastAsia" w:hAnsiTheme="minorHAnsi" w:cstheme="minorBidi"/>
              <w:noProof/>
              <w:szCs w:val="22"/>
              <w:lang w:eastAsia="es-CO"/>
            </w:rPr>
          </w:pPr>
          <w:hyperlink w:anchor="_Toc484097039" w:history="1">
            <w:r w:rsidR="00B54F4E" w:rsidRPr="001816E6">
              <w:rPr>
                <w:rStyle w:val="Hyperlink"/>
                <w:noProof/>
              </w:rPr>
              <w:t>4</w:t>
            </w:r>
            <w:r w:rsidR="00B54F4E">
              <w:rPr>
                <w:rFonts w:asciiTheme="minorHAnsi" w:eastAsiaTheme="minorEastAsia" w:hAnsiTheme="minorHAnsi" w:cstheme="minorBidi"/>
                <w:noProof/>
                <w:szCs w:val="22"/>
                <w:lang w:eastAsia="es-CO"/>
              </w:rPr>
              <w:tab/>
            </w:r>
            <w:r w:rsidR="00B54F4E" w:rsidRPr="001816E6">
              <w:rPr>
                <w:rStyle w:val="Hyperlink"/>
                <w:noProof/>
              </w:rPr>
              <w:t>Anexo 1 - Supuestos de costos de O&amp;M y de generación</w:t>
            </w:r>
            <w:r w:rsidR="00B54F4E">
              <w:rPr>
                <w:noProof/>
                <w:webHidden/>
              </w:rPr>
              <w:tab/>
            </w:r>
            <w:r w:rsidR="00B54F4E">
              <w:rPr>
                <w:noProof/>
                <w:webHidden/>
              </w:rPr>
              <w:fldChar w:fldCharType="begin"/>
            </w:r>
            <w:r w:rsidR="00B54F4E">
              <w:rPr>
                <w:noProof/>
                <w:webHidden/>
              </w:rPr>
              <w:instrText xml:space="preserve"> PAGEREF _Toc484097039 \h </w:instrText>
            </w:r>
            <w:r w:rsidR="00B54F4E">
              <w:rPr>
                <w:noProof/>
                <w:webHidden/>
              </w:rPr>
            </w:r>
            <w:r w:rsidR="00B54F4E">
              <w:rPr>
                <w:noProof/>
                <w:webHidden/>
              </w:rPr>
              <w:fldChar w:fldCharType="separate"/>
            </w:r>
            <w:r w:rsidR="00B54F4E">
              <w:rPr>
                <w:noProof/>
                <w:webHidden/>
              </w:rPr>
              <w:t>48</w:t>
            </w:r>
            <w:r w:rsidR="00B54F4E">
              <w:rPr>
                <w:noProof/>
                <w:webHidden/>
              </w:rPr>
              <w:fldChar w:fldCharType="end"/>
            </w:r>
          </w:hyperlink>
        </w:p>
        <w:p w14:paraId="00503B28" w14:textId="77777777" w:rsidR="00B54F4E" w:rsidRDefault="00487C7A" w:rsidP="00B54F4E">
          <w:pPr>
            <w:pStyle w:val="TOC1"/>
            <w:tabs>
              <w:tab w:val="left" w:pos="480"/>
              <w:tab w:val="right" w:leader="dot" w:pos="8828"/>
            </w:tabs>
            <w:rPr>
              <w:b/>
              <w:bCs/>
              <w:lang w:val="es-ES"/>
            </w:rPr>
          </w:pPr>
          <w:hyperlink w:anchor="_Toc484097040" w:history="1">
            <w:r w:rsidR="00B54F4E" w:rsidRPr="001816E6">
              <w:rPr>
                <w:rStyle w:val="Hyperlink"/>
                <w:noProof/>
              </w:rPr>
              <w:t>5</w:t>
            </w:r>
            <w:r w:rsidR="00B54F4E">
              <w:rPr>
                <w:rFonts w:asciiTheme="minorHAnsi" w:eastAsiaTheme="minorEastAsia" w:hAnsiTheme="minorHAnsi" w:cstheme="minorBidi"/>
                <w:noProof/>
                <w:szCs w:val="22"/>
                <w:lang w:eastAsia="es-CO"/>
              </w:rPr>
              <w:tab/>
            </w:r>
            <w:r w:rsidR="00B54F4E" w:rsidRPr="001816E6">
              <w:rPr>
                <w:rStyle w:val="Hyperlink"/>
                <w:noProof/>
              </w:rPr>
              <w:t>Anexo 2 - Parámetros y cálculos para la estimación de beneficios y costos de medidas de eficiencia energética</w:t>
            </w:r>
            <w:r w:rsidR="00B54F4E">
              <w:rPr>
                <w:noProof/>
                <w:webHidden/>
              </w:rPr>
              <w:tab/>
            </w:r>
            <w:r w:rsidR="00B54F4E">
              <w:rPr>
                <w:noProof/>
                <w:webHidden/>
              </w:rPr>
              <w:fldChar w:fldCharType="begin"/>
            </w:r>
            <w:r w:rsidR="00B54F4E">
              <w:rPr>
                <w:noProof/>
                <w:webHidden/>
              </w:rPr>
              <w:instrText xml:space="preserve"> PAGEREF _Toc484097040 \h </w:instrText>
            </w:r>
            <w:r w:rsidR="00B54F4E">
              <w:rPr>
                <w:noProof/>
                <w:webHidden/>
              </w:rPr>
            </w:r>
            <w:r w:rsidR="00B54F4E">
              <w:rPr>
                <w:noProof/>
                <w:webHidden/>
              </w:rPr>
              <w:fldChar w:fldCharType="separate"/>
            </w:r>
            <w:r w:rsidR="00B54F4E">
              <w:rPr>
                <w:noProof/>
                <w:webHidden/>
              </w:rPr>
              <w:t>52</w:t>
            </w:r>
            <w:r w:rsidR="00B54F4E">
              <w:rPr>
                <w:noProof/>
                <w:webHidden/>
              </w:rPr>
              <w:fldChar w:fldCharType="end"/>
            </w:r>
          </w:hyperlink>
          <w:r w:rsidR="00B54F4E">
            <w:rPr>
              <w:b/>
              <w:bCs/>
              <w:lang w:val="es-ES"/>
            </w:rPr>
            <w:fldChar w:fldCharType="end"/>
          </w:r>
        </w:p>
      </w:sdtContent>
    </w:sdt>
    <w:p w14:paraId="20FA226F" w14:textId="77777777" w:rsidR="00B54F4E" w:rsidRDefault="00B54F4E" w:rsidP="00B54F4E">
      <w:pPr>
        <w:spacing w:before="0" w:after="160" w:line="259" w:lineRule="auto"/>
        <w:jc w:val="left"/>
        <w:rPr>
          <w:rFonts w:eastAsiaTheme="majorEastAsia" w:cstheme="majorBidi"/>
          <w:color w:val="2F5496" w:themeColor="accent1" w:themeShade="BF"/>
          <w:sz w:val="32"/>
          <w:szCs w:val="32"/>
          <w:lang w:val="es-ES" w:eastAsia="es-CO"/>
        </w:rPr>
      </w:pPr>
      <w:r>
        <w:rPr>
          <w:lang w:val="es-ES"/>
        </w:rPr>
        <w:br w:type="page"/>
      </w:r>
    </w:p>
    <w:p w14:paraId="3707B8F2" w14:textId="77777777" w:rsidR="00B54F4E" w:rsidRPr="001D09A9" w:rsidRDefault="00B54F4E" w:rsidP="00B54F4E">
      <w:pPr>
        <w:pStyle w:val="TOCHeading"/>
        <w:rPr>
          <w:lang w:val="es-ES"/>
        </w:rPr>
      </w:pPr>
      <w:r>
        <w:rPr>
          <w:lang w:val="es-ES"/>
        </w:rPr>
        <w:lastRenderedPageBreak/>
        <w:t>Índice de Tablas</w:t>
      </w:r>
    </w:p>
    <w:p w14:paraId="3E4EDBC1" w14:textId="77777777" w:rsidR="00B54F4E" w:rsidRDefault="00B54F4E" w:rsidP="00B54F4E">
      <w:pPr>
        <w:pStyle w:val="TableofFigures"/>
        <w:tabs>
          <w:tab w:val="right" w:leader="dot" w:pos="8828"/>
        </w:tabs>
        <w:rPr>
          <w:rFonts w:asciiTheme="minorHAnsi" w:eastAsiaTheme="minorEastAsia" w:hAnsiTheme="minorHAnsi" w:cstheme="minorBidi"/>
          <w:noProof/>
          <w:szCs w:val="22"/>
          <w:lang w:eastAsia="es-CO"/>
        </w:rPr>
      </w:pPr>
      <w:r>
        <w:rPr>
          <w:lang w:val="es-ES" w:eastAsia="es-CO"/>
        </w:rPr>
        <w:fldChar w:fldCharType="begin"/>
      </w:r>
      <w:r>
        <w:rPr>
          <w:lang w:val="es-ES" w:eastAsia="es-CO"/>
        </w:rPr>
        <w:instrText xml:space="preserve"> TOC \h \z \c "Tabla" </w:instrText>
      </w:r>
      <w:r>
        <w:rPr>
          <w:lang w:val="es-ES" w:eastAsia="es-CO"/>
        </w:rPr>
        <w:fldChar w:fldCharType="separate"/>
      </w:r>
      <w:hyperlink w:anchor="_Toc484097041" w:history="1">
        <w:r w:rsidRPr="002C2747">
          <w:rPr>
            <w:rStyle w:val="Hyperlink"/>
            <w:rFonts w:eastAsiaTheme="majorEastAsia"/>
            <w:noProof/>
          </w:rPr>
          <w:t>Tabla 1 – Costos de inversión por MW instalado y por tecnología</w:t>
        </w:r>
        <w:r>
          <w:rPr>
            <w:noProof/>
            <w:webHidden/>
          </w:rPr>
          <w:tab/>
        </w:r>
        <w:r>
          <w:rPr>
            <w:noProof/>
            <w:webHidden/>
          </w:rPr>
          <w:fldChar w:fldCharType="begin"/>
        </w:r>
        <w:r>
          <w:rPr>
            <w:noProof/>
            <w:webHidden/>
          </w:rPr>
          <w:instrText xml:space="preserve"> PAGEREF _Toc484097041 \h </w:instrText>
        </w:r>
        <w:r>
          <w:rPr>
            <w:noProof/>
            <w:webHidden/>
          </w:rPr>
        </w:r>
        <w:r>
          <w:rPr>
            <w:noProof/>
            <w:webHidden/>
          </w:rPr>
          <w:fldChar w:fldCharType="separate"/>
        </w:r>
        <w:r>
          <w:rPr>
            <w:noProof/>
            <w:webHidden/>
          </w:rPr>
          <w:t>14</w:t>
        </w:r>
        <w:r>
          <w:rPr>
            <w:noProof/>
            <w:webHidden/>
          </w:rPr>
          <w:fldChar w:fldCharType="end"/>
        </w:r>
      </w:hyperlink>
    </w:p>
    <w:p w14:paraId="72514BA9"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2" w:history="1">
        <w:r w:rsidR="00B54F4E" w:rsidRPr="002C2747">
          <w:rPr>
            <w:rStyle w:val="Hyperlink"/>
            <w:rFonts w:eastAsiaTheme="majorEastAsia"/>
            <w:noProof/>
          </w:rPr>
          <w:t>Tabla 2 – Entrada en operación de la nueva capacidad instalada según escenario (nuevas inversiones)</w:t>
        </w:r>
        <w:r w:rsidR="00B54F4E">
          <w:rPr>
            <w:noProof/>
            <w:webHidden/>
          </w:rPr>
          <w:tab/>
        </w:r>
        <w:r w:rsidR="00B54F4E">
          <w:rPr>
            <w:noProof/>
            <w:webHidden/>
          </w:rPr>
          <w:fldChar w:fldCharType="begin"/>
        </w:r>
        <w:r w:rsidR="00B54F4E">
          <w:rPr>
            <w:noProof/>
            <w:webHidden/>
          </w:rPr>
          <w:instrText xml:space="preserve"> PAGEREF _Toc484097042 \h </w:instrText>
        </w:r>
        <w:r w:rsidR="00B54F4E">
          <w:rPr>
            <w:noProof/>
            <w:webHidden/>
          </w:rPr>
        </w:r>
        <w:r w:rsidR="00B54F4E">
          <w:rPr>
            <w:noProof/>
            <w:webHidden/>
          </w:rPr>
          <w:fldChar w:fldCharType="separate"/>
        </w:r>
        <w:r w:rsidR="00B54F4E">
          <w:rPr>
            <w:noProof/>
            <w:webHidden/>
          </w:rPr>
          <w:t>16</w:t>
        </w:r>
        <w:r w:rsidR="00B54F4E">
          <w:rPr>
            <w:noProof/>
            <w:webHidden/>
          </w:rPr>
          <w:fldChar w:fldCharType="end"/>
        </w:r>
      </w:hyperlink>
    </w:p>
    <w:p w14:paraId="33D0765A"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3" w:history="1">
        <w:r w:rsidR="00B54F4E" w:rsidRPr="002C2747">
          <w:rPr>
            <w:rStyle w:val="Hyperlink"/>
            <w:rFonts w:eastAsiaTheme="majorEastAsia"/>
            <w:noProof/>
          </w:rPr>
          <w:t>Tabla 3 – Estimación de beneficios por menores costos de generación</w:t>
        </w:r>
        <w:r w:rsidR="00B54F4E">
          <w:rPr>
            <w:noProof/>
            <w:webHidden/>
          </w:rPr>
          <w:tab/>
        </w:r>
        <w:r w:rsidR="00B54F4E">
          <w:rPr>
            <w:noProof/>
            <w:webHidden/>
          </w:rPr>
          <w:fldChar w:fldCharType="begin"/>
        </w:r>
        <w:r w:rsidR="00B54F4E">
          <w:rPr>
            <w:noProof/>
            <w:webHidden/>
          </w:rPr>
          <w:instrText xml:space="preserve"> PAGEREF _Toc484097043 \h </w:instrText>
        </w:r>
        <w:r w:rsidR="00B54F4E">
          <w:rPr>
            <w:noProof/>
            <w:webHidden/>
          </w:rPr>
        </w:r>
        <w:r w:rsidR="00B54F4E">
          <w:rPr>
            <w:noProof/>
            <w:webHidden/>
          </w:rPr>
          <w:fldChar w:fldCharType="separate"/>
        </w:r>
        <w:r w:rsidR="00B54F4E">
          <w:rPr>
            <w:noProof/>
            <w:webHidden/>
          </w:rPr>
          <w:t>19</w:t>
        </w:r>
        <w:r w:rsidR="00B54F4E">
          <w:rPr>
            <w:noProof/>
            <w:webHidden/>
          </w:rPr>
          <w:fldChar w:fldCharType="end"/>
        </w:r>
      </w:hyperlink>
    </w:p>
    <w:p w14:paraId="5F591A28"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4" w:history="1">
        <w:r w:rsidR="00B54F4E" w:rsidRPr="002C2747">
          <w:rPr>
            <w:rStyle w:val="Hyperlink"/>
            <w:rFonts w:eastAsiaTheme="majorEastAsia"/>
            <w:noProof/>
          </w:rPr>
          <w:t>Tabla 4 – Estimación de beneficios por menores emisiones de CO</w:t>
        </w:r>
        <w:r w:rsidR="00B54F4E" w:rsidRPr="002C2747">
          <w:rPr>
            <w:rStyle w:val="Hyperlink"/>
            <w:rFonts w:eastAsiaTheme="majorEastAsia"/>
            <w:noProof/>
            <w:vertAlign w:val="subscript"/>
          </w:rPr>
          <w:t>2</w:t>
        </w:r>
        <w:r w:rsidR="00B54F4E">
          <w:rPr>
            <w:noProof/>
            <w:webHidden/>
          </w:rPr>
          <w:tab/>
        </w:r>
        <w:r w:rsidR="00B54F4E">
          <w:rPr>
            <w:noProof/>
            <w:webHidden/>
          </w:rPr>
          <w:fldChar w:fldCharType="begin"/>
        </w:r>
        <w:r w:rsidR="00B54F4E">
          <w:rPr>
            <w:noProof/>
            <w:webHidden/>
          </w:rPr>
          <w:instrText xml:space="preserve"> PAGEREF _Toc484097044 \h </w:instrText>
        </w:r>
        <w:r w:rsidR="00B54F4E">
          <w:rPr>
            <w:noProof/>
            <w:webHidden/>
          </w:rPr>
        </w:r>
        <w:r w:rsidR="00B54F4E">
          <w:rPr>
            <w:noProof/>
            <w:webHidden/>
          </w:rPr>
          <w:fldChar w:fldCharType="separate"/>
        </w:r>
        <w:r w:rsidR="00B54F4E">
          <w:rPr>
            <w:noProof/>
            <w:webHidden/>
          </w:rPr>
          <w:t>20</w:t>
        </w:r>
        <w:r w:rsidR="00B54F4E">
          <w:rPr>
            <w:noProof/>
            <w:webHidden/>
          </w:rPr>
          <w:fldChar w:fldCharType="end"/>
        </w:r>
      </w:hyperlink>
    </w:p>
    <w:p w14:paraId="784D6AF6"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5" w:history="1">
        <w:r w:rsidR="00B54F4E" w:rsidRPr="002C2747">
          <w:rPr>
            <w:rStyle w:val="Hyperlink"/>
            <w:rFonts w:eastAsiaTheme="majorEastAsia"/>
            <w:noProof/>
          </w:rPr>
          <w:t>Tabla 5 – Inversión incremen</w:t>
        </w:r>
        <w:r w:rsidR="00B54F4E">
          <w:rPr>
            <w:rStyle w:val="Hyperlink"/>
            <w:rFonts w:eastAsiaTheme="majorEastAsia"/>
            <w:noProof/>
          </w:rPr>
          <w:t xml:space="preserve">tal en capacidad de generación </w:t>
        </w:r>
        <w:r w:rsidR="00B54F4E" w:rsidRPr="002C2747">
          <w:rPr>
            <w:rStyle w:val="Hyperlink"/>
            <w:rFonts w:eastAsiaTheme="majorEastAsia"/>
            <w:noProof/>
          </w:rPr>
          <w:t>(Millones USD$ 2016)</w:t>
        </w:r>
        <w:r w:rsidR="00B54F4E">
          <w:rPr>
            <w:noProof/>
            <w:webHidden/>
          </w:rPr>
          <w:tab/>
        </w:r>
        <w:r w:rsidR="00B54F4E">
          <w:rPr>
            <w:noProof/>
            <w:webHidden/>
          </w:rPr>
          <w:fldChar w:fldCharType="begin"/>
        </w:r>
        <w:r w:rsidR="00B54F4E">
          <w:rPr>
            <w:noProof/>
            <w:webHidden/>
          </w:rPr>
          <w:instrText xml:space="preserve"> PAGEREF _Toc484097045 \h </w:instrText>
        </w:r>
        <w:r w:rsidR="00B54F4E">
          <w:rPr>
            <w:noProof/>
            <w:webHidden/>
          </w:rPr>
        </w:r>
        <w:r w:rsidR="00B54F4E">
          <w:rPr>
            <w:noProof/>
            <w:webHidden/>
          </w:rPr>
          <w:fldChar w:fldCharType="separate"/>
        </w:r>
        <w:r w:rsidR="00B54F4E">
          <w:rPr>
            <w:noProof/>
            <w:webHidden/>
          </w:rPr>
          <w:t>21</w:t>
        </w:r>
        <w:r w:rsidR="00B54F4E">
          <w:rPr>
            <w:noProof/>
            <w:webHidden/>
          </w:rPr>
          <w:fldChar w:fldCharType="end"/>
        </w:r>
      </w:hyperlink>
    </w:p>
    <w:p w14:paraId="4D0D57ED"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6" w:history="1">
        <w:r w:rsidR="00B54F4E" w:rsidRPr="002C2747">
          <w:rPr>
            <w:rStyle w:val="Hyperlink"/>
            <w:rFonts w:eastAsiaTheme="majorEastAsia"/>
            <w:noProof/>
          </w:rPr>
          <w:t>Tabla 6 – Resumen de flujos diferenciales entre escenarios (USD$ Millones)</w:t>
        </w:r>
        <w:r w:rsidR="00B54F4E">
          <w:rPr>
            <w:noProof/>
            <w:webHidden/>
          </w:rPr>
          <w:tab/>
        </w:r>
        <w:r w:rsidR="00B54F4E">
          <w:rPr>
            <w:noProof/>
            <w:webHidden/>
          </w:rPr>
          <w:fldChar w:fldCharType="begin"/>
        </w:r>
        <w:r w:rsidR="00B54F4E">
          <w:rPr>
            <w:noProof/>
            <w:webHidden/>
          </w:rPr>
          <w:instrText xml:space="preserve"> PAGEREF _Toc484097046 \h </w:instrText>
        </w:r>
        <w:r w:rsidR="00B54F4E">
          <w:rPr>
            <w:noProof/>
            <w:webHidden/>
          </w:rPr>
        </w:r>
        <w:r w:rsidR="00B54F4E">
          <w:rPr>
            <w:noProof/>
            <w:webHidden/>
          </w:rPr>
          <w:fldChar w:fldCharType="separate"/>
        </w:r>
        <w:r w:rsidR="00B54F4E">
          <w:rPr>
            <w:noProof/>
            <w:webHidden/>
          </w:rPr>
          <w:t>21</w:t>
        </w:r>
        <w:r w:rsidR="00B54F4E">
          <w:rPr>
            <w:noProof/>
            <w:webHidden/>
          </w:rPr>
          <w:fldChar w:fldCharType="end"/>
        </w:r>
      </w:hyperlink>
    </w:p>
    <w:p w14:paraId="13F302FB"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7" w:history="1">
        <w:r w:rsidR="00B54F4E" w:rsidRPr="002C2747">
          <w:rPr>
            <w:rStyle w:val="Hyperlink"/>
            <w:rFonts w:eastAsiaTheme="majorEastAsia"/>
            <w:noProof/>
          </w:rPr>
          <w:t>Tabla 7 – Resumen de costos totales asociados con los escenarios</w:t>
        </w:r>
        <w:r w:rsidR="00B54F4E">
          <w:rPr>
            <w:noProof/>
            <w:webHidden/>
          </w:rPr>
          <w:tab/>
        </w:r>
        <w:r w:rsidR="00B54F4E">
          <w:rPr>
            <w:noProof/>
            <w:webHidden/>
          </w:rPr>
          <w:fldChar w:fldCharType="begin"/>
        </w:r>
        <w:r w:rsidR="00B54F4E">
          <w:rPr>
            <w:noProof/>
            <w:webHidden/>
          </w:rPr>
          <w:instrText xml:space="preserve"> PAGEREF _Toc484097047 \h </w:instrText>
        </w:r>
        <w:r w:rsidR="00B54F4E">
          <w:rPr>
            <w:noProof/>
            <w:webHidden/>
          </w:rPr>
        </w:r>
        <w:r w:rsidR="00B54F4E">
          <w:rPr>
            <w:noProof/>
            <w:webHidden/>
          </w:rPr>
          <w:fldChar w:fldCharType="separate"/>
        </w:r>
        <w:r w:rsidR="00B54F4E">
          <w:rPr>
            <w:noProof/>
            <w:webHidden/>
          </w:rPr>
          <w:t>21</w:t>
        </w:r>
        <w:r w:rsidR="00B54F4E">
          <w:rPr>
            <w:noProof/>
            <w:webHidden/>
          </w:rPr>
          <w:fldChar w:fldCharType="end"/>
        </w:r>
      </w:hyperlink>
    </w:p>
    <w:p w14:paraId="6CC60F87"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8" w:history="1">
        <w:r w:rsidR="00B54F4E" w:rsidRPr="002C2747">
          <w:rPr>
            <w:rStyle w:val="Hyperlink"/>
            <w:rFonts w:eastAsiaTheme="majorEastAsia"/>
            <w:noProof/>
          </w:rPr>
          <w:t>Tabla 8 – VPN y TIR del beneficio neto por introducción de ER ante variaciones en los costos de inversión de la tecnología solar y eólica</w:t>
        </w:r>
        <w:r w:rsidR="00B54F4E">
          <w:rPr>
            <w:noProof/>
            <w:webHidden/>
          </w:rPr>
          <w:tab/>
        </w:r>
        <w:r w:rsidR="00B54F4E">
          <w:rPr>
            <w:noProof/>
            <w:webHidden/>
          </w:rPr>
          <w:fldChar w:fldCharType="begin"/>
        </w:r>
        <w:r w:rsidR="00B54F4E">
          <w:rPr>
            <w:noProof/>
            <w:webHidden/>
          </w:rPr>
          <w:instrText xml:space="preserve"> PAGEREF _Toc484097048 \h </w:instrText>
        </w:r>
        <w:r w:rsidR="00B54F4E">
          <w:rPr>
            <w:noProof/>
            <w:webHidden/>
          </w:rPr>
        </w:r>
        <w:r w:rsidR="00B54F4E">
          <w:rPr>
            <w:noProof/>
            <w:webHidden/>
          </w:rPr>
          <w:fldChar w:fldCharType="separate"/>
        </w:r>
        <w:r w:rsidR="00B54F4E">
          <w:rPr>
            <w:noProof/>
            <w:webHidden/>
          </w:rPr>
          <w:t>22</w:t>
        </w:r>
        <w:r w:rsidR="00B54F4E">
          <w:rPr>
            <w:noProof/>
            <w:webHidden/>
          </w:rPr>
          <w:fldChar w:fldCharType="end"/>
        </w:r>
      </w:hyperlink>
    </w:p>
    <w:p w14:paraId="054E9EAA"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49" w:history="1">
        <w:r w:rsidR="00B54F4E" w:rsidRPr="002C2747">
          <w:rPr>
            <w:rStyle w:val="Hyperlink"/>
            <w:rFonts w:eastAsiaTheme="majorEastAsia"/>
            <w:noProof/>
          </w:rPr>
          <w:t>Tabla 9 – VPN del beneficio por introducción de ER ante variaciones en las emisiones y valoración del CO</w:t>
        </w:r>
        <w:r w:rsidR="00B54F4E" w:rsidRPr="002C2747">
          <w:rPr>
            <w:rStyle w:val="Hyperlink"/>
            <w:rFonts w:eastAsiaTheme="majorEastAsia"/>
            <w:noProof/>
            <w:vertAlign w:val="subscript"/>
          </w:rPr>
          <w:t>2</w:t>
        </w:r>
        <w:r w:rsidR="00B54F4E" w:rsidRPr="002C2747">
          <w:rPr>
            <w:rStyle w:val="Hyperlink"/>
            <w:rFonts w:eastAsiaTheme="majorEastAsia"/>
            <w:noProof/>
          </w:rPr>
          <w:t xml:space="preserve"> (Millones $USD)</w:t>
        </w:r>
        <w:r w:rsidR="00B54F4E">
          <w:rPr>
            <w:noProof/>
            <w:webHidden/>
          </w:rPr>
          <w:tab/>
        </w:r>
        <w:r w:rsidR="00B54F4E">
          <w:rPr>
            <w:noProof/>
            <w:webHidden/>
          </w:rPr>
          <w:fldChar w:fldCharType="begin"/>
        </w:r>
        <w:r w:rsidR="00B54F4E">
          <w:rPr>
            <w:noProof/>
            <w:webHidden/>
          </w:rPr>
          <w:instrText xml:space="preserve"> PAGEREF _Toc484097049 \h </w:instrText>
        </w:r>
        <w:r w:rsidR="00B54F4E">
          <w:rPr>
            <w:noProof/>
            <w:webHidden/>
          </w:rPr>
        </w:r>
        <w:r w:rsidR="00B54F4E">
          <w:rPr>
            <w:noProof/>
            <w:webHidden/>
          </w:rPr>
          <w:fldChar w:fldCharType="separate"/>
        </w:r>
        <w:r w:rsidR="00B54F4E">
          <w:rPr>
            <w:noProof/>
            <w:webHidden/>
          </w:rPr>
          <w:t>22</w:t>
        </w:r>
        <w:r w:rsidR="00B54F4E">
          <w:rPr>
            <w:noProof/>
            <w:webHidden/>
          </w:rPr>
          <w:fldChar w:fldCharType="end"/>
        </w:r>
      </w:hyperlink>
    </w:p>
    <w:p w14:paraId="34299389"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0" w:history="1">
        <w:r w:rsidR="00B54F4E" w:rsidRPr="002C2747">
          <w:rPr>
            <w:rStyle w:val="Hyperlink"/>
            <w:rFonts w:eastAsiaTheme="majorEastAsia"/>
            <w:noProof/>
          </w:rPr>
          <w:t>Tabla 10 – Resumen del resultado de procesos de contratación de suministro exclusivo para centrales termoeléctricas 2015</w:t>
        </w:r>
        <w:r w:rsidR="00B54F4E">
          <w:rPr>
            <w:noProof/>
            <w:webHidden/>
          </w:rPr>
          <w:tab/>
        </w:r>
        <w:r w:rsidR="00B54F4E">
          <w:rPr>
            <w:noProof/>
            <w:webHidden/>
          </w:rPr>
          <w:fldChar w:fldCharType="begin"/>
        </w:r>
        <w:r w:rsidR="00B54F4E">
          <w:rPr>
            <w:noProof/>
            <w:webHidden/>
          </w:rPr>
          <w:instrText xml:space="preserve"> PAGEREF _Toc484097050 \h </w:instrText>
        </w:r>
        <w:r w:rsidR="00B54F4E">
          <w:rPr>
            <w:noProof/>
            <w:webHidden/>
          </w:rPr>
        </w:r>
        <w:r w:rsidR="00B54F4E">
          <w:rPr>
            <w:noProof/>
            <w:webHidden/>
          </w:rPr>
          <w:fldChar w:fldCharType="separate"/>
        </w:r>
        <w:r w:rsidR="00B54F4E">
          <w:rPr>
            <w:noProof/>
            <w:webHidden/>
          </w:rPr>
          <w:t>25</w:t>
        </w:r>
        <w:r w:rsidR="00B54F4E">
          <w:rPr>
            <w:noProof/>
            <w:webHidden/>
          </w:rPr>
          <w:fldChar w:fldCharType="end"/>
        </w:r>
      </w:hyperlink>
    </w:p>
    <w:p w14:paraId="3A0DB5F4"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1" w:history="1">
        <w:r w:rsidR="00B54F4E" w:rsidRPr="002C2747">
          <w:rPr>
            <w:rStyle w:val="Hyperlink"/>
            <w:rFonts w:eastAsiaTheme="majorEastAsia"/>
            <w:noProof/>
          </w:rPr>
          <w:t>Tabla 11 – Proyección del precio de la energía térmica según alternativa de generación</w:t>
        </w:r>
        <w:r w:rsidR="00B54F4E">
          <w:rPr>
            <w:noProof/>
            <w:webHidden/>
          </w:rPr>
          <w:tab/>
        </w:r>
        <w:r w:rsidR="00B54F4E">
          <w:rPr>
            <w:noProof/>
            <w:webHidden/>
          </w:rPr>
          <w:fldChar w:fldCharType="begin"/>
        </w:r>
        <w:r w:rsidR="00B54F4E">
          <w:rPr>
            <w:noProof/>
            <w:webHidden/>
          </w:rPr>
          <w:instrText xml:space="preserve"> PAGEREF _Toc484097051 \h </w:instrText>
        </w:r>
        <w:r w:rsidR="00B54F4E">
          <w:rPr>
            <w:noProof/>
            <w:webHidden/>
          </w:rPr>
        </w:r>
        <w:r w:rsidR="00B54F4E">
          <w:rPr>
            <w:noProof/>
            <w:webHidden/>
          </w:rPr>
          <w:fldChar w:fldCharType="separate"/>
        </w:r>
        <w:r w:rsidR="00B54F4E">
          <w:rPr>
            <w:noProof/>
            <w:webHidden/>
          </w:rPr>
          <w:t>26</w:t>
        </w:r>
        <w:r w:rsidR="00B54F4E">
          <w:rPr>
            <w:noProof/>
            <w:webHidden/>
          </w:rPr>
          <w:fldChar w:fldCharType="end"/>
        </w:r>
      </w:hyperlink>
    </w:p>
    <w:p w14:paraId="3B0A1A8C"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2" w:history="1">
        <w:r w:rsidR="00B54F4E" w:rsidRPr="002C2747">
          <w:rPr>
            <w:rStyle w:val="Hyperlink"/>
            <w:rFonts w:eastAsiaTheme="majorEastAsia"/>
            <w:noProof/>
          </w:rPr>
          <w:t>Tabla 12 – Proyección del precio de la energía térmica según alternativa de generación</w:t>
        </w:r>
        <w:r w:rsidR="00B54F4E">
          <w:rPr>
            <w:noProof/>
            <w:webHidden/>
          </w:rPr>
          <w:tab/>
        </w:r>
        <w:r w:rsidR="00B54F4E">
          <w:rPr>
            <w:noProof/>
            <w:webHidden/>
          </w:rPr>
          <w:fldChar w:fldCharType="begin"/>
        </w:r>
        <w:r w:rsidR="00B54F4E">
          <w:rPr>
            <w:noProof/>
            <w:webHidden/>
          </w:rPr>
          <w:instrText xml:space="preserve"> PAGEREF _Toc484097052 \h </w:instrText>
        </w:r>
        <w:r w:rsidR="00B54F4E">
          <w:rPr>
            <w:noProof/>
            <w:webHidden/>
          </w:rPr>
        </w:r>
        <w:r w:rsidR="00B54F4E">
          <w:rPr>
            <w:noProof/>
            <w:webHidden/>
          </w:rPr>
          <w:fldChar w:fldCharType="separate"/>
        </w:r>
        <w:r w:rsidR="00B54F4E">
          <w:rPr>
            <w:noProof/>
            <w:webHidden/>
          </w:rPr>
          <w:t>27</w:t>
        </w:r>
        <w:r w:rsidR="00B54F4E">
          <w:rPr>
            <w:noProof/>
            <w:webHidden/>
          </w:rPr>
          <w:fldChar w:fldCharType="end"/>
        </w:r>
      </w:hyperlink>
    </w:p>
    <w:p w14:paraId="0DA93C96"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3" w:history="1">
        <w:r w:rsidR="00B54F4E" w:rsidRPr="002C2747">
          <w:rPr>
            <w:rStyle w:val="Hyperlink"/>
            <w:rFonts w:eastAsiaTheme="majorEastAsia"/>
            <w:noProof/>
          </w:rPr>
          <w:t>Tabla 13 – Resumen de valoración beneficios asociados con el desarrollo del GN para generación eléctrica</w:t>
        </w:r>
        <w:r w:rsidR="00B54F4E">
          <w:rPr>
            <w:noProof/>
            <w:webHidden/>
          </w:rPr>
          <w:tab/>
        </w:r>
        <w:r w:rsidR="00B54F4E">
          <w:rPr>
            <w:noProof/>
            <w:webHidden/>
          </w:rPr>
          <w:fldChar w:fldCharType="begin"/>
        </w:r>
        <w:r w:rsidR="00B54F4E">
          <w:rPr>
            <w:noProof/>
            <w:webHidden/>
          </w:rPr>
          <w:instrText xml:space="preserve"> PAGEREF _Toc484097053 \h </w:instrText>
        </w:r>
        <w:r w:rsidR="00B54F4E">
          <w:rPr>
            <w:noProof/>
            <w:webHidden/>
          </w:rPr>
        </w:r>
        <w:r w:rsidR="00B54F4E">
          <w:rPr>
            <w:noProof/>
            <w:webHidden/>
          </w:rPr>
          <w:fldChar w:fldCharType="separate"/>
        </w:r>
        <w:r w:rsidR="00B54F4E">
          <w:rPr>
            <w:noProof/>
            <w:webHidden/>
          </w:rPr>
          <w:t>27</w:t>
        </w:r>
        <w:r w:rsidR="00B54F4E">
          <w:rPr>
            <w:noProof/>
            <w:webHidden/>
          </w:rPr>
          <w:fldChar w:fldCharType="end"/>
        </w:r>
      </w:hyperlink>
    </w:p>
    <w:p w14:paraId="30860429"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4" w:history="1">
        <w:r w:rsidR="00B54F4E" w:rsidRPr="002C2747">
          <w:rPr>
            <w:rStyle w:val="Hyperlink"/>
            <w:rFonts w:eastAsiaTheme="majorEastAsia"/>
            <w:noProof/>
          </w:rPr>
          <w:t>Tabla 14 – Distribución del consumo eléctrico por sectores 2014</w:t>
        </w:r>
        <w:r w:rsidR="00B54F4E">
          <w:rPr>
            <w:noProof/>
            <w:webHidden/>
          </w:rPr>
          <w:tab/>
        </w:r>
        <w:r w:rsidR="00B54F4E">
          <w:rPr>
            <w:noProof/>
            <w:webHidden/>
          </w:rPr>
          <w:fldChar w:fldCharType="begin"/>
        </w:r>
        <w:r w:rsidR="00B54F4E">
          <w:rPr>
            <w:noProof/>
            <w:webHidden/>
          </w:rPr>
          <w:instrText xml:space="preserve"> PAGEREF _Toc484097054 \h </w:instrText>
        </w:r>
        <w:r w:rsidR="00B54F4E">
          <w:rPr>
            <w:noProof/>
            <w:webHidden/>
          </w:rPr>
        </w:r>
        <w:r w:rsidR="00B54F4E">
          <w:rPr>
            <w:noProof/>
            <w:webHidden/>
          </w:rPr>
          <w:fldChar w:fldCharType="separate"/>
        </w:r>
        <w:r w:rsidR="00B54F4E">
          <w:rPr>
            <w:noProof/>
            <w:webHidden/>
          </w:rPr>
          <w:t>30</w:t>
        </w:r>
        <w:r w:rsidR="00B54F4E">
          <w:rPr>
            <w:noProof/>
            <w:webHidden/>
          </w:rPr>
          <w:fldChar w:fldCharType="end"/>
        </w:r>
      </w:hyperlink>
    </w:p>
    <w:p w14:paraId="205A5F2E"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5" w:history="1">
        <w:r w:rsidR="00B54F4E" w:rsidRPr="002C2747">
          <w:rPr>
            <w:rStyle w:val="Hyperlink"/>
            <w:rFonts w:eastAsiaTheme="majorEastAsia"/>
            <w:noProof/>
          </w:rPr>
          <w:t>Tabla 15 – Metas indicativas de ahorro de energía por sector según las proyecciones del PEN</w:t>
        </w:r>
        <w:r w:rsidR="00B54F4E">
          <w:rPr>
            <w:noProof/>
            <w:webHidden/>
          </w:rPr>
          <w:tab/>
        </w:r>
        <w:r w:rsidR="00B54F4E">
          <w:rPr>
            <w:noProof/>
            <w:webHidden/>
          </w:rPr>
          <w:fldChar w:fldCharType="begin"/>
        </w:r>
        <w:r w:rsidR="00B54F4E">
          <w:rPr>
            <w:noProof/>
            <w:webHidden/>
          </w:rPr>
          <w:instrText xml:space="preserve"> PAGEREF _Toc484097055 \h </w:instrText>
        </w:r>
        <w:r w:rsidR="00B54F4E">
          <w:rPr>
            <w:noProof/>
            <w:webHidden/>
          </w:rPr>
        </w:r>
        <w:r w:rsidR="00B54F4E">
          <w:rPr>
            <w:noProof/>
            <w:webHidden/>
          </w:rPr>
          <w:fldChar w:fldCharType="separate"/>
        </w:r>
        <w:r w:rsidR="00B54F4E">
          <w:rPr>
            <w:noProof/>
            <w:webHidden/>
          </w:rPr>
          <w:t>31</w:t>
        </w:r>
        <w:r w:rsidR="00B54F4E">
          <w:rPr>
            <w:noProof/>
            <w:webHidden/>
          </w:rPr>
          <w:fldChar w:fldCharType="end"/>
        </w:r>
      </w:hyperlink>
    </w:p>
    <w:p w14:paraId="460229B9"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6" w:history="1">
        <w:r w:rsidR="00B54F4E" w:rsidRPr="002C2747">
          <w:rPr>
            <w:rStyle w:val="Hyperlink"/>
            <w:rFonts w:eastAsiaTheme="majorEastAsia"/>
            <w:noProof/>
          </w:rPr>
          <w:t>Tabla 16 – Medidas de eficiencia energética seleccionadas para la evaluación económica</w:t>
        </w:r>
        <w:r w:rsidR="00B54F4E">
          <w:rPr>
            <w:noProof/>
            <w:webHidden/>
          </w:rPr>
          <w:tab/>
        </w:r>
        <w:r w:rsidR="00B54F4E">
          <w:rPr>
            <w:noProof/>
            <w:webHidden/>
          </w:rPr>
          <w:fldChar w:fldCharType="begin"/>
        </w:r>
        <w:r w:rsidR="00B54F4E">
          <w:rPr>
            <w:noProof/>
            <w:webHidden/>
          </w:rPr>
          <w:instrText xml:space="preserve"> PAGEREF _Toc484097056 \h </w:instrText>
        </w:r>
        <w:r w:rsidR="00B54F4E">
          <w:rPr>
            <w:noProof/>
            <w:webHidden/>
          </w:rPr>
        </w:r>
        <w:r w:rsidR="00B54F4E">
          <w:rPr>
            <w:noProof/>
            <w:webHidden/>
          </w:rPr>
          <w:fldChar w:fldCharType="separate"/>
        </w:r>
        <w:r w:rsidR="00B54F4E">
          <w:rPr>
            <w:noProof/>
            <w:webHidden/>
          </w:rPr>
          <w:t>32</w:t>
        </w:r>
        <w:r w:rsidR="00B54F4E">
          <w:rPr>
            <w:noProof/>
            <w:webHidden/>
          </w:rPr>
          <w:fldChar w:fldCharType="end"/>
        </w:r>
      </w:hyperlink>
    </w:p>
    <w:p w14:paraId="5C077905"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7" w:history="1">
        <w:r w:rsidR="00B54F4E" w:rsidRPr="002C2747">
          <w:rPr>
            <w:rStyle w:val="Hyperlink"/>
            <w:rFonts w:eastAsiaTheme="majorEastAsia"/>
            <w:noProof/>
          </w:rPr>
          <w:t>Tabla 17 – Potencial ahorro energético por la implementación de medidas de eficiencia energética (GWh)</w:t>
        </w:r>
        <w:r w:rsidR="00B54F4E">
          <w:rPr>
            <w:noProof/>
            <w:webHidden/>
          </w:rPr>
          <w:tab/>
        </w:r>
        <w:r w:rsidR="00B54F4E">
          <w:rPr>
            <w:noProof/>
            <w:webHidden/>
          </w:rPr>
          <w:fldChar w:fldCharType="begin"/>
        </w:r>
        <w:r w:rsidR="00B54F4E">
          <w:rPr>
            <w:noProof/>
            <w:webHidden/>
          </w:rPr>
          <w:instrText xml:space="preserve"> PAGEREF _Toc484097057 \h </w:instrText>
        </w:r>
        <w:r w:rsidR="00B54F4E">
          <w:rPr>
            <w:noProof/>
            <w:webHidden/>
          </w:rPr>
        </w:r>
        <w:r w:rsidR="00B54F4E">
          <w:rPr>
            <w:noProof/>
            <w:webHidden/>
          </w:rPr>
          <w:fldChar w:fldCharType="separate"/>
        </w:r>
        <w:r w:rsidR="00B54F4E">
          <w:rPr>
            <w:noProof/>
            <w:webHidden/>
          </w:rPr>
          <w:t>34</w:t>
        </w:r>
        <w:r w:rsidR="00B54F4E">
          <w:rPr>
            <w:noProof/>
            <w:webHidden/>
          </w:rPr>
          <w:fldChar w:fldCharType="end"/>
        </w:r>
      </w:hyperlink>
    </w:p>
    <w:p w14:paraId="25BA945A"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8" w:history="1">
        <w:r w:rsidR="00B54F4E" w:rsidRPr="002C2747">
          <w:rPr>
            <w:rStyle w:val="Hyperlink"/>
            <w:rFonts w:eastAsiaTheme="majorEastAsia"/>
            <w:noProof/>
          </w:rPr>
          <w:t>Tabla 18 – Potencial de emisiones de CO</w:t>
        </w:r>
        <w:r w:rsidR="00B54F4E" w:rsidRPr="002C2747">
          <w:rPr>
            <w:rStyle w:val="Hyperlink"/>
            <w:rFonts w:eastAsiaTheme="majorEastAsia"/>
            <w:noProof/>
            <w:vertAlign w:val="subscript"/>
          </w:rPr>
          <w:t>2</w:t>
        </w:r>
        <w:r w:rsidR="00B54F4E" w:rsidRPr="002C2747">
          <w:rPr>
            <w:rStyle w:val="Hyperlink"/>
            <w:rFonts w:eastAsiaTheme="majorEastAsia"/>
            <w:noProof/>
          </w:rPr>
          <w:t xml:space="preserve"> evitadas por implementación de medidas de eficiencia energética (TonCO</w:t>
        </w:r>
        <w:r w:rsidR="00B54F4E" w:rsidRPr="002C2747">
          <w:rPr>
            <w:rStyle w:val="Hyperlink"/>
            <w:rFonts w:eastAsiaTheme="majorEastAsia"/>
            <w:noProof/>
            <w:vertAlign w:val="subscript"/>
          </w:rPr>
          <w:t>2</w:t>
        </w:r>
        <w:r w:rsidR="00B54F4E" w:rsidRPr="002C2747">
          <w:rPr>
            <w:rStyle w:val="Hyperlink"/>
            <w:rFonts w:eastAsiaTheme="majorEastAsia"/>
            <w:noProof/>
          </w:rPr>
          <w:t>)</w:t>
        </w:r>
        <w:r w:rsidR="00B54F4E">
          <w:rPr>
            <w:noProof/>
            <w:webHidden/>
          </w:rPr>
          <w:tab/>
        </w:r>
        <w:r w:rsidR="00B54F4E">
          <w:rPr>
            <w:noProof/>
            <w:webHidden/>
          </w:rPr>
          <w:fldChar w:fldCharType="begin"/>
        </w:r>
        <w:r w:rsidR="00B54F4E">
          <w:rPr>
            <w:noProof/>
            <w:webHidden/>
          </w:rPr>
          <w:instrText xml:space="preserve"> PAGEREF _Toc484097058 \h </w:instrText>
        </w:r>
        <w:r w:rsidR="00B54F4E">
          <w:rPr>
            <w:noProof/>
            <w:webHidden/>
          </w:rPr>
        </w:r>
        <w:r w:rsidR="00B54F4E">
          <w:rPr>
            <w:noProof/>
            <w:webHidden/>
          </w:rPr>
          <w:fldChar w:fldCharType="separate"/>
        </w:r>
        <w:r w:rsidR="00B54F4E">
          <w:rPr>
            <w:noProof/>
            <w:webHidden/>
          </w:rPr>
          <w:t>35</w:t>
        </w:r>
        <w:r w:rsidR="00B54F4E">
          <w:rPr>
            <w:noProof/>
            <w:webHidden/>
          </w:rPr>
          <w:fldChar w:fldCharType="end"/>
        </w:r>
      </w:hyperlink>
    </w:p>
    <w:p w14:paraId="01DA0AE1"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59" w:history="1">
        <w:r w:rsidR="00B54F4E" w:rsidRPr="002C2747">
          <w:rPr>
            <w:rStyle w:val="Hyperlink"/>
            <w:rFonts w:eastAsiaTheme="majorEastAsia"/>
            <w:noProof/>
          </w:rPr>
          <w:t>Tabla 19 – Resumen de beneficios y costos por la implementación de medidas de eficiencia energética en el sector eléctrico ($USD Millones)</w:t>
        </w:r>
        <w:r w:rsidR="00B54F4E">
          <w:rPr>
            <w:noProof/>
            <w:webHidden/>
          </w:rPr>
          <w:tab/>
        </w:r>
        <w:r w:rsidR="00B54F4E">
          <w:rPr>
            <w:noProof/>
            <w:webHidden/>
          </w:rPr>
          <w:fldChar w:fldCharType="begin"/>
        </w:r>
        <w:r w:rsidR="00B54F4E">
          <w:rPr>
            <w:noProof/>
            <w:webHidden/>
          </w:rPr>
          <w:instrText xml:space="preserve"> PAGEREF _Toc484097059 \h </w:instrText>
        </w:r>
        <w:r w:rsidR="00B54F4E">
          <w:rPr>
            <w:noProof/>
            <w:webHidden/>
          </w:rPr>
        </w:r>
        <w:r w:rsidR="00B54F4E">
          <w:rPr>
            <w:noProof/>
            <w:webHidden/>
          </w:rPr>
          <w:fldChar w:fldCharType="separate"/>
        </w:r>
        <w:r w:rsidR="00B54F4E">
          <w:rPr>
            <w:noProof/>
            <w:webHidden/>
          </w:rPr>
          <w:t>35</w:t>
        </w:r>
        <w:r w:rsidR="00B54F4E">
          <w:rPr>
            <w:noProof/>
            <w:webHidden/>
          </w:rPr>
          <w:fldChar w:fldCharType="end"/>
        </w:r>
      </w:hyperlink>
    </w:p>
    <w:p w14:paraId="24E00679"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0" w:history="1">
        <w:r w:rsidR="00B54F4E" w:rsidRPr="002C2747">
          <w:rPr>
            <w:rStyle w:val="Hyperlink"/>
            <w:rFonts w:eastAsiaTheme="majorEastAsia"/>
            <w:noProof/>
          </w:rPr>
          <w:t>Tabla 20 – Sensibilidad del beneficio neto de las medidas de EE a reducción de la tarifa de electricidad</w:t>
        </w:r>
        <w:r w:rsidR="00B54F4E">
          <w:rPr>
            <w:noProof/>
            <w:webHidden/>
          </w:rPr>
          <w:tab/>
        </w:r>
        <w:r w:rsidR="00B54F4E">
          <w:rPr>
            <w:noProof/>
            <w:webHidden/>
          </w:rPr>
          <w:fldChar w:fldCharType="begin"/>
        </w:r>
        <w:r w:rsidR="00B54F4E">
          <w:rPr>
            <w:noProof/>
            <w:webHidden/>
          </w:rPr>
          <w:instrText xml:space="preserve"> PAGEREF _Toc484097060 \h </w:instrText>
        </w:r>
        <w:r w:rsidR="00B54F4E">
          <w:rPr>
            <w:noProof/>
            <w:webHidden/>
          </w:rPr>
        </w:r>
        <w:r w:rsidR="00B54F4E">
          <w:rPr>
            <w:noProof/>
            <w:webHidden/>
          </w:rPr>
          <w:fldChar w:fldCharType="separate"/>
        </w:r>
        <w:r w:rsidR="00B54F4E">
          <w:rPr>
            <w:noProof/>
            <w:webHidden/>
          </w:rPr>
          <w:t>36</w:t>
        </w:r>
        <w:r w:rsidR="00B54F4E">
          <w:rPr>
            <w:noProof/>
            <w:webHidden/>
          </w:rPr>
          <w:fldChar w:fldCharType="end"/>
        </w:r>
      </w:hyperlink>
    </w:p>
    <w:p w14:paraId="4165144B"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1" w:history="1">
        <w:r w:rsidR="00B54F4E" w:rsidRPr="002C2747">
          <w:rPr>
            <w:rStyle w:val="Hyperlink"/>
            <w:rFonts w:eastAsiaTheme="majorEastAsia"/>
            <w:noProof/>
          </w:rPr>
          <w:t>Tabla 21 – Sensibilidad a los principales parámetros de la medida de cambio de bombillos en el sector residencial</w:t>
        </w:r>
        <w:r w:rsidR="00B54F4E">
          <w:rPr>
            <w:noProof/>
            <w:webHidden/>
          </w:rPr>
          <w:tab/>
        </w:r>
        <w:r w:rsidR="00B54F4E">
          <w:rPr>
            <w:noProof/>
            <w:webHidden/>
          </w:rPr>
          <w:fldChar w:fldCharType="begin"/>
        </w:r>
        <w:r w:rsidR="00B54F4E">
          <w:rPr>
            <w:noProof/>
            <w:webHidden/>
          </w:rPr>
          <w:instrText xml:space="preserve"> PAGEREF _Toc484097061 \h </w:instrText>
        </w:r>
        <w:r w:rsidR="00B54F4E">
          <w:rPr>
            <w:noProof/>
            <w:webHidden/>
          </w:rPr>
        </w:r>
        <w:r w:rsidR="00B54F4E">
          <w:rPr>
            <w:noProof/>
            <w:webHidden/>
          </w:rPr>
          <w:fldChar w:fldCharType="separate"/>
        </w:r>
        <w:r w:rsidR="00B54F4E">
          <w:rPr>
            <w:noProof/>
            <w:webHidden/>
          </w:rPr>
          <w:t>37</w:t>
        </w:r>
        <w:r w:rsidR="00B54F4E">
          <w:rPr>
            <w:noProof/>
            <w:webHidden/>
          </w:rPr>
          <w:fldChar w:fldCharType="end"/>
        </w:r>
      </w:hyperlink>
    </w:p>
    <w:p w14:paraId="5DC864E6"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2" w:history="1">
        <w:r w:rsidR="00B54F4E" w:rsidRPr="002C2747">
          <w:rPr>
            <w:rStyle w:val="Hyperlink"/>
            <w:rFonts w:eastAsiaTheme="majorEastAsia"/>
            <w:noProof/>
          </w:rPr>
          <w:t>Tabla 22 – Sensibilidad a los principales parámetros de la medida de cambio de neveras en el sector residencial</w:t>
        </w:r>
        <w:r w:rsidR="00B54F4E">
          <w:rPr>
            <w:noProof/>
            <w:webHidden/>
          </w:rPr>
          <w:tab/>
        </w:r>
        <w:r w:rsidR="00B54F4E">
          <w:rPr>
            <w:noProof/>
            <w:webHidden/>
          </w:rPr>
          <w:fldChar w:fldCharType="begin"/>
        </w:r>
        <w:r w:rsidR="00B54F4E">
          <w:rPr>
            <w:noProof/>
            <w:webHidden/>
          </w:rPr>
          <w:instrText xml:space="preserve"> PAGEREF _Toc484097062 \h </w:instrText>
        </w:r>
        <w:r w:rsidR="00B54F4E">
          <w:rPr>
            <w:noProof/>
            <w:webHidden/>
          </w:rPr>
        </w:r>
        <w:r w:rsidR="00B54F4E">
          <w:rPr>
            <w:noProof/>
            <w:webHidden/>
          </w:rPr>
          <w:fldChar w:fldCharType="separate"/>
        </w:r>
        <w:r w:rsidR="00B54F4E">
          <w:rPr>
            <w:noProof/>
            <w:webHidden/>
          </w:rPr>
          <w:t>37</w:t>
        </w:r>
        <w:r w:rsidR="00B54F4E">
          <w:rPr>
            <w:noProof/>
            <w:webHidden/>
          </w:rPr>
          <w:fldChar w:fldCharType="end"/>
        </w:r>
      </w:hyperlink>
    </w:p>
    <w:p w14:paraId="6BD3BBB8"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3" w:history="1">
        <w:r w:rsidR="00B54F4E" w:rsidRPr="002C2747">
          <w:rPr>
            <w:rStyle w:val="Hyperlink"/>
            <w:rFonts w:eastAsiaTheme="majorEastAsia"/>
            <w:noProof/>
          </w:rPr>
          <w:t>Tabla 23 – Sensibilidad a los principales parámetros de la medida de cambio de bombillos en el sector comercial</w:t>
        </w:r>
        <w:r w:rsidR="00B54F4E">
          <w:rPr>
            <w:noProof/>
            <w:webHidden/>
          </w:rPr>
          <w:tab/>
        </w:r>
        <w:r w:rsidR="00B54F4E">
          <w:rPr>
            <w:noProof/>
            <w:webHidden/>
          </w:rPr>
          <w:fldChar w:fldCharType="begin"/>
        </w:r>
        <w:r w:rsidR="00B54F4E">
          <w:rPr>
            <w:noProof/>
            <w:webHidden/>
          </w:rPr>
          <w:instrText xml:space="preserve"> PAGEREF _Toc484097063 \h </w:instrText>
        </w:r>
        <w:r w:rsidR="00B54F4E">
          <w:rPr>
            <w:noProof/>
            <w:webHidden/>
          </w:rPr>
        </w:r>
        <w:r w:rsidR="00B54F4E">
          <w:rPr>
            <w:noProof/>
            <w:webHidden/>
          </w:rPr>
          <w:fldChar w:fldCharType="separate"/>
        </w:r>
        <w:r w:rsidR="00B54F4E">
          <w:rPr>
            <w:noProof/>
            <w:webHidden/>
          </w:rPr>
          <w:t>37</w:t>
        </w:r>
        <w:r w:rsidR="00B54F4E">
          <w:rPr>
            <w:noProof/>
            <w:webHidden/>
          </w:rPr>
          <w:fldChar w:fldCharType="end"/>
        </w:r>
      </w:hyperlink>
    </w:p>
    <w:p w14:paraId="34D57ED3"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4" w:history="1">
        <w:r w:rsidR="00B54F4E" w:rsidRPr="002C2747">
          <w:rPr>
            <w:rStyle w:val="Hyperlink"/>
            <w:rFonts w:eastAsiaTheme="majorEastAsia"/>
            <w:noProof/>
          </w:rPr>
          <w:t>Tabla 24 – Sensibilidad a los principales parámetros de la medida de cambio de bombillos en el sector público</w:t>
        </w:r>
        <w:r w:rsidR="00B54F4E">
          <w:rPr>
            <w:noProof/>
            <w:webHidden/>
          </w:rPr>
          <w:tab/>
        </w:r>
        <w:r w:rsidR="00B54F4E">
          <w:rPr>
            <w:noProof/>
            <w:webHidden/>
          </w:rPr>
          <w:fldChar w:fldCharType="begin"/>
        </w:r>
        <w:r w:rsidR="00B54F4E">
          <w:rPr>
            <w:noProof/>
            <w:webHidden/>
          </w:rPr>
          <w:instrText xml:space="preserve"> PAGEREF _Toc484097064 \h </w:instrText>
        </w:r>
        <w:r w:rsidR="00B54F4E">
          <w:rPr>
            <w:noProof/>
            <w:webHidden/>
          </w:rPr>
        </w:r>
        <w:r w:rsidR="00B54F4E">
          <w:rPr>
            <w:noProof/>
            <w:webHidden/>
          </w:rPr>
          <w:fldChar w:fldCharType="separate"/>
        </w:r>
        <w:r w:rsidR="00B54F4E">
          <w:rPr>
            <w:noProof/>
            <w:webHidden/>
          </w:rPr>
          <w:t>38</w:t>
        </w:r>
        <w:r w:rsidR="00B54F4E">
          <w:rPr>
            <w:noProof/>
            <w:webHidden/>
          </w:rPr>
          <w:fldChar w:fldCharType="end"/>
        </w:r>
      </w:hyperlink>
    </w:p>
    <w:p w14:paraId="7D6F3D97"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5" w:history="1">
        <w:r w:rsidR="00B54F4E" w:rsidRPr="002C2747">
          <w:rPr>
            <w:rStyle w:val="Hyperlink"/>
            <w:rFonts w:eastAsiaTheme="majorEastAsia"/>
            <w:noProof/>
          </w:rPr>
          <w:t>Tabla 25 – Beneficios económicos derivados de la operación coordinada del sistema eléctrico centroamericano (USD$ 1996)</w:t>
        </w:r>
        <w:r w:rsidR="00B54F4E">
          <w:rPr>
            <w:noProof/>
            <w:webHidden/>
          </w:rPr>
          <w:tab/>
        </w:r>
        <w:r w:rsidR="00B54F4E">
          <w:rPr>
            <w:noProof/>
            <w:webHidden/>
          </w:rPr>
          <w:fldChar w:fldCharType="begin"/>
        </w:r>
        <w:r w:rsidR="00B54F4E">
          <w:rPr>
            <w:noProof/>
            <w:webHidden/>
          </w:rPr>
          <w:instrText xml:space="preserve"> PAGEREF _Toc484097065 \h </w:instrText>
        </w:r>
        <w:r w:rsidR="00B54F4E">
          <w:rPr>
            <w:noProof/>
            <w:webHidden/>
          </w:rPr>
        </w:r>
        <w:r w:rsidR="00B54F4E">
          <w:rPr>
            <w:noProof/>
            <w:webHidden/>
          </w:rPr>
          <w:fldChar w:fldCharType="separate"/>
        </w:r>
        <w:r w:rsidR="00B54F4E">
          <w:rPr>
            <w:noProof/>
            <w:webHidden/>
          </w:rPr>
          <w:t>38</w:t>
        </w:r>
        <w:r w:rsidR="00B54F4E">
          <w:rPr>
            <w:noProof/>
            <w:webHidden/>
          </w:rPr>
          <w:fldChar w:fldCharType="end"/>
        </w:r>
      </w:hyperlink>
    </w:p>
    <w:p w14:paraId="2F9ABB00"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6" w:history="1">
        <w:r w:rsidR="00B54F4E" w:rsidRPr="002C2747">
          <w:rPr>
            <w:rStyle w:val="Hyperlink"/>
            <w:rFonts w:eastAsiaTheme="majorEastAsia"/>
            <w:noProof/>
          </w:rPr>
          <w:t>Tabla 26 – Flujo consolidado del componente de desarrollo de una matriz energética social y ambientalmente sostenible</w:t>
        </w:r>
        <w:r w:rsidR="00B54F4E">
          <w:rPr>
            <w:noProof/>
            <w:webHidden/>
          </w:rPr>
          <w:tab/>
        </w:r>
        <w:r w:rsidR="00B54F4E">
          <w:rPr>
            <w:noProof/>
            <w:webHidden/>
          </w:rPr>
          <w:fldChar w:fldCharType="begin"/>
        </w:r>
        <w:r w:rsidR="00B54F4E">
          <w:rPr>
            <w:noProof/>
            <w:webHidden/>
          </w:rPr>
          <w:instrText xml:space="preserve"> PAGEREF _Toc484097066 \h </w:instrText>
        </w:r>
        <w:r w:rsidR="00B54F4E">
          <w:rPr>
            <w:noProof/>
            <w:webHidden/>
          </w:rPr>
        </w:r>
        <w:r w:rsidR="00B54F4E">
          <w:rPr>
            <w:noProof/>
            <w:webHidden/>
          </w:rPr>
          <w:fldChar w:fldCharType="separate"/>
        </w:r>
        <w:r w:rsidR="00B54F4E">
          <w:rPr>
            <w:noProof/>
            <w:webHidden/>
          </w:rPr>
          <w:t>40</w:t>
        </w:r>
        <w:r w:rsidR="00B54F4E">
          <w:rPr>
            <w:noProof/>
            <w:webHidden/>
          </w:rPr>
          <w:fldChar w:fldCharType="end"/>
        </w:r>
      </w:hyperlink>
    </w:p>
    <w:p w14:paraId="5E04AD44"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7" w:history="1">
        <w:r w:rsidR="00B54F4E" w:rsidRPr="002C2747">
          <w:rPr>
            <w:rStyle w:val="Hyperlink"/>
            <w:rFonts w:eastAsiaTheme="majorEastAsia"/>
            <w:noProof/>
          </w:rPr>
          <w:t>Tabla 27 – Resumen de beneficios netos asociados con el desarrollo de una matriz energética sostenible</w:t>
        </w:r>
        <w:r w:rsidR="00B54F4E">
          <w:rPr>
            <w:noProof/>
            <w:webHidden/>
          </w:rPr>
          <w:tab/>
        </w:r>
        <w:r w:rsidR="00B54F4E">
          <w:rPr>
            <w:noProof/>
            <w:webHidden/>
          </w:rPr>
          <w:fldChar w:fldCharType="begin"/>
        </w:r>
        <w:r w:rsidR="00B54F4E">
          <w:rPr>
            <w:noProof/>
            <w:webHidden/>
          </w:rPr>
          <w:instrText xml:space="preserve"> PAGEREF _Toc484097067 \h </w:instrText>
        </w:r>
        <w:r w:rsidR="00B54F4E">
          <w:rPr>
            <w:noProof/>
            <w:webHidden/>
          </w:rPr>
        </w:r>
        <w:r w:rsidR="00B54F4E">
          <w:rPr>
            <w:noProof/>
            <w:webHidden/>
          </w:rPr>
          <w:fldChar w:fldCharType="separate"/>
        </w:r>
        <w:r w:rsidR="00B54F4E">
          <w:rPr>
            <w:noProof/>
            <w:webHidden/>
          </w:rPr>
          <w:t>41</w:t>
        </w:r>
        <w:r w:rsidR="00B54F4E">
          <w:rPr>
            <w:noProof/>
            <w:webHidden/>
          </w:rPr>
          <w:fldChar w:fldCharType="end"/>
        </w:r>
      </w:hyperlink>
    </w:p>
    <w:p w14:paraId="7477E15E"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8" w:history="1">
        <w:r w:rsidR="00B54F4E" w:rsidRPr="002C2747">
          <w:rPr>
            <w:rStyle w:val="Hyperlink"/>
            <w:rFonts w:eastAsiaTheme="majorEastAsia"/>
            <w:noProof/>
          </w:rPr>
          <w:t>Tabla 28 – Aportes del FET para el primer semestre de 2015 - USD</w:t>
        </w:r>
        <w:r w:rsidR="00B54F4E">
          <w:rPr>
            <w:noProof/>
            <w:webHidden/>
          </w:rPr>
          <w:tab/>
        </w:r>
        <w:r w:rsidR="00B54F4E">
          <w:rPr>
            <w:noProof/>
            <w:webHidden/>
          </w:rPr>
          <w:fldChar w:fldCharType="begin"/>
        </w:r>
        <w:r w:rsidR="00B54F4E">
          <w:rPr>
            <w:noProof/>
            <w:webHidden/>
          </w:rPr>
          <w:instrText xml:space="preserve"> PAGEREF _Toc484097068 \h </w:instrText>
        </w:r>
        <w:r w:rsidR="00B54F4E">
          <w:rPr>
            <w:noProof/>
            <w:webHidden/>
          </w:rPr>
        </w:r>
        <w:r w:rsidR="00B54F4E">
          <w:rPr>
            <w:noProof/>
            <w:webHidden/>
          </w:rPr>
          <w:fldChar w:fldCharType="separate"/>
        </w:r>
        <w:r w:rsidR="00B54F4E">
          <w:rPr>
            <w:noProof/>
            <w:webHidden/>
          </w:rPr>
          <w:t>46</w:t>
        </w:r>
        <w:r w:rsidR="00B54F4E">
          <w:rPr>
            <w:noProof/>
            <w:webHidden/>
          </w:rPr>
          <w:fldChar w:fldCharType="end"/>
        </w:r>
      </w:hyperlink>
    </w:p>
    <w:p w14:paraId="360DC0EB"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69" w:history="1">
        <w:r w:rsidR="00B54F4E" w:rsidRPr="002C2747">
          <w:rPr>
            <w:rStyle w:val="Hyperlink"/>
            <w:rFonts w:eastAsiaTheme="majorEastAsia"/>
            <w:noProof/>
          </w:rPr>
          <w:t>Tabla 29 – Parámetros generales</w:t>
        </w:r>
        <w:r w:rsidR="00B54F4E">
          <w:rPr>
            <w:noProof/>
            <w:webHidden/>
          </w:rPr>
          <w:tab/>
        </w:r>
        <w:r w:rsidR="00B54F4E">
          <w:rPr>
            <w:noProof/>
            <w:webHidden/>
          </w:rPr>
          <w:fldChar w:fldCharType="begin"/>
        </w:r>
        <w:r w:rsidR="00B54F4E">
          <w:rPr>
            <w:noProof/>
            <w:webHidden/>
          </w:rPr>
          <w:instrText xml:space="preserve"> PAGEREF _Toc484097069 \h </w:instrText>
        </w:r>
        <w:r w:rsidR="00B54F4E">
          <w:rPr>
            <w:noProof/>
            <w:webHidden/>
          </w:rPr>
        </w:r>
        <w:r w:rsidR="00B54F4E">
          <w:rPr>
            <w:noProof/>
            <w:webHidden/>
          </w:rPr>
          <w:fldChar w:fldCharType="separate"/>
        </w:r>
        <w:r w:rsidR="00B54F4E">
          <w:rPr>
            <w:noProof/>
            <w:webHidden/>
          </w:rPr>
          <w:t>52</w:t>
        </w:r>
        <w:r w:rsidR="00B54F4E">
          <w:rPr>
            <w:noProof/>
            <w:webHidden/>
          </w:rPr>
          <w:fldChar w:fldCharType="end"/>
        </w:r>
      </w:hyperlink>
    </w:p>
    <w:p w14:paraId="48AED542"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0" w:history="1">
        <w:r w:rsidR="00B54F4E" w:rsidRPr="002C2747">
          <w:rPr>
            <w:rStyle w:val="Hyperlink"/>
            <w:rFonts w:eastAsiaTheme="majorEastAsia"/>
            <w:noProof/>
          </w:rPr>
          <w:t>Tabla 30 – Proyección de beneficios y costos para la medida de sustitución de bombillos (Sector Residencial)</w:t>
        </w:r>
        <w:r w:rsidR="00B54F4E">
          <w:rPr>
            <w:noProof/>
            <w:webHidden/>
          </w:rPr>
          <w:tab/>
        </w:r>
        <w:r w:rsidR="00B54F4E">
          <w:rPr>
            <w:noProof/>
            <w:webHidden/>
          </w:rPr>
          <w:fldChar w:fldCharType="begin"/>
        </w:r>
        <w:r w:rsidR="00B54F4E">
          <w:rPr>
            <w:noProof/>
            <w:webHidden/>
          </w:rPr>
          <w:instrText xml:space="preserve"> PAGEREF _Toc484097070 \h </w:instrText>
        </w:r>
        <w:r w:rsidR="00B54F4E">
          <w:rPr>
            <w:noProof/>
            <w:webHidden/>
          </w:rPr>
        </w:r>
        <w:r w:rsidR="00B54F4E">
          <w:rPr>
            <w:noProof/>
            <w:webHidden/>
          </w:rPr>
          <w:fldChar w:fldCharType="separate"/>
        </w:r>
        <w:r w:rsidR="00B54F4E">
          <w:rPr>
            <w:noProof/>
            <w:webHidden/>
          </w:rPr>
          <w:t>53</w:t>
        </w:r>
        <w:r w:rsidR="00B54F4E">
          <w:rPr>
            <w:noProof/>
            <w:webHidden/>
          </w:rPr>
          <w:fldChar w:fldCharType="end"/>
        </w:r>
      </w:hyperlink>
    </w:p>
    <w:p w14:paraId="76380F4D"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1" w:history="1">
        <w:r w:rsidR="00B54F4E" w:rsidRPr="002C2747">
          <w:rPr>
            <w:rStyle w:val="Hyperlink"/>
            <w:rFonts w:eastAsiaTheme="majorEastAsia"/>
            <w:noProof/>
          </w:rPr>
          <w:t>Tabla 31 – Proyección de beneficios y costos para la medida de sustitución de neveras (Sector Residencial)</w:t>
        </w:r>
        <w:r w:rsidR="00B54F4E">
          <w:rPr>
            <w:noProof/>
            <w:webHidden/>
          </w:rPr>
          <w:tab/>
        </w:r>
        <w:r w:rsidR="00B54F4E">
          <w:rPr>
            <w:noProof/>
            <w:webHidden/>
          </w:rPr>
          <w:fldChar w:fldCharType="begin"/>
        </w:r>
        <w:r w:rsidR="00B54F4E">
          <w:rPr>
            <w:noProof/>
            <w:webHidden/>
          </w:rPr>
          <w:instrText xml:space="preserve"> PAGEREF _Toc484097071 \h </w:instrText>
        </w:r>
        <w:r w:rsidR="00B54F4E">
          <w:rPr>
            <w:noProof/>
            <w:webHidden/>
          </w:rPr>
        </w:r>
        <w:r w:rsidR="00B54F4E">
          <w:rPr>
            <w:noProof/>
            <w:webHidden/>
          </w:rPr>
          <w:fldChar w:fldCharType="separate"/>
        </w:r>
        <w:r w:rsidR="00B54F4E">
          <w:rPr>
            <w:noProof/>
            <w:webHidden/>
          </w:rPr>
          <w:t>54</w:t>
        </w:r>
        <w:r w:rsidR="00B54F4E">
          <w:rPr>
            <w:noProof/>
            <w:webHidden/>
          </w:rPr>
          <w:fldChar w:fldCharType="end"/>
        </w:r>
      </w:hyperlink>
    </w:p>
    <w:p w14:paraId="5FB0045E"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2" w:history="1">
        <w:r w:rsidR="00B54F4E" w:rsidRPr="002C2747">
          <w:rPr>
            <w:rStyle w:val="Hyperlink"/>
            <w:rFonts w:eastAsiaTheme="majorEastAsia"/>
            <w:noProof/>
          </w:rPr>
          <w:t>Tabla 32 – Proyección de beneficios y costos para la medida de sustitución de bombillos (Sector comercial)</w:t>
        </w:r>
        <w:r w:rsidR="00B54F4E">
          <w:rPr>
            <w:noProof/>
            <w:webHidden/>
          </w:rPr>
          <w:tab/>
        </w:r>
        <w:r w:rsidR="00B54F4E">
          <w:rPr>
            <w:noProof/>
            <w:webHidden/>
          </w:rPr>
          <w:fldChar w:fldCharType="begin"/>
        </w:r>
        <w:r w:rsidR="00B54F4E">
          <w:rPr>
            <w:noProof/>
            <w:webHidden/>
          </w:rPr>
          <w:instrText xml:space="preserve"> PAGEREF _Toc484097072 \h </w:instrText>
        </w:r>
        <w:r w:rsidR="00B54F4E">
          <w:rPr>
            <w:noProof/>
            <w:webHidden/>
          </w:rPr>
        </w:r>
        <w:r w:rsidR="00B54F4E">
          <w:rPr>
            <w:noProof/>
            <w:webHidden/>
          </w:rPr>
          <w:fldChar w:fldCharType="separate"/>
        </w:r>
        <w:r w:rsidR="00B54F4E">
          <w:rPr>
            <w:noProof/>
            <w:webHidden/>
          </w:rPr>
          <w:t>55</w:t>
        </w:r>
        <w:r w:rsidR="00B54F4E">
          <w:rPr>
            <w:noProof/>
            <w:webHidden/>
          </w:rPr>
          <w:fldChar w:fldCharType="end"/>
        </w:r>
      </w:hyperlink>
    </w:p>
    <w:p w14:paraId="7EA46CAD"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3" w:history="1">
        <w:r w:rsidR="00B54F4E" w:rsidRPr="002C2747">
          <w:rPr>
            <w:rStyle w:val="Hyperlink"/>
            <w:rFonts w:eastAsiaTheme="majorEastAsia"/>
            <w:noProof/>
          </w:rPr>
          <w:t>Tabla 33 – Proyección de beneficios y costos para las medidas arquitectónicas en edificaciones nuevas (Sector comercial)</w:t>
        </w:r>
        <w:r w:rsidR="00B54F4E">
          <w:rPr>
            <w:noProof/>
            <w:webHidden/>
          </w:rPr>
          <w:tab/>
        </w:r>
        <w:r w:rsidR="00B54F4E">
          <w:rPr>
            <w:noProof/>
            <w:webHidden/>
          </w:rPr>
          <w:fldChar w:fldCharType="begin"/>
        </w:r>
        <w:r w:rsidR="00B54F4E">
          <w:rPr>
            <w:noProof/>
            <w:webHidden/>
          </w:rPr>
          <w:instrText xml:space="preserve"> PAGEREF _Toc484097073 \h </w:instrText>
        </w:r>
        <w:r w:rsidR="00B54F4E">
          <w:rPr>
            <w:noProof/>
            <w:webHidden/>
          </w:rPr>
        </w:r>
        <w:r w:rsidR="00B54F4E">
          <w:rPr>
            <w:noProof/>
            <w:webHidden/>
          </w:rPr>
          <w:fldChar w:fldCharType="separate"/>
        </w:r>
        <w:r w:rsidR="00B54F4E">
          <w:rPr>
            <w:noProof/>
            <w:webHidden/>
          </w:rPr>
          <w:t>56</w:t>
        </w:r>
        <w:r w:rsidR="00B54F4E">
          <w:rPr>
            <w:noProof/>
            <w:webHidden/>
          </w:rPr>
          <w:fldChar w:fldCharType="end"/>
        </w:r>
      </w:hyperlink>
    </w:p>
    <w:p w14:paraId="04EA2396"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4" w:history="1">
        <w:r w:rsidR="00B54F4E" w:rsidRPr="002C2747">
          <w:rPr>
            <w:rStyle w:val="Hyperlink"/>
            <w:rFonts w:eastAsiaTheme="majorEastAsia"/>
            <w:noProof/>
          </w:rPr>
          <w:t>Tabla 34 – Proyección de beneficios y costos para la medida de sustitución de bombillos (Sector Público)</w:t>
        </w:r>
        <w:r w:rsidR="00B54F4E">
          <w:rPr>
            <w:noProof/>
            <w:webHidden/>
          </w:rPr>
          <w:tab/>
        </w:r>
        <w:r w:rsidR="00B54F4E">
          <w:rPr>
            <w:noProof/>
            <w:webHidden/>
          </w:rPr>
          <w:fldChar w:fldCharType="begin"/>
        </w:r>
        <w:r w:rsidR="00B54F4E">
          <w:rPr>
            <w:noProof/>
            <w:webHidden/>
          </w:rPr>
          <w:instrText xml:space="preserve"> PAGEREF _Toc484097074 \h </w:instrText>
        </w:r>
        <w:r w:rsidR="00B54F4E">
          <w:rPr>
            <w:noProof/>
            <w:webHidden/>
          </w:rPr>
        </w:r>
        <w:r w:rsidR="00B54F4E">
          <w:rPr>
            <w:noProof/>
            <w:webHidden/>
          </w:rPr>
          <w:fldChar w:fldCharType="separate"/>
        </w:r>
        <w:r w:rsidR="00B54F4E">
          <w:rPr>
            <w:noProof/>
            <w:webHidden/>
          </w:rPr>
          <w:t>57</w:t>
        </w:r>
        <w:r w:rsidR="00B54F4E">
          <w:rPr>
            <w:noProof/>
            <w:webHidden/>
          </w:rPr>
          <w:fldChar w:fldCharType="end"/>
        </w:r>
      </w:hyperlink>
    </w:p>
    <w:p w14:paraId="2563D2FD"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5" w:history="1">
        <w:r w:rsidR="00B54F4E" w:rsidRPr="002C2747">
          <w:rPr>
            <w:rStyle w:val="Hyperlink"/>
            <w:rFonts w:eastAsiaTheme="majorEastAsia"/>
            <w:noProof/>
          </w:rPr>
          <w:t>Tabla 35 – Proyección de beneficios y costos para las medidas arquitectónicas en edificaciones nuevas (Sector Público)</w:t>
        </w:r>
        <w:r w:rsidR="00B54F4E">
          <w:rPr>
            <w:noProof/>
            <w:webHidden/>
          </w:rPr>
          <w:tab/>
        </w:r>
        <w:r w:rsidR="00B54F4E">
          <w:rPr>
            <w:noProof/>
            <w:webHidden/>
          </w:rPr>
          <w:fldChar w:fldCharType="begin"/>
        </w:r>
        <w:r w:rsidR="00B54F4E">
          <w:rPr>
            <w:noProof/>
            <w:webHidden/>
          </w:rPr>
          <w:instrText xml:space="preserve"> PAGEREF _Toc484097075 \h </w:instrText>
        </w:r>
        <w:r w:rsidR="00B54F4E">
          <w:rPr>
            <w:noProof/>
            <w:webHidden/>
          </w:rPr>
        </w:r>
        <w:r w:rsidR="00B54F4E">
          <w:rPr>
            <w:noProof/>
            <w:webHidden/>
          </w:rPr>
          <w:fldChar w:fldCharType="separate"/>
        </w:r>
        <w:r w:rsidR="00B54F4E">
          <w:rPr>
            <w:noProof/>
            <w:webHidden/>
          </w:rPr>
          <w:t>58</w:t>
        </w:r>
        <w:r w:rsidR="00B54F4E">
          <w:rPr>
            <w:noProof/>
            <w:webHidden/>
          </w:rPr>
          <w:fldChar w:fldCharType="end"/>
        </w:r>
      </w:hyperlink>
    </w:p>
    <w:p w14:paraId="01A1EECF" w14:textId="77777777" w:rsidR="00B54F4E" w:rsidRDefault="00B54F4E" w:rsidP="00B54F4E">
      <w:pPr>
        <w:rPr>
          <w:lang w:val="es-ES" w:eastAsia="es-CO"/>
        </w:rPr>
      </w:pPr>
      <w:r>
        <w:rPr>
          <w:lang w:val="es-ES" w:eastAsia="es-CO"/>
        </w:rPr>
        <w:fldChar w:fldCharType="end"/>
      </w:r>
    </w:p>
    <w:p w14:paraId="3C5325D5" w14:textId="77777777" w:rsidR="00B54F4E" w:rsidRDefault="00B54F4E" w:rsidP="00B54F4E">
      <w:pPr>
        <w:spacing w:before="0" w:after="160" w:line="259" w:lineRule="auto"/>
        <w:jc w:val="left"/>
        <w:rPr>
          <w:lang w:val="es-ES" w:eastAsia="es-CO"/>
        </w:rPr>
      </w:pPr>
      <w:r>
        <w:rPr>
          <w:lang w:val="es-ES" w:eastAsia="es-CO"/>
        </w:rPr>
        <w:br w:type="page"/>
      </w:r>
    </w:p>
    <w:p w14:paraId="5CDF43C8" w14:textId="77777777" w:rsidR="00B54F4E" w:rsidRPr="00CA1430" w:rsidRDefault="00B54F4E" w:rsidP="00B54F4E">
      <w:pPr>
        <w:rPr>
          <w:rFonts w:eastAsiaTheme="majorEastAsia" w:cstheme="majorBidi"/>
          <w:color w:val="2F5496" w:themeColor="accent1" w:themeShade="BF"/>
          <w:sz w:val="32"/>
          <w:szCs w:val="32"/>
          <w:lang w:val="es-ES" w:eastAsia="es-CO"/>
        </w:rPr>
      </w:pPr>
      <w:r w:rsidRPr="00CA1430">
        <w:rPr>
          <w:rFonts w:eastAsiaTheme="majorEastAsia" w:cstheme="majorBidi"/>
          <w:color w:val="2F5496" w:themeColor="accent1" w:themeShade="BF"/>
          <w:sz w:val="32"/>
          <w:szCs w:val="32"/>
          <w:lang w:val="es-ES" w:eastAsia="es-CO"/>
        </w:rPr>
        <w:lastRenderedPageBreak/>
        <w:t>Índice de Gráficas</w:t>
      </w:r>
    </w:p>
    <w:p w14:paraId="7C382811" w14:textId="77777777" w:rsidR="00B54F4E" w:rsidRDefault="00B54F4E" w:rsidP="00B54F4E">
      <w:pPr>
        <w:pStyle w:val="TableofFigures"/>
        <w:tabs>
          <w:tab w:val="right" w:leader="dot" w:pos="8828"/>
        </w:tabs>
        <w:rPr>
          <w:rFonts w:asciiTheme="minorHAnsi" w:eastAsiaTheme="minorEastAsia" w:hAnsiTheme="minorHAnsi" w:cstheme="minorBidi"/>
          <w:noProof/>
          <w:szCs w:val="22"/>
          <w:lang w:eastAsia="es-CO"/>
        </w:rPr>
      </w:pPr>
      <w:r>
        <w:fldChar w:fldCharType="begin"/>
      </w:r>
      <w:r>
        <w:instrText xml:space="preserve"> TOC \h \z \c "Ilustración" </w:instrText>
      </w:r>
      <w:r>
        <w:fldChar w:fldCharType="separate"/>
      </w:r>
      <w:hyperlink w:anchor="_Toc484097076" w:history="1">
        <w:r w:rsidRPr="007812C0">
          <w:rPr>
            <w:rStyle w:val="Hyperlink"/>
            <w:rFonts w:eastAsiaTheme="majorEastAsia"/>
            <w:noProof/>
          </w:rPr>
          <w:t>Ilustración 1 – Potencial composición de la matriz de generación con</w:t>
        </w:r>
        <w:r>
          <w:rPr>
            <w:noProof/>
            <w:webHidden/>
          </w:rPr>
          <w:tab/>
        </w:r>
        <w:r>
          <w:rPr>
            <w:noProof/>
            <w:webHidden/>
          </w:rPr>
          <w:fldChar w:fldCharType="begin"/>
        </w:r>
        <w:r>
          <w:rPr>
            <w:noProof/>
            <w:webHidden/>
          </w:rPr>
          <w:instrText xml:space="preserve"> PAGEREF _Toc484097076 \h </w:instrText>
        </w:r>
        <w:r>
          <w:rPr>
            <w:noProof/>
            <w:webHidden/>
          </w:rPr>
        </w:r>
        <w:r>
          <w:rPr>
            <w:noProof/>
            <w:webHidden/>
          </w:rPr>
          <w:fldChar w:fldCharType="separate"/>
        </w:r>
        <w:r>
          <w:rPr>
            <w:noProof/>
            <w:webHidden/>
          </w:rPr>
          <w:t>16</w:t>
        </w:r>
        <w:r>
          <w:rPr>
            <w:noProof/>
            <w:webHidden/>
          </w:rPr>
          <w:fldChar w:fldCharType="end"/>
        </w:r>
      </w:hyperlink>
    </w:p>
    <w:p w14:paraId="11662145"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7" w:history="1">
        <w:r w:rsidR="00B54F4E" w:rsidRPr="007812C0">
          <w:rPr>
            <w:rStyle w:val="Hyperlink"/>
            <w:rFonts w:eastAsiaTheme="majorEastAsia"/>
            <w:noProof/>
          </w:rPr>
          <w:t>Ilustración 2 – Proyección de generación térmica para los escenarios de referencia y renovable</w:t>
        </w:r>
        <w:r w:rsidR="00B54F4E">
          <w:rPr>
            <w:noProof/>
            <w:webHidden/>
          </w:rPr>
          <w:tab/>
        </w:r>
        <w:r w:rsidR="00B54F4E">
          <w:rPr>
            <w:noProof/>
            <w:webHidden/>
          </w:rPr>
          <w:fldChar w:fldCharType="begin"/>
        </w:r>
        <w:r w:rsidR="00B54F4E">
          <w:rPr>
            <w:noProof/>
            <w:webHidden/>
          </w:rPr>
          <w:instrText xml:space="preserve"> PAGEREF _Toc484097077 \h </w:instrText>
        </w:r>
        <w:r w:rsidR="00B54F4E">
          <w:rPr>
            <w:noProof/>
            <w:webHidden/>
          </w:rPr>
        </w:r>
        <w:r w:rsidR="00B54F4E">
          <w:rPr>
            <w:noProof/>
            <w:webHidden/>
          </w:rPr>
          <w:fldChar w:fldCharType="separate"/>
        </w:r>
        <w:r w:rsidR="00B54F4E">
          <w:rPr>
            <w:noProof/>
            <w:webHidden/>
          </w:rPr>
          <w:t>17</w:t>
        </w:r>
        <w:r w:rsidR="00B54F4E">
          <w:rPr>
            <w:noProof/>
            <w:webHidden/>
          </w:rPr>
          <w:fldChar w:fldCharType="end"/>
        </w:r>
      </w:hyperlink>
    </w:p>
    <w:p w14:paraId="161708BE"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8" w:history="1">
        <w:r w:rsidR="00B54F4E" w:rsidRPr="007812C0">
          <w:rPr>
            <w:rStyle w:val="Hyperlink"/>
            <w:rFonts w:eastAsiaTheme="majorEastAsia"/>
            <w:noProof/>
          </w:rPr>
          <w:t>Ilustración 3 – Proyección de generación total, térmica y renovable del escenario de referencia</w:t>
        </w:r>
        <w:r w:rsidR="00B54F4E">
          <w:rPr>
            <w:noProof/>
            <w:webHidden/>
          </w:rPr>
          <w:tab/>
        </w:r>
        <w:r w:rsidR="00B54F4E">
          <w:rPr>
            <w:noProof/>
            <w:webHidden/>
          </w:rPr>
          <w:fldChar w:fldCharType="begin"/>
        </w:r>
        <w:r w:rsidR="00B54F4E">
          <w:rPr>
            <w:noProof/>
            <w:webHidden/>
          </w:rPr>
          <w:instrText xml:space="preserve"> PAGEREF _Toc484097078 \h </w:instrText>
        </w:r>
        <w:r w:rsidR="00B54F4E">
          <w:rPr>
            <w:noProof/>
            <w:webHidden/>
          </w:rPr>
        </w:r>
        <w:r w:rsidR="00B54F4E">
          <w:rPr>
            <w:noProof/>
            <w:webHidden/>
          </w:rPr>
          <w:fldChar w:fldCharType="separate"/>
        </w:r>
        <w:r w:rsidR="00B54F4E">
          <w:rPr>
            <w:noProof/>
            <w:webHidden/>
          </w:rPr>
          <w:t>18</w:t>
        </w:r>
        <w:r w:rsidR="00B54F4E">
          <w:rPr>
            <w:noProof/>
            <w:webHidden/>
          </w:rPr>
          <w:fldChar w:fldCharType="end"/>
        </w:r>
      </w:hyperlink>
    </w:p>
    <w:p w14:paraId="0CB72F1A"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79" w:history="1">
        <w:r w:rsidR="00B54F4E" w:rsidRPr="007812C0">
          <w:rPr>
            <w:rStyle w:val="Hyperlink"/>
            <w:rFonts w:eastAsiaTheme="majorEastAsia"/>
            <w:noProof/>
          </w:rPr>
          <w:t>Ilustración 4 – Proyección de generación total, térmica y renovable del escenario renovable</w:t>
        </w:r>
        <w:r w:rsidR="00B54F4E">
          <w:rPr>
            <w:noProof/>
            <w:webHidden/>
          </w:rPr>
          <w:tab/>
        </w:r>
        <w:r w:rsidR="00B54F4E">
          <w:rPr>
            <w:noProof/>
            <w:webHidden/>
          </w:rPr>
          <w:fldChar w:fldCharType="begin"/>
        </w:r>
        <w:r w:rsidR="00B54F4E">
          <w:rPr>
            <w:noProof/>
            <w:webHidden/>
          </w:rPr>
          <w:instrText xml:space="preserve"> PAGEREF _Toc484097079 \h </w:instrText>
        </w:r>
        <w:r w:rsidR="00B54F4E">
          <w:rPr>
            <w:noProof/>
            <w:webHidden/>
          </w:rPr>
        </w:r>
        <w:r w:rsidR="00B54F4E">
          <w:rPr>
            <w:noProof/>
            <w:webHidden/>
          </w:rPr>
          <w:fldChar w:fldCharType="separate"/>
        </w:r>
        <w:r w:rsidR="00B54F4E">
          <w:rPr>
            <w:noProof/>
            <w:webHidden/>
          </w:rPr>
          <w:t>18</w:t>
        </w:r>
        <w:r w:rsidR="00B54F4E">
          <w:rPr>
            <w:noProof/>
            <w:webHidden/>
          </w:rPr>
          <w:fldChar w:fldCharType="end"/>
        </w:r>
      </w:hyperlink>
    </w:p>
    <w:p w14:paraId="6A96B642"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80" w:history="1">
        <w:r w:rsidR="00B54F4E" w:rsidRPr="007812C0">
          <w:rPr>
            <w:rStyle w:val="Hyperlink"/>
            <w:rFonts w:eastAsiaTheme="majorEastAsia"/>
            <w:noProof/>
          </w:rPr>
          <w:t>Ilustración 5 – Proyección de costos anuales de generación según escenario</w:t>
        </w:r>
        <w:r w:rsidR="00B54F4E">
          <w:rPr>
            <w:noProof/>
            <w:webHidden/>
          </w:rPr>
          <w:tab/>
        </w:r>
        <w:r w:rsidR="00B54F4E">
          <w:rPr>
            <w:noProof/>
            <w:webHidden/>
          </w:rPr>
          <w:fldChar w:fldCharType="begin"/>
        </w:r>
        <w:r w:rsidR="00B54F4E">
          <w:rPr>
            <w:noProof/>
            <w:webHidden/>
          </w:rPr>
          <w:instrText xml:space="preserve"> PAGEREF _Toc484097080 \h </w:instrText>
        </w:r>
        <w:r w:rsidR="00B54F4E">
          <w:rPr>
            <w:noProof/>
            <w:webHidden/>
          </w:rPr>
        </w:r>
        <w:r w:rsidR="00B54F4E">
          <w:rPr>
            <w:noProof/>
            <w:webHidden/>
          </w:rPr>
          <w:fldChar w:fldCharType="separate"/>
        </w:r>
        <w:r w:rsidR="00B54F4E">
          <w:rPr>
            <w:noProof/>
            <w:webHidden/>
          </w:rPr>
          <w:t>19</w:t>
        </w:r>
        <w:r w:rsidR="00B54F4E">
          <w:rPr>
            <w:noProof/>
            <w:webHidden/>
          </w:rPr>
          <w:fldChar w:fldCharType="end"/>
        </w:r>
      </w:hyperlink>
    </w:p>
    <w:p w14:paraId="32DAFC8F"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81" w:history="1">
        <w:r w:rsidR="00B54F4E" w:rsidRPr="007812C0">
          <w:rPr>
            <w:rStyle w:val="Hyperlink"/>
            <w:rFonts w:eastAsiaTheme="majorEastAsia"/>
            <w:noProof/>
          </w:rPr>
          <w:t>Ilustración 6 – Proyección de emisiones anuales de CO</w:t>
        </w:r>
        <w:r w:rsidR="00B54F4E" w:rsidRPr="007812C0">
          <w:rPr>
            <w:rStyle w:val="Hyperlink"/>
            <w:rFonts w:eastAsiaTheme="majorEastAsia"/>
            <w:noProof/>
            <w:vertAlign w:val="subscript"/>
          </w:rPr>
          <w:t>2</w:t>
        </w:r>
        <w:r w:rsidR="00B54F4E" w:rsidRPr="007812C0">
          <w:rPr>
            <w:rStyle w:val="Hyperlink"/>
            <w:rFonts w:eastAsiaTheme="majorEastAsia"/>
            <w:noProof/>
          </w:rPr>
          <w:t xml:space="preserve"> según escenario</w:t>
        </w:r>
        <w:r w:rsidR="00B54F4E">
          <w:rPr>
            <w:noProof/>
            <w:webHidden/>
          </w:rPr>
          <w:tab/>
        </w:r>
        <w:r w:rsidR="00B54F4E">
          <w:rPr>
            <w:noProof/>
            <w:webHidden/>
          </w:rPr>
          <w:fldChar w:fldCharType="begin"/>
        </w:r>
        <w:r w:rsidR="00B54F4E">
          <w:rPr>
            <w:noProof/>
            <w:webHidden/>
          </w:rPr>
          <w:instrText xml:space="preserve"> PAGEREF _Toc484097081 \h </w:instrText>
        </w:r>
        <w:r w:rsidR="00B54F4E">
          <w:rPr>
            <w:noProof/>
            <w:webHidden/>
          </w:rPr>
        </w:r>
        <w:r w:rsidR="00B54F4E">
          <w:rPr>
            <w:noProof/>
            <w:webHidden/>
          </w:rPr>
          <w:fldChar w:fldCharType="separate"/>
        </w:r>
        <w:r w:rsidR="00B54F4E">
          <w:rPr>
            <w:noProof/>
            <w:webHidden/>
          </w:rPr>
          <w:t>20</w:t>
        </w:r>
        <w:r w:rsidR="00B54F4E">
          <w:rPr>
            <w:noProof/>
            <w:webHidden/>
          </w:rPr>
          <w:fldChar w:fldCharType="end"/>
        </w:r>
      </w:hyperlink>
    </w:p>
    <w:p w14:paraId="1617DA16"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82" w:history="1">
        <w:r w:rsidR="00B54F4E" w:rsidRPr="007812C0">
          <w:rPr>
            <w:rStyle w:val="Hyperlink"/>
            <w:rFonts w:eastAsiaTheme="majorEastAsia"/>
            <w:noProof/>
          </w:rPr>
          <w:t>Ilustración 7 – Ejemplo del valor ofertado por la solución de generación con GN frente a la mejor alternativa de generación No Gas</w:t>
        </w:r>
        <w:r w:rsidR="00B54F4E">
          <w:rPr>
            <w:noProof/>
            <w:webHidden/>
          </w:rPr>
          <w:tab/>
        </w:r>
        <w:r w:rsidR="00B54F4E">
          <w:rPr>
            <w:noProof/>
            <w:webHidden/>
          </w:rPr>
          <w:fldChar w:fldCharType="begin"/>
        </w:r>
        <w:r w:rsidR="00B54F4E">
          <w:rPr>
            <w:noProof/>
            <w:webHidden/>
          </w:rPr>
          <w:instrText xml:space="preserve"> PAGEREF _Toc484097082 \h </w:instrText>
        </w:r>
        <w:r w:rsidR="00B54F4E">
          <w:rPr>
            <w:noProof/>
            <w:webHidden/>
          </w:rPr>
        </w:r>
        <w:r w:rsidR="00B54F4E">
          <w:rPr>
            <w:noProof/>
            <w:webHidden/>
          </w:rPr>
          <w:fldChar w:fldCharType="separate"/>
        </w:r>
        <w:r w:rsidR="00B54F4E">
          <w:rPr>
            <w:noProof/>
            <w:webHidden/>
          </w:rPr>
          <w:t>25</w:t>
        </w:r>
        <w:r w:rsidR="00B54F4E">
          <w:rPr>
            <w:noProof/>
            <w:webHidden/>
          </w:rPr>
          <w:fldChar w:fldCharType="end"/>
        </w:r>
      </w:hyperlink>
    </w:p>
    <w:p w14:paraId="2C163331"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83" w:history="1">
        <w:r w:rsidR="00B54F4E" w:rsidRPr="007812C0">
          <w:rPr>
            <w:rStyle w:val="Hyperlink"/>
            <w:rFonts w:eastAsiaTheme="majorEastAsia"/>
            <w:noProof/>
          </w:rPr>
          <w:t>Ilustración 8 – Proyección del consumo final eléctrico total para los escenarios del PEN</w:t>
        </w:r>
        <w:r w:rsidR="00B54F4E">
          <w:rPr>
            <w:noProof/>
            <w:webHidden/>
          </w:rPr>
          <w:tab/>
        </w:r>
        <w:r w:rsidR="00B54F4E">
          <w:rPr>
            <w:noProof/>
            <w:webHidden/>
          </w:rPr>
          <w:fldChar w:fldCharType="begin"/>
        </w:r>
        <w:r w:rsidR="00B54F4E">
          <w:rPr>
            <w:noProof/>
            <w:webHidden/>
          </w:rPr>
          <w:instrText xml:space="preserve"> PAGEREF _Toc484097083 \h </w:instrText>
        </w:r>
        <w:r w:rsidR="00B54F4E">
          <w:rPr>
            <w:noProof/>
            <w:webHidden/>
          </w:rPr>
        </w:r>
        <w:r w:rsidR="00B54F4E">
          <w:rPr>
            <w:noProof/>
            <w:webHidden/>
          </w:rPr>
          <w:fldChar w:fldCharType="separate"/>
        </w:r>
        <w:r w:rsidR="00B54F4E">
          <w:rPr>
            <w:noProof/>
            <w:webHidden/>
          </w:rPr>
          <w:t>31</w:t>
        </w:r>
        <w:r w:rsidR="00B54F4E">
          <w:rPr>
            <w:noProof/>
            <w:webHidden/>
          </w:rPr>
          <w:fldChar w:fldCharType="end"/>
        </w:r>
      </w:hyperlink>
    </w:p>
    <w:p w14:paraId="6AB6B74A" w14:textId="77777777" w:rsidR="00B54F4E" w:rsidRDefault="00487C7A" w:rsidP="00B54F4E">
      <w:pPr>
        <w:pStyle w:val="TableofFigures"/>
        <w:tabs>
          <w:tab w:val="right" w:leader="dot" w:pos="8828"/>
        </w:tabs>
        <w:rPr>
          <w:rFonts w:asciiTheme="minorHAnsi" w:eastAsiaTheme="minorEastAsia" w:hAnsiTheme="minorHAnsi" w:cstheme="minorBidi"/>
          <w:noProof/>
          <w:szCs w:val="22"/>
          <w:lang w:eastAsia="es-CO"/>
        </w:rPr>
      </w:pPr>
      <w:hyperlink w:anchor="_Toc484097084" w:history="1">
        <w:r w:rsidR="00B54F4E" w:rsidRPr="007812C0">
          <w:rPr>
            <w:rStyle w:val="Hyperlink"/>
            <w:rFonts w:eastAsiaTheme="majorEastAsia"/>
            <w:noProof/>
          </w:rPr>
          <w:t>Ilustración 9 - Aportes del Estado al FET, FACE y FTO 2004 – 2016 USD Mill</w:t>
        </w:r>
        <w:r w:rsidR="00B54F4E">
          <w:rPr>
            <w:noProof/>
            <w:webHidden/>
          </w:rPr>
          <w:tab/>
        </w:r>
        <w:r w:rsidR="00B54F4E">
          <w:rPr>
            <w:noProof/>
            <w:webHidden/>
          </w:rPr>
          <w:fldChar w:fldCharType="begin"/>
        </w:r>
        <w:r w:rsidR="00B54F4E">
          <w:rPr>
            <w:noProof/>
            <w:webHidden/>
          </w:rPr>
          <w:instrText xml:space="preserve"> PAGEREF _Toc484097084 \h </w:instrText>
        </w:r>
        <w:r w:rsidR="00B54F4E">
          <w:rPr>
            <w:noProof/>
            <w:webHidden/>
          </w:rPr>
        </w:r>
        <w:r w:rsidR="00B54F4E">
          <w:rPr>
            <w:noProof/>
            <w:webHidden/>
          </w:rPr>
          <w:fldChar w:fldCharType="separate"/>
        </w:r>
        <w:r w:rsidR="00B54F4E">
          <w:rPr>
            <w:noProof/>
            <w:webHidden/>
          </w:rPr>
          <w:t>45</w:t>
        </w:r>
        <w:r w:rsidR="00B54F4E">
          <w:rPr>
            <w:noProof/>
            <w:webHidden/>
          </w:rPr>
          <w:fldChar w:fldCharType="end"/>
        </w:r>
      </w:hyperlink>
    </w:p>
    <w:p w14:paraId="7EA27F93" w14:textId="77777777" w:rsidR="00B54F4E" w:rsidRDefault="00B54F4E" w:rsidP="00B54F4E">
      <w:r>
        <w:fldChar w:fldCharType="end"/>
      </w:r>
    </w:p>
    <w:p w14:paraId="3B05279C" w14:textId="77777777" w:rsidR="00B54F4E" w:rsidRDefault="00B54F4E" w:rsidP="00B54F4E">
      <w:pPr>
        <w:spacing w:before="0" w:after="160" w:line="259" w:lineRule="auto"/>
        <w:jc w:val="left"/>
      </w:pPr>
      <w:r>
        <w:br w:type="page"/>
      </w:r>
    </w:p>
    <w:p w14:paraId="4FCD533A" w14:textId="77777777" w:rsidR="00B54F4E" w:rsidRPr="00E22E52" w:rsidRDefault="00B54F4E" w:rsidP="00B54F4E">
      <w:r w:rsidRPr="00874EE5">
        <w:rPr>
          <w:b/>
          <w:sz w:val="28"/>
          <w:szCs w:val="28"/>
        </w:rPr>
        <w:lastRenderedPageBreak/>
        <w:t xml:space="preserve">Evaluación Económica del </w:t>
      </w:r>
      <w:r w:rsidRPr="00237B0F">
        <w:rPr>
          <w:b/>
          <w:sz w:val="28"/>
          <w:szCs w:val="28"/>
        </w:rPr>
        <w:t>Programa Apoyo al Desarrollo Sostenible del Sector de Energético de Panamá</w:t>
      </w:r>
    </w:p>
    <w:p w14:paraId="12FEC3D2" w14:textId="77777777" w:rsidR="00B54F4E" w:rsidRDefault="00B54F4E" w:rsidP="00B54F4E">
      <w:pPr>
        <w:pStyle w:val="Heading1"/>
      </w:pPr>
      <w:bookmarkStart w:id="1" w:name="_Toc484097014"/>
      <w:r>
        <w:t>Introducción – Antecedentes y objetivos</w:t>
      </w:r>
      <w:bookmarkEnd w:id="1"/>
    </w:p>
    <w:p w14:paraId="52AB0A68" w14:textId="77777777" w:rsidR="00B54F4E" w:rsidRDefault="00B54F4E" w:rsidP="00B54F4E">
      <w:pPr>
        <w:tabs>
          <w:tab w:val="num" w:pos="540"/>
        </w:tabs>
        <w:rPr>
          <w:lang w:val="es-ES"/>
        </w:rPr>
      </w:pPr>
      <w:r w:rsidRPr="00453810">
        <w:rPr>
          <w:rFonts w:cs="Arial"/>
          <w:bCs/>
          <w:szCs w:val="22"/>
          <w:lang w:val="es-ES"/>
        </w:rPr>
        <w:t xml:space="preserve">El objetivo específico de la consultoría </w:t>
      </w:r>
      <w:r>
        <w:rPr>
          <w:rFonts w:cs="Arial"/>
          <w:bCs/>
          <w:szCs w:val="22"/>
          <w:lang w:val="es-ES"/>
        </w:rPr>
        <w:t>es preparar una</w:t>
      </w:r>
      <w:r w:rsidRPr="008903BA">
        <w:rPr>
          <w:rFonts w:cs="Arial"/>
          <w:bCs/>
          <w:szCs w:val="22"/>
          <w:lang w:val="es-ES"/>
        </w:rPr>
        <w:t xml:space="preserve"> </w:t>
      </w:r>
      <w:r>
        <w:rPr>
          <w:rFonts w:cs="Arial"/>
          <w:bCs/>
          <w:szCs w:val="22"/>
          <w:lang w:val="es-ES"/>
        </w:rPr>
        <w:t xml:space="preserve">evaluación </w:t>
      </w:r>
      <w:r w:rsidRPr="008903BA">
        <w:rPr>
          <w:rFonts w:cs="Arial"/>
          <w:bCs/>
          <w:szCs w:val="22"/>
          <w:lang w:val="es-ES"/>
        </w:rPr>
        <w:t xml:space="preserve">económica del </w:t>
      </w:r>
      <w:r w:rsidRPr="00894AB6">
        <w:rPr>
          <w:rFonts w:cs="Arial"/>
          <w:b/>
          <w:bCs/>
          <w:szCs w:val="22"/>
          <w:lang w:val="es-ES"/>
        </w:rPr>
        <w:t xml:space="preserve">Programa </w:t>
      </w:r>
      <w:r>
        <w:rPr>
          <w:rFonts w:cs="Arial"/>
          <w:bCs/>
          <w:szCs w:val="22"/>
          <w:lang w:val="es-ES"/>
        </w:rPr>
        <w:t>(PN</w:t>
      </w:r>
      <w:r w:rsidRPr="008903BA">
        <w:rPr>
          <w:rFonts w:cs="Arial"/>
          <w:bCs/>
          <w:szCs w:val="22"/>
          <w:lang w:val="es-ES"/>
        </w:rPr>
        <w:t>-L</w:t>
      </w:r>
      <w:r>
        <w:rPr>
          <w:rFonts w:cs="Arial"/>
          <w:bCs/>
          <w:szCs w:val="22"/>
          <w:lang w:val="es-ES"/>
        </w:rPr>
        <w:t>1145</w:t>
      </w:r>
      <w:r w:rsidRPr="008903BA">
        <w:rPr>
          <w:rFonts w:cs="Arial"/>
          <w:bCs/>
          <w:szCs w:val="22"/>
          <w:lang w:val="es-ES"/>
        </w:rPr>
        <w:t>),</w:t>
      </w:r>
      <w:r>
        <w:rPr>
          <w:rFonts w:cs="Arial"/>
          <w:bCs/>
          <w:szCs w:val="22"/>
          <w:lang w:val="es-ES"/>
        </w:rPr>
        <w:t xml:space="preserve"> a ser elaborada</w:t>
      </w:r>
      <w:r w:rsidRPr="008903BA">
        <w:rPr>
          <w:rFonts w:cs="Arial"/>
          <w:bCs/>
          <w:szCs w:val="22"/>
          <w:lang w:val="es-ES"/>
        </w:rPr>
        <w:t xml:space="preserve"> acorde con los lineamientos del Banco para este tipo de operación.</w:t>
      </w:r>
      <w:r>
        <w:rPr>
          <w:rFonts w:cs="Arial"/>
          <w:bCs/>
          <w:szCs w:val="22"/>
          <w:lang w:val="es-ES"/>
        </w:rPr>
        <w:t xml:space="preserve"> </w:t>
      </w:r>
    </w:p>
    <w:p w14:paraId="06BB1DB0" w14:textId="77777777" w:rsidR="00B54F4E" w:rsidRDefault="00B54F4E" w:rsidP="00B54F4E">
      <w:pPr>
        <w:rPr>
          <w:lang w:val="es-ES"/>
        </w:rPr>
      </w:pPr>
      <w:r>
        <w:rPr>
          <w:lang w:val="es-ES"/>
        </w:rPr>
        <w:t>El presente</w:t>
      </w:r>
      <w:r w:rsidRPr="00453810">
        <w:rPr>
          <w:lang w:val="es-ES"/>
        </w:rPr>
        <w:t xml:space="preserve"> </w:t>
      </w:r>
      <w:r>
        <w:rPr>
          <w:b/>
          <w:lang w:val="es-ES"/>
        </w:rPr>
        <w:t>Informe Final</w:t>
      </w:r>
      <w:r>
        <w:rPr>
          <w:lang w:val="es-ES"/>
        </w:rPr>
        <w:t xml:space="preserve"> i</w:t>
      </w:r>
      <w:r w:rsidRPr="00127024">
        <w:rPr>
          <w:lang w:val="es-ES"/>
        </w:rPr>
        <w:t>ncorpo</w:t>
      </w:r>
      <w:r>
        <w:rPr>
          <w:lang w:val="es-ES"/>
        </w:rPr>
        <w:t>ra</w:t>
      </w:r>
      <w:r w:rsidRPr="00127024">
        <w:rPr>
          <w:lang w:val="es-ES"/>
        </w:rPr>
        <w:t xml:space="preserve"> la</w:t>
      </w:r>
      <w:r>
        <w:rPr>
          <w:lang w:val="es-ES"/>
        </w:rPr>
        <w:t xml:space="preserve"> evaluación económica del programa, siguiendo la metodología propuesta en el Primer Informe, cuyos elementos se recogen nuevamente en el presente informe para efectos de la contextualización y comprensión integral de la evaluación.</w:t>
      </w:r>
    </w:p>
    <w:p w14:paraId="536E9D9C" w14:textId="77777777" w:rsidR="00B54F4E" w:rsidRPr="00FA21D7" w:rsidRDefault="00B54F4E" w:rsidP="00B54F4E">
      <w:pPr>
        <w:rPr>
          <w:lang w:val="es-ES"/>
        </w:rPr>
      </w:pPr>
      <w:r>
        <w:rPr>
          <w:lang w:val="es-ES"/>
        </w:rPr>
        <w:t xml:space="preserve">El </w:t>
      </w:r>
      <w:r w:rsidRPr="00C20042">
        <w:rPr>
          <w:lang w:val="es-ES"/>
        </w:rPr>
        <w:t xml:space="preserve">Informe se divide </w:t>
      </w:r>
      <w:r w:rsidRPr="00EA5936">
        <w:rPr>
          <w:lang w:val="es-ES"/>
        </w:rPr>
        <w:t>en tres secciones, siendo la primera la presente introducción, y las secciones segunda y tercera, en su orden, contienen las evaluaciones económicas del Componente 2.1 (desarrollo de una</w:t>
      </w:r>
      <w:r w:rsidRPr="00C20042">
        <w:rPr>
          <w:lang w:val="es-ES"/>
        </w:rPr>
        <w:t xml:space="preserve"> matriz energética social y ambientalmente sostenible diferenciando entre los subcomponentes de energías renovables, gas natural y eficiencia energética)</w:t>
      </w:r>
      <w:r>
        <w:rPr>
          <w:lang w:val="es-ES"/>
        </w:rPr>
        <w:t xml:space="preserve"> y</w:t>
      </w:r>
      <w:r w:rsidRPr="00C20042">
        <w:rPr>
          <w:lang w:val="es-ES"/>
        </w:rPr>
        <w:t xml:space="preserve"> el Componente </w:t>
      </w:r>
      <w:r>
        <w:rPr>
          <w:lang w:val="es-ES"/>
        </w:rPr>
        <w:t>2.3</w:t>
      </w:r>
      <w:r w:rsidRPr="00C20042">
        <w:rPr>
          <w:lang w:val="es-ES"/>
        </w:rPr>
        <w:t xml:space="preserve"> (rac</w:t>
      </w:r>
      <w:r>
        <w:rPr>
          <w:lang w:val="es-ES"/>
        </w:rPr>
        <w:t>ionalización de los subsidios)</w:t>
      </w:r>
      <w:r w:rsidRPr="00C20042">
        <w:rPr>
          <w:lang w:val="es-ES"/>
        </w:rPr>
        <w:t xml:space="preserve">. Al final se incluyen algunos anexos con información utilizada para </w:t>
      </w:r>
      <w:r>
        <w:rPr>
          <w:lang w:val="es-ES"/>
        </w:rPr>
        <w:t xml:space="preserve">los </w:t>
      </w:r>
      <w:r w:rsidRPr="00C20042">
        <w:rPr>
          <w:lang w:val="es-ES"/>
        </w:rPr>
        <w:t>cálculos.</w:t>
      </w:r>
    </w:p>
    <w:p w14:paraId="55A15E1C" w14:textId="77777777" w:rsidR="00B54F4E" w:rsidRDefault="00B54F4E" w:rsidP="00B54F4E">
      <w:pPr>
        <w:pStyle w:val="Heading2"/>
      </w:pPr>
      <w:bookmarkStart w:id="2" w:name="_Toc484097015"/>
      <w:r>
        <w:t>Antecedentes y objetivo del Programa</w:t>
      </w:r>
      <w:bookmarkEnd w:id="2"/>
    </w:p>
    <w:p w14:paraId="2AA43C5A" w14:textId="77777777" w:rsidR="00B54F4E" w:rsidRDefault="00B54F4E" w:rsidP="00B54F4E">
      <w:r w:rsidRPr="005926FD">
        <w:rPr>
          <w:lang w:val="es-ES"/>
        </w:rPr>
        <w:t xml:space="preserve">Con el fin de contextualizar la metodología propuesta, se presenta a continuación, </w:t>
      </w:r>
      <w:r>
        <w:rPr>
          <w:lang w:val="es-ES"/>
        </w:rPr>
        <w:t xml:space="preserve">algunos </w:t>
      </w:r>
      <w:r w:rsidRPr="005926FD">
        <w:rPr>
          <w:lang w:val="es-ES"/>
        </w:rPr>
        <w:t xml:space="preserve">antecedentes, el alcance y objetivos del PBP para </w:t>
      </w:r>
      <w:r>
        <w:rPr>
          <w:lang w:val="es-ES"/>
        </w:rPr>
        <w:t>Panamá</w:t>
      </w:r>
      <w:r w:rsidRPr="005926FD">
        <w:rPr>
          <w:lang w:val="es-ES"/>
        </w:rPr>
        <w:t>.</w:t>
      </w:r>
    </w:p>
    <w:p w14:paraId="79AC1CE9" w14:textId="77777777" w:rsidR="00B54F4E" w:rsidRDefault="00B54F4E" w:rsidP="00B54F4E">
      <w:r>
        <w:t>El Gobierno de Panamá (GdP) se encuentra en un proceso de fortalecimiento del sector de energía, a través de inversiones y reformas de políticas que buscan promover la sostenibilidad del sector y diversificar la matriz energética del país. Este proceso se remonta a 2010 cuando el GdP, con el apoyo del Banco Interamericano de Desarrollo (BID), inició el Programa de Apoyo a la Consolidación del Sector Energético (PN-L1033).</w:t>
      </w:r>
    </w:p>
    <w:p w14:paraId="5ADE1D24" w14:textId="77777777" w:rsidR="00B54F4E" w:rsidRDefault="00B54F4E" w:rsidP="00B54F4E">
      <w:r>
        <w:t xml:space="preserve">Continuando con el proceso de fortalecimiento del sector, el GdP ha solicitado al BID seguir apoyando el proceso de reforma sectorial, mediante una nueva serie programática. El objetivo de la operación consiste en </w:t>
      </w:r>
      <w:bookmarkStart w:id="3" w:name="_Hlk481224012"/>
      <w:r>
        <w:t xml:space="preserve">apoyar el fortalecimiento del sector eléctrico a través de la implementación de medidas de política que: i) mejoren y consoliden la capacidad institucional, la gestión regulatoria, y la efectividad de las empresas del estado en el sector energético; </w:t>
      </w:r>
      <w:r w:rsidRPr="00C54C99">
        <w:t>(ii) desarrollar una matriz energética social y ambientalmente sostenible, mediante el fomento de las energías renovables, la introducción del gas natural, la eficiencia energética y la integración regional</w:t>
      </w:r>
      <w:r>
        <w:t xml:space="preserve"> y</w:t>
      </w:r>
      <w:r w:rsidRPr="00C54C99">
        <w:t xml:space="preserve"> (iii) racionalizar los subsidios en el sector energético. </w:t>
      </w:r>
      <w:bookmarkEnd w:id="3"/>
      <w:r w:rsidRPr="00C54C99">
        <w:t>Se propone responder a esta solicitud, mediante el Programa de Reformas del Sector Eléctrico y a la Introducción de Gas Natural (PN-L1145), bajo la modalidad de préstamo programático (PBP).</w:t>
      </w:r>
    </w:p>
    <w:p w14:paraId="1610C9B8" w14:textId="77777777" w:rsidR="00B54F4E" w:rsidRDefault="00B54F4E" w:rsidP="00B54F4E">
      <w:r>
        <w:t xml:space="preserve">Se ha identificado que el sector eléctrico panameño enfrenta problemas asociados con la planeación del sistema, dado el nivel de restricciones en transmisión y los retrasos en la </w:t>
      </w:r>
      <w:r>
        <w:lastRenderedPageBreak/>
        <w:t>ejecución de la expansión de la generación</w:t>
      </w:r>
      <w:r>
        <w:rPr>
          <w:rStyle w:val="FootnoteReference"/>
        </w:rPr>
        <w:footnoteReference w:id="1"/>
      </w:r>
      <w:r>
        <w:t xml:space="preserve">, lo cual junto un crecimiento sostenido de la demanda, que se sitúa en valores altos y periodos de condiciones hidrológicas críticas han generado elevados costos de operación (costo marginal cercano a 250 USD/MW), al depender de la generación de las plantas térmicas más costosas, y un deterioro de la calidad del servicio. Se considera que la medida más efectiva para estabilizar y eventualmente reducir el precio de generación es la diversificación de las fuentes de suministro y el fomento de la competencia en el Mercado Mayorista, que se logra con el desarrollo de generación renovable, el uso de combustibles más limpios como el gas natural, la integración eléctrica regional a través del Mercado Eléctrico Regional (MER), y el uso racional y eficiente de energía (URE). </w:t>
      </w:r>
    </w:p>
    <w:p w14:paraId="1D1750F1" w14:textId="77777777" w:rsidR="00B54F4E" w:rsidRDefault="00B54F4E" w:rsidP="00B54F4E">
      <w:r>
        <w:t>Si bien Panamá ha logrado incrementar la participación de energía renovable en su matriz energética (de 47,4% en 2010 a 66% en 2015), aún es altamente dependiente de los derivados del petróleo, los cuales se importan en su totalidad. Por el otro lado, la también alta dependencia de la generación hidroeléctrica introduce riesgos de desabastecimiento en condiciones de baja hidraulicidad, como por ejemplo durante eventos El Niño. La capacidad instalada del sistema en 2015 fue de 2.985 MW, con una participación del 57,7% hidráulica, 34,0% térmica, 6,7% eólica y 1,4% solar. Mientras que la generación hidroeléctrica está llegando a su máximo potencial de participación, la demanda de energía es creciente. Las razones son diversas, y entre ellas se encuentran aquellas asociadas a una mayor utilización de la capacidad productiva instalada, la expansión del Canal y sus actividades conexas, o el consumo de hogares propio de la transición demográfica.</w:t>
      </w:r>
    </w:p>
    <w:p w14:paraId="2288F0C3" w14:textId="77777777" w:rsidR="00B54F4E" w:rsidRDefault="00B54F4E" w:rsidP="00B54F4E">
      <w:r>
        <w:t xml:space="preserve">El GdP se ha trazado como estrategia de desarrollo la diversificación de su matriz energética, a fin de mejorar la calidad del servicio, reducir los costos y aumentar la productividad, la incorporación del gas natural (GN) a la matriz energética. Este combustible presenta ventajas importantes como la reducción significativa en los costos de la energía y menores emisiones de gases de efecto invernadero (frente a otras alternativas de generación térmica como los combustibles líquidos o el carbón).   </w:t>
      </w:r>
    </w:p>
    <w:p w14:paraId="7A89400E" w14:textId="77777777" w:rsidR="00B54F4E" w:rsidRDefault="00B54F4E" w:rsidP="00B54F4E">
      <w:r>
        <w:t>En materia de subsidios el GdP viene realizando ajustes al régimen de subsidios energéticos. En el caso del sector eléctrico, las autoridades han establecido limitar el beneficio a clientes residenciales con consumo menor a 300kWh/mes. Sin embargo, este límite aún permite otorgar subsidios a aproximadamente 75% del total de clientes. Este subsidio se financia por medio de transferencias fiscales directas al Fondo de Estabilización Tarifaria (FET). Esta reducción viene a profundizar los esfuerzos del GdP, el cual en julio de 2015 eliminó el Fondo de Compensación Energética (FACE), un esquema financiero que apoyaba la estabilización de las tarifas de electricidad y donde se subsidian todos los usuarios, incluyendo industriales y comerciales.</w:t>
      </w:r>
    </w:p>
    <w:p w14:paraId="7E6B4368" w14:textId="77777777" w:rsidR="00B54F4E" w:rsidRPr="008B27DB" w:rsidRDefault="00B54F4E" w:rsidP="00B54F4E">
      <w:pPr>
        <w:pStyle w:val="Heading2"/>
        <w:spacing w:before="280" w:after="240"/>
      </w:pPr>
      <w:bookmarkStart w:id="4" w:name="_Toc476136927"/>
      <w:bookmarkStart w:id="5" w:name="_Toc484097016"/>
      <w:r>
        <w:t>Objetivo del Análisis Económico</w:t>
      </w:r>
      <w:bookmarkEnd w:id="4"/>
      <w:bookmarkEnd w:id="5"/>
    </w:p>
    <w:p w14:paraId="7405E364" w14:textId="77777777" w:rsidR="00B54F4E" w:rsidRPr="00CC122E" w:rsidRDefault="00B54F4E" w:rsidP="00B54F4E">
      <w:pPr>
        <w:rPr>
          <w:rFonts w:cs="Arial"/>
          <w:bCs/>
          <w:szCs w:val="22"/>
          <w:lang w:val="es-ES"/>
        </w:rPr>
      </w:pPr>
      <w:r w:rsidRPr="004A01FB">
        <w:rPr>
          <w:rFonts w:cs="Arial"/>
          <w:bCs/>
          <w:szCs w:val="22"/>
          <w:lang w:val="es-ES"/>
        </w:rPr>
        <w:t>El objetivo principal de</w:t>
      </w:r>
      <w:r>
        <w:rPr>
          <w:rFonts w:cs="Arial"/>
          <w:bCs/>
          <w:szCs w:val="22"/>
          <w:lang w:val="es-ES"/>
        </w:rPr>
        <w:t xml:space="preserve"> elaborar el análisis económico, de acuerdo con las Guías del BID, es contribuir al diseño de proyectos que buscan efectivamente contribuir al desarrollo del país. Se señala en las Guías que, mientras que el resultado del análisis económico en términos de VPN o TIR son importantes, es el proceso de desarrollo del análisis y las ideas que aporta lo que puede ser más útil al diseño de un mejor proyecto, punto que será tenido </w:t>
      </w:r>
      <w:r>
        <w:rPr>
          <w:rFonts w:cs="Arial"/>
          <w:bCs/>
          <w:szCs w:val="22"/>
          <w:lang w:val="es-ES"/>
        </w:rPr>
        <w:lastRenderedPageBreak/>
        <w:t>en cuenta en el análisis.</w:t>
      </w:r>
      <w:r>
        <w:rPr>
          <w:rStyle w:val="FootnoteReference"/>
          <w:rFonts w:cs="Arial"/>
          <w:bCs/>
          <w:szCs w:val="22"/>
          <w:lang w:val="es-ES"/>
        </w:rPr>
        <w:footnoteReference w:id="2"/>
      </w:r>
      <w:r>
        <w:rPr>
          <w:rFonts w:cs="Arial"/>
          <w:bCs/>
          <w:szCs w:val="22"/>
          <w:lang w:val="es-ES"/>
        </w:rPr>
        <w:t xml:space="preserve"> En este sentido, el Consultor ha incluido en el documento algunas recomendaciones, ya sea para el PBP o para futuros apoyos del BID, relacionadas con campos </w:t>
      </w:r>
      <w:r w:rsidRPr="00CC122E">
        <w:rPr>
          <w:rFonts w:cs="Arial"/>
          <w:bCs/>
          <w:szCs w:val="22"/>
          <w:lang w:val="es-ES"/>
        </w:rPr>
        <w:t>de acción para coadyuvar en el logro de los objetivos de política.</w:t>
      </w:r>
    </w:p>
    <w:p w14:paraId="20F161D9" w14:textId="77777777" w:rsidR="00B54F4E" w:rsidRPr="001163F1" w:rsidRDefault="00B54F4E" w:rsidP="00B54F4E">
      <w:pPr>
        <w:spacing w:before="120" w:after="0"/>
        <w:rPr>
          <w:rFonts w:cs="Arial"/>
          <w:color w:val="000000" w:themeColor="text1"/>
          <w:szCs w:val="22"/>
        </w:rPr>
      </w:pPr>
      <w:r w:rsidRPr="00CC122E">
        <w:rPr>
          <w:color w:val="000000" w:themeColor="text1"/>
        </w:rPr>
        <w:t>Se debe tener en cuenta que</w:t>
      </w:r>
      <w:r w:rsidRPr="00CC122E">
        <w:rPr>
          <w:rFonts w:cs="Arial"/>
          <w:color w:val="000000" w:themeColor="text1"/>
          <w:szCs w:val="22"/>
        </w:rPr>
        <w:t xml:space="preserve"> la evaluación económica de instrumentos basados en políticas difiere de la evaluación de proyectos de inversión, puesto que habitualmente no hay un vínculo directo entre el destino de los recursos desembolsados y los resultados específicos del programa al cual se brinda apoyo. Sin embargo, la implementación de políticas juega un papel crítico al inducir reformas e introducir incentivos que facilitan la ejecución de programas y proyectos específicos, y por lo tanto tiene per se, un valor económico. En este sentido, no se intentó correlacionar el monto de la operación con los diferentes resultados esperados como resultado de las políticas. </w:t>
      </w:r>
    </w:p>
    <w:p w14:paraId="674398AC" w14:textId="77777777" w:rsidR="00B54F4E" w:rsidRDefault="00B54F4E" w:rsidP="00B54F4E">
      <w:pPr>
        <w:pStyle w:val="Heading2"/>
        <w:spacing w:before="280" w:after="240"/>
      </w:pPr>
      <w:bookmarkStart w:id="6" w:name="_Toc481232600"/>
      <w:bookmarkStart w:id="7" w:name="_Toc484097017"/>
      <w:r>
        <w:t>Breve referencia a las Guías BID para evaluación económica del PBP</w:t>
      </w:r>
      <w:bookmarkEnd w:id="6"/>
      <w:bookmarkEnd w:id="7"/>
    </w:p>
    <w:p w14:paraId="2744EC55" w14:textId="77777777" w:rsidR="00B54F4E" w:rsidRDefault="00B54F4E" w:rsidP="00B54F4E">
      <w:r>
        <w:t>Las Guías del Banco definen dos opciones para la evaluación económica, Análisis de Costo Beneficio (ACB) y Análisis Costo Efectividad (ACE), los cuales se soportan en el supuesto de que, tanto la intervención propuesta (situación con proyecto) y la no intervención (situación sin el Proyecto), contra la cual se evalúa la intervención,</w:t>
      </w:r>
      <w:r w:rsidRPr="00B52621">
        <w:t xml:space="preserve"> se encuentran bien definidas y especificadas.</w:t>
      </w:r>
    </w:p>
    <w:p w14:paraId="1A2B374C" w14:textId="77777777" w:rsidR="00B54F4E" w:rsidRDefault="00B54F4E" w:rsidP="00B54F4E">
      <w:r>
        <w:t>En el caso del ACB, los beneficios incrementales o beneficios sociales netos están asociados con la ganancia en el excedente social (excedente del consumidor más excedente del productor), expresados generalmente en términos monetarios de VPN. En este sentido, en el ACB se pueden comparar alternativas con diferentes efectos.</w:t>
      </w:r>
    </w:p>
    <w:p w14:paraId="06F51DDA" w14:textId="77777777" w:rsidR="00B54F4E" w:rsidRDefault="00B54F4E" w:rsidP="00B54F4E">
      <w:r>
        <w:t>En la opción de ACE, se comparan dos alternativas excluyentes en tér</w:t>
      </w:r>
      <w:r w:rsidRPr="00567BE0">
        <w:t>minos de efecto de su costo por resultado (por ejemplo, el costo de suministro de un kWh</w:t>
      </w:r>
      <w:r>
        <w:t xml:space="preserve"> en el caso de las zonas no interconectadas a la red de distribución</w:t>
      </w:r>
      <w:r w:rsidRPr="00567BE0">
        <w:t>).</w:t>
      </w:r>
    </w:p>
    <w:p w14:paraId="0486F35D" w14:textId="77777777" w:rsidR="00B54F4E" w:rsidRDefault="00B54F4E" w:rsidP="00B54F4E">
      <w:r>
        <w:t>En general, en el ACB se tiende a construir un mayor número de supuestos que en el ACE en la medida que en la primera opción se deben asignar valores monetarios a todos los efectos, lo cual conlleva la adopción de supuestos en cada caso (por ejemplo, los precios de la energía eléctrica en el mercado).</w:t>
      </w:r>
    </w:p>
    <w:p w14:paraId="4832EEFB" w14:textId="77777777" w:rsidR="00B54F4E" w:rsidRDefault="00B54F4E" w:rsidP="00B54F4E">
      <w:r>
        <w:t xml:space="preserve">Las guías específicas para el ACB hacen referencia a aspectos clave a ser considerados con relación a los supuestos y la metodología (alternativas al Proyecto, aplicación de la teoría del cambio, moneda, precios y tasa de descuento, estimación de beneficios como excedente del consumidor, período de análisis); sobre la forma de estimación de los beneficios económicos en términos monetarios acorde con el objetivo y la naturaleza del </w:t>
      </w:r>
      <w:r>
        <w:lastRenderedPageBreak/>
        <w:t>Proyecto. También se dan diferentes lineamientos para el análisis de sensibilidad y la extracción de conclusiones y recomendaciones relevantes para el Proyecto</w:t>
      </w:r>
    </w:p>
    <w:p w14:paraId="6506F5DD" w14:textId="77777777" w:rsidR="00B54F4E" w:rsidRDefault="00B54F4E" w:rsidP="00B54F4E">
      <w:r>
        <w:t xml:space="preserve">En forma semejante, las Guías detallan </w:t>
      </w:r>
      <w:r w:rsidRPr="00A978F7">
        <w:t>lineamientos para el ACE.</w:t>
      </w:r>
    </w:p>
    <w:p w14:paraId="57130197" w14:textId="77777777" w:rsidR="00B54F4E" w:rsidRDefault="00B54F4E" w:rsidP="00B54F4E">
      <w:r>
        <w:t>Las metodologías que se desarrollan en el presente documento han tomado en cuenta la revisión detallada por parte del Consultor de las Guías del Banco considerando la naturaleza de los objetivos y reformas propuestas en la matriz de políticas, así como el contexto del mercado de energía panameño.</w:t>
      </w:r>
    </w:p>
    <w:p w14:paraId="0F30E3B0" w14:textId="77777777" w:rsidR="00B54F4E" w:rsidRDefault="00B54F4E" w:rsidP="00B54F4E">
      <w:pPr>
        <w:spacing w:before="120" w:after="0"/>
        <w:rPr>
          <w:rFonts w:cs="Arial"/>
          <w:bCs/>
          <w:szCs w:val="22"/>
          <w:lang w:val="es-ES"/>
        </w:rPr>
      </w:pPr>
      <w:r>
        <w:rPr>
          <w:rFonts w:cs="Arial"/>
          <w:bCs/>
          <w:szCs w:val="22"/>
          <w:lang w:val="es-ES"/>
        </w:rPr>
        <w:t xml:space="preserve">A continuación, se hace referencia a la Matriz de Políticas y a </w:t>
      </w:r>
      <w:r w:rsidRPr="000D5573">
        <w:rPr>
          <w:rFonts w:cs="Arial"/>
          <w:color w:val="000000" w:themeColor="text1"/>
          <w:szCs w:val="22"/>
        </w:rPr>
        <w:t>los</w:t>
      </w:r>
      <w:r>
        <w:rPr>
          <w:rFonts w:cs="Arial"/>
          <w:bCs/>
          <w:szCs w:val="22"/>
          <w:lang w:val="es-ES"/>
        </w:rPr>
        <w:t xml:space="preserve"> componentes de la misma que se consideraron objeto de la presente evaluación económica, en la medida que existe información y variables que pueden ser cuantificadas.</w:t>
      </w:r>
    </w:p>
    <w:p w14:paraId="619B84A4" w14:textId="77777777" w:rsidR="00B54F4E" w:rsidRPr="00D561FF" w:rsidRDefault="00B54F4E" w:rsidP="00B54F4E">
      <w:pPr>
        <w:pStyle w:val="Heading2"/>
        <w:rPr>
          <w:lang w:val="es-ES"/>
        </w:rPr>
      </w:pPr>
      <w:bookmarkStart w:id="8" w:name="_Toc484097018"/>
      <w:r w:rsidRPr="00D561FF">
        <w:rPr>
          <w:lang w:val="es-ES"/>
        </w:rPr>
        <w:t>Objetivo del Programa y Matriz de Políticas</w:t>
      </w:r>
      <w:bookmarkEnd w:id="8"/>
    </w:p>
    <w:p w14:paraId="263C8024" w14:textId="77777777" w:rsidR="00B54F4E" w:rsidRPr="00750E14" w:rsidRDefault="00B54F4E" w:rsidP="00B54F4E">
      <w:r w:rsidRPr="000B23BE">
        <w:rPr>
          <w:lang w:val="es-ES"/>
        </w:rPr>
        <w:t>La Matriz de Políticas del Programa constituye el marco de referencia sobre el cual se centra</w:t>
      </w:r>
      <w:r>
        <w:rPr>
          <w:lang w:val="es-ES"/>
        </w:rPr>
        <w:t xml:space="preserve"> el análisis para la definición de la propuesta metodológica que se expone adelante. Los objetivos de la matriz buscan alcanzarse a </w:t>
      </w:r>
      <w:r w:rsidRPr="00BF1BB2">
        <w:rPr>
          <w:lang w:val="es-ES"/>
        </w:rPr>
        <w:t>través de un conjunto de reformas</w:t>
      </w:r>
      <w:r>
        <w:rPr>
          <w:lang w:val="es-ES"/>
        </w:rPr>
        <w:t xml:space="preserve"> y actividades</w:t>
      </w:r>
      <w:r w:rsidRPr="00BF1BB2">
        <w:rPr>
          <w:lang w:val="es-ES"/>
        </w:rPr>
        <w:t xml:space="preserve"> agrupadas en </w:t>
      </w:r>
      <w:r>
        <w:rPr>
          <w:lang w:val="es-ES"/>
        </w:rPr>
        <w:t>tres subprogramas</w:t>
      </w:r>
      <w:r w:rsidRPr="00BF1BB2">
        <w:rPr>
          <w:lang w:val="es-ES"/>
        </w:rPr>
        <w:t xml:space="preserve">. </w:t>
      </w:r>
      <w:r>
        <w:t>La evaluación económica desarrollada por el Consultor se enfoca en los beneficios asociados con los siguientes componentes del Subprograma 2- Desarrollo Sostenible del Sector Eléctrico</w:t>
      </w:r>
      <w:r>
        <w:rPr>
          <w:rStyle w:val="FootnoteReference"/>
        </w:rPr>
        <w:footnoteReference w:id="3"/>
      </w:r>
      <w:r>
        <w:t>:</w:t>
      </w:r>
    </w:p>
    <w:p w14:paraId="7A0CA284" w14:textId="77777777" w:rsidR="00B54F4E" w:rsidRPr="00BD4D96" w:rsidRDefault="00B54F4E" w:rsidP="00B54F4E">
      <w:pPr>
        <w:pStyle w:val="ListParagraph"/>
        <w:numPr>
          <w:ilvl w:val="0"/>
          <w:numId w:val="3"/>
        </w:numPr>
      </w:pPr>
      <w:r w:rsidRPr="00874EE5">
        <w:rPr>
          <w:b/>
        </w:rPr>
        <w:t xml:space="preserve">Componente </w:t>
      </w:r>
      <w:r>
        <w:rPr>
          <w:b/>
        </w:rPr>
        <w:t>2.1</w:t>
      </w:r>
      <w:r w:rsidRPr="00874EE5">
        <w:rPr>
          <w:b/>
        </w:rPr>
        <w:t xml:space="preserve">. </w:t>
      </w:r>
      <w:r w:rsidRPr="00331DC2">
        <w:rPr>
          <w:b/>
        </w:rPr>
        <w:t>Desarrollo de una matriz energética social y ambientalmente sostenible</w:t>
      </w:r>
      <w:r w:rsidRPr="00874EE5">
        <w:rPr>
          <w:b/>
        </w:rPr>
        <w:t>.</w:t>
      </w:r>
      <w:r w:rsidRPr="00BD4D96">
        <w:t xml:space="preserve"> </w:t>
      </w:r>
      <w:r w:rsidRPr="0097628D">
        <w:t>Aumentar la oferta eléctrica fomentando el desarrollo de Energía Renovable (ER), la introducción de Gas Natural (GN), la implementación de medidas de Eficiencia Energética (EE) y el incremento de los intercambios eléctricos regionales</w:t>
      </w:r>
      <w:r w:rsidRPr="00874EE5">
        <w:rPr>
          <w:bCs/>
          <w:lang w:val="es-ES"/>
        </w:rPr>
        <w:t>.</w:t>
      </w:r>
    </w:p>
    <w:p w14:paraId="51C3A00F" w14:textId="77777777" w:rsidR="00B54F4E" w:rsidRPr="003E1720" w:rsidRDefault="00B54F4E" w:rsidP="00B54F4E">
      <w:pPr>
        <w:pStyle w:val="ListParagraph"/>
        <w:numPr>
          <w:ilvl w:val="0"/>
          <w:numId w:val="3"/>
        </w:numPr>
      </w:pPr>
      <w:bookmarkStart w:id="9" w:name="_Hlk480117247"/>
      <w:r w:rsidRPr="00874EE5">
        <w:rPr>
          <w:b/>
        </w:rPr>
        <w:t xml:space="preserve">Componente </w:t>
      </w:r>
      <w:r>
        <w:rPr>
          <w:b/>
        </w:rPr>
        <w:t>2.3</w:t>
      </w:r>
      <w:r w:rsidRPr="00874EE5">
        <w:rPr>
          <w:b/>
        </w:rPr>
        <w:t xml:space="preserve">. </w:t>
      </w:r>
      <w:r>
        <w:rPr>
          <w:b/>
        </w:rPr>
        <w:t>Racionalización de los subsidios en el sector energético</w:t>
      </w:r>
      <w:r w:rsidRPr="00874EE5">
        <w:rPr>
          <w:b/>
        </w:rPr>
        <w:t>.</w:t>
      </w:r>
      <w:r w:rsidRPr="00BD4D96">
        <w:t xml:space="preserve"> </w:t>
      </w:r>
      <w:r w:rsidRPr="0097628D">
        <w:t>Promover el desarrollo e implementación de mecanismos orientados a mejorar la focalización de los subsidios otorgados al consumo eléctrico.</w:t>
      </w:r>
    </w:p>
    <w:bookmarkEnd w:id="9"/>
    <w:p w14:paraId="58E02DE6" w14:textId="77777777" w:rsidR="00B54F4E" w:rsidRDefault="00B54F4E" w:rsidP="00B54F4E">
      <w:r w:rsidRPr="00BF1BB2">
        <w:rPr>
          <w:lang w:val="es-ES"/>
        </w:rPr>
        <w:t xml:space="preserve">Con el fin de elaborar una propuesta metodológica de evaluación económica del PBP, consistente con la naturaleza y características </w:t>
      </w:r>
      <w:r>
        <w:rPr>
          <w:lang w:val="es-ES"/>
        </w:rPr>
        <w:t>de los objetivos</w:t>
      </w:r>
      <w:r w:rsidRPr="00BF1BB2">
        <w:rPr>
          <w:lang w:val="es-ES"/>
        </w:rPr>
        <w:t xml:space="preserve"> en cada componente de la </w:t>
      </w:r>
      <w:r>
        <w:rPr>
          <w:lang w:val="es-ES"/>
        </w:rPr>
        <w:t>Matriz</w:t>
      </w:r>
      <w:r w:rsidRPr="00BF1BB2">
        <w:rPr>
          <w:lang w:val="es-ES"/>
        </w:rPr>
        <w:t>,</w:t>
      </w:r>
      <w:r>
        <w:rPr>
          <w:lang w:val="es-ES"/>
        </w:rPr>
        <w:t xml:space="preserve"> siguiendo las Guías del Banco,</w:t>
      </w:r>
      <w:r w:rsidRPr="00BF1BB2">
        <w:rPr>
          <w:lang w:val="es-ES"/>
        </w:rPr>
        <w:t xml:space="preserve"> a</w:t>
      </w:r>
      <w:r>
        <w:t xml:space="preserve"> continuación,</w:t>
      </w:r>
      <w:r w:rsidRPr="00BF1BB2">
        <w:t xml:space="preserve"> </w:t>
      </w:r>
      <w:r>
        <w:t>se analiza el alcance de tales objetivos</w:t>
      </w:r>
      <w:r w:rsidRPr="00BF1BB2">
        <w:t xml:space="preserve"> y </w:t>
      </w:r>
      <w:r>
        <w:t xml:space="preserve">se presenta </w:t>
      </w:r>
      <w:r w:rsidRPr="00BF1BB2">
        <w:t xml:space="preserve">la </w:t>
      </w:r>
      <w:r>
        <w:t xml:space="preserve">metodología </w:t>
      </w:r>
      <w:r w:rsidRPr="00BF1BB2">
        <w:t>para la evaluación económica</w:t>
      </w:r>
      <w:r>
        <w:t>, seguida por la respectiva evaluación</w:t>
      </w:r>
      <w:r w:rsidRPr="00BF1BB2">
        <w:t>.</w:t>
      </w:r>
    </w:p>
    <w:p w14:paraId="2B4DB137" w14:textId="77777777" w:rsidR="00B54F4E" w:rsidRPr="00DC6354" w:rsidRDefault="00B54F4E" w:rsidP="00B54F4E">
      <w:pPr>
        <w:pStyle w:val="Heading1"/>
        <w:rPr>
          <w:lang w:val="es-ES"/>
        </w:rPr>
      </w:pPr>
      <w:bookmarkStart w:id="10" w:name="_Ref470459248"/>
      <w:bookmarkStart w:id="11" w:name="_Toc484097019"/>
      <w:r>
        <w:rPr>
          <w:lang w:val="es-ES"/>
        </w:rPr>
        <w:t xml:space="preserve">Evaluación económica del </w:t>
      </w:r>
      <w:r w:rsidRPr="00531483">
        <w:rPr>
          <w:lang w:val="es-ES"/>
        </w:rPr>
        <w:t xml:space="preserve">Componente </w:t>
      </w:r>
      <w:r>
        <w:rPr>
          <w:lang w:val="es-ES"/>
        </w:rPr>
        <w:t>2.1</w:t>
      </w:r>
      <w:r w:rsidRPr="00531483">
        <w:rPr>
          <w:lang w:val="es-ES"/>
        </w:rPr>
        <w:t xml:space="preserve"> Desarrollo de una matriz energética social y ambientalmente sostenible</w:t>
      </w:r>
      <w:bookmarkEnd w:id="10"/>
      <w:bookmarkEnd w:id="11"/>
    </w:p>
    <w:p w14:paraId="5E944A98" w14:textId="77777777" w:rsidR="00B54F4E" w:rsidRDefault="00B54F4E" w:rsidP="00B54F4E">
      <w:pPr>
        <w:spacing w:before="0" w:after="160" w:line="259" w:lineRule="auto"/>
        <w:rPr>
          <w:lang w:val="es-ES"/>
        </w:rPr>
      </w:pPr>
      <w:r>
        <w:rPr>
          <w:lang w:val="es-ES"/>
        </w:rPr>
        <w:t>El objetivo del Componente 2.1</w:t>
      </w:r>
      <w:r w:rsidRPr="00910AD7">
        <w:rPr>
          <w:lang w:val="es-ES"/>
        </w:rPr>
        <w:t xml:space="preserve"> es contribuir a </w:t>
      </w:r>
      <w:r>
        <w:rPr>
          <w:lang w:val="es-ES"/>
        </w:rPr>
        <w:t>a</w:t>
      </w:r>
      <w:r w:rsidRPr="00532E40">
        <w:rPr>
          <w:lang w:val="es-ES"/>
        </w:rPr>
        <w:t xml:space="preserve">umentar la oferta eléctrica </w:t>
      </w:r>
      <w:r>
        <w:rPr>
          <w:lang w:val="es-ES"/>
        </w:rPr>
        <w:t xml:space="preserve">fomentando (i) el </w:t>
      </w:r>
      <w:r w:rsidRPr="00532E40">
        <w:rPr>
          <w:lang w:val="es-ES"/>
        </w:rPr>
        <w:t xml:space="preserve">desarrollo de Energía Renovable (ER), </w:t>
      </w:r>
      <w:r>
        <w:rPr>
          <w:lang w:val="es-ES"/>
        </w:rPr>
        <w:t xml:space="preserve">(ii) </w:t>
      </w:r>
      <w:r w:rsidRPr="00532E40">
        <w:rPr>
          <w:lang w:val="es-ES"/>
        </w:rPr>
        <w:t xml:space="preserve">la introducción de Gas Natural (GN), </w:t>
      </w:r>
      <w:r>
        <w:rPr>
          <w:lang w:val="es-ES"/>
        </w:rPr>
        <w:t xml:space="preserve">(iii) </w:t>
      </w:r>
      <w:r w:rsidRPr="00532E40">
        <w:rPr>
          <w:lang w:val="es-ES"/>
        </w:rPr>
        <w:t xml:space="preserve">la </w:t>
      </w:r>
      <w:r w:rsidRPr="00532E40">
        <w:rPr>
          <w:lang w:val="es-ES"/>
        </w:rPr>
        <w:lastRenderedPageBreak/>
        <w:t>implementación de medidas de Eficiencia Energética (EE) y</w:t>
      </w:r>
      <w:r>
        <w:rPr>
          <w:lang w:val="es-ES"/>
        </w:rPr>
        <w:t xml:space="preserve"> (iv)</w:t>
      </w:r>
      <w:r w:rsidRPr="00532E40">
        <w:rPr>
          <w:lang w:val="es-ES"/>
        </w:rPr>
        <w:t xml:space="preserve"> el incremento de los intercambios eléctricos regionales</w:t>
      </w:r>
      <w:r w:rsidRPr="00DC6354">
        <w:rPr>
          <w:lang w:val="es-ES"/>
        </w:rPr>
        <w:t xml:space="preserve">. </w:t>
      </w:r>
    </w:p>
    <w:p w14:paraId="79FE8B39" w14:textId="77777777" w:rsidR="00B54F4E" w:rsidRDefault="00B54F4E" w:rsidP="00B54F4E">
      <w:pPr>
        <w:spacing w:before="0" w:after="160" w:line="259" w:lineRule="auto"/>
        <w:rPr>
          <w:lang w:val="es-ES"/>
        </w:rPr>
      </w:pPr>
      <w:r>
        <w:rPr>
          <w:lang w:val="es-ES"/>
        </w:rPr>
        <w:t>Con el fin de enmarcar la evaluación económica de estos elementos en el mercado de energía eléctrica del sistema interconectado de Panamá, se presenta un primer aparte con consideraciones relevantes sobre el contexto, y en los apartes siguientes se identifican los beneficios asociados con cada uno de los objetivos específicos y la metodología propuesta para su estimación en los casos en los cuales es factible realizar una evaluación cuantitativa.</w:t>
      </w:r>
    </w:p>
    <w:p w14:paraId="352FFA07" w14:textId="77777777" w:rsidR="00B54F4E" w:rsidRDefault="00B54F4E" w:rsidP="00B54F4E">
      <w:pPr>
        <w:pStyle w:val="Heading2"/>
      </w:pPr>
      <w:bookmarkStart w:id="12" w:name="_Toc484097020"/>
      <w:r w:rsidRPr="008B27DB">
        <w:t xml:space="preserve">Consideraciones </w:t>
      </w:r>
      <w:r>
        <w:t>sobre el contexto del sector eléctrico panameño para efectos de la evaluación económica</w:t>
      </w:r>
      <w:bookmarkEnd w:id="12"/>
    </w:p>
    <w:p w14:paraId="0C979CD0" w14:textId="77777777" w:rsidR="00B54F4E" w:rsidRPr="00DE561D" w:rsidRDefault="00B54F4E" w:rsidP="00B54F4E">
      <w:pPr>
        <w:spacing w:before="120" w:after="120"/>
        <w:rPr>
          <w:rFonts w:cs="Arial"/>
          <w:szCs w:val="22"/>
          <w:highlight w:val="yellow"/>
        </w:rPr>
      </w:pPr>
      <w:r w:rsidRPr="00172C00">
        <w:rPr>
          <w:rFonts w:cs="Arial"/>
          <w:szCs w:val="22"/>
        </w:rPr>
        <w:t xml:space="preserve">El sector eléctrico atendido por el </w:t>
      </w:r>
      <w:r>
        <w:rPr>
          <w:rFonts w:cs="Arial"/>
          <w:szCs w:val="22"/>
        </w:rPr>
        <w:t>sistema interconectado nacional (</w:t>
      </w:r>
      <w:r w:rsidRPr="00172C00">
        <w:rPr>
          <w:rFonts w:cs="Arial"/>
          <w:szCs w:val="22"/>
        </w:rPr>
        <w:t>SIN</w:t>
      </w:r>
      <w:r>
        <w:rPr>
          <w:rFonts w:cs="Arial"/>
          <w:szCs w:val="22"/>
        </w:rPr>
        <w:t>)</w:t>
      </w:r>
      <w:r w:rsidRPr="00172C00">
        <w:rPr>
          <w:rFonts w:cs="Arial"/>
          <w:szCs w:val="22"/>
        </w:rPr>
        <w:t xml:space="preserve"> se encuentra organizado alrededor en un mercado de oferta y demanda, donde los diferentes </w:t>
      </w:r>
      <w:r w:rsidRPr="00FF686B">
        <w:rPr>
          <w:rFonts w:cs="Arial"/>
          <w:szCs w:val="22"/>
        </w:rPr>
        <w:t xml:space="preserve">generadores compiten por la adjudicación de contratos de compraventa de energía y/o potencia en el marco de normas e incentivos de diferente índole (económicos, de despacho, de comercialización de energía, etc.), dados por decisiones de política y regulación. </w:t>
      </w:r>
    </w:p>
    <w:p w14:paraId="2F6788DE" w14:textId="77777777" w:rsidR="00B54F4E" w:rsidRPr="00DE561D" w:rsidRDefault="00B54F4E" w:rsidP="00B54F4E">
      <w:pPr>
        <w:spacing w:before="120" w:after="120"/>
        <w:rPr>
          <w:rFonts w:cs="Arial"/>
          <w:szCs w:val="22"/>
          <w:highlight w:val="yellow"/>
        </w:rPr>
      </w:pPr>
      <w:r w:rsidRPr="00845BF0">
        <w:rPr>
          <w:rFonts w:cs="Arial"/>
          <w:szCs w:val="22"/>
        </w:rPr>
        <w:t xml:space="preserve">Panamá cuenta con la Secretaría Nacional de Energía (SNE) y </w:t>
      </w:r>
      <w:r>
        <w:rPr>
          <w:rFonts w:cs="Arial"/>
          <w:szCs w:val="22"/>
        </w:rPr>
        <w:t xml:space="preserve">con </w:t>
      </w:r>
      <w:r w:rsidRPr="00845BF0">
        <w:rPr>
          <w:rFonts w:cs="Arial"/>
          <w:szCs w:val="22"/>
        </w:rPr>
        <w:t>la Empresa de Transmisión Eléctrica Panameña (ETESA), las cuales elaboran el Plan Energético Nacional (PEN) y el Plan de Expansión del Sistema</w:t>
      </w:r>
      <w:r>
        <w:rPr>
          <w:rFonts w:cs="Arial"/>
          <w:szCs w:val="22"/>
        </w:rPr>
        <w:t xml:space="preserve"> de Generación (PEG)</w:t>
      </w:r>
      <w:r w:rsidRPr="00845BF0">
        <w:rPr>
          <w:rFonts w:cs="Arial"/>
          <w:szCs w:val="22"/>
        </w:rPr>
        <w:t xml:space="preserve">, respectivamente. </w:t>
      </w:r>
      <w:r w:rsidRPr="006F2EF1">
        <w:rPr>
          <w:rFonts w:cs="Arial"/>
          <w:szCs w:val="22"/>
        </w:rPr>
        <w:t>Estos planes permiten contar con información para la evaluación económica sobre posibles resultados de intervención mediante reformas de política</w:t>
      </w:r>
      <w:r>
        <w:rPr>
          <w:rFonts w:cs="Arial"/>
          <w:szCs w:val="22"/>
        </w:rPr>
        <w:t>, a través de la comparación de escenarios energéticos y de generación eléctrica. Se hace énfasis en la diversificación de la matriz de generación eléctrica y eficiencia energética tal como se desarrolla más adelante.</w:t>
      </w:r>
    </w:p>
    <w:p w14:paraId="31FA740E" w14:textId="77777777" w:rsidR="00B54F4E" w:rsidRPr="00D00A76" w:rsidRDefault="00B54F4E" w:rsidP="00B54F4E">
      <w:pPr>
        <w:spacing w:before="120" w:after="120"/>
        <w:rPr>
          <w:rFonts w:cs="Arial"/>
          <w:szCs w:val="22"/>
        </w:rPr>
      </w:pPr>
      <w:r w:rsidRPr="00D00A76">
        <w:rPr>
          <w:rFonts w:cs="Arial"/>
          <w:szCs w:val="22"/>
        </w:rPr>
        <w:t>En el campo de la eficiencia energética, Panamá cuenta con una ley de Uso Racional y Eficiente de la Energía</w:t>
      </w:r>
      <w:r w:rsidRPr="00D00A76">
        <w:rPr>
          <w:rStyle w:val="FootnoteReference"/>
          <w:rFonts w:cs="Arial"/>
          <w:szCs w:val="22"/>
        </w:rPr>
        <w:footnoteReference w:id="4"/>
      </w:r>
      <w:r w:rsidRPr="00D00A76">
        <w:rPr>
          <w:rFonts w:cs="Arial"/>
          <w:szCs w:val="22"/>
        </w:rPr>
        <w:t xml:space="preserve"> (UREE)</w:t>
      </w:r>
      <w:r>
        <w:rPr>
          <w:rFonts w:cs="Arial"/>
          <w:szCs w:val="22"/>
        </w:rPr>
        <w:t>, la cual establece los lineamientos generales de la política nacional. Entre los principales lineamientos se encuentran el de incentivar la producción e importación de equipos, máquinas, materiales y repuestos más eficientes en el consumo de energía y que sean menos contaminantes para el medio ambiente. Acorde con los lineamientos de política, el PEN 2015 – 2050 considera en sus escenarios el posible efecto en la demanda eléctrica producto de una mayor eficiencia en el consumo de los sectores residencial, comercial y oficial, lo cuales son los principales sectores de consumo.</w:t>
      </w:r>
    </w:p>
    <w:p w14:paraId="70431AE5" w14:textId="77777777" w:rsidR="00B54F4E" w:rsidRPr="00BA1F86" w:rsidRDefault="00B54F4E" w:rsidP="00B54F4E">
      <w:pPr>
        <w:pStyle w:val="Heading2"/>
      </w:pPr>
      <w:bookmarkStart w:id="13" w:name="_Ref480053909"/>
      <w:bookmarkStart w:id="14" w:name="_Toc484097021"/>
      <w:r>
        <w:t>Evaluación económica del desarrollo de las Energías Renovables (ER)</w:t>
      </w:r>
      <w:bookmarkEnd w:id="13"/>
      <w:bookmarkEnd w:id="14"/>
    </w:p>
    <w:p w14:paraId="596BACEA" w14:textId="77777777" w:rsidR="00B54F4E" w:rsidRDefault="00B54F4E" w:rsidP="00B54F4E">
      <w:pPr>
        <w:spacing w:before="0" w:after="160" w:line="259" w:lineRule="auto"/>
        <w:rPr>
          <w:lang w:val="es-ES"/>
        </w:rPr>
      </w:pPr>
      <w:r>
        <w:rPr>
          <w:lang w:val="es-ES"/>
        </w:rPr>
        <w:t>El fomento al desarrollo de las ER comprende las siguientes actividades y reformas:</w:t>
      </w:r>
    </w:p>
    <w:p w14:paraId="12D5723D" w14:textId="77777777" w:rsidR="00B54F4E" w:rsidRPr="00396E81" w:rsidRDefault="00B54F4E" w:rsidP="00B54F4E">
      <w:pPr>
        <w:pStyle w:val="ListParagraph"/>
        <w:numPr>
          <w:ilvl w:val="0"/>
          <w:numId w:val="6"/>
        </w:numPr>
        <w:spacing w:before="120" w:after="120"/>
        <w:rPr>
          <w:lang w:val="es-BO"/>
        </w:rPr>
      </w:pPr>
      <w:r w:rsidRPr="00396E81">
        <w:rPr>
          <w:lang w:val="es-BO"/>
        </w:rPr>
        <w:t>Que se hayan aprobado las Leyes para el fomento eólico y solar.</w:t>
      </w:r>
    </w:p>
    <w:p w14:paraId="218C50D9" w14:textId="77777777" w:rsidR="00B54F4E" w:rsidRPr="00FC7463" w:rsidRDefault="00B54F4E" w:rsidP="00B54F4E">
      <w:pPr>
        <w:pStyle w:val="ListParagraph"/>
        <w:numPr>
          <w:ilvl w:val="0"/>
          <w:numId w:val="6"/>
        </w:numPr>
        <w:spacing w:before="120" w:after="120"/>
        <w:rPr>
          <w:lang w:val="es-BO"/>
        </w:rPr>
      </w:pPr>
      <w:r w:rsidRPr="00396E81">
        <w:rPr>
          <w:lang w:val="es-BO"/>
        </w:rPr>
        <w:t>Que se hayan aprobado reglamentos de incentivos que promuevan el incremento de la ER no convencionales y la eficiencia energética.</w:t>
      </w:r>
    </w:p>
    <w:p w14:paraId="1F0661A3" w14:textId="77777777" w:rsidR="00B54F4E" w:rsidRPr="00DE7BA9" w:rsidRDefault="00B54F4E" w:rsidP="00B54F4E">
      <w:pPr>
        <w:keepNext/>
        <w:rPr>
          <w:b/>
          <w:lang w:val="es-ES" w:eastAsia="es-CO"/>
        </w:rPr>
      </w:pPr>
      <w:r w:rsidRPr="00DE7BA9">
        <w:rPr>
          <w:b/>
          <w:lang w:val="es-ES" w:eastAsia="es-CO"/>
        </w:rPr>
        <w:lastRenderedPageBreak/>
        <w:t>Beneficios</w:t>
      </w:r>
    </w:p>
    <w:p w14:paraId="52DC64A8" w14:textId="77777777" w:rsidR="00B54F4E" w:rsidRDefault="00B54F4E" w:rsidP="00B54F4E">
      <w:pPr>
        <w:spacing w:before="120" w:after="120"/>
        <w:rPr>
          <w:lang w:val="es-ES" w:eastAsia="es-CO"/>
        </w:rPr>
      </w:pPr>
      <w:r>
        <w:rPr>
          <w:lang w:val="es-ES" w:eastAsia="es-CO"/>
        </w:rPr>
        <w:t xml:space="preserve">Tomando en cuenta que el diseño del mercado mayorista en Panamá se fundamenta principalmente en contratos, el principal beneficio originado en la consolidación de las ER en el SIN, es el de contribuir al abastecimiento confiable y eficiente de energía, entendido éste como el abastecimiento a menores precios de la energía generada. Para la evaluación se comparan los costos operacionales de generación entre ambos escenarios, que se traducen en un menor costo de la energía para el usuario final. </w:t>
      </w:r>
    </w:p>
    <w:p w14:paraId="6C0E74F1" w14:textId="77777777" w:rsidR="00B54F4E" w:rsidRDefault="00B54F4E" w:rsidP="00B54F4E">
      <w:pPr>
        <w:spacing w:before="120" w:after="120"/>
        <w:rPr>
          <w:lang w:val="es-ES" w:eastAsia="es-CO"/>
        </w:rPr>
      </w:pPr>
      <w:r>
        <w:rPr>
          <w:lang w:val="es-ES" w:eastAsia="es-CO"/>
        </w:rPr>
        <w:t>Se trata pues, de un incremento neto en el excedente del consumidor originado en la reducción en estos costos.</w:t>
      </w:r>
    </w:p>
    <w:p w14:paraId="01A941AF" w14:textId="77777777" w:rsidR="00B54F4E" w:rsidRDefault="00B54F4E" w:rsidP="00B54F4E">
      <w:pPr>
        <w:spacing w:before="120" w:after="120"/>
        <w:rPr>
          <w:lang w:val="es-ES" w:eastAsia="es-CO"/>
        </w:rPr>
      </w:pPr>
      <w:r>
        <w:rPr>
          <w:lang w:val="es-ES" w:eastAsia="es-CO"/>
        </w:rPr>
        <w:t>Adicionalmente, se obtiene el beneficio de una menor emisión de CO</w:t>
      </w:r>
      <w:r w:rsidRPr="00D647E1">
        <w:rPr>
          <w:vertAlign w:val="subscript"/>
          <w:lang w:val="es-ES" w:eastAsia="es-CO"/>
        </w:rPr>
        <w:t>2</w:t>
      </w:r>
      <w:r>
        <w:rPr>
          <w:vertAlign w:val="subscript"/>
          <w:lang w:val="es-ES" w:eastAsia="es-CO"/>
        </w:rPr>
        <w:t xml:space="preserve"> </w:t>
      </w:r>
      <w:r w:rsidRPr="0022309B">
        <w:rPr>
          <w:lang w:val="es-ES" w:eastAsia="es-CO"/>
        </w:rPr>
        <w:t>ori</w:t>
      </w:r>
      <w:r>
        <w:rPr>
          <w:lang w:val="es-ES" w:eastAsia="es-CO"/>
        </w:rPr>
        <w:t>ginada en generación térmica evitada con las ER.</w:t>
      </w:r>
    </w:p>
    <w:p w14:paraId="55497B10" w14:textId="77777777" w:rsidR="00B54F4E" w:rsidRDefault="00B54F4E" w:rsidP="00B54F4E">
      <w:pPr>
        <w:spacing w:before="120" w:after="120"/>
        <w:rPr>
          <w:lang w:val="es-ES" w:eastAsia="es-CO"/>
        </w:rPr>
      </w:pPr>
      <w:r w:rsidRPr="00A816D1">
        <w:rPr>
          <w:lang w:val="es-ES" w:eastAsia="es-CO"/>
        </w:rPr>
        <w:t>Se aclara que el análisis que se presenta en esta sección se refiere exclusivamente a la introducción de ER, dejando el análisis relacionado con la introducción de GN para la sección siguiente.</w:t>
      </w:r>
    </w:p>
    <w:p w14:paraId="7F030042" w14:textId="77777777" w:rsidR="00B54F4E" w:rsidRPr="00DC6354" w:rsidRDefault="00B54F4E" w:rsidP="00B54F4E">
      <w:pPr>
        <w:pStyle w:val="Heading3"/>
        <w:rPr>
          <w:lang w:val="es-ES"/>
        </w:rPr>
      </w:pPr>
      <w:bookmarkStart w:id="15" w:name="_Toc484097022"/>
      <w:bookmarkStart w:id="16" w:name="_Hlk482011327"/>
      <w:r>
        <w:rPr>
          <w:lang w:val="es-ES"/>
        </w:rPr>
        <w:t>Supuestos y metodología</w:t>
      </w:r>
      <w:bookmarkEnd w:id="15"/>
    </w:p>
    <w:bookmarkEnd w:id="16"/>
    <w:p w14:paraId="312DDB6A" w14:textId="77777777" w:rsidR="00B54F4E" w:rsidRDefault="00B54F4E" w:rsidP="00B54F4E">
      <w:pPr>
        <w:spacing w:before="0" w:after="160" w:line="259" w:lineRule="auto"/>
        <w:rPr>
          <w:lang w:val="es-ES"/>
        </w:rPr>
      </w:pPr>
      <w:r>
        <w:rPr>
          <w:lang w:val="es-ES"/>
        </w:rPr>
        <w:t>El supuesto base es que todas las reformas señaladas contribuyen a la creación de incentivos económicos y de condiciones de despacho y comercialización de energía que favorece una mayor penetración de las ER.</w:t>
      </w:r>
    </w:p>
    <w:p w14:paraId="474739AA" w14:textId="77777777" w:rsidR="00B54F4E" w:rsidRDefault="00B54F4E" w:rsidP="00B54F4E">
      <w:pPr>
        <w:spacing w:before="0" w:after="160" w:line="259" w:lineRule="auto"/>
        <w:rPr>
          <w:lang w:val="es-ES"/>
        </w:rPr>
      </w:pPr>
      <w:r>
        <w:rPr>
          <w:lang w:val="es-ES"/>
        </w:rPr>
        <w:t xml:space="preserve">El mercado eléctrico panameño se fundamenta principalmente en contratos de compraventa de energía y/o potencia en actos públicos con la </w:t>
      </w:r>
      <w:r w:rsidRPr="00290018">
        <w:rPr>
          <w:lang w:val="es-ES"/>
        </w:rPr>
        <w:t>Empresa de Transmisión Eléctrica Panameña</w:t>
      </w:r>
      <w:r>
        <w:rPr>
          <w:lang w:val="es-ES"/>
        </w:rPr>
        <w:t xml:space="preserve"> (ETESA) para atender la demanda de las tres distribuidoras del país (ENSA, EDEMET y EDECHI).</w:t>
      </w:r>
      <w:r>
        <w:rPr>
          <w:rStyle w:val="FootnoteReference"/>
          <w:lang w:val="es-ES" w:eastAsia="es-CO"/>
        </w:rPr>
        <w:footnoteReference w:id="5"/>
      </w:r>
      <w:r w:rsidRPr="000E2421">
        <w:rPr>
          <w:lang w:val="es-ES"/>
        </w:rPr>
        <w:t xml:space="preserve"> </w:t>
      </w:r>
      <w:r>
        <w:rPr>
          <w:lang w:val="es-ES"/>
        </w:rPr>
        <w:t>Adicionalmente, Panamá cuenta con un mercado ocasional de energía cuyos precios se forman con los costos variables de generación de la planta marginal (incluido el costo de oportunidad del agua y el costo de falla), del cual se puede obtener un referente de costos marginales de generación de la energía eléctrica. Este mercado fue diseñado fundamentalmente como un sistema de compensación entre generadores para saldar las diferencias entre lo dispuesto en la generación real y los contratos.</w:t>
      </w:r>
    </w:p>
    <w:p w14:paraId="127C0587" w14:textId="77777777" w:rsidR="00B54F4E" w:rsidRDefault="00B54F4E" w:rsidP="00B54F4E">
      <w:pPr>
        <w:spacing w:before="0" w:after="160" w:line="259" w:lineRule="auto"/>
        <w:rPr>
          <w:lang w:val="es-ES"/>
        </w:rPr>
      </w:pPr>
      <w:r>
        <w:rPr>
          <w:lang w:val="es-ES"/>
        </w:rPr>
        <w:t xml:space="preserve">El precio final que percibe el usuario de la energía eléctrica está determinado en gran medida por las tecnologías de generación disponibles en el sistema y de sus costos de inversión y operación que resultarán en contratos de suministro de energía con mayor o menor costo. Adicionalmente, los costos marginales del mercado ocasional inciden en el </w:t>
      </w:r>
      <w:r>
        <w:rPr>
          <w:lang w:val="es-ES"/>
        </w:rPr>
        <w:lastRenderedPageBreak/>
        <w:t>precio final al usuario, reflejando el impacto que tiene los combustibles fósiles en la matriz de generación, tal como sucedió en el período 2011 – 2014.</w:t>
      </w:r>
    </w:p>
    <w:p w14:paraId="3AECCC8F" w14:textId="77777777" w:rsidR="00B54F4E" w:rsidRDefault="00B54F4E" w:rsidP="00B54F4E">
      <w:pPr>
        <w:spacing w:before="0" w:after="160" w:line="259" w:lineRule="auto"/>
        <w:rPr>
          <w:lang w:val="es-ES"/>
        </w:rPr>
      </w:pPr>
      <w:r>
        <w:rPr>
          <w:lang w:val="es-ES"/>
        </w:rPr>
        <w:t>Con base en estos elementos de diseño del mercado, el potencial beneficio incremental para el consumidor por la mayor penetración de ER corresponde a los menores costos de operación de la generación estimados como el diferencial entre los costos de suministro de la energía eléctrica en un escenario de referencia (escenario que asume una penetración baja o nula de energías renovables) y un escenario alternativo que asuma una mayor penetración de las energías renovables en la matriz de generación eléctrica, incluyendo el costo incremental de la inversión.</w:t>
      </w:r>
    </w:p>
    <w:p w14:paraId="29704C7D" w14:textId="77777777" w:rsidR="00B54F4E" w:rsidRDefault="00B54F4E" w:rsidP="00B54F4E">
      <w:pPr>
        <w:rPr>
          <w:lang w:val="es-ES"/>
        </w:rPr>
      </w:pPr>
      <w:r>
        <w:rPr>
          <w:lang w:val="es-ES"/>
        </w:rPr>
        <w:t>Para el efecto, el potencial beneficio incremental del excedente del consumidor se calcula de acuerdo con la siguiente expresión matemática:</w:t>
      </w:r>
    </w:p>
    <w:p w14:paraId="54331646" w14:textId="77777777" w:rsidR="00B54F4E" w:rsidRPr="00297B8D" w:rsidRDefault="00B54F4E" w:rsidP="00B54F4E">
      <w:pPr>
        <w:spacing w:before="0" w:after="160" w:line="259" w:lineRule="auto"/>
        <w:jc w:val="center"/>
        <w:rPr>
          <w:rFonts w:cs="Arial"/>
          <w:sz w:val="24"/>
          <w:szCs w:val="28"/>
          <w:lang w:val="es-ES"/>
        </w:rPr>
      </w:pPr>
      <m:oMathPara>
        <m:oMath>
          <m:r>
            <w:rPr>
              <w:rFonts w:ascii="Cambria Math" w:hAnsi="Cambria Math" w:cs="Arial"/>
              <w:sz w:val="24"/>
              <w:szCs w:val="28"/>
              <w:lang w:val="es-ES"/>
            </w:rPr>
            <m:t>B=</m:t>
          </m:r>
          <m:nary>
            <m:naryPr>
              <m:chr m:val="∑"/>
              <m:limLoc m:val="undOvr"/>
              <m:ctrlPr>
                <w:rPr>
                  <w:rFonts w:ascii="Cambria Math" w:hAnsi="Cambria Math" w:cs="Arial"/>
                  <w:i/>
                  <w:sz w:val="24"/>
                  <w:szCs w:val="28"/>
                  <w:lang w:val="es-ES"/>
                </w:rPr>
              </m:ctrlPr>
            </m:naryPr>
            <m:sub>
              <m:r>
                <w:rPr>
                  <w:rFonts w:ascii="Cambria Math" w:hAnsi="Cambria Math" w:cs="Arial"/>
                  <w:sz w:val="24"/>
                  <w:szCs w:val="28"/>
                  <w:lang w:val="es-ES"/>
                </w:rPr>
                <m:t>i</m:t>
              </m:r>
            </m:sub>
            <m:sup>
              <m:r>
                <w:rPr>
                  <w:rFonts w:ascii="Cambria Math" w:hAnsi="Cambria Math" w:cs="Arial"/>
                  <w:sz w:val="24"/>
                  <w:szCs w:val="28"/>
                  <w:lang w:val="es-ES"/>
                </w:rPr>
                <m:t>n</m:t>
              </m:r>
            </m:sup>
            <m:e>
              <m:sSub>
                <m:sSubPr>
                  <m:ctrlPr>
                    <w:rPr>
                      <w:rFonts w:ascii="Cambria Math" w:hAnsi="Cambria Math" w:cs="Arial"/>
                      <w:i/>
                      <w:sz w:val="24"/>
                      <w:szCs w:val="28"/>
                      <w:lang w:val="es-ES"/>
                    </w:rPr>
                  </m:ctrlPr>
                </m:sSubPr>
                <m:e>
                  <m:r>
                    <w:rPr>
                      <w:rFonts w:ascii="Cambria Math" w:hAnsi="Cambria Math" w:cs="Arial"/>
                      <w:sz w:val="24"/>
                      <w:szCs w:val="28"/>
                      <w:lang w:val="es-ES"/>
                    </w:rPr>
                    <m:t>VP(</m:t>
                  </m:r>
                  <m:sSub>
                    <m:sSubPr>
                      <m:ctrlPr>
                        <w:rPr>
                          <w:rFonts w:ascii="Cambria Math" w:hAnsi="Cambria Math" w:cs="Arial"/>
                          <w:i/>
                          <w:sz w:val="24"/>
                          <w:szCs w:val="28"/>
                          <w:lang w:val="es-ES"/>
                        </w:rPr>
                      </m:ctrlPr>
                    </m:sSubPr>
                    <m:e>
                      <m:r>
                        <w:rPr>
                          <w:rFonts w:ascii="Cambria Math" w:hAnsi="Cambria Math" w:cs="Arial"/>
                          <w:sz w:val="24"/>
                          <w:szCs w:val="28"/>
                          <w:lang w:val="es-ES"/>
                        </w:rPr>
                        <m:t>G</m:t>
                      </m:r>
                    </m:e>
                    <m:sub>
                      <m:r>
                        <w:rPr>
                          <w:rFonts w:ascii="Cambria Math" w:hAnsi="Cambria Math" w:cs="Arial"/>
                          <w:sz w:val="24"/>
                          <w:szCs w:val="28"/>
                          <w:lang w:val="es-ES"/>
                        </w:rPr>
                        <m:t>iESREF</m:t>
                      </m:r>
                    </m:sub>
                  </m:sSub>
                  <m:r>
                    <w:rPr>
                      <w:rFonts w:ascii="Cambria Math" w:hAnsi="Cambria Math" w:cs="Arial"/>
                      <w:sz w:val="24"/>
                      <w:szCs w:val="28"/>
                      <w:lang w:val="es-ES"/>
                    </w:rPr>
                    <m:t>*C</m:t>
                  </m:r>
                </m:e>
                <m:sub>
                  <m:r>
                    <w:rPr>
                      <w:rFonts w:ascii="Cambria Math" w:hAnsi="Cambria Math" w:cs="Arial"/>
                      <w:sz w:val="24"/>
                      <w:szCs w:val="28"/>
                      <w:lang w:val="es-ES"/>
                    </w:rPr>
                    <m:t>ESREF</m:t>
                  </m:r>
                </m:sub>
              </m:sSub>
              <m:r>
                <w:rPr>
                  <w:rFonts w:ascii="Cambria Math" w:hAnsi="Cambria Math" w:cs="Arial"/>
                  <w:sz w:val="24"/>
                  <w:szCs w:val="28"/>
                  <w:lang w:val="es-ES"/>
                </w:rPr>
                <m:t>-</m:t>
              </m:r>
              <m:sSub>
                <m:sSubPr>
                  <m:ctrlPr>
                    <w:rPr>
                      <w:rFonts w:ascii="Cambria Math" w:hAnsi="Cambria Math" w:cs="Arial"/>
                      <w:i/>
                      <w:sz w:val="24"/>
                      <w:szCs w:val="28"/>
                      <w:lang w:val="es-ES"/>
                    </w:rPr>
                  </m:ctrlPr>
                </m:sSubPr>
                <m:e>
                  <m:sSub>
                    <m:sSubPr>
                      <m:ctrlPr>
                        <w:rPr>
                          <w:rFonts w:ascii="Cambria Math" w:hAnsi="Cambria Math" w:cs="Arial"/>
                          <w:i/>
                          <w:sz w:val="24"/>
                          <w:szCs w:val="28"/>
                          <w:lang w:val="es-ES"/>
                        </w:rPr>
                      </m:ctrlPr>
                    </m:sSubPr>
                    <m:e>
                      <m:r>
                        <w:rPr>
                          <w:rFonts w:ascii="Cambria Math" w:hAnsi="Cambria Math" w:cs="Arial"/>
                          <w:sz w:val="24"/>
                          <w:szCs w:val="28"/>
                          <w:lang w:val="es-ES"/>
                        </w:rPr>
                        <m:t>G</m:t>
                      </m:r>
                    </m:e>
                    <m:sub>
                      <m:r>
                        <w:rPr>
                          <w:rFonts w:ascii="Cambria Math" w:hAnsi="Cambria Math" w:cs="Arial"/>
                          <w:sz w:val="24"/>
                          <w:szCs w:val="28"/>
                          <w:lang w:val="es-ES"/>
                        </w:rPr>
                        <m:t>iESER</m:t>
                      </m:r>
                    </m:sub>
                  </m:sSub>
                  <m:r>
                    <w:rPr>
                      <w:rFonts w:ascii="Cambria Math" w:hAnsi="Cambria Math" w:cs="Arial"/>
                      <w:sz w:val="24"/>
                      <w:szCs w:val="28"/>
                      <w:lang w:val="es-ES"/>
                    </w:rPr>
                    <m:t>*C</m:t>
                  </m:r>
                </m:e>
                <m:sub>
                  <m:r>
                    <w:rPr>
                      <w:rFonts w:ascii="Cambria Math" w:hAnsi="Cambria Math" w:cs="Arial"/>
                      <w:sz w:val="24"/>
                      <w:szCs w:val="28"/>
                      <w:lang w:val="es-ES"/>
                    </w:rPr>
                    <m:t>ESER</m:t>
                  </m:r>
                </m:sub>
              </m:sSub>
              <m:r>
                <w:rPr>
                  <w:rFonts w:ascii="Cambria Math" w:hAnsi="Cambria Math" w:cs="Arial"/>
                  <w:sz w:val="24"/>
                  <w:szCs w:val="28"/>
                  <w:lang w:val="es-ES"/>
                </w:rPr>
                <m:t>)</m:t>
              </m:r>
            </m:e>
          </m:nary>
        </m:oMath>
      </m:oMathPara>
    </w:p>
    <w:p w14:paraId="46EA647B" w14:textId="77777777" w:rsidR="00B54F4E" w:rsidRDefault="00B54F4E" w:rsidP="00B54F4E">
      <w:pPr>
        <w:spacing w:before="0" w:after="160" w:line="259" w:lineRule="auto"/>
        <w:rPr>
          <w:lang w:val="es-ES"/>
        </w:rPr>
      </w:pPr>
      <w:r>
        <w:rPr>
          <w:lang w:val="es-ES"/>
        </w:rPr>
        <w:t>Donde:</w:t>
      </w:r>
    </w:p>
    <w:p w14:paraId="291D8F7D" w14:textId="77777777" w:rsidR="00B54F4E" w:rsidRDefault="00B54F4E" w:rsidP="00B54F4E">
      <w:pPr>
        <w:spacing w:before="0" w:after="160" w:line="259" w:lineRule="auto"/>
        <w:rPr>
          <w:lang w:val="es-ES"/>
        </w:rPr>
      </w:pPr>
      <w:r>
        <w:rPr>
          <w:lang w:val="es-ES"/>
        </w:rPr>
        <w:t>B</w:t>
      </w:r>
      <w:r>
        <w:rPr>
          <w:lang w:val="es-ES"/>
        </w:rPr>
        <w:tab/>
      </w:r>
      <w:r>
        <w:rPr>
          <w:lang w:val="es-ES"/>
        </w:rPr>
        <w:tab/>
        <w:t>Es el valor presente del costo de generación evitado</w:t>
      </w:r>
    </w:p>
    <w:p w14:paraId="6E1668DA" w14:textId="77777777" w:rsidR="00B54F4E" w:rsidRDefault="00487C7A" w:rsidP="00B54F4E">
      <w:pPr>
        <w:spacing w:before="0" w:after="160" w:line="259" w:lineRule="auto"/>
        <w:rPr>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G</m:t>
            </m:r>
          </m:e>
          <m:sub>
            <m:r>
              <w:rPr>
                <w:rFonts w:ascii="Cambria Math" w:hAnsi="Cambria Math" w:cs="Arial"/>
                <w:sz w:val="28"/>
                <w:szCs w:val="28"/>
                <w:lang w:val="es-ES"/>
              </w:rPr>
              <m:t>iESREF</m:t>
            </m:r>
          </m:sub>
        </m:sSub>
      </m:oMath>
      <w:r w:rsidR="00B54F4E">
        <w:rPr>
          <w:lang w:val="es-ES"/>
        </w:rPr>
        <w:tab/>
        <w:t xml:space="preserve">Es la generación del sistema en el período </w:t>
      </w:r>
      <w:r w:rsidR="00B54F4E" w:rsidRPr="00044667">
        <w:rPr>
          <w:b/>
          <w:i/>
          <w:lang w:val="es-ES"/>
        </w:rPr>
        <w:t>i</w:t>
      </w:r>
      <w:r w:rsidR="00B54F4E">
        <w:rPr>
          <w:b/>
          <w:i/>
          <w:lang w:val="es-ES"/>
        </w:rPr>
        <w:t xml:space="preserve"> </w:t>
      </w:r>
      <w:r w:rsidR="00B54F4E" w:rsidRPr="00297B8D">
        <w:rPr>
          <w:lang w:val="es-ES"/>
        </w:rPr>
        <w:t>para el escenario de referencia</w:t>
      </w:r>
      <w:r w:rsidR="00B54F4E">
        <w:rPr>
          <w:rStyle w:val="FootnoteReference"/>
          <w:lang w:val="es-ES"/>
        </w:rPr>
        <w:footnoteReference w:id="6"/>
      </w:r>
    </w:p>
    <w:p w14:paraId="6CC1671B" w14:textId="77777777" w:rsidR="00B54F4E" w:rsidRDefault="00487C7A" w:rsidP="00B54F4E">
      <w:pPr>
        <w:spacing w:before="0" w:after="160" w:line="259" w:lineRule="auto"/>
        <w:rPr>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G</m:t>
            </m:r>
          </m:e>
          <m:sub>
            <m:r>
              <w:rPr>
                <w:rFonts w:ascii="Cambria Math" w:hAnsi="Cambria Math" w:cs="Arial"/>
                <w:sz w:val="28"/>
                <w:szCs w:val="28"/>
                <w:lang w:val="es-ES"/>
              </w:rPr>
              <m:t>iESER</m:t>
            </m:r>
          </m:sub>
        </m:sSub>
      </m:oMath>
      <w:r w:rsidR="00B54F4E">
        <w:rPr>
          <w:lang w:val="es-ES"/>
        </w:rPr>
        <w:tab/>
        <w:t xml:space="preserve">Es la generación del sistema en el período </w:t>
      </w:r>
      <w:r w:rsidR="00B54F4E" w:rsidRPr="00044667">
        <w:rPr>
          <w:b/>
          <w:i/>
          <w:lang w:val="es-ES"/>
        </w:rPr>
        <w:t>i</w:t>
      </w:r>
      <w:r w:rsidR="00B54F4E">
        <w:rPr>
          <w:b/>
          <w:i/>
          <w:lang w:val="es-ES"/>
        </w:rPr>
        <w:t xml:space="preserve"> </w:t>
      </w:r>
      <w:r w:rsidR="00B54F4E" w:rsidRPr="00297B8D">
        <w:rPr>
          <w:lang w:val="es-ES"/>
        </w:rPr>
        <w:t xml:space="preserve">para el escenario </w:t>
      </w:r>
      <w:r w:rsidR="00B54F4E">
        <w:rPr>
          <w:lang w:val="es-ES"/>
        </w:rPr>
        <w:t>renovable</w:t>
      </w:r>
    </w:p>
    <w:p w14:paraId="529D7703" w14:textId="77777777" w:rsidR="00B54F4E" w:rsidRPr="00044667" w:rsidRDefault="00487C7A" w:rsidP="00B54F4E">
      <w:pPr>
        <w:spacing w:before="0" w:after="160" w:line="259" w:lineRule="auto"/>
        <w:rPr>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C</m:t>
            </m:r>
          </m:e>
          <m:sub>
            <m:r>
              <w:rPr>
                <w:rFonts w:ascii="Cambria Math" w:hAnsi="Cambria Math" w:cs="Arial"/>
                <w:sz w:val="28"/>
                <w:szCs w:val="28"/>
                <w:lang w:val="es-ES"/>
              </w:rPr>
              <m:t>ESREF</m:t>
            </m:r>
          </m:sub>
        </m:sSub>
      </m:oMath>
      <w:r w:rsidR="00B54F4E" w:rsidRPr="00044667">
        <w:rPr>
          <w:rFonts w:cs="Arial"/>
          <w:sz w:val="28"/>
          <w:szCs w:val="28"/>
          <w:lang w:val="es-ES"/>
        </w:rPr>
        <w:tab/>
      </w:r>
      <w:r w:rsidR="00B54F4E" w:rsidRPr="00044667">
        <w:rPr>
          <w:lang w:val="es-ES"/>
        </w:rPr>
        <w:t xml:space="preserve">Es el </w:t>
      </w:r>
      <w:r w:rsidR="00B54F4E">
        <w:rPr>
          <w:lang w:val="es-ES"/>
        </w:rPr>
        <w:t xml:space="preserve">costo de generación en el escenario de referencia en el período </w:t>
      </w:r>
      <w:r w:rsidR="00B54F4E" w:rsidRPr="00034CFE">
        <w:rPr>
          <w:b/>
          <w:i/>
          <w:lang w:val="es-ES"/>
        </w:rPr>
        <w:t>i</w:t>
      </w:r>
    </w:p>
    <w:p w14:paraId="7DEB7FD5" w14:textId="77777777" w:rsidR="00B54F4E" w:rsidRPr="00044667" w:rsidRDefault="00487C7A" w:rsidP="00B54F4E">
      <w:pPr>
        <w:spacing w:before="0" w:after="160" w:line="259" w:lineRule="auto"/>
        <w:rPr>
          <w:lang w:val="es-ES"/>
        </w:rPr>
      </w:pPr>
      <m:oMath>
        <m:sSub>
          <m:sSubPr>
            <m:ctrlPr>
              <w:rPr>
                <w:rFonts w:ascii="Cambria Math" w:hAnsi="Cambria Math" w:cs="Arial"/>
                <w:i/>
                <w:sz w:val="28"/>
                <w:szCs w:val="28"/>
                <w:lang w:val="es-ES"/>
              </w:rPr>
            </m:ctrlPr>
          </m:sSubPr>
          <m:e>
            <m:r>
              <w:rPr>
                <w:rFonts w:ascii="Cambria Math" w:hAnsi="Cambria Math" w:cs="Arial"/>
                <w:sz w:val="28"/>
                <w:szCs w:val="28"/>
                <w:lang w:val="es-ES"/>
              </w:rPr>
              <m:t>C</m:t>
            </m:r>
          </m:e>
          <m:sub>
            <m:r>
              <w:rPr>
                <w:rFonts w:ascii="Cambria Math" w:hAnsi="Cambria Math" w:cs="Arial"/>
                <w:sz w:val="28"/>
                <w:szCs w:val="28"/>
                <w:lang w:val="es-ES"/>
              </w:rPr>
              <m:t>ESER</m:t>
            </m:r>
          </m:sub>
        </m:sSub>
      </m:oMath>
      <w:r w:rsidR="00B54F4E" w:rsidRPr="00044667">
        <w:rPr>
          <w:rFonts w:cs="Arial"/>
          <w:sz w:val="28"/>
          <w:szCs w:val="28"/>
          <w:lang w:val="es-ES"/>
        </w:rPr>
        <w:tab/>
      </w:r>
      <w:r w:rsidR="00B54F4E">
        <w:rPr>
          <w:rFonts w:cs="Arial"/>
          <w:sz w:val="28"/>
          <w:szCs w:val="28"/>
          <w:lang w:val="es-ES"/>
        </w:rPr>
        <w:tab/>
      </w:r>
      <w:r w:rsidR="00B54F4E" w:rsidRPr="00044667">
        <w:rPr>
          <w:lang w:val="es-ES"/>
        </w:rPr>
        <w:t xml:space="preserve">Es el </w:t>
      </w:r>
      <w:r w:rsidR="00B54F4E">
        <w:rPr>
          <w:lang w:val="es-ES"/>
        </w:rPr>
        <w:t xml:space="preserve">costo de generación en el escenario renovable en el período </w:t>
      </w:r>
      <w:r w:rsidR="00B54F4E" w:rsidRPr="00034CFE">
        <w:rPr>
          <w:b/>
          <w:i/>
          <w:lang w:val="es-ES"/>
        </w:rPr>
        <w:t>i</w:t>
      </w:r>
    </w:p>
    <w:p w14:paraId="4E941519" w14:textId="77777777" w:rsidR="00B54F4E" w:rsidRDefault="00B54F4E" w:rsidP="00B54F4E">
      <w:pPr>
        <w:spacing w:before="0" w:after="160" w:line="259" w:lineRule="auto"/>
        <w:ind w:left="1418" w:hanging="1418"/>
        <w:rPr>
          <w:lang w:val="es-ES"/>
        </w:rPr>
      </w:pPr>
      <w:r w:rsidRPr="00034CFE">
        <w:rPr>
          <w:i/>
          <w:lang w:val="es-ES"/>
        </w:rPr>
        <w:t>n</w:t>
      </w:r>
      <w:r>
        <w:rPr>
          <w:lang w:val="es-ES"/>
        </w:rPr>
        <w:tab/>
        <w:t>Es el número de períodos para los cuales se cuenta proyecciones de despacho de generación según los escenarios de ETESA</w:t>
      </w:r>
    </w:p>
    <w:p w14:paraId="21FA50B4" w14:textId="77777777" w:rsidR="00B54F4E" w:rsidRDefault="00B54F4E" w:rsidP="00B54F4E">
      <w:pPr>
        <w:rPr>
          <w:lang w:val="es-ES"/>
        </w:rPr>
      </w:pPr>
      <w:r>
        <w:rPr>
          <w:lang w:val="es-ES"/>
        </w:rPr>
        <w:t>Se utiliza el 12% como tasa de descuento, sugerida en las Guías del Banco y un horizonte igual al considerado en los planes de ETESA para el largo plazo (15 años).</w:t>
      </w:r>
    </w:p>
    <w:p w14:paraId="1AF6BD18" w14:textId="77777777" w:rsidR="00B54F4E" w:rsidRDefault="00B54F4E" w:rsidP="00B54F4E">
      <w:pPr>
        <w:rPr>
          <w:lang w:val="es-ES"/>
        </w:rPr>
      </w:pPr>
      <w:r>
        <w:rPr>
          <w:lang w:val="es-ES"/>
        </w:rPr>
        <w:t>Finalmente, se valora el beneficio obtenido por las menores emisiones frente al escenario de referencia definido por ETESA, como la cantidad de toneladas de CO</w:t>
      </w:r>
      <w:r w:rsidRPr="00DE7BA9">
        <w:rPr>
          <w:vertAlign w:val="subscript"/>
          <w:lang w:val="es-ES"/>
        </w:rPr>
        <w:t>2</w:t>
      </w:r>
      <w:r>
        <w:rPr>
          <w:vertAlign w:val="subscript"/>
          <w:lang w:val="es-ES"/>
        </w:rPr>
        <w:t xml:space="preserve"> </w:t>
      </w:r>
      <w:r>
        <w:rPr>
          <w:lang w:val="es-ES"/>
        </w:rPr>
        <w:t>evitadas multiplicada por el precio promedio de los Certificados de Reducción de Carbono (CRE) de acuerdo con proyecciones recientes.</w:t>
      </w:r>
    </w:p>
    <w:p w14:paraId="06C101F0" w14:textId="77777777" w:rsidR="00B54F4E" w:rsidRDefault="00B54F4E" w:rsidP="00B54F4E">
      <w:pPr>
        <w:rPr>
          <w:lang w:val="es-ES"/>
        </w:rPr>
      </w:pPr>
      <w:r>
        <w:rPr>
          <w:lang w:val="es-ES"/>
        </w:rPr>
        <w:t xml:space="preserve">Es importante resaltar que Panamá ya cuenta con capacidad instalada eólica y solar (aproximadamente un 11% de la capacidad instalada total a 2016). Adicionalmente, el escenario de referencia de ETESA considera un incremento natural en la capacidad de generación con ER, lo cual implica que el escenario base de comparación ya considera generación renovable. El escenario “renovable” de ETESA se diferencia del escenario de </w:t>
      </w:r>
      <w:r>
        <w:rPr>
          <w:lang w:val="es-ES"/>
        </w:rPr>
        <w:lastRenderedPageBreak/>
        <w:t>referencia por cuanto considera una mayor penetración de generación solar y eólica que sustituye principalmente generación térmica. En este sentido, el ACB que se realiza estima el beneficio incremental de una mayor capacidad instalada de ER, más no el beneficio total originado por toda la ER en la matriz de generación versus una matriz alternativa de tipo hidrotérmica, el cual puede ser un beneficio sustancialmente mayor.</w:t>
      </w:r>
    </w:p>
    <w:p w14:paraId="3573FADA" w14:textId="77777777" w:rsidR="00B54F4E" w:rsidRPr="00476705" w:rsidRDefault="00B54F4E" w:rsidP="00B54F4E">
      <w:pPr>
        <w:rPr>
          <w:color w:val="000000" w:themeColor="text1"/>
          <w:highlight w:val="yellow"/>
          <w:lang w:val="es-ES"/>
        </w:rPr>
      </w:pPr>
      <w:r>
        <w:rPr>
          <w:lang w:val="es-ES"/>
        </w:rPr>
        <w:t>Finalmente, dado que se parte de estimativos de precios de mercado en el cual los precios de los combustibles de generación en Panamá responden a los precios internacionales de los derivados del petróleo, es aceptable utilizar los precios de ese mercado para realizar la evaluación económica, en la medida que la asignación de recursos coincide con el óptimo social. De esta manera, no hay necesidad de recurrir a la estimación de precios sombra.</w:t>
      </w:r>
      <w:r>
        <w:rPr>
          <w:rStyle w:val="FootnoteReference"/>
        </w:rPr>
        <w:footnoteReference w:id="7"/>
      </w:r>
    </w:p>
    <w:p w14:paraId="3D6B4C8B" w14:textId="77777777" w:rsidR="00B54F4E" w:rsidRDefault="00B54F4E" w:rsidP="00B54F4E">
      <w:pPr>
        <w:spacing w:before="120" w:after="0"/>
        <w:rPr>
          <w:lang w:val="es-ES"/>
        </w:rPr>
      </w:pPr>
      <w:r>
        <w:rPr>
          <w:lang w:val="es-ES"/>
        </w:rPr>
        <w:t>En cuanto a externalidades se refiere, se incluye la estimación de beneficios por reducción de emisiones de CO</w:t>
      </w:r>
      <w:r w:rsidRPr="00581CCC">
        <w:rPr>
          <w:vertAlign w:val="subscript"/>
          <w:lang w:val="es-ES"/>
        </w:rPr>
        <w:t>2</w:t>
      </w:r>
      <w:r>
        <w:rPr>
          <w:lang w:val="es-ES"/>
        </w:rPr>
        <w:t xml:space="preserve"> para lo cual también se utilizan precios de mercado de los certificados de emisiones, sin que tampoco se requiera de elaborar estimaciones de un precio sombra.</w:t>
      </w:r>
    </w:p>
    <w:p w14:paraId="5864580C" w14:textId="77777777" w:rsidR="00B54F4E" w:rsidRDefault="00B54F4E" w:rsidP="00B54F4E">
      <w:pPr>
        <w:spacing w:before="120" w:after="0"/>
        <w:rPr>
          <w:lang w:val="es-ES"/>
        </w:rPr>
      </w:pPr>
      <w:r>
        <w:rPr>
          <w:lang w:val="es-ES"/>
        </w:rPr>
        <w:t>Los precios reportados en la información disponible de Panamá se encuentran en Balboas, moneda que funciona bajo cambiaria uno a uno con el dólar americano.</w:t>
      </w:r>
    </w:p>
    <w:p w14:paraId="1C929F40" w14:textId="77777777" w:rsidR="00B54F4E" w:rsidRPr="00A934E7" w:rsidRDefault="00B54F4E" w:rsidP="00B54F4E">
      <w:pPr>
        <w:rPr>
          <w:b/>
          <w:lang w:val="es-ES" w:eastAsia="es-CO"/>
        </w:rPr>
      </w:pPr>
      <w:r w:rsidRPr="00A934E7">
        <w:rPr>
          <w:b/>
          <w:lang w:val="es-ES" w:eastAsia="es-CO"/>
        </w:rPr>
        <w:t>Estimación de costos de inversión</w:t>
      </w:r>
    </w:p>
    <w:p w14:paraId="3FF41A64" w14:textId="77777777" w:rsidR="00B54F4E" w:rsidRDefault="00B54F4E" w:rsidP="00B54F4E">
      <w:pPr>
        <w:spacing w:before="120" w:after="0"/>
        <w:rPr>
          <w:lang w:val="es-ES"/>
        </w:rPr>
      </w:pPr>
      <w:r>
        <w:rPr>
          <w:lang w:val="es-ES"/>
        </w:rPr>
        <w:t>Para l</w:t>
      </w:r>
      <w:r w:rsidRPr="00A437B3">
        <w:rPr>
          <w:lang w:val="es-ES"/>
        </w:rPr>
        <w:t xml:space="preserve">a estimación de </w:t>
      </w:r>
      <w:r>
        <w:rPr>
          <w:lang w:val="es-ES"/>
        </w:rPr>
        <w:t>costos de inversión incrementales, se parte de la información empleada en los</w:t>
      </w:r>
      <w:r w:rsidRPr="00A437B3">
        <w:rPr>
          <w:lang w:val="es-ES"/>
        </w:rPr>
        <w:t xml:space="preserve"> escenarios de expansión de generación </w:t>
      </w:r>
      <w:r>
        <w:rPr>
          <w:lang w:val="es-ES"/>
        </w:rPr>
        <w:t xml:space="preserve">elaborados </w:t>
      </w:r>
      <w:r w:rsidRPr="00A437B3">
        <w:rPr>
          <w:lang w:val="es-ES"/>
        </w:rPr>
        <w:t xml:space="preserve">por </w:t>
      </w:r>
      <w:r>
        <w:rPr>
          <w:lang w:val="es-ES"/>
        </w:rPr>
        <w:t>ETESA.</w:t>
      </w:r>
      <w:r w:rsidRPr="0076261C">
        <w:rPr>
          <w:lang w:val="es-ES"/>
        </w:rPr>
        <w:t xml:space="preserve"> </w:t>
      </w:r>
      <w:r>
        <w:rPr>
          <w:lang w:val="es-ES"/>
        </w:rPr>
        <w:t>De manera particular, se considera la fecha de entrada en operación de cada MW instalado según el tipo de tecnología y se multiplica por el respectivo costo de inversión expresado en USD$/MW. El costo incremental de inversión corresponde al valor presente de la inversión requerida para la expansión en el escenario con ER, menos el valor de la inversión requerida en el escenario de referencia.</w:t>
      </w:r>
    </w:p>
    <w:p w14:paraId="12A53464" w14:textId="77777777" w:rsidR="00B54F4E" w:rsidRDefault="00B54F4E" w:rsidP="00B54F4E">
      <w:pPr>
        <w:spacing w:before="120" w:after="0"/>
        <w:jc w:val="center"/>
        <w:rPr>
          <w:lang w:val="es-ES"/>
        </w:rPr>
      </w:pPr>
      <m:oMathPara>
        <m:oMath>
          <m:r>
            <w:rPr>
              <w:rFonts w:ascii="Cambria Math" w:hAnsi="Cambria Math" w:cs="Arial"/>
              <w:szCs w:val="28"/>
              <w:lang w:val="es-ES"/>
            </w:rPr>
            <m:t>Costo Neto=</m:t>
          </m:r>
          <m:sSub>
            <m:sSubPr>
              <m:ctrlPr>
                <w:rPr>
                  <w:rFonts w:ascii="Cambria Math" w:hAnsi="Cambria Math" w:cs="Arial"/>
                  <w:i/>
                  <w:szCs w:val="28"/>
                  <w:lang w:val="es-ES"/>
                </w:rPr>
              </m:ctrlPr>
            </m:sSubPr>
            <m:e>
              <m:nary>
                <m:naryPr>
                  <m:chr m:val="∑"/>
                  <m:limLoc m:val="undOvr"/>
                  <m:ctrlPr>
                    <w:rPr>
                      <w:rFonts w:ascii="Cambria Math" w:hAnsi="Cambria Math" w:cs="Arial"/>
                      <w:i/>
                      <w:sz w:val="24"/>
                      <w:szCs w:val="28"/>
                      <w:lang w:val="es-ES"/>
                    </w:rPr>
                  </m:ctrlPr>
                </m:naryPr>
                <m:sub>
                  <m:r>
                    <w:rPr>
                      <w:rFonts w:ascii="Cambria Math" w:hAnsi="Cambria Math" w:cs="Arial"/>
                      <w:sz w:val="24"/>
                      <w:szCs w:val="28"/>
                      <w:lang w:val="es-ES"/>
                    </w:rPr>
                    <m:t>i</m:t>
                  </m:r>
                </m:sub>
                <m:sup>
                  <m:r>
                    <w:rPr>
                      <w:rFonts w:ascii="Cambria Math" w:hAnsi="Cambria Math" w:cs="Arial"/>
                      <w:sz w:val="24"/>
                      <w:szCs w:val="28"/>
                      <w:lang w:val="es-ES"/>
                    </w:rPr>
                    <m:t>n</m:t>
                  </m:r>
                </m:sup>
                <m:e>
                  <m:r>
                    <w:rPr>
                      <w:rFonts w:ascii="Cambria Math" w:hAnsi="Cambria Math" w:cs="Arial"/>
                      <w:sz w:val="24"/>
                      <w:szCs w:val="28"/>
                      <w:lang w:val="es-ES"/>
                    </w:rPr>
                    <m:t>VP</m:t>
                  </m:r>
                </m:e>
              </m:nary>
              <m:r>
                <w:rPr>
                  <w:rFonts w:ascii="Cambria Math" w:hAnsi="Cambria Math" w:cs="Arial"/>
                  <w:szCs w:val="28"/>
                  <w:lang w:val="es-ES"/>
                </w:rPr>
                <m:t xml:space="preserve">  Costo intversión</m:t>
              </m:r>
            </m:e>
            <m:sub>
              <m:r>
                <w:rPr>
                  <w:rFonts w:ascii="Cambria Math" w:hAnsi="Cambria Math" w:cs="Arial"/>
                  <w:szCs w:val="28"/>
                  <w:lang w:val="es-ES"/>
                </w:rPr>
                <m:t>iEsc.  ER</m:t>
              </m:r>
            </m:sub>
          </m:sSub>
          <m:r>
            <w:rPr>
              <w:rFonts w:ascii="Cambria Math" w:hAnsi="Cambria Math" w:cs="Arial"/>
              <w:szCs w:val="28"/>
              <w:lang w:val="es-ES"/>
            </w:rPr>
            <m:t>-</m:t>
          </m:r>
          <m:sSub>
            <m:sSubPr>
              <m:ctrlPr>
                <w:rPr>
                  <w:rFonts w:ascii="Cambria Math" w:hAnsi="Cambria Math" w:cs="Arial"/>
                  <w:i/>
                  <w:szCs w:val="28"/>
                  <w:lang w:val="es-ES"/>
                </w:rPr>
              </m:ctrlPr>
            </m:sSubPr>
            <m:e>
              <m:r>
                <w:rPr>
                  <w:rFonts w:ascii="Cambria Math" w:hAnsi="Cambria Math" w:cs="Arial"/>
                  <w:szCs w:val="28"/>
                  <w:lang w:val="es-ES"/>
                </w:rPr>
                <m:t>Costo intversión</m:t>
              </m:r>
            </m:e>
            <m:sub>
              <m:r>
                <w:rPr>
                  <w:rFonts w:ascii="Cambria Math" w:hAnsi="Cambria Math" w:cs="Arial"/>
                  <w:szCs w:val="28"/>
                  <w:lang w:val="es-ES"/>
                </w:rPr>
                <m:t>iEsc.  Ref</m:t>
              </m:r>
            </m:sub>
          </m:sSub>
        </m:oMath>
      </m:oMathPara>
    </w:p>
    <w:p w14:paraId="66D78D6F" w14:textId="77777777" w:rsidR="00B54F4E" w:rsidRDefault="00B54F4E" w:rsidP="00B54F4E">
      <w:pPr>
        <w:spacing w:before="120" w:after="0"/>
        <w:rPr>
          <w:lang w:val="es-ES"/>
        </w:rPr>
      </w:pPr>
      <w:r>
        <w:rPr>
          <w:lang w:val="es-ES"/>
        </w:rPr>
        <w:t>ETESA presenta en su PEG el costo de la potencia instalada (USD$/MW) para distintos proyectos ya inscritos e igualmente algunos costos de inversión para proyectos tipo según tecnología. De manera alternativa, también es posible asumir el costo de inversión de cada una de las tecnologías igual a los costos utilizados por la Agencia Internacional de Energía (IEA) en sus proyecciones del informe World Energy Outlook 2016 (WEO2016)</w:t>
      </w:r>
      <w:r>
        <w:rPr>
          <w:rStyle w:val="FootnoteReference"/>
          <w:lang w:val="es-ES"/>
        </w:rPr>
        <w:footnoteReference w:id="8"/>
      </w:r>
      <w:r>
        <w:rPr>
          <w:lang w:val="es-ES"/>
        </w:rPr>
        <w:t>. En consideración de que se dispone de la información detallada de los planes de expansión de ETESA, se ha utilizado esta información de costos como referente.</w:t>
      </w:r>
    </w:p>
    <w:p w14:paraId="7659C27F" w14:textId="77777777" w:rsidR="00B54F4E" w:rsidRDefault="00B54F4E" w:rsidP="00B54F4E">
      <w:pPr>
        <w:spacing w:before="120" w:after="0"/>
        <w:rPr>
          <w:lang w:val="es-ES"/>
        </w:rPr>
      </w:pPr>
      <w:bookmarkStart w:id="17" w:name="_Ref476068505"/>
      <w:bookmarkStart w:id="18" w:name="_Ref481162043"/>
      <w:bookmarkStart w:id="19" w:name="_Toc476136966"/>
      <w:bookmarkStart w:id="20" w:name="_Toc484097041"/>
      <w:r>
        <w:rPr>
          <w:lang w:val="es-ES"/>
        </w:rPr>
        <w:t>Para la estimación del beneficio por menores emisiones de CO2, este se estima calculando la diferencia de las emisiones producidas entre los dos escenarios considerados. Para ello, dado que el PEG no trae el cálculo de las emisiones, estas se han calculado tomando el despacho en cada escenario de la generación térmica por tecnología, multiplicado por el factor de emisiones de cada combustible utilizado según información de la EPA.</w:t>
      </w:r>
    </w:p>
    <w:p w14:paraId="6C8786E8" w14:textId="77777777" w:rsidR="00B54F4E" w:rsidRPr="008C12BC" w:rsidRDefault="00B54F4E" w:rsidP="00B54F4E">
      <w:pPr>
        <w:ind w:left="720"/>
        <w:jc w:val="center"/>
        <w:rPr>
          <w:b/>
        </w:rPr>
      </w:pPr>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w:t>
      </w:r>
      <w:r w:rsidRPr="008C12BC">
        <w:rPr>
          <w:b/>
        </w:rPr>
        <w:fldChar w:fldCharType="end"/>
      </w:r>
      <w:bookmarkEnd w:id="17"/>
      <w:bookmarkEnd w:id="18"/>
      <w:r w:rsidRPr="008C12BC">
        <w:rPr>
          <w:b/>
        </w:rPr>
        <w:t xml:space="preserve"> – </w:t>
      </w:r>
      <w:r>
        <w:rPr>
          <w:b/>
        </w:rPr>
        <w:t>Costos de inversión por MW instalado y por tecnología</w:t>
      </w:r>
      <w:bookmarkEnd w:id="19"/>
      <w:bookmarkEnd w:id="20"/>
    </w:p>
    <w:tbl>
      <w:tblPr>
        <w:tblW w:w="4574" w:type="pct"/>
        <w:jc w:val="center"/>
        <w:tblCellMar>
          <w:left w:w="70" w:type="dxa"/>
          <w:right w:w="70" w:type="dxa"/>
        </w:tblCellMar>
        <w:tblLook w:val="04A0" w:firstRow="1" w:lastRow="0" w:firstColumn="1" w:lastColumn="0" w:noHBand="0" w:noVBand="1"/>
      </w:tblPr>
      <w:tblGrid>
        <w:gridCol w:w="5230"/>
        <w:gridCol w:w="2850"/>
      </w:tblGrid>
      <w:tr w:rsidR="00B54F4E" w:rsidRPr="009F263E" w14:paraId="1D8DBB8B" w14:textId="77777777" w:rsidTr="006504C4">
        <w:trPr>
          <w:trHeight w:val="300"/>
          <w:jc w:val="center"/>
        </w:trPr>
        <w:tc>
          <w:tcPr>
            <w:tcW w:w="3509" w:type="pct"/>
            <w:tcBorders>
              <w:top w:val="nil"/>
              <w:left w:val="nil"/>
              <w:bottom w:val="single" w:sz="4" w:space="0" w:color="auto"/>
              <w:right w:val="nil"/>
            </w:tcBorders>
            <w:shd w:val="clear" w:color="auto" w:fill="auto"/>
            <w:noWrap/>
            <w:vAlign w:val="bottom"/>
            <w:hideMark/>
          </w:tcPr>
          <w:p w14:paraId="264F6D64" w14:textId="77777777" w:rsidR="00B54F4E" w:rsidRPr="009F263E" w:rsidRDefault="00B54F4E" w:rsidP="006504C4">
            <w:pPr>
              <w:spacing w:before="0" w:after="0"/>
              <w:jc w:val="left"/>
              <w:rPr>
                <w:rFonts w:ascii="Calibri" w:hAnsi="Calibri" w:cs="Calibri"/>
                <w:b/>
                <w:bCs/>
                <w:color w:val="000000"/>
                <w:sz w:val="16"/>
                <w:szCs w:val="22"/>
                <w:lang w:eastAsia="es-CO"/>
              </w:rPr>
            </w:pPr>
          </w:p>
        </w:tc>
        <w:tc>
          <w:tcPr>
            <w:tcW w:w="1491"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50245996" w14:textId="77777777" w:rsidR="00B54F4E" w:rsidRPr="00481439" w:rsidRDefault="00B54F4E" w:rsidP="006504C4">
            <w:pPr>
              <w:spacing w:before="0" w:after="0"/>
              <w:jc w:val="center"/>
              <w:rPr>
                <w:rFonts w:ascii="Calibri" w:hAnsi="Calibri" w:cs="Calibri"/>
                <w:color w:val="FFFFFF"/>
                <w:szCs w:val="22"/>
                <w:lang w:eastAsia="es-CO"/>
              </w:rPr>
            </w:pPr>
            <w:r w:rsidRPr="00481439">
              <w:rPr>
                <w:rFonts w:ascii="Calibri" w:hAnsi="Calibri" w:cs="Calibri"/>
                <w:color w:val="FFFFFF"/>
                <w:szCs w:val="22"/>
                <w:lang w:eastAsia="es-CO"/>
              </w:rPr>
              <w:t>Millones USD$ por MW - 2015</w:t>
            </w:r>
          </w:p>
        </w:tc>
      </w:tr>
      <w:tr w:rsidR="00B54F4E" w:rsidRPr="009F263E" w14:paraId="44BB1388" w14:textId="77777777" w:rsidTr="006504C4">
        <w:trPr>
          <w:trHeight w:val="300"/>
          <w:jc w:val="center"/>
        </w:trPr>
        <w:tc>
          <w:tcPr>
            <w:tcW w:w="3509" w:type="pct"/>
            <w:tcBorders>
              <w:top w:val="nil"/>
              <w:left w:val="nil"/>
              <w:bottom w:val="nil"/>
              <w:right w:val="nil"/>
            </w:tcBorders>
            <w:shd w:val="clear" w:color="auto" w:fill="auto"/>
            <w:noWrap/>
            <w:vAlign w:val="bottom"/>
          </w:tcPr>
          <w:p w14:paraId="6160741F" w14:textId="77777777" w:rsidR="00B54F4E" w:rsidRPr="00481439" w:rsidRDefault="00B54F4E" w:rsidP="006504C4">
            <w:pPr>
              <w:spacing w:before="0" w:after="0"/>
              <w:jc w:val="left"/>
              <w:rPr>
                <w:rFonts w:ascii="Calibri" w:hAnsi="Calibri" w:cs="Calibri"/>
                <w:color w:val="000000"/>
                <w:szCs w:val="22"/>
                <w:lang w:eastAsia="es-CO"/>
              </w:rPr>
            </w:pPr>
            <w:r>
              <w:rPr>
                <w:rFonts w:ascii="Calibri" w:hAnsi="Calibri" w:cs="Calibri"/>
                <w:color w:val="000000"/>
                <w:szCs w:val="22"/>
                <w:lang w:eastAsia="es-CO"/>
              </w:rPr>
              <w:t>Hidroeléctrica de Embalse</w:t>
            </w:r>
          </w:p>
        </w:tc>
        <w:tc>
          <w:tcPr>
            <w:tcW w:w="1491" w:type="pct"/>
            <w:tcBorders>
              <w:top w:val="nil"/>
              <w:left w:val="nil"/>
              <w:bottom w:val="nil"/>
              <w:right w:val="nil"/>
            </w:tcBorders>
            <w:shd w:val="clear" w:color="auto" w:fill="auto"/>
            <w:noWrap/>
            <w:vAlign w:val="bottom"/>
          </w:tcPr>
          <w:p w14:paraId="4C53C50B" w14:textId="77777777" w:rsidR="00B54F4E" w:rsidRPr="00481439" w:rsidRDefault="00B54F4E" w:rsidP="006504C4">
            <w:pPr>
              <w:spacing w:before="0" w:after="0"/>
              <w:jc w:val="center"/>
              <w:rPr>
                <w:rFonts w:ascii="Calibri" w:hAnsi="Calibri" w:cs="Calibri"/>
                <w:color w:val="000000"/>
                <w:szCs w:val="22"/>
                <w:lang w:eastAsia="es-CO"/>
              </w:rPr>
            </w:pPr>
            <w:r>
              <w:rPr>
                <w:rFonts w:ascii="Calibri" w:hAnsi="Calibri" w:cs="Calibri"/>
                <w:color w:val="000000"/>
                <w:szCs w:val="22"/>
                <w:lang w:eastAsia="es-CO"/>
              </w:rPr>
              <w:t>4.596</w:t>
            </w:r>
          </w:p>
        </w:tc>
      </w:tr>
      <w:tr w:rsidR="00B54F4E" w:rsidRPr="009F263E" w14:paraId="32190715" w14:textId="77777777" w:rsidTr="006504C4">
        <w:trPr>
          <w:trHeight w:val="300"/>
          <w:jc w:val="center"/>
        </w:trPr>
        <w:tc>
          <w:tcPr>
            <w:tcW w:w="3509" w:type="pct"/>
            <w:tcBorders>
              <w:top w:val="nil"/>
              <w:left w:val="nil"/>
              <w:bottom w:val="nil"/>
              <w:right w:val="nil"/>
            </w:tcBorders>
            <w:shd w:val="clear" w:color="auto" w:fill="auto"/>
            <w:noWrap/>
            <w:vAlign w:val="bottom"/>
          </w:tcPr>
          <w:p w14:paraId="57E92EC2" w14:textId="77777777" w:rsidR="00B54F4E" w:rsidRPr="00481439" w:rsidRDefault="00B54F4E" w:rsidP="006504C4">
            <w:pPr>
              <w:spacing w:before="0" w:after="0"/>
              <w:jc w:val="left"/>
              <w:rPr>
                <w:rFonts w:ascii="Calibri" w:hAnsi="Calibri" w:cs="Calibri"/>
                <w:color w:val="000000"/>
                <w:szCs w:val="22"/>
                <w:lang w:eastAsia="es-CO"/>
              </w:rPr>
            </w:pPr>
            <w:r>
              <w:rPr>
                <w:rFonts w:ascii="Calibri" w:hAnsi="Calibri" w:cs="Calibri"/>
                <w:color w:val="000000"/>
                <w:szCs w:val="22"/>
                <w:lang w:eastAsia="es-CO"/>
              </w:rPr>
              <w:t>Hidroeléctrica de Pasada</w:t>
            </w:r>
          </w:p>
        </w:tc>
        <w:tc>
          <w:tcPr>
            <w:tcW w:w="1491" w:type="pct"/>
            <w:tcBorders>
              <w:top w:val="nil"/>
              <w:left w:val="nil"/>
              <w:bottom w:val="nil"/>
              <w:right w:val="nil"/>
            </w:tcBorders>
            <w:shd w:val="clear" w:color="auto" w:fill="auto"/>
            <w:noWrap/>
            <w:vAlign w:val="bottom"/>
          </w:tcPr>
          <w:p w14:paraId="27B3A6F7" w14:textId="77777777" w:rsidR="00B54F4E" w:rsidRPr="00481439" w:rsidRDefault="00B54F4E" w:rsidP="006504C4">
            <w:pPr>
              <w:spacing w:before="0" w:after="0"/>
              <w:jc w:val="center"/>
              <w:rPr>
                <w:rFonts w:ascii="Calibri" w:hAnsi="Calibri" w:cs="Calibri"/>
                <w:color w:val="000000"/>
                <w:szCs w:val="22"/>
                <w:lang w:eastAsia="es-CO"/>
              </w:rPr>
            </w:pPr>
            <w:r w:rsidRPr="00481439">
              <w:rPr>
                <w:rFonts w:ascii="Calibri" w:hAnsi="Calibri" w:cs="Calibri"/>
                <w:color w:val="000000"/>
                <w:szCs w:val="22"/>
                <w:lang w:eastAsia="es-CO"/>
              </w:rPr>
              <w:t>3.</w:t>
            </w:r>
            <w:r>
              <w:rPr>
                <w:rFonts w:ascii="Calibri" w:hAnsi="Calibri" w:cs="Calibri"/>
                <w:color w:val="000000"/>
                <w:szCs w:val="22"/>
                <w:lang w:eastAsia="es-CO"/>
              </w:rPr>
              <w:t>499</w:t>
            </w:r>
          </w:p>
        </w:tc>
      </w:tr>
      <w:tr w:rsidR="00B54F4E" w:rsidRPr="009F263E" w14:paraId="75DE92B4" w14:textId="77777777" w:rsidTr="006504C4">
        <w:trPr>
          <w:trHeight w:val="300"/>
          <w:jc w:val="center"/>
        </w:trPr>
        <w:tc>
          <w:tcPr>
            <w:tcW w:w="3509" w:type="pct"/>
            <w:tcBorders>
              <w:top w:val="nil"/>
              <w:left w:val="nil"/>
              <w:bottom w:val="nil"/>
              <w:right w:val="nil"/>
            </w:tcBorders>
            <w:shd w:val="clear" w:color="auto" w:fill="auto"/>
            <w:noWrap/>
            <w:vAlign w:val="bottom"/>
          </w:tcPr>
          <w:p w14:paraId="053170B2" w14:textId="77777777" w:rsidR="00B54F4E" w:rsidRPr="00481439" w:rsidRDefault="00B54F4E" w:rsidP="006504C4">
            <w:pPr>
              <w:spacing w:before="0" w:after="0"/>
              <w:jc w:val="left"/>
              <w:rPr>
                <w:rFonts w:ascii="Calibri" w:hAnsi="Calibri" w:cs="Calibri"/>
                <w:color w:val="000000"/>
                <w:szCs w:val="22"/>
                <w:lang w:eastAsia="es-CO"/>
              </w:rPr>
            </w:pPr>
            <w:r w:rsidRPr="00481439">
              <w:rPr>
                <w:rFonts w:ascii="Calibri" w:hAnsi="Calibri" w:cs="Calibri"/>
                <w:color w:val="000000"/>
                <w:szCs w:val="22"/>
                <w:lang w:eastAsia="es-CO"/>
              </w:rPr>
              <w:t xml:space="preserve">Carbón </w:t>
            </w:r>
            <w:r>
              <w:rPr>
                <w:rFonts w:ascii="Calibri" w:hAnsi="Calibri" w:cs="Calibri"/>
                <w:color w:val="000000"/>
                <w:szCs w:val="22"/>
                <w:lang w:eastAsia="es-CO"/>
              </w:rPr>
              <w:t>–</w:t>
            </w:r>
            <w:r w:rsidRPr="00481439">
              <w:rPr>
                <w:rFonts w:ascii="Calibri" w:hAnsi="Calibri" w:cs="Calibri"/>
                <w:color w:val="000000"/>
                <w:szCs w:val="22"/>
                <w:lang w:eastAsia="es-CO"/>
              </w:rPr>
              <w:t xml:space="preserve"> FBC</w:t>
            </w:r>
          </w:p>
        </w:tc>
        <w:tc>
          <w:tcPr>
            <w:tcW w:w="1491" w:type="pct"/>
            <w:tcBorders>
              <w:top w:val="nil"/>
              <w:left w:val="nil"/>
              <w:bottom w:val="nil"/>
              <w:right w:val="nil"/>
            </w:tcBorders>
            <w:shd w:val="clear" w:color="auto" w:fill="auto"/>
            <w:noWrap/>
            <w:vAlign w:val="bottom"/>
          </w:tcPr>
          <w:p w14:paraId="54BD1BC1" w14:textId="77777777" w:rsidR="00B54F4E" w:rsidRPr="00481439" w:rsidRDefault="00B54F4E" w:rsidP="006504C4">
            <w:pPr>
              <w:spacing w:before="0" w:after="0"/>
              <w:jc w:val="center"/>
              <w:rPr>
                <w:rFonts w:ascii="Calibri" w:hAnsi="Calibri" w:cs="Calibri"/>
                <w:color w:val="000000"/>
                <w:szCs w:val="22"/>
                <w:lang w:eastAsia="es-CO"/>
              </w:rPr>
            </w:pPr>
            <w:r w:rsidRPr="00481439">
              <w:rPr>
                <w:rFonts w:ascii="Calibri" w:hAnsi="Calibri" w:cs="Calibri"/>
                <w:color w:val="000000"/>
                <w:szCs w:val="22"/>
                <w:lang w:eastAsia="es-CO"/>
              </w:rPr>
              <w:t>4.242</w:t>
            </w:r>
          </w:p>
        </w:tc>
      </w:tr>
      <w:tr w:rsidR="00B54F4E" w:rsidRPr="009F263E" w14:paraId="5A0F5E5B" w14:textId="77777777" w:rsidTr="006504C4">
        <w:trPr>
          <w:trHeight w:val="300"/>
          <w:jc w:val="center"/>
        </w:trPr>
        <w:tc>
          <w:tcPr>
            <w:tcW w:w="3509" w:type="pct"/>
            <w:tcBorders>
              <w:top w:val="nil"/>
              <w:left w:val="nil"/>
              <w:bottom w:val="nil"/>
              <w:right w:val="nil"/>
            </w:tcBorders>
            <w:shd w:val="clear" w:color="auto" w:fill="auto"/>
            <w:noWrap/>
            <w:vAlign w:val="bottom"/>
          </w:tcPr>
          <w:p w14:paraId="76AEEA30" w14:textId="77777777" w:rsidR="00B54F4E" w:rsidRPr="00587ACE" w:rsidRDefault="00B54F4E" w:rsidP="006504C4">
            <w:pPr>
              <w:spacing w:before="0" w:after="0"/>
              <w:jc w:val="left"/>
              <w:rPr>
                <w:rFonts w:ascii="Calibri" w:hAnsi="Calibri" w:cs="Calibri"/>
                <w:color w:val="000000"/>
                <w:szCs w:val="22"/>
                <w:lang w:eastAsia="es-CO"/>
              </w:rPr>
            </w:pPr>
            <w:r w:rsidRPr="00587ACE">
              <w:rPr>
                <w:rFonts w:ascii="Calibri" w:hAnsi="Calibri" w:cs="Calibri"/>
                <w:color w:val="000000"/>
                <w:szCs w:val="22"/>
                <w:lang w:eastAsia="es-CO"/>
              </w:rPr>
              <w:t>Térmica Diésel</w:t>
            </w:r>
          </w:p>
        </w:tc>
        <w:tc>
          <w:tcPr>
            <w:tcW w:w="1491" w:type="pct"/>
            <w:tcBorders>
              <w:top w:val="nil"/>
              <w:left w:val="nil"/>
              <w:bottom w:val="nil"/>
              <w:right w:val="nil"/>
            </w:tcBorders>
            <w:shd w:val="clear" w:color="auto" w:fill="auto"/>
            <w:noWrap/>
            <w:vAlign w:val="bottom"/>
          </w:tcPr>
          <w:p w14:paraId="2F5B3BBC" w14:textId="77777777" w:rsidR="00B54F4E" w:rsidRPr="00481439" w:rsidRDefault="00B54F4E" w:rsidP="006504C4">
            <w:pPr>
              <w:spacing w:before="0" w:after="0"/>
              <w:jc w:val="center"/>
              <w:rPr>
                <w:rFonts w:ascii="Calibri" w:hAnsi="Calibri" w:cs="Calibri"/>
                <w:color w:val="000000"/>
                <w:szCs w:val="22"/>
                <w:lang w:eastAsia="es-CO"/>
              </w:rPr>
            </w:pPr>
            <w:r w:rsidRPr="00481439">
              <w:rPr>
                <w:rFonts w:ascii="Calibri" w:hAnsi="Calibri" w:cs="Calibri"/>
                <w:color w:val="000000"/>
                <w:szCs w:val="22"/>
                <w:lang w:eastAsia="es-CO"/>
              </w:rPr>
              <w:t>817</w:t>
            </w:r>
          </w:p>
        </w:tc>
      </w:tr>
      <w:tr w:rsidR="00B54F4E" w:rsidRPr="009F263E" w14:paraId="71379FA4" w14:textId="77777777" w:rsidTr="006504C4">
        <w:trPr>
          <w:trHeight w:val="300"/>
          <w:jc w:val="center"/>
        </w:trPr>
        <w:tc>
          <w:tcPr>
            <w:tcW w:w="3509" w:type="pct"/>
            <w:tcBorders>
              <w:top w:val="nil"/>
              <w:left w:val="nil"/>
              <w:bottom w:val="nil"/>
              <w:right w:val="nil"/>
            </w:tcBorders>
            <w:shd w:val="clear" w:color="auto" w:fill="auto"/>
            <w:noWrap/>
            <w:vAlign w:val="bottom"/>
          </w:tcPr>
          <w:p w14:paraId="1AA3B8B4" w14:textId="77777777" w:rsidR="00B54F4E" w:rsidRPr="00481439" w:rsidRDefault="00B54F4E" w:rsidP="006504C4">
            <w:pPr>
              <w:spacing w:before="0" w:after="0"/>
              <w:jc w:val="left"/>
              <w:rPr>
                <w:rFonts w:ascii="Calibri" w:hAnsi="Calibri" w:cs="Calibri"/>
                <w:color w:val="000000"/>
                <w:szCs w:val="22"/>
                <w:lang w:eastAsia="es-CO"/>
              </w:rPr>
            </w:pPr>
            <w:r w:rsidRPr="00481439">
              <w:rPr>
                <w:rFonts w:ascii="Calibri" w:hAnsi="Calibri" w:cs="Calibri"/>
                <w:color w:val="000000"/>
                <w:szCs w:val="22"/>
                <w:lang w:eastAsia="es-CO"/>
              </w:rPr>
              <w:t>Turbina de gas (GN)</w:t>
            </w:r>
          </w:p>
        </w:tc>
        <w:tc>
          <w:tcPr>
            <w:tcW w:w="1491" w:type="pct"/>
            <w:tcBorders>
              <w:top w:val="nil"/>
              <w:left w:val="nil"/>
              <w:bottom w:val="nil"/>
              <w:right w:val="nil"/>
            </w:tcBorders>
            <w:shd w:val="clear" w:color="auto" w:fill="auto"/>
            <w:noWrap/>
            <w:vAlign w:val="bottom"/>
          </w:tcPr>
          <w:p w14:paraId="15F19D98" w14:textId="77777777" w:rsidR="00B54F4E" w:rsidRPr="00481439" w:rsidRDefault="00B54F4E" w:rsidP="006504C4">
            <w:pPr>
              <w:spacing w:before="0" w:after="0"/>
              <w:jc w:val="center"/>
              <w:rPr>
                <w:rFonts w:ascii="Calibri" w:hAnsi="Calibri" w:cs="Calibri"/>
                <w:color w:val="000000"/>
                <w:szCs w:val="22"/>
                <w:lang w:eastAsia="es-CO"/>
              </w:rPr>
            </w:pPr>
            <w:r w:rsidRPr="00481439">
              <w:rPr>
                <w:rFonts w:ascii="Calibri" w:hAnsi="Calibri" w:cs="Calibri"/>
                <w:color w:val="000000"/>
                <w:szCs w:val="22"/>
                <w:lang w:eastAsia="es-CO"/>
              </w:rPr>
              <w:t>913</w:t>
            </w:r>
          </w:p>
        </w:tc>
      </w:tr>
      <w:tr w:rsidR="00B54F4E" w:rsidRPr="009F263E" w14:paraId="1D0F99A8" w14:textId="77777777" w:rsidTr="006504C4">
        <w:trPr>
          <w:trHeight w:val="300"/>
          <w:jc w:val="center"/>
        </w:trPr>
        <w:tc>
          <w:tcPr>
            <w:tcW w:w="3509" w:type="pct"/>
            <w:tcBorders>
              <w:top w:val="nil"/>
              <w:left w:val="nil"/>
              <w:bottom w:val="nil"/>
              <w:right w:val="nil"/>
            </w:tcBorders>
            <w:shd w:val="clear" w:color="auto" w:fill="auto"/>
            <w:noWrap/>
            <w:vAlign w:val="bottom"/>
          </w:tcPr>
          <w:p w14:paraId="7DF44518" w14:textId="77777777" w:rsidR="00B54F4E" w:rsidRPr="00481439" w:rsidRDefault="00B54F4E" w:rsidP="006504C4">
            <w:pPr>
              <w:spacing w:before="0" w:after="0"/>
              <w:jc w:val="left"/>
              <w:rPr>
                <w:rFonts w:ascii="Calibri" w:hAnsi="Calibri" w:cs="Calibri"/>
                <w:color w:val="000000"/>
                <w:szCs w:val="22"/>
                <w:lang w:eastAsia="es-CO"/>
              </w:rPr>
            </w:pPr>
            <w:r w:rsidRPr="00481439">
              <w:rPr>
                <w:rFonts w:ascii="Calibri" w:hAnsi="Calibri" w:cs="Calibri"/>
                <w:color w:val="000000"/>
                <w:szCs w:val="22"/>
                <w:lang w:eastAsia="es-CO"/>
              </w:rPr>
              <w:t>Solar fotovoltaica</w:t>
            </w:r>
          </w:p>
        </w:tc>
        <w:tc>
          <w:tcPr>
            <w:tcW w:w="1491" w:type="pct"/>
            <w:tcBorders>
              <w:top w:val="nil"/>
              <w:left w:val="nil"/>
              <w:bottom w:val="nil"/>
              <w:right w:val="nil"/>
            </w:tcBorders>
            <w:shd w:val="clear" w:color="auto" w:fill="auto"/>
            <w:noWrap/>
            <w:vAlign w:val="bottom"/>
          </w:tcPr>
          <w:p w14:paraId="1F0BA6ED" w14:textId="77777777" w:rsidR="00B54F4E" w:rsidRPr="00481439" w:rsidRDefault="00B54F4E" w:rsidP="006504C4">
            <w:pPr>
              <w:spacing w:before="0" w:after="0"/>
              <w:jc w:val="center"/>
              <w:rPr>
                <w:rFonts w:ascii="Calibri" w:hAnsi="Calibri" w:cs="Calibri"/>
                <w:color w:val="000000"/>
                <w:szCs w:val="22"/>
                <w:lang w:eastAsia="es-CO"/>
              </w:rPr>
            </w:pPr>
            <w:r w:rsidRPr="00481439">
              <w:rPr>
                <w:rFonts w:ascii="Calibri" w:hAnsi="Calibri" w:cs="Calibri"/>
                <w:color w:val="000000"/>
                <w:szCs w:val="22"/>
                <w:lang w:eastAsia="es-CO"/>
              </w:rPr>
              <w:t>1.605</w:t>
            </w:r>
          </w:p>
        </w:tc>
      </w:tr>
      <w:tr w:rsidR="00B54F4E" w:rsidRPr="009F263E" w14:paraId="77E2A5E2" w14:textId="77777777" w:rsidTr="006504C4">
        <w:trPr>
          <w:trHeight w:val="300"/>
          <w:jc w:val="center"/>
        </w:trPr>
        <w:tc>
          <w:tcPr>
            <w:tcW w:w="3509" w:type="pct"/>
            <w:tcBorders>
              <w:top w:val="nil"/>
              <w:left w:val="nil"/>
              <w:bottom w:val="nil"/>
              <w:right w:val="nil"/>
            </w:tcBorders>
            <w:shd w:val="clear" w:color="auto" w:fill="auto"/>
            <w:noWrap/>
            <w:vAlign w:val="bottom"/>
          </w:tcPr>
          <w:p w14:paraId="7A868769" w14:textId="77777777" w:rsidR="00B54F4E" w:rsidRPr="00481439" w:rsidRDefault="00B54F4E" w:rsidP="006504C4">
            <w:pPr>
              <w:spacing w:before="0" w:after="0"/>
              <w:jc w:val="left"/>
              <w:rPr>
                <w:rFonts w:ascii="Calibri" w:hAnsi="Calibri" w:cs="Calibri"/>
                <w:color w:val="000000"/>
                <w:szCs w:val="22"/>
                <w:lang w:eastAsia="es-CO"/>
              </w:rPr>
            </w:pPr>
            <w:r w:rsidRPr="00481439">
              <w:rPr>
                <w:rFonts w:ascii="Calibri" w:hAnsi="Calibri" w:cs="Calibri"/>
                <w:color w:val="000000"/>
                <w:szCs w:val="22"/>
                <w:lang w:eastAsia="es-CO"/>
              </w:rPr>
              <w:t>Eólica on-shore</w:t>
            </w:r>
          </w:p>
        </w:tc>
        <w:tc>
          <w:tcPr>
            <w:tcW w:w="1491" w:type="pct"/>
            <w:tcBorders>
              <w:top w:val="nil"/>
              <w:left w:val="nil"/>
              <w:bottom w:val="nil"/>
              <w:right w:val="nil"/>
            </w:tcBorders>
            <w:shd w:val="clear" w:color="auto" w:fill="auto"/>
            <w:noWrap/>
            <w:vAlign w:val="bottom"/>
          </w:tcPr>
          <w:p w14:paraId="1605CEFE" w14:textId="77777777" w:rsidR="00B54F4E" w:rsidRPr="00481439" w:rsidRDefault="00B54F4E" w:rsidP="006504C4">
            <w:pPr>
              <w:spacing w:before="0" w:after="0"/>
              <w:jc w:val="center"/>
              <w:rPr>
                <w:rFonts w:ascii="Calibri" w:hAnsi="Calibri" w:cs="Calibri"/>
                <w:color w:val="000000"/>
                <w:szCs w:val="22"/>
                <w:lang w:eastAsia="es-CO"/>
              </w:rPr>
            </w:pPr>
            <w:r w:rsidRPr="00481439">
              <w:rPr>
                <w:rFonts w:ascii="Calibri" w:hAnsi="Calibri" w:cs="Calibri"/>
                <w:color w:val="000000"/>
                <w:szCs w:val="22"/>
                <w:lang w:eastAsia="es-CO"/>
              </w:rPr>
              <w:t>1.879</w:t>
            </w:r>
          </w:p>
        </w:tc>
      </w:tr>
      <w:tr w:rsidR="00B54F4E" w:rsidRPr="009F263E" w14:paraId="0542FD34" w14:textId="77777777" w:rsidTr="006504C4">
        <w:trPr>
          <w:trHeight w:val="300"/>
          <w:jc w:val="center"/>
        </w:trPr>
        <w:tc>
          <w:tcPr>
            <w:tcW w:w="3509" w:type="pct"/>
            <w:tcBorders>
              <w:top w:val="nil"/>
              <w:left w:val="nil"/>
              <w:bottom w:val="single" w:sz="4" w:space="0" w:color="auto"/>
              <w:right w:val="nil"/>
            </w:tcBorders>
            <w:shd w:val="clear" w:color="auto" w:fill="auto"/>
            <w:noWrap/>
            <w:vAlign w:val="bottom"/>
          </w:tcPr>
          <w:p w14:paraId="4D02D778" w14:textId="77777777" w:rsidR="00B54F4E" w:rsidRPr="00481439" w:rsidRDefault="00B54F4E" w:rsidP="006504C4">
            <w:pPr>
              <w:spacing w:before="0" w:after="0"/>
              <w:jc w:val="left"/>
              <w:rPr>
                <w:rFonts w:ascii="Calibri" w:hAnsi="Calibri" w:cs="Calibri"/>
                <w:color w:val="000000"/>
                <w:szCs w:val="22"/>
                <w:lang w:eastAsia="es-CO"/>
              </w:rPr>
            </w:pPr>
            <w:r w:rsidRPr="00481439">
              <w:rPr>
                <w:rFonts w:ascii="Calibri" w:hAnsi="Calibri" w:cs="Calibri"/>
                <w:color w:val="000000"/>
                <w:szCs w:val="22"/>
                <w:lang w:eastAsia="es-CO"/>
              </w:rPr>
              <w:t>Biogás*</w:t>
            </w:r>
          </w:p>
        </w:tc>
        <w:tc>
          <w:tcPr>
            <w:tcW w:w="1491" w:type="pct"/>
            <w:tcBorders>
              <w:top w:val="nil"/>
              <w:left w:val="nil"/>
              <w:bottom w:val="single" w:sz="4" w:space="0" w:color="auto"/>
              <w:right w:val="nil"/>
            </w:tcBorders>
            <w:shd w:val="clear" w:color="auto" w:fill="auto"/>
            <w:noWrap/>
            <w:vAlign w:val="bottom"/>
          </w:tcPr>
          <w:p w14:paraId="011106EA" w14:textId="77777777" w:rsidR="00B54F4E" w:rsidRPr="00481439" w:rsidRDefault="00B54F4E" w:rsidP="006504C4">
            <w:pPr>
              <w:spacing w:before="0" w:after="0"/>
              <w:jc w:val="center"/>
              <w:rPr>
                <w:rFonts w:ascii="Calibri" w:hAnsi="Calibri" w:cs="Calibri"/>
                <w:color w:val="000000"/>
                <w:szCs w:val="22"/>
                <w:lang w:eastAsia="es-CO"/>
              </w:rPr>
            </w:pPr>
            <w:r w:rsidRPr="00481439">
              <w:rPr>
                <w:rFonts w:ascii="Calibri" w:hAnsi="Calibri" w:cs="Calibri"/>
                <w:color w:val="000000"/>
                <w:szCs w:val="22"/>
                <w:lang w:eastAsia="es-CO"/>
              </w:rPr>
              <w:t>2.900</w:t>
            </w:r>
          </w:p>
        </w:tc>
      </w:tr>
    </w:tbl>
    <w:p w14:paraId="75F85E39" w14:textId="77777777" w:rsidR="00B54F4E" w:rsidRDefault="00B54F4E" w:rsidP="00B54F4E">
      <w:pPr>
        <w:spacing w:before="120" w:after="0"/>
        <w:jc w:val="center"/>
        <w:rPr>
          <w:sz w:val="18"/>
          <w:szCs w:val="18"/>
          <w:lang w:val="es-ES"/>
        </w:rPr>
      </w:pPr>
      <w:r w:rsidRPr="00E4588E">
        <w:rPr>
          <w:sz w:val="18"/>
          <w:szCs w:val="18"/>
          <w:lang w:val="es-ES"/>
        </w:rPr>
        <w:t>Fuente: Elabo</w:t>
      </w:r>
      <w:r>
        <w:rPr>
          <w:sz w:val="18"/>
          <w:szCs w:val="18"/>
          <w:lang w:val="es-ES"/>
        </w:rPr>
        <w:t xml:space="preserve">rado con base en información del </w:t>
      </w:r>
      <w:r w:rsidRPr="00481439">
        <w:rPr>
          <w:sz w:val="18"/>
          <w:szCs w:val="18"/>
          <w:lang w:val="es-ES"/>
        </w:rPr>
        <w:t>Plan Indicativo de Generación (ETESA)</w:t>
      </w:r>
    </w:p>
    <w:p w14:paraId="5443AE18" w14:textId="77777777" w:rsidR="00B54F4E" w:rsidRDefault="00B54F4E" w:rsidP="00B54F4E">
      <w:pPr>
        <w:spacing w:before="0" w:after="0"/>
        <w:jc w:val="center"/>
        <w:rPr>
          <w:sz w:val="18"/>
          <w:szCs w:val="18"/>
          <w:lang w:val="es-ES"/>
        </w:rPr>
      </w:pPr>
      <w:r>
        <w:rPr>
          <w:sz w:val="18"/>
          <w:szCs w:val="18"/>
          <w:lang w:val="es-ES"/>
        </w:rPr>
        <w:t>Nota: los costos de inversión se asumen constantes en términos reales en el horizonte de análisis</w:t>
      </w:r>
    </w:p>
    <w:p w14:paraId="437AB333" w14:textId="77777777" w:rsidR="00B54F4E" w:rsidRDefault="00B54F4E" w:rsidP="00B54F4E">
      <w:pPr>
        <w:spacing w:before="0" w:after="0"/>
        <w:jc w:val="center"/>
        <w:rPr>
          <w:sz w:val="18"/>
          <w:szCs w:val="18"/>
          <w:lang w:val="es-ES"/>
        </w:rPr>
      </w:pPr>
      <w:r>
        <w:rPr>
          <w:sz w:val="18"/>
          <w:szCs w:val="18"/>
          <w:lang w:val="es-ES"/>
        </w:rPr>
        <w:t xml:space="preserve">*Referente del Biogás </w:t>
      </w:r>
      <w:r w:rsidRPr="00BF33D9">
        <w:rPr>
          <w:sz w:val="18"/>
          <w:szCs w:val="18"/>
          <w:lang w:val="es-ES"/>
        </w:rPr>
        <w:t>Asimilado a costos del World Energy Outlook 2016</w:t>
      </w:r>
    </w:p>
    <w:p w14:paraId="55397541" w14:textId="77777777" w:rsidR="00B54F4E" w:rsidRDefault="00B54F4E" w:rsidP="00B54F4E">
      <w:pPr>
        <w:spacing w:before="120" w:after="0"/>
        <w:rPr>
          <w:lang w:val="es-ES"/>
        </w:rPr>
      </w:pPr>
    </w:p>
    <w:p w14:paraId="185434A1" w14:textId="77777777" w:rsidR="00B54F4E" w:rsidRPr="00A934E7" w:rsidRDefault="00B54F4E" w:rsidP="00B54F4E">
      <w:pPr>
        <w:rPr>
          <w:b/>
          <w:lang w:val="es-ES" w:eastAsia="es-CO"/>
        </w:rPr>
      </w:pPr>
      <w:r w:rsidRPr="00A934E7">
        <w:rPr>
          <w:b/>
          <w:lang w:val="es-ES" w:eastAsia="es-CO"/>
        </w:rPr>
        <w:t xml:space="preserve">Estimación </w:t>
      </w:r>
      <w:r>
        <w:rPr>
          <w:b/>
          <w:lang w:val="es-ES" w:eastAsia="es-CO"/>
        </w:rPr>
        <w:t>del Beneficio Neto</w:t>
      </w:r>
    </w:p>
    <w:p w14:paraId="7173BB2F" w14:textId="77777777" w:rsidR="00B54F4E" w:rsidRDefault="00B54F4E" w:rsidP="00B54F4E">
      <w:pPr>
        <w:spacing w:before="120" w:after="0"/>
        <w:rPr>
          <w:lang w:val="es-ES"/>
        </w:rPr>
      </w:pPr>
      <w:r>
        <w:rPr>
          <w:lang w:val="es-ES"/>
        </w:rPr>
        <w:t>La estimación del beneficio neto resultado de una mayor penetración de ER a la matriz de generación eléctrica se puede resumir de la siguiente manera:</w:t>
      </w:r>
    </w:p>
    <w:p w14:paraId="7FE0EAD6" w14:textId="77777777" w:rsidR="00B54F4E" w:rsidRDefault="00B54F4E" w:rsidP="00B54F4E">
      <w:pPr>
        <w:spacing w:before="120" w:after="0"/>
        <w:rPr>
          <w:lang w:val="es-ES"/>
        </w:rPr>
      </w:pPr>
    </w:p>
    <w:p w14:paraId="729E222E" w14:textId="77777777" w:rsidR="00B54F4E" w:rsidRDefault="00B54F4E" w:rsidP="00B54F4E">
      <w:pPr>
        <w:spacing w:before="0" w:after="120"/>
        <w:jc w:val="center"/>
        <w:rPr>
          <w:b/>
          <w:lang w:val="es-ES"/>
        </w:rPr>
      </w:pPr>
      <w:r>
        <w:rPr>
          <w:noProof/>
          <w:lang w:val="en-US"/>
        </w:rPr>
        <w:drawing>
          <wp:inline distT="0" distB="0" distL="0" distR="0" wp14:anchorId="69748752" wp14:editId="36783A18">
            <wp:extent cx="3445553" cy="1749287"/>
            <wp:effectExtent l="0" t="0" r="2540" b="381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450823" cy="1751963"/>
                    </a:xfrm>
                    <a:prstGeom prst="rect">
                      <a:avLst/>
                    </a:prstGeom>
                  </pic:spPr>
                </pic:pic>
              </a:graphicData>
            </a:graphic>
          </wp:inline>
        </w:drawing>
      </w:r>
    </w:p>
    <w:p w14:paraId="37922417" w14:textId="77777777" w:rsidR="00B54F4E" w:rsidRPr="00DC6354" w:rsidRDefault="00B54F4E" w:rsidP="00B54F4E">
      <w:pPr>
        <w:pStyle w:val="Heading3"/>
        <w:spacing w:before="120" w:after="0"/>
        <w:rPr>
          <w:lang w:val="es-ES"/>
        </w:rPr>
      </w:pPr>
      <w:bookmarkStart w:id="21" w:name="_Toc476136938"/>
      <w:bookmarkStart w:id="22" w:name="_Toc484097023"/>
      <w:r>
        <w:rPr>
          <w:lang w:val="es-ES"/>
        </w:rPr>
        <w:t xml:space="preserve">Cálculo de beneficios netos del desarrollo de las energías renovables en </w:t>
      </w:r>
      <w:r w:rsidRPr="00DC6354">
        <w:rPr>
          <w:lang w:val="es-ES"/>
        </w:rPr>
        <w:t>el SIN</w:t>
      </w:r>
      <w:bookmarkEnd w:id="21"/>
      <w:bookmarkEnd w:id="22"/>
    </w:p>
    <w:p w14:paraId="7C7F570D" w14:textId="77777777" w:rsidR="00B54F4E" w:rsidRDefault="00B54F4E" w:rsidP="00B54F4E">
      <w:pPr>
        <w:spacing w:before="120" w:after="120"/>
        <w:rPr>
          <w:lang w:val="es-ES"/>
        </w:rPr>
      </w:pPr>
      <w:r>
        <w:rPr>
          <w:lang w:val="es-ES"/>
        </w:rPr>
        <w:t xml:space="preserve">Para la evaluación económica se utilizan los escenarios elaborados por la ETESA en su </w:t>
      </w:r>
      <w:r w:rsidRPr="005B1C80">
        <w:rPr>
          <w:lang w:val="es-ES"/>
        </w:rPr>
        <w:t xml:space="preserve">Plan de Expansión </w:t>
      </w:r>
      <w:r>
        <w:rPr>
          <w:lang w:val="es-ES"/>
        </w:rPr>
        <w:t>del Sistema Interconectado Nacional, donde</w:t>
      </w:r>
      <w:r w:rsidRPr="005009C1">
        <w:rPr>
          <w:lang w:val="es-ES"/>
        </w:rPr>
        <w:t xml:space="preserve"> </w:t>
      </w:r>
      <w:r>
        <w:rPr>
          <w:lang w:val="es-ES"/>
        </w:rPr>
        <w:t>el escenario de referencia considera una expansión con mayor peso de energía térmica frente al escenario renovable, que considera una mayor penetración de energías renovables no convencionales (solar fotovoltaica y eólica)</w:t>
      </w:r>
      <w:r w:rsidRPr="00935A43">
        <w:rPr>
          <w:vertAlign w:val="superscript"/>
        </w:rPr>
        <w:footnoteReference w:id="9"/>
      </w:r>
      <w:r>
        <w:rPr>
          <w:lang w:val="es-ES"/>
        </w:rPr>
        <w:t>. Ambos escenarios consideran la misma expansión de corto plazo, que incluye proyectos aprobados o en ejecución como las dos plantas de generación térmica con GNL (AES Costa Norte y Gas Martano).</w:t>
      </w:r>
      <w:r w:rsidRPr="009F4CC3">
        <w:rPr>
          <w:lang w:val="es-ES"/>
        </w:rPr>
        <w:t xml:space="preserve"> </w:t>
      </w:r>
      <w:r>
        <w:rPr>
          <w:lang w:val="es-ES"/>
        </w:rPr>
        <w:t xml:space="preserve">La </w:t>
      </w:r>
      <w:r>
        <w:rPr>
          <w:lang w:val="es-ES"/>
        </w:rPr>
        <w:fldChar w:fldCharType="begin"/>
      </w:r>
      <w:r>
        <w:rPr>
          <w:lang w:val="es-ES"/>
        </w:rPr>
        <w:instrText xml:space="preserve"> REF _Ref484096787 \h </w:instrText>
      </w:r>
      <w:r>
        <w:rPr>
          <w:lang w:val="es-ES"/>
        </w:rPr>
      </w:r>
      <w:r>
        <w:rPr>
          <w:lang w:val="es-ES"/>
        </w:rPr>
        <w:fldChar w:fldCharType="separate"/>
      </w:r>
      <w:r>
        <w:rPr>
          <w:b/>
        </w:rPr>
        <w:t>Ilustración</w:t>
      </w:r>
      <w:r w:rsidRPr="00F53187">
        <w:rPr>
          <w:b/>
        </w:rPr>
        <w:t xml:space="preserve"> </w:t>
      </w:r>
      <w:r>
        <w:rPr>
          <w:b/>
          <w:noProof/>
        </w:rPr>
        <w:t>1</w:t>
      </w:r>
      <w:r>
        <w:rPr>
          <w:lang w:val="es-ES"/>
        </w:rPr>
        <w:fldChar w:fldCharType="end"/>
      </w:r>
      <w:r>
        <w:rPr>
          <w:lang w:val="es-ES"/>
        </w:rPr>
        <w:t xml:space="preserve"> muestra la potencial composición de la matriz de generación eléctrica a 2030 bajo los dos escenarios de expansión.</w:t>
      </w:r>
    </w:p>
    <w:p w14:paraId="3C3B7F9D" w14:textId="77777777" w:rsidR="00B54F4E" w:rsidRPr="006C4E72" w:rsidRDefault="00B54F4E" w:rsidP="00B54F4E">
      <w:pPr>
        <w:spacing w:before="120" w:after="120"/>
        <w:ind w:left="720"/>
        <w:rPr>
          <w:b/>
        </w:rPr>
      </w:pPr>
      <w:bookmarkStart w:id="23" w:name="_Ref472585914"/>
      <w:bookmarkStart w:id="24" w:name="_Ref484096787"/>
      <w:bookmarkStart w:id="25" w:name="_Toc476136962"/>
      <w:bookmarkStart w:id="26" w:name="_Toc484097076"/>
      <w:r>
        <w:rPr>
          <w:b/>
        </w:rPr>
        <w:lastRenderedPageBreak/>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1</w:t>
      </w:r>
      <w:r>
        <w:rPr>
          <w:b/>
        </w:rPr>
        <w:fldChar w:fldCharType="end"/>
      </w:r>
      <w:bookmarkEnd w:id="23"/>
      <w:bookmarkEnd w:id="24"/>
      <w:r>
        <w:rPr>
          <w:b/>
        </w:rPr>
        <w:t xml:space="preserve"> – Potencial composición de la matriz de generación </w:t>
      </w:r>
      <w:bookmarkEnd w:id="25"/>
      <w:r>
        <w:rPr>
          <w:b/>
        </w:rPr>
        <w:t>con</w:t>
      </w:r>
      <w:bookmarkEnd w:id="26"/>
      <w:r>
        <w:rPr>
          <w:b/>
        </w:rPr>
        <w:t xml:space="preserve"> </w:t>
      </w:r>
    </w:p>
    <w:tbl>
      <w:tblPr>
        <w:tblStyle w:val="TableGrid"/>
        <w:tblW w:w="0" w:type="auto"/>
        <w:tblLook w:val="04A0" w:firstRow="1" w:lastRow="0" w:firstColumn="1" w:lastColumn="0" w:noHBand="0" w:noVBand="1"/>
      </w:tblPr>
      <w:tblGrid>
        <w:gridCol w:w="4414"/>
        <w:gridCol w:w="4414"/>
      </w:tblGrid>
      <w:tr w:rsidR="00B54F4E" w14:paraId="7C827A48" w14:textId="77777777" w:rsidTr="006504C4">
        <w:tc>
          <w:tcPr>
            <w:tcW w:w="4414" w:type="dxa"/>
            <w:tcBorders>
              <w:top w:val="nil"/>
              <w:left w:val="nil"/>
              <w:bottom w:val="nil"/>
              <w:right w:val="nil"/>
            </w:tcBorders>
          </w:tcPr>
          <w:p w14:paraId="519B8778" w14:textId="77777777" w:rsidR="00B54F4E" w:rsidRDefault="00B54F4E" w:rsidP="006504C4">
            <w:pPr>
              <w:spacing w:before="0" w:after="0"/>
              <w:jc w:val="center"/>
              <w:rPr>
                <w:b/>
                <w:sz w:val="20"/>
                <w:lang w:val="es-ES"/>
              </w:rPr>
            </w:pPr>
            <w:r w:rsidRPr="00DB645A">
              <w:rPr>
                <w:b/>
                <w:sz w:val="20"/>
                <w:lang w:val="es-ES"/>
              </w:rPr>
              <w:t>Escenario de Referencia</w:t>
            </w:r>
          </w:p>
          <w:p w14:paraId="56A8F3D7" w14:textId="77777777" w:rsidR="00B54F4E" w:rsidRPr="00E84A75" w:rsidRDefault="00B54F4E" w:rsidP="006504C4">
            <w:pPr>
              <w:spacing w:before="0" w:after="0"/>
              <w:jc w:val="center"/>
              <w:rPr>
                <w:sz w:val="20"/>
                <w:lang w:val="es-ES"/>
              </w:rPr>
            </w:pPr>
            <w:r>
              <w:rPr>
                <w:sz w:val="20"/>
                <w:lang w:val="es-ES"/>
              </w:rPr>
              <w:t>Capacidad instalada 6.815</w:t>
            </w:r>
            <w:r w:rsidRPr="00E84A75">
              <w:rPr>
                <w:sz w:val="20"/>
                <w:lang w:val="es-ES"/>
              </w:rPr>
              <w:t xml:space="preserve"> MW</w:t>
            </w:r>
          </w:p>
        </w:tc>
        <w:tc>
          <w:tcPr>
            <w:tcW w:w="4414" w:type="dxa"/>
            <w:tcBorders>
              <w:top w:val="nil"/>
              <w:left w:val="nil"/>
              <w:bottom w:val="nil"/>
              <w:right w:val="nil"/>
            </w:tcBorders>
          </w:tcPr>
          <w:p w14:paraId="2A9F5281" w14:textId="77777777" w:rsidR="00B54F4E" w:rsidRDefault="00B54F4E" w:rsidP="006504C4">
            <w:pPr>
              <w:spacing w:before="0" w:after="0"/>
              <w:jc w:val="center"/>
              <w:rPr>
                <w:b/>
                <w:sz w:val="20"/>
                <w:lang w:val="es-ES"/>
              </w:rPr>
            </w:pPr>
            <w:r w:rsidRPr="00DB645A">
              <w:rPr>
                <w:b/>
                <w:sz w:val="20"/>
                <w:lang w:val="es-ES"/>
              </w:rPr>
              <w:t xml:space="preserve">Escenario </w:t>
            </w:r>
            <w:r>
              <w:rPr>
                <w:b/>
                <w:sz w:val="20"/>
                <w:lang w:val="es-ES"/>
              </w:rPr>
              <w:t>Renovable</w:t>
            </w:r>
          </w:p>
          <w:p w14:paraId="3D2CD8B5" w14:textId="77777777" w:rsidR="00B54F4E" w:rsidRPr="00DB645A" w:rsidRDefault="00B54F4E" w:rsidP="006504C4">
            <w:pPr>
              <w:spacing w:before="0" w:after="0"/>
              <w:jc w:val="center"/>
              <w:rPr>
                <w:b/>
                <w:sz w:val="20"/>
                <w:lang w:val="es-ES"/>
              </w:rPr>
            </w:pPr>
            <w:r w:rsidRPr="00E84A75">
              <w:rPr>
                <w:sz w:val="20"/>
                <w:lang w:val="es-ES"/>
              </w:rPr>
              <w:t>Capacidad instalada</w:t>
            </w:r>
            <w:r>
              <w:rPr>
                <w:sz w:val="20"/>
                <w:lang w:val="es-ES"/>
              </w:rPr>
              <w:t xml:space="preserve"> 7</w:t>
            </w:r>
            <w:r w:rsidRPr="00E84A75">
              <w:rPr>
                <w:sz w:val="20"/>
                <w:lang w:val="es-ES"/>
              </w:rPr>
              <w:t>.</w:t>
            </w:r>
            <w:r>
              <w:rPr>
                <w:sz w:val="20"/>
                <w:lang w:val="es-ES"/>
              </w:rPr>
              <w:t>641</w:t>
            </w:r>
            <w:r w:rsidRPr="00E84A75">
              <w:rPr>
                <w:sz w:val="20"/>
                <w:lang w:val="es-ES"/>
              </w:rPr>
              <w:t xml:space="preserve"> MW</w:t>
            </w:r>
          </w:p>
        </w:tc>
      </w:tr>
      <w:tr w:rsidR="00B54F4E" w14:paraId="6C5A4AD4" w14:textId="77777777" w:rsidTr="006504C4">
        <w:tc>
          <w:tcPr>
            <w:tcW w:w="4414" w:type="dxa"/>
            <w:tcBorders>
              <w:top w:val="nil"/>
              <w:left w:val="single" w:sz="4" w:space="0" w:color="FFFFFF" w:themeColor="background1"/>
              <w:bottom w:val="single" w:sz="4" w:space="0" w:color="FFFFFF" w:themeColor="background1"/>
              <w:right w:val="single" w:sz="4" w:space="0" w:color="FFFFFF" w:themeColor="background1"/>
            </w:tcBorders>
          </w:tcPr>
          <w:p w14:paraId="349A16E4" w14:textId="77777777" w:rsidR="00B54F4E" w:rsidRDefault="00B54F4E" w:rsidP="006504C4">
            <w:pPr>
              <w:jc w:val="center"/>
              <w:rPr>
                <w:sz w:val="20"/>
                <w:lang w:val="es-ES"/>
              </w:rPr>
            </w:pPr>
            <w:r>
              <w:rPr>
                <w:noProof/>
                <w:lang w:val="en-US"/>
              </w:rPr>
              <w:drawing>
                <wp:inline distT="0" distB="0" distL="0" distR="0" wp14:anchorId="3D597460" wp14:editId="2BD24F8F">
                  <wp:extent cx="2033329" cy="1837426"/>
                  <wp:effectExtent l="0" t="0" r="508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40883" cy="1844252"/>
                          </a:xfrm>
                          <a:prstGeom prst="rect">
                            <a:avLst/>
                          </a:prstGeom>
                        </pic:spPr>
                      </pic:pic>
                    </a:graphicData>
                  </a:graphic>
                </wp:inline>
              </w:drawing>
            </w:r>
          </w:p>
        </w:tc>
        <w:tc>
          <w:tcPr>
            <w:tcW w:w="4414" w:type="dxa"/>
            <w:tcBorders>
              <w:top w:val="nil"/>
              <w:left w:val="single" w:sz="4" w:space="0" w:color="FFFFFF" w:themeColor="background1"/>
              <w:bottom w:val="single" w:sz="4" w:space="0" w:color="FFFFFF" w:themeColor="background1"/>
              <w:right w:val="single" w:sz="4" w:space="0" w:color="FFFFFF" w:themeColor="background1"/>
            </w:tcBorders>
          </w:tcPr>
          <w:p w14:paraId="166CF0B0" w14:textId="77777777" w:rsidR="00B54F4E" w:rsidRDefault="00B54F4E" w:rsidP="006504C4">
            <w:pPr>
              <w:jc w:val="center"/>
              <w:rPr>
                <w:sz w:val="20"/>
                <w:lang w:val="es-ES"/>
              </w:rPr>
            </w:pPr>
            <w:r>
              <w:rPr>
                <w:noProof/>
                <w:lang w:val="en-US"/>
              </w:rPr>
              <w:drawing>
                <wp:inline distT="0" distB="0" distL="0" distR="0" wp14:anchorId="3E42DBC5" wp14:editId="25F5DE99">
                  <wp:extent cx="2113472" cy="1808708"/>
                  <wp:effectExtent l="0" t="0" r="1270" b="127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125608" cy="1819094"/>
                          </a:xfrm>
                          <a:prstGeom prst="rect">
                            <a:avLst/>
                          </a:prstGeom>
                        </pic:spPr>
                      </pic:pic>
                    </a:graphicData>
                  </a:graphic>
                </wp:inline>
              </w:drawing>
            </w:r>
          </w:p>
        </w:tc>
      </w:tr>
      <w:tr w:rsidR="00B54F4E" w14:paraId="0FC9B05B" w14:textId="77777777" w:rsidTr="006504C4">
        <w:tc>
          <w:tcPr>
            <w:tcW w:w="882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EF59E60" w14:textId="77777777" w:rsidR="00B54F4E" w:rsidRDefault="00B54F4E" w:rsidP="006504C4">
            <w:pPr>
              <w:jc w:val="center"/>
              <w:rPr>
                <w:sz w:val="20"/>
                <w:lang w:val="es-ES"/>
              </w:rPr>
            </w:pPr>
            <w:r>
              <w:rPr>
                <w:noProof/>
                <w:lang w:val="en-US"/>
              </w:rPr>
              <w:drawing>
                <wp:anchor distT="0" distB="0" distL="114300" distR="114300" simplePos="0" relativeHeight="251660288" behindDoc="0" locked="0" layoutInCell="1" allowOverlap="1" wp14:anchorId="646958BD" wp14:editId="387E3D9A">
                  <wp:simplePos x="0" y="0"/>
                  <wp:positionH relativeFrom="column">
                    <wp:posOffset>912232</wp:posOffset>
                  </wp:positionH>
                  <wp:positionV relativeFrom="paragraph">
                    <wp:posOffset>456</wp:posOffset>
                  </wp:positionV>
                  <wp:extent cx="3724275" cy="323850"/>
                  <wp:effectExtent l="0" t="0" r="9525" b="0"/>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724275" cy="323850"/>
                          </a:xfrm>
                          <a:prstGeom prst="rect">
                            <a:avLst/>
                          </a:prstGeom>
                        </pic:spPr>
                      </pic:pic>
                    </a:graphicData>
                  </a:graphic>
                </wp:anchor>
              </w:drawing>
            </w:r>
          </w:p>
        </w:tc>
      </w:tr>
    </w:tbl>
    <w:p w14:paraId="477F409D" w14:textId="77777777" w:rsidR="00B54F4E" w:rsidRDefault="00B54F4E" w:rsidP="00B54F4E">
      <w:pPr>
        <w:spacing w:before="0" w:after="0"/>
        <w:jc w:val="center"/>
        <w:rPr>
          <w:sz w:val="18"/>
          <w:szCs w:val="18"/>
          <w:lang w:val="es-ES"/>
        </w:rPr>
      </w:pPr>
      <w:r w:rsidRPr="00643F0D">
        <w:rPr>
          <w:sz w:val="18"/>
          <w:szCs w:val="18"/>
          <w:lang w:val="es-ES"/>
        </w:rPr>
        <w:t xml:space="preserve">Fuente: </w:t>
      </w:r>
      <w:r w:rsidRPr="00E4588E">
        <w:rPr>
          <w:sz w:val="18"/>
          <w:szCs w:val="18"/>
          <w:lang w:val="es-ES"/>
        </w:rPr>
        <w:t>Elabo</w:t>
      </w:r>
      <w:r>
        <w:rPr>
          <w:sz w:val="18"/>
          <w:szCs w:val="18"/>
          <w:lang w:val="es-ES"/>
        </w:rPr>
        <w:t xml:space="preserve">rado con base en información del </w:t>
      </w:r>
      <w:r w:rsidRPr="00481439">
        <w:rPr>
          <w:sz w:val="18"/>
          <w:szCs w:val="18"/>
          <w:lang w:val="es-ES"/>
        </w:rPr>
        <w:t>Plan Indicativo de Generación (ETESA)</w:t>
      </w:r>
    </w:p>
    <w:p w14:paraId="77DEB1A8" w14:textId="77777777" w:rsidR="00B54F4E" w:rsidRDefault="00B54F4E" w:rsidP="00B54F4E">
      <w:pPr>
        <w:spacing w:before="0" w:after="0"/>
        <w:jc w:val="center"/>
        <w:rPr>
          <w:sz w:val="18"/>
          <w:szCs w:val="18"/>
          <w:lang w:val="es-ES"/>
        </w:rPr>
      </w:pPr>
    </w:p>
    <w:p w14:paraId="35526614" w14:textId="77777777" w:rsidR="00B54F4E" w:rsidRDefault="00B54F4E" w:rsidP="00B54F4E">
      <w:pPr>
        <w:spacing w:before="120" w:after="0"/>
        <w:rPr>
          <w:lang w:val="es-ES"/>
        </w:rPr>
      </w:pPr>
      <w:r>
        <w:rPr>
          <w:lang w:val="es-ES"/>
        </w:rPr>
        <w:t>La entrada en operación de la nueva capacidad instalada</w:t>
      </w:r>
      <w:r>
        <w:rPr>
          <w:rStyle w:val="FootnoteReference"/>
          <w:lang w:val="es-ES"/>
        </w:rPr>
        <w:footnoteReference w:id="10"/>
      </w:r>
      <w:r>
        <w:rPr>
          <w:lang w:val="es-ES"/>
        </w:rPr>
        <w:t xml:space="preserve"> en el sistema en cada caso se muestra en la </w:t>
      </w:r>
      <w:r>
        <w:rPr>
          <w:lang w:val="es-ES"/>
        </w:rPr>
        <w:fldChar w:fldCharType="begin"/>
      </w:r>
      <w:r>
        <w:rPr>
          <w:lang w:val="es-ES"/>
        </w:rPr>
        <w:instrText xml:space="preserve"> REF _Ref482010474 \h </w:instrText>
      </w:r>
      <w:r>
        <w:rPr>
          <w:lang w:val="es-ES"/>
        </w:rPr>
      </w:r>
      <w:r>
        <w:rPr>
          <w:lang w:val="es-ES"/>
        </w:rPr>
        <w:fldChar w:fldCharType="separate"/>
      </w:r>
      <w:r w:rsidRPr="008C12BC">
        <w:rPr>
          <w:b/>
        </w:rPr>
        <w:t xml:space="preserve">Tabla </w:t>
      </w:r>
      <w:r>
        <w:rPr>
          <w:b/>
          <w:noProof/>
        </w:rPr>
        <w:t>2</w:t>
      </w:r>
      <w:r>
        <w:rPr>
          <w:lang w:val="es-ES"/>
        </w:rPr>
        <w:fldChar w:fldCharType="end"/>
      </w:r>
      <w:r>
        <w:rPr>
          <w:lang w:val="es-ES"/>
        </w:rPr>
        <w:t>. Se debe anotar que el escenario renovable de todos modos requiere de una importante instalación de capacidad de generación térmica debido a la firmeza necesaria para respaldar la generación intermitente de estas fuentes de energía. Se precisa que en ambos escenarios la nueva capacidad de generación con GN contratada mediante las dos licitaciones realizadas por ETESA ya se encuentra incluida en la matriz de generación tal como se observa en la tabla mencionada, y el beneficio asociado a dicha capacidad de GN se evalúa en la siguiente sección.</w:t>
      </w:r>
    </w:p>
    <w:p w14:paraId="3522E469" w14:textId="77777777" w:rsidR="00B54F4E" w:rsidRDefault="00B54F4E" w:rsidP="00B54F4E">
      <w:pPr>
        <w:rPr>
          <w:lang w:val="es-ES"/>
        </w:rPr>
      </w:pPr>
      <w:r>
        <w:rPr>
          <w:lang w:val="es-ES"/>
        </w:rPr>
        <w:t>Considerando el modelo de despacho óptimo según las proyecciones de ambos escenarios, y los costos de generación de cada tecnología, se obtienen los costos totales de generación según escenario.</w:t>
      </w:r>
    </w:p>
    <w:p w14:paraId="16A14D24" w14:textId="77777777" w:rsidR="00B54F4E" w:rsidRDefault="00B54F4E" w:rsidP="00B54F4E">
      <w:pPr>
        <w:ind w:left="720"/>
        <w:jc w:val="center"/>
        <w:rPr>
          <w:b/>
        </w:rPr>
      </w:pPr>
      <w:bookmarkStart w:id="27" w:name="_Ref476068517"/>
      <w:bookmarkStart w:id="28" w:name="_Ref482010474"/>
      <w:bookmarkStart w:id="29" w:name="_Toc476136967"/>
      <w:bookmarkStart w:id="30" w:name="_Toc484097042"/>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w:t>
      </w:r>
      <w:r w:rsidRPr="008C12BC">
        <w:rPr>
          <w:b/>
        </w:rPr>
        <w:fldChar w:fldCharType="end"/>
      </w:r>
      <w:bookmarkEnd w:id="27"/>
      <w:bookmarkEnd w:id="28"/>
      <w:r w:rsidRPr="008C12BC">
        <w:rPr>
          <w:b/>
        </w:rPr>
        <w:t xml:space="preserve"> – </w:t>
      </w:r>
      <w:r>
        <w:rPr>
          <w:b/>
        </w:rPr>
        <w:t xml:space="preserve">Entrada en operación de la nueva capacidad instalada según </w:t>
      </w:r>
      <w:r w:rsidRPr="001D3B5B">
        <w:rPr>
          <w:b/>
        </w:rPr>
        <w:t>escenario</w:t>
      </w:r>
      <w:bookmarkEnd w:id="29"/>
      <w:r w:rsidRPr="001D3B5B">
        <w:rPr>
          <w:b/>
        </w:rPr>
        <w:t xml:space="preserve"> (nuevas inversiones)</w:t>
      </w:r>
      <w:bookmarkEnd w:id="30"/>
    </w:p>
    <w:tbl>
      <w:tblPr>
        <w:tblW w:w="4972" w:type="pct"/>
        <w:tblCellMar>
          <w:left w:w="70" w:type="dxa"/>
          <w:right w:w="70" w:type="dxa"/>
        </w:tblCellMar>
        <w:tblLook w:val="04A0" w:firstRow="1" w:lastRow="0" w:firstColumn="1" w:lastColumn="0" w:noHBand="0" w:noVBand="1"/>
      </w:tblPr>
      <w:tblGrid>
        <w:gridCol w:w="1861"/>
        <w:gridCol w:w="496"/>
        <w:gridCol w:w="496"/>
        <w:gridCol w:w="496"/>
        <w:gridCol w:w="496"/>
        <w:gridCol w:w="496"/>
        <w:gridCol w:w="495"/>
        <w:gridCol w:w="495"/>
        <w:gridCol w:w="495"/>
        <w:gridCol w:w="495"/>
        <w:gridCol w:w="495"/>
        <w:gridCol w:w="495"/>
        <w:gridCol w:w="495"/>
        <w:gridCol w:w="495"/>
        <w:gridCol w:w="483"/>
      </w:tblGrid>
      <w:tr w:rsidR="00B54F4E" w:rsidRPr="00D65B1A" w14:paraId="55359F44" w14:textId="77777777" w:rsidTr="006504C4">
        <w:trPr>
          <w:trHeight w:val="290"/>
        </w:trPr>
        <w:tc>
          <w:tcPr>
            <w:tcW w:w="1059" w:type="pct"/>
            <w:tcBorders>
              <w:top w:val="nil"/>
              <w:left w:val="nil"/>
              <w:bottom w:val="single" w:sz="4" w:space="0" w:color="auto"/>
              <w:right w:val="single" w:sz="4" w:space="0" w:color="FFFFFF" w:themeColor="background1"/>
            </w:tcBorders>
            <w:shd w:val="clear" w:color="auto" w:fill="1F3864" w:themeFill="accent1" w:themeFillShade="80"/>
            <w:noWrap/>
            <w:vAlign w:val="center"/>
            <w:hideMark/>
          </w:tcPr>
          <w:p w14:paraId="45190C02" w14:textId="77777777" w:rsidR="00B54F4E" w:rsidRDefault="00B54F4E" w:rsidP="006504C4">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Escenario de Referencia</w:t>
            </w:r>
          </w:p>
          <w:p w14:paraId="6CEE8FD3" w14:textId="77777777" w:rsidR="00B54F4E" w:rsidRPr="00D65B1A" w:rsidRDefault="00B54F4E" w:rsidP="006504C4">
            <w:pPr>
              <w:spacing w:before="0" w:after="0"/>
              <w:jc w:val="center"/>
              <w:rPr>
                <w:rFonts w:ascii="Calibri" w:hAnsi="Calibri" w:cs="Calibri"/>
                <w:color w:val="000000"/>
                <w:sz w:val="16"/>
                <w:szCs w:val="22"/>
                <w:lang w:eastAsia="es-CO"/>
              </w:rPr>
            </w:pPr>
            <w:r w:rsidRPr="006A081E">
              <w:rPr>
                <w:rFonts w:ascii="Calibri" w:hAnsi="Calibri" w:cs="Calibri"/>
                <w:color w:val="FFFFFF"/>
                <w:sz w:val="16"/>
                <w:szCs w:val="22"/>
                <w:lang w:eastAsia="es-CO"/>
              </w:rPr>
              <w:t>(MW)</w:t>
            </w:r>
          </w:p>
        </w:tc>
        <w:tc>
          <w:tcPr>
            <w:tcW w:w="282" w:type="pct"/>
            <w:tcBorders>
              <w:top w:val="single" w:sz="4" w:space="0" w:color="FFFFFF"/>
              <w:left w:val="single" w:sz="4" w:space="0" w:color="FFFFFF" w:themeColor="background1"/>
              <w:bottom w:val="single" w:sz="4" w:space="0" w:color="auto"/>
              <w:right w:val="single" w:sz="4" w:space="0" w:color="FFFFFF"/>
            </w:tcBorders>
            <w:shd w:val="clear" w:color="auto" w:fill="1F3864" w:themeFill="accent1" w:themeFillShade="80"/>
            <w:noWrap/>
            <w:vAlign w:val="center"/>
            <w:hideMark/>
          </w:tcPr>
          <w:p w14:paraId="17108F76"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2017</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715C5471"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2018</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7E206430"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2019</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3BB0906E"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2020</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7FA1A3B3"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2021</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7711FEC3"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2022</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08677F0C"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2023</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05819ABF"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2024</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581A4B61"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2025</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03CAB8B6"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2026</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131CC3E2"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2027</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51937D8E"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2028</w:t>
            </w:r>
          </w:p>
        </w:tc>
        <w:tc>
          <w:tcPr>
            <w:tcW w:w="282" w:type="pct"/>
            <w:tcBorders>
              <w:top w:val="single" w:sz="4" w:space="0" w:color="FFFFFF"/>
              <w:left w:val="nil"/>
              <w:bottom w:val="single" w:sz="4" w:space="0" w:color="auto"/>
              <w:right w:val="nil"/>
            </w:tcBorders>
            <w:shd w:val="clear" w:color="auto" w:fill="1F3864" w:themeFill="accent1" w:themeFillShade="80"/>
            <w:noWrap/>
            <w:vAlign w:val="center"/>
            <w:hideMark/>
          </w:tcPr>
          <w:p w14:paraId="2244A33A"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2029</w:t>
            </w:r>
          </w:p>
        </w:tc>
        <w:tc>
          <w:tcPr>
            <w:tcW w:w="276" w:type="pct"/>
            <w:tcBorders>
              <w:top w:val="single" w:sz="4" w:space="0" w:color="FFFFFF"/>
              <w:left w:val="single" w:sz="4" w:space="0" w:color="FFFFFF"/>
              <w:bottom w:val="single" w:sz="4" w:space="0" w:color="auto"/>
              <w:right w:val="single" w:sz="4" w:space="0" w:color="FFFFFF"/>
            </w:tcBorders>
            <w:shd w:val="clear" w:color="auto" w:fill="1F3864" w:themeFill="accent1" w:themeFillShade="80"/>
            <w:noWrap/>
            <w:vAlign w:val="center"/>
            <w:hideMark/>
          </w:tcPr>
          <w:p w14:paraId="3E36BE77"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2030</w:t>
            </w:r>
          </w:p>
        </w:tc>
      </w:tr>
      <w:tr w:rsidR="00B54F4E" w:rsidRPr="00D65B1A" w14:paraId="21FB9CEF"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052BCAD9" w14:textId="77777777" w:rsidR="00B54F4E" w:rsidRPr="00D65B1A" w:rsidRDefault="00B54F4E" w:rsidP="006504C4">
            <w:pPr>
              <w:spacing w:before="0" w:after="0"/>
              <w:jc w:val="left"/>
              <w:rPr>
                <w:rFonts w:ascii="Calibri" w:hAnsi="Calibri" w:cs="Calibri"/>
                <w:color w:val="000000"/>
                <w:sz w:val="16"/>
                <w:szCs w:val="22"/>
                <w:lang w:eastAsia="es-CO"/>
              </w:rPr>
            </w:pPr>
            <w:r>
              <w:rPr>
                <w:rFonts w:ascii="Calibri" w:hAnsi="Calibri" w:cs="Calibri"/>
                <w:color w:val="000000"/>
                <w:sz w:val="16"/>
                <w:szCs w:val="22"/>
                <w:lang w:eastAsia="es-CO"/>
              </w:rPr>
              <w:t>Hidroeléctrica de Embalse</w:t>
            </w:r>
          </w:p>
        </w:tc>
        <w:tc>
          <w:tcPr>
            <w:tcW w:w="282" w:type="pct"/>
            <w:tcBorders>
              <w:top w:val="nil"/>
              <w:left w:val="single" w:sz="4" w:space="0" w:color="auto"/>
              <w:bottom w:val="nil"/>
              <w:right w:val="nil"/>
            </w:tcBorders>
            <w:shd w:val="clear" w:color="auto" w:fill="auto"/>
            <w:noWrap/>
            <w:vAlign w:val="bottom"/>
            <w:hideMark/>
          </w:tcPr>
          <w:p w14:paraId="7C11A3D2"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4BC6A9F2"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F729018"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090EA0C5"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21</w:t>
            </w:r>
            <w:r w:rsidRPr="00904BAC">
              <w:rPr>
                <w:rFonts w:ascii="Calibri" w:hAnsi="Calibri" w:cs="Calibri"/>
                <w:color w:val="000000" w:themeColor="text1"/>
                <w:sz w:val="16"/>
                <w:szCs w:val="22"/>
                <w:lang w:eastAsia="es-CO"/>
              </w:rPr>
              <w:t>5</w:t>
            </w:r>
          </w:p>
        </w:tc>
        <w:tc>
          <w:tcPr>
            <w:tcW w:w="282" w:type="pct"/>
            <w:tcBorders>
              <w:top w:val="nil"/>
              <w:left w:val="nil"/>
              <w:bottom w:val="nil"/>
              <w:right w:val="nil"/>
            </w:tcBorders>
            <w:shd w:val="clear" w:color="auto" w:fill="auto"/>
            <w:noWrap/>
            <w:vAlign w:val="bottom"/>
            <w:hideMark/>
          </w:tcPr>
          <w:p w14:paraId="113A53F3"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05B35577"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4BE274F2"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49AD4307"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6F13897"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3F14B28D"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8129FD2"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D89F18A"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50040217"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76" w:type="pct"/>
            <w:tcBorders>
              <w:top w:val="nil"/>
              <w:left w:val="nil"/>
              <w:bottom w:val="nil"/>
              <w:right w:val="single" w:sz="4" w:space="0" w:color="auto"/>
            </w:tcBorders>
            <w:shd w:val="clear" w:color="auto" w:fill="auto"/>
            <w:noWrap/>
            <w:vAlign w:val="bottom"/>
            <w:hideMark/>
          </w:tcPr>
          <w:p w14:paraId="44D106B8" w14:textId="77777777" w:rsidR="00B54F4E" w:rsidRPr="00D65B1A" w:rsidRDefault="00B54F4E" w:rsidP="006504C4">
            <w:pPr>
              <w:spacing w:before="0" w:after="0"/>
              <w:jc w:val="center"/>
              <w:rPr>
                <w:rFonts w:ascii="Times New Roman" w:hAnsi="Times New Roman"/>
                <w:color w:val="000000" w:themeColor="text1"/>
                <w:sz w:val="16"/>
                <w:lang w:eastAsia="es-CO"/>
              </w:rPr>
            </w:pPr>
          </w:p>
        </w:tc>
      </w:tr>
      <w:tr w:rsidR="00B54F4E" w:rsidRPr="00D65B1A" w14:paraId="7126EEC9"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4CC0395E" w14:textId="77777777" w:rsidR="00B54F4E" w:rsidRPr="00D65B1A" w:rsidRDefault="00B54F4E" w:rsidP="006504C4">
            <w:pPr>
              <w:spacing w:before="0" w:after="0"/>
              <w:jc w:val="left"/>
              <w:rPr>
                <w:rFonts w:ascii="Calibri" w:hAnsi="Calibri" w:cs="Calibri"/>
                <w:color w:val="000000"/>
                <w:sz w:val="16"/>
                <w:szCs w:val="22"/>
                <w:lang w:eastAsia="es-CO"/>
              </w:rPr>
            </w:pPr>
            <w:r w:rsidRPr="00D65B1A">
              <w:rPr>
                <w:rFonts w:ascii="Calibri" w:hAnsi="Calibri" w:cs="Calibri"/>
                <w:color w:val="000000"/>
                <w:sz w:val="16"/>
                <w:szCs w:val="22"/>
                <w:lang w:eastAsia="es-CO"/>
              </w:rPr>
              <w:t>Gas</w:t>
            </w:r>
          </w:p>
        </w:tc>
        <w:tc>
          <w:tcPr>
            <w:tcW w:w="282" w:type="pct"/>
            <w:tcBorders>
              <w:top w:val="nil"/>
              <w:left w:val="single" w:sz="4" w:space="0" w:color="auto"/>
              <w:bottom w:val="nil"/>
              <w:right w:val="nil"/>
            </w:tcBorders>
            <w:shd w:val="clear" w:color="auto" w:fill="auto"/>
            <w:noWrap/>
            <w:vAlign w:val="bottom"/>
            <w:hideMark/>
          </w:tcPr>
          <w:p w14:paraId="05659C00"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61E5F1A"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381</w:t>
            </w:r>
          </w:p>
        </w:tc>
        <w:tc>
          <w:tcPr>
            <w:tcW w:w="282" w:type="pct"/>
            <w:tcBorders>
              <w:top w:val="nil"/>
              <w:left w:val="nil"/>
              <w:bottom w:val="nil"/>
              <w:right w:val="nil"/>
            </w:tcBorders>
            <w:shd w:val="clear" w:color="auto" w:fill="auto"/>
            <w:noWrap/>
            <w:vAlign w:val="bottom"/>
            <w:hideMark/>
          </w:tcPr>
          <w:p w14:paraId="76333DA3"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168</w:t>
            </w:r>
          </w:p>
        </w:tc>
        <w:tc>
          <w:tcPr>
            <w:tcW w:w="282" w:type="pct"/>
            <w:tcBorders>
              <w:top w:val="nil"/>
              <w:left w:val="nil"/>
              <w:bottom w:val="nil"/>
              <w:right w:val="nil"/>
            </w:tcBorders>
            <w:shd w:val="clear" w:color="auto" w:fill="auto"/>
            <w:noWrap/>
            <w:vAlign w:val="bottom"/>
            <w:hideMark/>
          </w:tcPr>
          <w:p w14:paraId="26D08436"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413</w:t>
            </w:r>
          </w:p>
        </w:tc>
        <w:tc>
          <w:tcPr>
            <w:tcW w:w="282" w:type="pct"/>
            <w:tcBorders>
              <w:top w:val="nil"/>
              <w:left w:val="nil"/>
              <w:bottom w:val="nil"/>
              <w:right w:val="nil"/>
            </w:tcBorders>
            <w:shd w:val="clear" w:color="auto" w:fill="auto"/>
            <w:noWrap/>
            <w:vAlign w:val="bottom"/>
            <w:hideMark/>
          </w:tcPr>
          <w:p w14:paraId="286CD7F9"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72A62274"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6A84A26A"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D57BA75"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99927AC"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393AD0D"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400</w:t>
            </w:r>
          </w:p>
        </w:tc>
        <w:tc>
          <w:tcPr>
            <w:tcW w:w="282" w:type="pct"/>
            <w:tcBorders>
              <w:top w:val="nil"/>
              <w:left w:val="nil"/>
              <w:bottom w:val="nil"/>
              <w:right w:val="nil"/>
            </w:tcBorders>
            <w:shd w:val="clear" w:color="auto" w:fill="auto"/>
            <w:noWrap/>
            <w:vAlign w:val="bottom"/>
            <w:hideMark/>
          </w:tcPr>
          <w:p w14:paraId="0362B513"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7CC95C5C"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100</w:t>
            </w:r>
          </w:p>
        </w:tc>
        <w:tc>
          <w:tcPr>
            <w:tcW w:w="282" w:type="pct"/>
            <w:tcBorders>
              <w:top w:val="nil"/>
              <w:left w:val="nil"/>
              <w:bottom w:val="nil"/>
              <w:right w:val="nil"/>
            </w:tcBorders>
            <w:shd w:val="clear" w:color="auto" w:fill="auto"/>
            <w:noWrap/>
            <w:vAlign w:val="bottom"/>
            <w:hideMark/>
          </w:tcPr>
          <w:p w14:paraId="53E93A0B"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250</w:t>
            </w:r>
          </w:p>
        </w:tc>
        <w:tc>
          <w:tcPr>
            <w:tcW w:w="276" w:type="pct"/>
            <w:tcBorders>
              <w:top w:val="nil"/>
              <w:left w:val="nil"/>
              <w:bottom w:val="nil"/>
              <w:right w:val="single" w:sz="4" w:space="0" w:color="auto"/>
            </w:tcBorders>
            <w:shd w:val="clear" w:color="auto" w:fill="auto"/>
            <w:noWrap/>
            <w:vAlign w:val="bottom"/>
            <w:hideMark/>
          </w:tcPr>
          <w:p w14:paraId="3564A551"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250</w:t>
            </w:r>
          </w:p>
        </w:tc>
      </w:tr>
      <w:tr w:rsidR="00B54F4E" w:rsidRPr="00D65B1A" w14:paraId="1DFBCB52"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7DA39777" w14:textId="77777777" w:rsidR="00B54F4E" w:rsidRPr="00D65B1A" w:rsidRDefault="00B54F4E" w:rsidP="006504C4">
            <w:pPr>
              <w:spacing w:before="0" w:after="0"/>
              <w:jc w:val="left"/>
              <w:rPr>
                <w:rFonts w:ascii="Calibri" w:hAnsi="Calibri" w:cs="Calibri"/>
                <w:color w:val="000000"/>
                <w:sz w:val="16"/>
                <w:szCs w:val="22"/>
                <w:lang w:eastAsia="es-CO"/>
              </w:rPr>
            </w:pPr>
            <w:r w:rsidRPr="00D65B1A">
              <w:rPr>
                <w:rFonts w:ascii="Calibri" w:hAnsi="Calibri" w:cs="Calibri"/>
                <w:color w:val="000000"/>
                <w:sz w:val="16"/>
                <w:szCs w:val="22"/>
                <w:lang w:eastAsia="es-CO"/>
              </w:rPr>
              <w:t>Carbón</w:t>
            </w:r>
          </w:p>
        </w:tc>
        <w:tc>
          <w:tcPr>
            <w:tcW w:w="282" w:type="pct"/>
            <w:tcBorders>
              <w:top w:val="nil"/>
              <w:left w:val="single" w:sz="4" w:space="0" w:color="auto"/>
              <w:bottom w:val="nil"/>
              <w:right w:val="nil"/>
            </w:tcBorders>
            <w:shd w:val="clear" w:color="auto" w:fill="auto"/>
            <w:noWrap/>
            <w:vAlign w:val="bottom"/>
            <w:hideMark/>
          </w:tcPr>
          <w:p w14:paraId="07F6B994"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F3A144C"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2295D90"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57F70865"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3B09F58A"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081D89BA"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03948D5"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60AC1048"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350</w:t>
            </w:r>
          </w:p>
        </w:tc>
        <w:tc>
          <w:tcPr>
            <w:tcW w:w="282" w:type="pct"/>
            <w:tcBorders>
              <w:top w:val="nil"/>
              <w:left w:val="nil"/>
              <w:bottom w:val="nil"/>
              <w:right w:val="nil"/>
            </w:tcBorders>
            <w:shd w:val="clear" w:color="auto" w:fill="auto"/>
            <w:noWrap/>
            <w:vAlign w:val="bottom"/>
            <w:hideMark/>
          </w:tcPr>
          <w:p w14:paraId="43F99291"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58789A8B"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5CDA67B"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5D788A4F"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45ED96E"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76" w:type="pct"/>
            <w:tcBorders>
              <w:top w:val="nil"/>
              <w:left w:val="nil"/>
              <w:bottom w:val="nil"/>
              <w:right w:val="single" w:sz="4" w:space="0" w:color="auto"/>
            </w:tcBorders>
            <w:shd w:val="clear" w:color="auto" w:fill="auto"/>
            <w:noWrap/>
            <w:vAlign w:val="bottom"/>
            <w:hideMark/>
          </w:tcPr>
          <w:p w14:paraId="75C83DE7" w14:textId="77777777" w:rsidR="00B54F4E" w:rsidRPr="00D65B1A" w:rsidRDefault="00B54F4E" w:rsidP="006504C4">
            <w:pPr>
              <w:spacing w:before="0" w:after="0"/>
              <w:jc w:val="center"/>
              <w:rPr>
                <w:rFonts w:ascii="Times New Roman" w:hAnsi="Times New Roman"/>
                <w:color w:val="000000" w:themeColor="text1"/>
                <w:sz w:val="16"/>
                <w:lang w:eastAsia="es-CO"/>
              </w:rPr>
            </w:pPr>
          </w:p>
        </w:tc>
      </w:tr>
      <w:tr w:rsidR="00B54F4E" w:rsidRPr="00D65B1A" w14:paraId="44DE1514"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5FB3BAC4" w14:textId="77777777" w:rsidR="00B54F4E" w:rsidRPr="00D65B1A" w:rsidRDefault="00B54F4E" w:rsidP="006504C4">
            <w:pPr>
              <w:spacing w:before="0" w:after="0"/>
              <w:jc w:val="left"/>
              <w:rPr>
                <w:rFonts w:ascii="Calibri" w:hAnsi="Calibri" w:cs="Calibri"/>
                <w:color w:val="000000"/>
                <w:sz w:val="16"/>
                <w:szCs w:val="22"/>
                <w:lang w:eastAsia="es-CO"/>
              </w:rPr>
            </w:pPr>
            <w:r w:rsidRPr="00D65B1A">
              <w:rPr>
                <w:rFonts w:ascii="Calibri" w:hAnsi="Calibri" w:cs="Calibri"/>
                <w:color w:val="000000"/>
                <w:sz w:val="16"/>
                <w:szCs w:val="22"/>
                <w:lang w:eastAsia="es-CO"/>
              </w:rPr>
              <w:t>Diesel</w:t>
            </w:r>
          </w:p>
        </w:tc>
        <w:tc>
          <w:tcPr>
            <w:tcW w:w="282" w:type="pct"/>
            <w:tcBorders>
              <w:top w:val="nil"/>
              <w:left w:val="single" w:sz="4" w:space="0" w:color="auto"/>
              <w:bottom w:val="nil"/>
              <w:right w:val="nil"/>
            </w:tcBorders>
            <w:shd w:val="clear" w:color="auto" w:fill="auto"/>
            <w:noWrap/>
            <w:vAlign w:val="bottom"/>
            <w:hideMark/>
          </w:tcPr>
          <w:p w14:paraId="0D10D0F7"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89</w:t>
            </w:r>
          </w:p>
        </w:tc>
        <w:tc>
          <w:tcPr>
            <w:tcW w:w="282" w:type="pct"/>
            <w:tcBorders>
              <w:top w:val="nil"/>
              <w:left w:val="nil"/>
              <w:bottom w:val="nil"/>
              <w:right w:val="nil"/>
            </w:tcBorders>
            <w:shd w:val="clear" w:color="auto" w:fill="auto"/>
            <w:noWrap/>
            <w:vAlign w:val="bottom"/>
            <w:hideMark/>
          </w:tcPr>
          <w:p w14:paraId="592D4C73"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39DAC4E0"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8BF8AD6"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073DF5D5"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6F0CA7CB"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538E1885"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0D4F973D"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4169A85F"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0D6D1A9C"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DA27AD6"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4D4F2501"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04B7938"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76" w:type="pct"/>
            <w:tcBorders>
              <w:top w:val="nil"/>
              <w:left w:val="nil"/>
              <w:bottom w:val="nil"/>
              <w:right w:val="single" w:sz="4" w:space="0" w:color="auto"/>
            </w:tcBorders>
            <w:shd w:val="clear" w:color="auto" w:fill="auto"/>
            <w:noWrap/>
            <w:vAlign w:val="bottom"/>
            <w:hideMark/>
          </w:tcPr>
          <w:p w14:paraId="1A763BBA" w14:textId="77777777" w:rsidR="00B54F4E" w:rsidRPr="00D65B1A" w:rsidRDefault="00B54F4E" w:rsidP="006504C4">
            <w:pPr>
              <w:spacing w:before="0" w:after="0"/>
              <w:jc w:val="center"/>
              <w:rPr>
                <w:rFonts w:ascii="Times New Roman" w:hAnsi="Times New Roman"/>
                <w:color w:val="000000" w:themeColor="text1"/>
                <w:sz w:val="16"/>
                <w:lang w:eastAsia="es-CO"/>
              </w:rPr>
            </w:pPr>
          </w:p>
        </w:tc>
      </w:tr>
      <w:tr w:rsidR="00B54F4E" w:rsidRPr="00D65B1A" w14:paraId="7666ABAE"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16DB772F" w14:textId="77777777" w:rsidR="00B54F4E" w:rsidRPr="00D65B1A" w:rsidRDefault="00B54F4E" w:rsidP="006504C4">
            <w:pPr>
              <w:spacing w:before="0" w:after="0"/>
              <w:jc w:val="left"/>
              <w:rPr>
                <w:rFonts w:ascii="Calibri" w:hAnsi="Calibri" w:cs="Calibri"/>
                <w:color w:val="000000"/>
                <w:sz w:val="16"/>
                <w:szCs w:val="22"/>
                <w:lang w:eastAsia="es-CO"/>
              </w:rPr>
            </w:pPr>
            <w:r>
              <w:rPr>
                <w:rFonts w:ascii="Calibri" w:hAnsi="Calibri" w:cs="Calibri"/>
                <w:color w:val="000000"/>
                <w:sz w:val="16"/>
                <w:szCs w:val="22"/>
                <w:lang w:eastAsia="es-CO"/>
              </w:rPr>
              <w:t>Hidroeléctrica de Pasada</w:t>
            </w:r>
          </w:p>
        </w:tc>
        <w:tc>
          <w:tcPr>
            <w:tcW w:w="282" w:type="pct"/>
            <w:tcBorders>
              <w:top w:val="nil"/>
              <w:left w:val="single" w:sz="4" w:space="0" w:color="auto"/>
              <w:bottom w:val="nil"/>
              <w:right w:val="nil"/>
            </w:tcBorders>
            <w:shd w:val="clear" w:color="auto" w:fill="auto"/>
            <w:noWrap/>
            <w:vAlign w:val="bottom"/>
            <w:hideMark/>
          </w:tcPr>
          <w:p w14:paraId="7C781485"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70</w:t>
            </w:r>
          </w:p>
        </w:tc>
        <w:tc>
          <w:tcPr>
            <w:tcW w:w="282" w:type="pct"/>
            <w:tcBorders>
              <w:top w:val="nil"/>
              <w:left w:val="nil"/>
              <w:bottom w:val="nil"/>
              <w:right w:val="nil"/>
            </w:tcBorders>
            <w:shd w:val="clear" w:color="auto" w:fill="auto"/>
            <w:noWrap/>
            <w:vAlign w:val="bottom"/>
            <w:hideMark/>
          </w:tcPr>
          <w:p w14:paraId="25B83957"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9</w:t>
            </w:r>
          </w:p>
        </w:tc>
        <w:tc>
          <w:tcPr>
            <w:tcW w:w="282" w:type="pct"/>
            <w:tcBorders>
              <w:top w:val="nil"/>
              <w:left w:val="nil"/>
              <w:bottom w:val="nil"/>
              <w:right w:val="nil"/>
            </w:tcBorders>
            <w:shd w:val="clear" w:color="auto" w:fill="auto"/>
            <w:noWrap/>
            <w:vAlign w:val="bottom"/>
            <w:hideMark/>
          </w:tcPr>
          <w:p w14:paraId="277C7E5F"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15</w:t>
            </w:r>
          </w:p>
        </w:tc>
        <w:tc>
          <w:tcPr>
            <w:tcW w:w="282" w:type="pct"/>
            <w:tcBorders>
              <w:top w:val="nil"/>
              <w:left w:val="nil"/>
              <w:bottom w:val="nil"/>
              <w:right w:val="nil"/>
            </w:tcBorders>
            <w:shd w:val="clear" w:color="auto" w:fill="auto"/>
            <w:noWrap/>
            <w:vAlign w:val="bottom"/>
            <w:hideMark/>
          </w:tcPr>
          <w:p w14:paraId="6E08CC17"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107</w:t>
            </w:r>
          </w:p>
        </w:tc>
        <w:tc>
          <w:tcPr>
            <w:tcW w:w="282" w:type="pct"/>
            <w:tcBorders>
              <w:top w:val="nil"/>
              <w:left w:val="nil"/>
              <w:bottom w:val="nil"/>
              <w:right w:val="nil"/>
            </w:tcBorders>
            <w:shd w:val="clear" w:color="auto" w:fill="auto"/>
            <w:noWrap/>
            <w:vAlign w:val="bottom"/>
            <w:hideMark/>
          </w:tcPr>
          <w:p w14:paraId="628A766E"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29</w:t>
            </w:r>
          </w:p>
        </w:tc>
        <w:tc>
          <w:tcPr>
            <w:tcW w:w="282" w:type="pct"/>
            <w:tcBorders>
              <w:top w:val="nil"/>
              <w:left w:val="nil"/>
              <w:bottom w:val="nil"/>
              <w:right w:val="nil"/>
            </w:tcBorders>
            <w:shd w:val="clear" w:color="auto" w:fill="auto"/>
            <w:noWrap/>
            <w:vAlign w:val="bottom"/>
            <w:hideMark/>
          </w:tcPr>
          <w:p w14:paraId="74EE3F56"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7300BD3A"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6</w:t>
            </w:r>
          </w:p>
        </w:tc>
        <w:tc>
          <w:tcPr>
            <w:tcW w:w="282" w:type="pct"/>
            <w:tcBorders>
              <w:top w:val="nil"/>
              <w:left w:val="nil"/>
              <w:bottom w:val="nil"/>
              <w:right w:val="nil"/>
            </w:tcBorders>
            <w:shd w:val="clear" w:color="auto" w:fill="auto"/>
            <w:noWrap/>
            <w:vAlign w:val="bottom"/>
            <w:hideMark/>
          </w:tcPr>
          <w:p w14:paraId="7E6844FD"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012BA5E9"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028882D6"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4A0FFF25"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904BAC">
              <w:rPr>
                <w:rFonts w:ascii="Calibri" w:hAnsi="Calibri" w:cs="Calibri"/>
                <w:color w:val="000000" w:themeColor="text1"/>
                <w:sz w:val="16"/>
                <w:szCs w:val="22"/>
                <w:lang w:eastAsia="es-CO"/>
              </w:rPr>
              <w:t>8</w:t>
            </w:r>
          </w:p>
        </w:tc>
        <w:tc>
          <w:tcPr>
            <w:tcW w:w="282" w:type="pct"/>
            <w:tcBorders>
              <w:top w:val="nil"/>
              <w:left w:val="nil"/>
              <w:bottom w:val="nil"/>
              <w:right w:val="nil"/>
            </w:tcBorders>
            <w:shd w:val="clear" w:color="auto" w:fill="auto"/>
            <w:noWrap/>
            <w:vAlign w:val="bottom"/>
            <w:hideMark/>
          </w:tcPr>
          <w:p w14:paraId="62BC04A4"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620B0322"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76" w:type="pct"/>
            <w:tcBorders>
              <w:top w:val="nil"/>
              <w:left w:val="nil"/>
              <w:bottom w:val="nil"/>
              <w:right w:val="single" w:sz="4" w:space="0" w:color="auto"/>
            </w:tcBorders>
            <w:shd w:val="clear" w:color="auto" w:fill="auto"/>
            <w:noWrap/>
            <w:vAlign w:val="bottom"/>
            <w:hideMark/>
          </w:tcPr>
          <w:p w14:paraId="5B841D58" w14:textId="77777777" w:rsidR="00B54F4E" w:rsidRPr="00D65B1A" w:rsidRDefault="00B54F4E" w:rsidP="006504C4">
            <w:pPr>
              <w:spacing w:before="0" w:after="0"/>
              <w:jc w:val="center"/>
              <w:rPr>
                <w:rFonts w:ascii="Times New Roman" w:hAnsi="Times New Roman"/>
                <w:color w:val="000000" w:themeColor="text1"/>
                <w:sz w:val="16"/>
                <w:lang w:eastAsia="es-CO"/>
              </w:rPr>
            </w:pPr>
          </w:p>
        </w:tc>
      </w:tr>
      <w:tr w:rsidR="00B54F4E" w:rsidRPr="00D65B1A" w14:paraId="2F191980"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5BD535EF" w14:textId="77777777" w:rsidR="00B54F4E" w:rsidRPr="00D65B1A" w:rsidRDefault="00B54F4E" w:rsidP="006504C4">
            <w:pPr>
              <w:spacing w:before="0" w:after="0"/>
              <w:jc w:val="left"/>
              <w:rPr>
                <w:rFonts w:ascii="Calibri" w:hAnsi="Calibri" w:cs="Calibri"/>
                <w:color w:val="000000"/>
                <w:sz w:val="16"/>
                <w:szCs w:val="22"/>
                <w:lang w:eastAsia="es-CO"/>
              </w:rPr>
            </w:pPr>
            <w:r w:rsidRPr="00D65B1A">
              <w:rPr>
                <w:rFonts w:ascii="Calibri" w:hAnsi="Calibri" w:cs="Calibri"/>
                <w:color w:val="000000"/>
                <w:sz w:val="16"/>
                <w:szCs w:val="22"/>
                <w:lang w:eastAsia="es-CO"/>
              </w:rPr>
              <w:t>Cogeneración y Biogás</w:t>
            </w:r>
          </w:p>
        </w:tc>
        <w:tc>
          <w:tcPr>
            <w:tcW w:w="282" w:type="pct"/>
            <w:tcBorders>
              <w:top w:val="nil"/>
              <w:left w:val="single" w:sz="4" w:space="0" w:color="auto"/>
              <w:bottom w:val="nil"/>
              <w:right w:val="nil"/>
            </w:tcBorders>
            <w:shd w:val="clear" w:color="auto" w:fill="auto"/>
            <w:noWrap/>
            <w:vAlign w:val="bottom"/>
            <w:hideMark/>
          </w:tcPr>
          <w:p w14:paraId="1D82F841"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447A94B4"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DA794FC"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10B47FD"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8D5707A"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F48E1AC"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A0645F3"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DB6332C"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51D60C27"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B9D2709"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76EF4933"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54D82DED"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0466B571"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76" w:type="pct"/>
            <w:tcBorders>
              <w:top w:val="nil"/>
              <w:left w:val="nil"/>
              <w:bottom w:val="nil"/>
              <w:right w:val="single" w:sz="4" w:space="0" w:color="auto"/>
            </w:tcBorders>
            <w:shd w:val="clear" w:color="auto" w:fill="auto"/>
            <w:noWrap/>
            <w:vAlign w:val="bottom"/>
            <w:hideMark/>
          </w:tcPr>
          <w:p w14:paraId="734B6971" w14:textId="77777777" w:rsidR="00B54F4E" w:rsidRPr="00D65B1A" w:rsidRDefault="00B54F4E" w:rsidP="006504C4">
            <w:pPr>
              <w:spacing w:before="0" w:after="0"/>
              <w:jc w:val="center"/>
              <w:rPr>
                <w:rFonts w:ascii="Times New Roman" w:hAnsi="Times New Roman"/>
                <w:color w:val="000000" w:themeColor="text1"/>
                <w:sz w:val="16"/>
                <w:lang w:eastAsia="es-CO"/>
              </w:rPr>
            </w:pPr>
          </w:p>
        </w:tc>
      </w:tr>
      <w:tr w:rsidR="00B54F4E" w:rsidRPr="00D65B1A" w14:paraId="01F3292E"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70F40A4E" w14:textId="77777777" w:rsidR="00B54F4E" w:rsidRPr="00D65B1A" w:rsidRDefault="00B54F4E" w:rsidP="006504C4">
            <w:pPr>
              <w:spacing w:before="0" w:after="0"/>
              <w:jc w:val="left"/>
              <w:rPr>
                <w:rFonts w:ascii="Calibri" w:hAnsi="Calibri" w:cs="Calibri"/>
                <w:color w:val="000000"/>
                <w:sz w:val="16"/>
                <w:szCs w:val="22"/>
                <w:lang w:eastAsia="es-CO"/>
              </w:rPr>
            </w:pPr>
            <w:r w:rsidRPr="00D65B1A">
              <w:rPr>
                <w:rFonts w:ascii="Calibri" w:hAnsi="Calibri" w:cs="Calibri"/>
                <w:color w:val="000000"/>
                <w:sz w:val="16"/>
                <w:szCs w:val="22"/>
                <w:lang w:eastAsia="es-CO"/>
              </w:rPr>
              <w:t>Eólica</w:t>
            </w:r>
          </w:p>
        </w:tc>
        <w:tc>
          <w:tcPr>
            <w:tcW w:w="282" w:type="pct"/>
            <w:tcBorders>
              <w:top w:val="nil"/>
              <w:left w:val="single" w:sz="4" w:space="0" w:color="auto"/>
              <w:bottom w:val="nil"/>
              <w:right w:val="nil"/>
            </w:tcBorders>
            <w:shd w:val="clear" w:color="auto" w:fill="auto"/>
            <w:noWrap/>
            <w:vAlign w:val="bottom"/>
            <w:hideMark/>
          </w:tcPr>
          <w:p w14:paraId="5D3C4520"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67</w:t>
            </w:r>
          </w:p>
        </w:tc>
        <w:tc>
          <w:tcPr>
            <w:tcW w:w="282" w:type="pct"/>
            <w:tcBorders>
              <w:top w:val="nil"/>
              <w:left w:val="nil"/>
              <w:bottom w:val="nil"/>
              <w:right w:val="nil"/>
            </w:tcBorders>
            <w:shd w:val="clear" w:color="auto" w:fill="auto"/>
            <w:noWrap/>
            <w:vAlign w:val="bottom"/>
            <w:hideMark/>
          </w:tcPr>
          <w:p w14:paraId="6C34C0F4"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3EDB32CC"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102</w:t>
            </w:r>
          </w:p>
        </w:tc>
        <w:tc>
          <w:tcPr>
            <w:tcW w:w="282" w:type="pct"/>
            <w:tcBorders>
              <w:top w:val="nil"/>
              <w:left w:val="nil"/>
              <w:bottom w:val="nil"/>
              <w:right w:val="nil"/>
            </w:tcBorders>
            <w:shd w:val="clear" w:color="auto" w:fill="auto"/>
            <w:noWrap/>
            <w:vAlign w:val="bottom"/>
            <w:hideMark/>
          </w:tcPr>
          <w:p w14:paraId="7A389426"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6798600D"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5BA9C270"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75</w:t>
            </w:r>
          </w:p>
        </w:tc>
        <w:tc>
          <w:tcPr>
            <w:tcW w:w="282" w:type="pct"/>
            <w:tcBorders>
              <w:top w:val="nil"/>
              <w:left w:val="nil"/>
              <w:bottom w:val="nil"/>
              <w:right w:val="nil"/>
            </w:tcBorders>
            <w:shd w:val="clear" w:color="auto" w:fill="auto"/>
            <w:noWrap/>
            <w:vAlign w:val="bottom"/>
            <w:hideMark/>
          </w:tcPr>
          <w:p w14:paraId="1A953C39"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6A342202"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6D09959E"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3BDC802"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150</w:t>
            </w:r>
          </w:p>
        </w:tc>
        <w:tc>
          <w:tcPr>
            <w:tcW w:w="282" w:type="pct"/>
            <w:tcBorders>
              <w:top w:val="nil"/>
              <w:left w:val="nil"/>
              <w:bottom w:val="nil"/>
              <w:right w:val="nil"/>
            </w:tcBorders>
            <w:shd w:val="clear" w:color="auto" w:fill="auto"/>
            <w:noWrap/>
            <w:vAlign w:val="bottom"/>
            <w:hideMark/>
          </w:tcPr>
          <w:p w14:paraId="42AEC713"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123</w:t>
            </w:r>
          </w:p>
        </w:tc>
        <w:tc>
          <w:tcPr>
            <w:tcW w:w="282" w:type="pct"/>
            <w:tcBorders>
              <w:top w:val="nil"/>
              <w:left w:val="nil"/>
              <w:bottom w:val="nil"/>
              <w:right w:val="nil"/>
            </w:tcBorders>
            <w:shd w:val="clear" w:color="auto" w:fill="auto"/>
            <w:noWrap/>
            <w:vAlign w:val="bottom"/>
            <w:hideMark/>
          </w:tcPr>
          <w:p w14:paraId="4617EF48"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1F436CA8"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76" w:type="pct"/>
            <w:tcBorders>
              <w:top w:val="nil"/>
              <w:left w:val="nil"/>
              <w:bottom w:val="nil"/>
              <w:right w:val="single" w:sz="4" w:space="0" w:color="auto"/>
            </w:tcBorders>
            <w:shd w:val="clear" w:color="auto" w:fill="auto"/>
            <w:noWrap/>
            <w:vAlign w:val="bottom"/>
            <w:hideMark/>
          </w:tcPr>
          <w:p w14:paraId="78AC3827" w14:textId="77777777" w:rsidR="00B54F4E" w:rsidRPr="00D65B1A" w:rsidRDefault="00B54F4E" w:rsidP="006504C4">
            <w:pPr>
              <w:spacing w:before="0" w:after="0"/>
              <w:jc w:val="center"/>
              <w:rPr>
                <w:rFonts w:ascii="Times New Roman" w:hAnsi="Times New Roman"/>
                <w:color w:val="000000" w:themeColor="text1"/>
                <w:sz w:val="16"/>
                <w:lang w:eastAsia="es-CO"/>
              </w:rPr>
            </w:pPr>
          </w:p>
        </w:tc>
      </w:tr>
      <w:tr w:rsidR="00B54F4E" w:rsidRPr="00D65B1A" w14:paraId="0EAA3634"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687F8AAC" w14:textId="77777777" w:rsidR="00B54F4E" w:rsidRPr="00D65B1A" w:rsidRDefault="00B54F4E" w:rsidP="006504C4">
            <w:pPr>
              <w:spacing w:before="0" w:after="0"/>
              <w:jc w:val="left"/>
              <w:rPr>
                <w:rFonts w:ascii="Calibri" w:hAnsi="Calibri" w:cs="Calibri"/>
                <w:color w:val="000000"/>
                <w:sz w:val="16"/>
                <w:szCs w:val="22"/>
                <w:lang w:eastAsia="es-CO"/>
              </w:rPr>
            </w:pPr>
            <w:r w:rsidRPr="00D65B1A">
              <w:rPr>
                <w:rFonts w:ascii="Calibri" w:hAnsi="Calibri" w:cs="Calibri"/>
                <w:color w:val="000000"/>
                <w:sz w:val="16"/>
                <w:szCs w:val="22"/>
                <w:lang w:eastAsia="es-CO"/>
              </w:rPr>
              <w:t>Solar</w:t>
            </w:r>
          </w:p>
        </w:tc>
        <w:tc>
          <w:tcPr>
            <w:tcW w:w="282" w:type="pct"/>
            <w:tcBorders>
              <w:top w:val="nil"/>
              <w:left w:val="single" w:sz="4" w:space="0" w:color="auto"/>
              <w:bottom w:val="nil"/>
              <w:right w:val="nil"/>
            </w:tcBorders>
            <w:shd w:val="clear" w:color="auto" w:fill="auto"/>
            <w:noWrap/>
            <w:vAlign w:val="bottom"/>
            <w:hideMark/>
          </w:tcPr>
          <w:p w14:paraId="7FF7D4D4"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56</w:t>
            </w:r>
          </w:p>
        </w:tc>
        <w:tc>
          <w:tcPr>
            <w:tcW w:w="282" w:type="pct"/>
            <w:tcBorders>
              <w:top w:val="nil"/>
              <w:left w:val="nil"/>
              <w:bottom w:val="nil"/>
              <w:right w:val="nil"/>
            </w:tcBorders>
            <w:shd w:val="clear" w:color="auto" w:fill="auto"/>
            <w:noWrap/>
            <w:vAlign w:val="bottom"/>
            <w:hideMark/>
          </w:tcPr>
          <w:p w14:paraId="61ACD2E2"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143</w:t>
            </w:r>
          </w:p>
        </w:tc>
        <w:tc>
          <w:tcPr>
            <w:tcW w:w="282" w:type="pct"/>
            <w:tcBorders>
              <w:top w:val="nil"/>
              <w:left w:val="nil"/>
              <w:bottom w:val="nil"/>
              <w:right w:val="nil"/>
            </w:tcBorders>
            <w:shd w:val="clear" w:color="auto" w:fill="auto"/>
            <w:noWrap/>
            <w:vAlign w:val="bottom"/>
            <w:hideMark/>
          </w:tcPr>
          <w:p w14:paraId="3E230A55"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65</w:t>
            </w:r>
          </w:p>
        </w:tc>
        <w:tc>
          <w:tcPr>
            <w:tcW w:w="282" w:type="pct"/>
            <w:tcBorders>
              <w:top w:val="nil"/>
              <w:left w:val="nil"/>
              <w:bottom w:val="nil"/>
              <w:right w:val="nil"/>
            </w:tcBorders>
            <w:shd w:val="clear" w:color="auto" w:fill="auto"/>
            <w:noWrap/>
            <w:vAlign w:val="bottom"/>
            <w:hideMark/>
          </w:tcPr>
          <w:p w14:paraId="61503DBD"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5E5D53D9"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20</w:t>
            </w:r>
          </w:p>
        </w:tc>
        <w:tc>
          <w:tcPr>
            <w:tcW w:w="282" w:type="pct"/>
            <w:tcBorders>
              <w:top w:val="nil"/>
              <w:left w:val="nil"/>
              <w:bottom w:val="nil"/>
              <w:right w:val="nil"/>
            </w:tcBorders>
            <w:shd w:val="clear" w:color="auto" w:fill="auto"/>
            <w:noWrap/>
            <w:vAlign w:val="bottom"/>
            <w:hideMark/>
          </w:tcPr>
          <w:p w14:paraId="3D66A404"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nil"/>
              <w:right w:val="nil"/>
            </w:tcBorders>
            <w:shd w:val="clear" w:color="auto" w:fill="auto"/>
            <w:noWrap/>
            <w:vAlign w:val="bottom"/>
            <w:hideMark/>
          </w:tcPr>
          <w:p w14:paraId="25AF14C8"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48BD02A4"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161B1A15" w14:textId="77777777" w:rsidR="00B54F4E" w:rsidRPr="00D65B1A" w:rsidRDefault="00B54F4E" w:rsidP="006504C4">
            <w:pPr>
              <w:spacing w:before="0" w:after="0"/>
              <w:jc w:val="center"/>
              <w:rPr>
                <w:rFonts w:ascii="Times New Roman" w:hAnsi="Times New Roman"/>
                <w:color w:val="000000" w:themeColor="text1"/>
                <w:sz w:val="16"/>
                <w:lang w:eastAsia="es-CO"/>
              </w:rPr>
            </w:pPr>
          </w:p>
        </w:tc>
        <w:tc>
          <w:tcPr>
            <w:tcW w:w="282" w:type="pct"/>
            <w:tcBorders>
              <w:top w:val="nil"/>
              <w:left w:val="nil"/>
              <w:bottom w:val="nil"/>
              <w:right w:val="nil"/>
            </w:tcBorders>
            <w:shd w:val="clear" w:color="auto" w:fill="auto"/>
            <w:noWrap/>
            <w:vAlign w:val="bottom"/>
            <w:hideMark/>
          </w:tcPr>
          <w:p w14:paraId="28C45C91"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50</w:t>
            </w:r>
          </w:p>
        </w:tc>
        <w:tc>
          <w:tcPr>
            <w:tcW w:w="282" w:type="pct"/>
            <w:tcBorders>
              <w:top w:val="nil"/>
              <w:left w:val="nil"/>
              <w:bottom w:val="nil"/>
              <w:right w:val="nil"/>
            </w:tcBorders>
            <w:shd w:val="clear" w:color="auto" w:fill="auto"/>
            <w:noWrap/>
            <w:vAlign w:val="bottom"/>
            <w:hideMark/>
          </w:tcPr>
          <w:p w14:paraId="101FDE5A"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15</w:t>
            </w:r>
          </w:p>
        </w:tc>
        <w:tc>
          <w:tcPr>
            <w:tcW w:w="282" w:type="pct"/>
            <w:tcBorders>
              <w:top w:val="nil"/>
              <w:left w:val="nil"/>
              <w:bottom w:val="nil"/>
              <w:right w:val="nil"/>
            </w:tcBorders>
            <w:shd w:val="clear" w:color="auto" w:fill="auto"/>
            <w:noWrap/>
            <w:vAlign w:val="bottom"/>
            <w:hideMark/>
          </w:tcPr>
          <w:p w14:paraId="31A1D499" w14:textId="77777777" w:rsidR="00B54F4E" w:rsidRPr="00D65B1A" w:rsidRDefault="00B54F4E" w:rsidP="006504C4">
            <w:pPr>
              <w:spacing w:before="0" w:after="0"/>
              <w:jc w:val="center"/>
              <w:rPr>
                <w:rFonts w:ascii="Calibri" w:hAnsi="Calibri" w:cs="Calibri"/>
                <w:color w:val="000000" w:themeColor="text1"/>
                <w:sz w:val="16"/>
                <w:szCs w:val="22"/>
                <w:lang w:eastAsia="es-CO"/>
              </w:rPr>
            </w:pPr>
            <w:r w:rsidRPr="00D65B1A">
              <w:rPr>
                <w:rFonts w:ascii="Calibri" w:hAnsi="Calibri" w:cs="Calibri"/>
                <w:color w:val="000000" w:themeColor="text1"/>
                <w:sz w:val="16"/>
                <w:szCs w:val="22"/>
                <w:lang w:eastAsia="es-CO"/>
              </w:rPr>
              <w:t>20</w:t>
            </w:r>
          </w:p>
        </w:tc>
        <w:tc>
          <w:tcPr>
            <w:tcW w:w="282" w:type="pct"/>
            <w:tcBorders>
              <w:top w:val="nil"/>
              <w:left w:val="nil"/>
              <w:bottom w:val="nil"/>
              <w:right w:val="nil"/>
            </w:tcBorders>
            <w:shd w:val="clear" w:color="auto" w:fill="auto"/>
            <w:noWrap/>
            <w:vAlign w:val="bottom"/>
            <w:hideMark/>
          </w:tcPr>
          <w:p w14:paraId="2865CA60"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76" w:type="pct"/>
            <w:tcBorders>
              <w:top w:val="nil"/>
              <w:left w:val="nil"/>
              <w:bottom w:val="nil"/>
              <w:right w:val="single" w:sz="4" w:space="0" w:color="auto"/>
            </w:tcBorders>
            <w:shd w:val="clear" w:color="auto" w:fill="auto"/>
            <w:noWrap/>
            <w:vAlign w:val="bottom"/>
            <w:hideMark/>
          </w:tcPr>
          <w:p w14:paraId="641181B7" w14:textId="77777777" w:rsidR="00B54F4E" w:rsidRPr="00D65B1A" w:rsidRDefault="00B54F4E" w:rsidP="006504C4">
            <w:pPr>
              <w:spacing w:before="0" w:after="0"/>
              <w:jc w:val="center"/>
              <w:rPr>
                <w:rFonts w:ascii="Times New Roman" w:hAnsi="Times New Roman"/>
                <w:color w:val="000000" w:themeColor="text1"/>
                <w:sz w:val="16"/>
                <w:lang w:eastAsia="es-CO"/>
              </w:rPr>
            </w:pPr>
          </w:p>
        </w:tc>
      </w:tr>
      <w:tr w:rsidR="00B54F4E" w:rsidRPr="00D65B1A" w14:paraId="27AAAE9B" w14:textId="77777777" w:rsidTr="006504C4">
        <w:trPr>
          <w:trHeight w:val="70"/>
        </w:trPr>
        <w:tc>
          <w:tcPr>
            <w:tcW w:w="1059" w:type="pct"/>
            <w:tcBorders>
              <w:top w:val="nil"/>
              <w:left w:val="single" w:sz="4" w:space="0" w:color="auto"/>
              <w:bottom w:val="single" w:sz="4" w:space="0" w:color="auto"/>
              <w:right w:val="single" w:sz="4" w:space="0" w:color="auto"/>
            </w:tcBorders>
            <w:shd w:val="clear" w:color="auto" w:fill="auto"/>
            <w:noWrap/>
            <w:vAlign w:val="bottom"/>
            <w:hideMark/>
          </w:tcPr>
          <w:p w14:paraId="32EE31DF" w14:textId="77777777" w:rsidR="00B54F4E" w:rsidRPr="00D65B1A" w:rsidRDefault="00B54F4E" w:rsidP="006504C4">
            <w:pPr>
              <w:spacing w:before="0" w:after="0"/>
              <w:jc w:val="left"/>
              <w:rPr>
                <w:rFonts w:ascii="Calibri" w:hAnsi="Calibri" w:cs="Calibri"/>
                <w:color w:val="000000"/>
                <w:sz w:val="16"/>
                <w:szCs w:val="22"/>
                <w:lang w:eastAsia="es-CO"/>
              </w:rPr>
            </w:pPr>
            <w:r w:rsidRPr="00D65B1A">
              <w:rPr>
                <w:rFonts w:ascii="Calibri" w:hAnsi="Calibri" w:cs="Calibri"/>
                <w:color w:val="000000"/>
                <w:sz w:val="16"/>
                <w:szCs w:val="22"/>
                <w:lang w:eastAsia="es-CO"/>
              </w:rPr>
              <w:t>Geotérmica</w:t>
            </w:r>
          </w:p>
        </w:tc>
        <w:tc>
          <w:tcPr>
            <w:tcW w:w="282" w:type="pct"/>
            <w:tcBorders>
              <w:top w:val="nil"/>
              <w:left w:val="single" w:sz="4" w:space="0" w:color="auto"/>
              <w:bottom w:val="single" w:sz="4" w:space="0" w:color="auto"/>
              <w:right w:val="nil"/>
            </w:tcBorders>
            <w:shd w:val="clear" w:color="auto" w:fill="auto"/>
            <w:noWrap/>
            <w:vAlign w:val="bottom"/>
            <w:hideMark/>
          </w:tcPr>
          <w:p w14:paraId="76FC0EB3"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3ECCEF4D"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570523A1"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7B34BC57"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312A422E"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3D3999D4"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65CF3FEB"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5AD3F568"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107A8B39"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483BC786"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386233E6"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2A6DDEB0"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82" w:type="pct"/>
            <w:tcBorders>
              <w:top w:val="nil"/>
              <w:left w:val="nil"/>
              <w:bottom w:val="single" w:sz="4" w:space="0" w:color="auto"/>
              <w:right w:val="nil"/>
            </w:tcBorders>
            <w:shd w:val="clear" w:color="auto" w:fill="auto"/>
            <w:noWrap/>
            <w:vAlign w:val="bottom"/>
            <w:hideMark/>
          </w:tcPr>
          <w:p w14:paraId="5404E180"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c>
          <w:tcPr>
            <w:tcW w:w="276" w:type="pct"/>
            <w:tcBorders>
              <w:top w:val="nil"/>
              <w:left w:val="nil"/>
              <w:bottom w:val="single" w:sz="4" w:space="0" w:color="auto"/>
              <w:right w:val="single" w:sz="4" w:space="0" w:color="auto"/>
            </w:tcBorders>
            <w:shd w:val="clear" w:color="auto" w:fill="auto"/>
            <w:noWrap/>
            <w:vAlign w:val="bottom"/>
            <w:hideMark/>
          </w:tcPr>
          <w:p w14:paraId="5A4BC3FD" w14:textId="77777777" w:rsidR="00B54F4E" w:rsidRPr="00D65B1A" w:rsidRDefault="00B54F4E" w:rsidP="006504C4">
            <w:pPr>
              <w:spacing w:before="0" w:after="0"/>
              <w:jc w:val="center"/>
              <w:rPr>
                <w:rFonts w:ascii="Calibri" w:hAnsi="Calibri" w:cs="Calibri"/>
                <w:color w:val="000000" w:themeColor="text1"/>
                <w:sz w:val="16"/>
                <w:szCs w:val="22"/>
                <w:lang w:eastAsia="es-CO"/>
              </w:rPr>
            </w:pPr>
          </w:p>
        </w:tc>
      </w:tr>
      <w:tr w:rsidR="00B54F4E" w:rsidRPr="00D65B1A" w14:paraId="740BD0CF" w14:textId="77777777" w:rsidTr="006504C4">
        <w:trPr>
          <w:trHeight w:val="290"/>
        </w:trPr>
        <w:tc>
          <w:tcPr>
            <w:tcW w:w="1059" w:type="pct"/>
            <w:tcBorders>
              <w:top w:val="nil"/>
              <w:left w:val="single" w:sz="4" w:space="0" w:color="auto"/>
              <w:bottom w:val="single" w:sz="4" w:space="0" w:color="auto"/>
              <w:right w:val="single" w:sz="4" w:space="0" w:color="auto"/>
            </w:tcBorders>
            <w:shd w:val="clear" w:color="auto" w:fill="auto"/>
            <w:noWrap/>
            <w:vAlign w:val="bottom"/>
            <w:hideMark/>
          </w:tcPr>
          <w:p w14:paraId="59F94726" w14:textId="77777777" w:rsidR="00B54F4E" w:rsidRPr="00D65B1A" w:rsidRDefault="00B54F4E" w:rsidP="006504C4">
            <w:pPr>
              <w:spacing w:before="0" w:after="0"/>
              <w:jc w:val="left"/>
              <w:rPr>
                <w:rFonts w:ascii="Calibri" w:hAnsi="Calibri" w:cs="Calibri"/>
                <w:b/>
                <w:color w:val="000000"/>
                <w:sz w:val="16"/>
                <w:szCs w:val="22"/>
                <w:lang w:eastAsia="es-CO"/>
              </w:rPr>
            </w:pPr>
            <w:r w:rsidRPr="00D65B1A">
              <w:rPr>
                <w:rFonts w:ascii="Calibri" w:hAnsi="Calibri" w:cs="Calibri"/>
                <w:b/>
                <w:color w:val="000000"/>
                <w:sz w:val="16"/>
                <w:szCs w:val="22"/>
                <w:lang w:eastAsia="es-CO"/>
              </w:rPr>
              <w:lastRenderedPageBreak/>
              <w:t>Total Expansión</w:t>
            </w:r>
          </w:p>
        </w:tc>
        <w:tc>
          <w:tcPr>
            <w:tcW w:w="282" w:type="pct"/>
            <w:tcBorders>
              <w:top w:val="nil"/>
              <w:left w:val="single" w:sz="4" w:space="0" w:color="auto"/>
              <w:bottom w:val="single" w:sz="4" w:space="0" w:color="auto"/>
              <w:right w:val="nil"/>
            </w:tcBorders>
            <w:shd w:val="clear" w:color="auto" w:fill="auto"/>
            <w:noWrap/>
            <w:vAlign w:val="bottom"/>
            <w:hideMark/>
          </w:tcPr>
          <w:p w14:paraId="4B2B6AA6"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282</w:t>
            </w:r>
          </w:p>
        </w:tc>
        <w:tc>
          <w:tcPr>
            <w:tcW w:w="282" w:type="pct"/>
            <w:tcBorders>
              <w:top w:val="nil"/>
              <w:left w:val="nil"/>
              <w:bottom w:val="single" w:sz="4" w:space="0" w:color="auto"/>
              <w:right w:val="nil"/>
            </w:tcBorders>
            <w:shd w:val="clear" w:color="auto" w:fill="auto"/>
            <w:noWrap/>
            <w:vAlign w:val="bottom"/>
            <w:hideMark/>
          </w:tcPr>
          <w:p w14:paraId="5BA74715"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533</w:t>
            </w:r>
          </w:p>
        </w:tc>
        <w:tc>
          <w:tcPr>
            <w:tcW w:w="282" w:type="pct"/>
            <w:tcBorders>
              <w:top w:val="nil"/>
              <w:left w:val="nil"/>
              <w:bottom w:val="single" w:sz="4" w:space="0" w:color="auto"/>
              <w:right w:val="nil"/>
            </w:tcBorders>
            <w:shd w:val="clear" w:color="auto" w:fill="auto"/>
            <w:noWrap/>
            <w:vAlign w:val="bottom"/>
            <w:hideMark/>
          </w:tcPr>
          <w:p w14:paraId="3B5ED63B"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350</w:t>
            </w:r>
          </w:p>
        </w:tc>
        <w:tc>
          <w:tcPr>
            <w:tcW w:w="282" w:type="pct"/>
            <w:tcBorders>
              <w:top w:val="nil"/>
              <w:left w:val="nil"/>
              <w:bottom w:val="single" w:sz="4" w:space="0" w:color="auto"/>
              <w:right w:val="nil"/>
            </w:tcBorders>
            <w:shd w:val="clear" w:color="auto" w:fill="auto"/>
            <w:noWrap/>
            <w:vAlign w:val="bottom"/>
            <w:hideMark/>
          </w:tcPr>
          <w:p w14:paraId="404D7AF6"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735</w:t>
            </w:r>
          </w:p>
        </w:tc>
        <w:tc>
          <w:tcPr>
            <w:tcW w:w="282" w:type="pct"/>
            <w:tcBorders>
              <w:top w:val="nil"/>
              <w:left w:val="nil"/>
              <w:bottom w:val="single" w:sz="4" w:space="0" w:color="auto"/>
              <w:right w:val="nil"/>
            </w:tcBorders>
            <w:shd w:val="clear" w:color="auto" w:fill="auto"/>
            <w:noWrap/>
            <w:vAlign w:val="bottom"/>
            <w:hideMark/>
          </w:tcPr>
          <w:p w14:paraId="77730DEC"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49</w:t>
            </w:r>
          </w:p>
        </w:tc>
        <w:tc>
          <w:tcPr>
            <w:tcW w:w="282" w:type="pct"/>
            <w:tcBorders>
              <w:top w:val="nil"/>
              <w:left w:val="nil"/>
              <w:bottom w:val="single" w:sz="4" w:space="0" w:color="auto"/>
              <w:right w:val="nil"/>
            </w:tcBorders>
            <w:shd w:val="clear" w:color="auto" w:fill="auto"/>
            <w:noWrap/>
            <w:vAlign w:val="bottom"/>
            <w:hideMark/>
          </w:tcPr>
          <w:p w14:paraId="13EA1FC8"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75</w:t>
            </w:r>
          </w:p>
        </w:tc>
        <w:tc>
          <w:tcPr>
            <w:tcW w:w="282" w:type="pct"/>
            <w:tcBorders>
              <w:top w:val="nil"/>
              <w:left w:val="nil"/>
              <w:bottom w:val="single" w:sz="4" w:space="0" w:color="auto"/>
              <w:right w:val="nil"/>
            </w:tcBorders>
            <w:shd w:val="clear" w:color="auto" w:fill="auto"/>
            <w:noWrap/>
            <w:vAlign w:val="bottom"/>
            <w:hideMark/>
          </w:tcPr>
          <w:p w14:paraId="17D1F7AD"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6</w:t>
            </w:r>
          </w:p>
        </w:tc>
        <w:tc>
          <w:tcPr>
            <w:tcW w:w="282" w:type="pct"/>
            <w:tcBorders>
              <w:top w:val="nil"/>
              <w:left w:val="nil"/>
              <w:bottom w:val="single" w:sz="4" w:space="0" w:color="auto"/>
              <w:right w:val="nil"/>
            </w:tcBorders>
            <w:shd w:val="clear" w:color="auto" w:fill="auto"/>
            <w:noWrap/>
            <w:vAlign w:val="bottom"/>
            <w:hideMark/>
          </w:tcPr>
          <w:p w14:paraId="6D176E47"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350</w:t>
            </w:r>
          </w:p>
        </w:tc>
        <w:tc>
          <w:tcPr>
            <w:tcW w:w="282" w:type="pct"/>
            <w:tcBorders>
              <w:top w:val="nil"/>
              <w:left w:val="nil"/>
              <w:bottom w:val="single" w:sz="4" w:space="0" w:color="auto"/>
              <w:right w:val="nil"/>
            </w:tcBorders>
            <w:shd w:val="clear" w:color="auto" w:fill="auto"/>
            <w:noWrap/>
            <w:vAlign w:val="bottom"/>
            <w:hideMark/>
          </w:tcPr>
          <w:p w14:paraId="36EE901B"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0</w:t>
            </w:r>
          </w:p>
        </w:tc>
        <w:tc>
          <w:tcPr>
            <w:tcW w:w="282" w:type="pct"/>
            <w:tcBorders>
              <w:top w:val="nil"/>
              <w:left w:val="nil"/>
              <w:bottom w:val="single" w:sz="4" w:space="0" w:color="auto"/>
              <w:right w:val="nil"/>
            </w:tcBorders>
            <w:shd w:val="clear" w:color="auto" w:fill="auto"/>
            <w:noWrap/>
            <w:vAlign w:val="bottom"/>
            <w:hideMark/>
          </w:tcPr>
          <w:p w14:paraId="791B2E74"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600</w:t>
            </w:r>
          </w:p>
        </w:tc>
        <w:tc>
          <w:tcPr>
            <w:tcW w:w="282" w:type="pct"/>
            <w:tcBorders>
              <w:top w:val="nil"/>
              <w:left w:val="nil"/>
              <w:bottom w:val="single" w:sz="4" w:space="0" w:color="auto"/>
              <w:right w:val="nil"/>
            </w:tcBorders>
            <w:shd w:val="clear" w:color="auto" w:fill="auto"/>
            <w:noWrap/>
            <w:vAlign w:val="bottom"/>
            <w:hideMark/>
          </w:tcPr>
          <w:p w14:paraId="22D1FF65"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146</w:t>
            </w:r>
          </w:p>
        </w:tc>
        <w:tc>
          <w:tcPr>
            <w:tcW w:w="282" w:type="pct"/>
            <w:tcBorders>
              <w:top w:val="nil"/>
              <w:left w:val="nil"/>
              <w:bottom w:val="single" w:sz="4" w:space="0" w:color="auto"/>
              <w:right w:val="nil"/>
            </w:tcBorders>
            <w:shd w:val="clear" w:color="auto" w:fill="auto"/>
            <w:noWrap/>
            <w:vAlign w:val="bottom"/>
            <w:hideMark/>
          </w:tcPr>
          <w:p w14:paraId="6D3F84DB"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120</w:t>
            </w:r>
          </w:p>
        </w:tc>
        <w:tc>
          <w:tcPr>
            <w:tcW w:w="282" w:type="pct"/>
            <w:tcBorders>
              <w:top w:val="nil"/>
              <w:left w:val="nil"/>
              <w:bottom w:val="single" w:sz="4" w:space="0" w:color="auto"/>
              <w:right w:val="nil"/>
            </w:tcBorders>
            <w:shd w:val="clear" w:color="auto" w:fill="auto"/>
            <w:noWrap/>
            <w:vAlign w:val="bottom"/>
            <w:hideMark/>
          </w:tcPr>
          <w:p w14:paraId="38D8A41E"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250</w:t>
            </w:r>
          </w:p>
        </w:tc>
        <w:tc>
          <w:tcPr>
            <w:tcW w:w="276" w:type="pct"/>
            <w:tcBorders>
              <w:top w:val="nil"/>
              <w:left w:val="nil"/>
              <w:bottom w:val="single" w:sz="4" w:space="0" w:color="auto"/>
              <w:right w:val="single" w:sz="4" w:space="0" w:color="auto"/>
            </w:tcBorders>
            <w:shd w:val="clear" w:color="auto" w:fill="auto"/>
            <w:noWrap/>
            <w:vAlign w:val="bottom"/>
            <w:hideMark/>
          </w:tcPr>
          <w:p w14:paraId="6A1CF5BA" w14:textId="77777777" w:rsidR="00B54F4E" w:rsidRPr="00D65B1A" w:rsidRDefault="00B54F4E" w:rsidP="006504C4">
            <w:pPr>
              <w:spacing w:before="0" w:after="0"/>
              <w:jc w:val="center"/>
              <w:rPr>
                <w:rFonts w:ascii="Calibri" w:hAnsi="Calibri" w:cs="Calibri"/>
                <w:b/>
                <w:color w:val="000000"/>
                <w:sz w:val="16"/>
                <w:szCs w:val="22"/>
                <w:lang w:eastAsia="es-CO"/>
              </w:rPr>
            </w:pPr>
            <w:r w:rsidRPr="00D65B1A">
              <w:rPr>
                <w:rFonts w:ascii="Calibri" w:hAnsi="Calibri" w:cs="Calibri"/>
                <w:b/>
                <w:color w:val="000000"/>
                <w:sz w:val="16"/>
                <w:szCs w:val="22"/>
                <w:lang w:eastAsia="es-CO"/>
              </w:rPr>
              <w:t>250</w:t>
            </w:r>
          </w:p>
        </w:tc>
      </w:tr>
      <w:tr w:rsidR="00B54F4E" w:rsidRPr="00D65B1A" w14:paraId="326FA6D8" w14:textId="77777777" w:rsidTr="006504C4">
        <w:trPr>
          <w:trHeight w:val="290"/>
        </w:trPr>
        <w:tc>
          <w:tcPr>
            <w:tcW w:w="1059" w:type="pct"/>
            <w:tcBorders>
              <w:top w:val="nil"/>
              <w:left w:val="nil"/>
              <w:bottom w:val="single" w:sz="4" w:space="0" w:color="auto"/>
              <w:right w:val="single" w:sz="4" w:space="0" w:color="FFFFFF" w:themeColor="background1"/>
            </w:tcBorders>
            <w:shd w:val="clear" w:color="auto" w:fill="1F3864" w:themeFill="accent1" w:themeFillShade="80"/>
            <w:noWrap/>
            <w:vAlign w:val="center"/>
            <w:hideMark/>
          </w:tcPr>
          <w:p w14:paraId="04569927" w14:textId="77777777" w:rsidR="00B54F4E" w:rsidRDefault="00B54F4E" w:rsidP="006504C4">
            <w:pPr>
              <w:spacing w:before="0" w:after="0"/>
              <w:jc w:val="center"/>
              <w:rPr>
                <w:rFonts w:ascii="Calibri" w:hAnsi="Calibri" w:cs="Calibri"/>
                <w:color w:val="FFFFFF"/>
                <w:sz w:val="16"/>
                <w:szCs w:val="22"/>
                <w:lang w:eastAsia="es-CO"/>
              </w:rPr>
            </w:pPr>
            <w:r w:rsidRPr="006A081E">
              <w:rPr>
                <w:rFonts w:ascii="Calibri" w:hAnsi="Calibri" w:cs="Calibri"/>
                <w:color w:val="FFFFFF"/>
                <w:sz w:val="16"/>
                <w:szCs w:val="22"/>
                <w:lang w:eastAsia="es-CO"/>
              </w:rPr>
              <w:t>Escenario de Re</w:t>
            </w:r>
            <w:r>
              <w:rPr>
                <w:rFonts w:ascii="Calibri" w:hAnsi="Calibri" w:cs="Calibri"/>
                <w:color w:val="FFFFFF"/>
                <w:sz w:val="16"/>
                <w:szCs w:val="22"/>
                <w:lang w:eastAsia="es-CO"/>
              </w:rPr>
              <w:t>novable</w:t>
            </w:r>
          </w:p>
          <w:p w14:paraId="093E1BB4" w14:textId="77777777" w:rsidR="00B54F4E" w:rsidRPr="00D65B1A" w:rsidRDefault="00B54F4E" w:rsidP="006504C4">
            <w:pPr>
              <w:spacing w:before="0" w:after="0"/>
              <w:jc w:val="center"/>
              <w:rPr>
                <w:rFonts w:ascii="Calibri" w:hAnsi="Calibri" w:cs="Calibri"/>
                <w:color w:val="000000"/>
                <w:sz w:val="16"/>
                <w:szCs w:val="22"/>
                <w:lang w:eastAsia="es-CO"/>
              </w:rPr>
            </w:pPr>
            <w:r w:rsidRPr="006A081E">
              <w:rPr>
                <w:rFonts w:ascii="Calibri" w:hAnsi="Calibri" w:cs="Calibri"/>
                <w:color w:val="FFFFFF"/>
                <w:sz w:val="16"/>
                <w:szCs w:val="22"/>
                <w:lang w:eastAsia="es-CO"/>
              </w:rPr>
              <w:t>(MW)</w:t>
            </w:r>
          </w:p>
        </w:tc>
        <w:tc>
          <w:tcPr>
            <w:tcW w:w="282" w:type="pct"/>
            <w:tcBorders>
              <w:top w:val="single" w:sz="4" w:space="0" w:color="FFFFFF"/>
              <w:left w:val="single" w:sz="4" w:space="0" w:color="FFFFFF" w:themeColor="background1"/>
              <w:bottom w:val="single" w:sz="4" w:space="0" w:color="auto"/>
              <w:right w:val="single" w:sz="4" w:space="0" w:color="FFFFFF"/>
            </w:tcBorders>
            <w:shd w:val="clear" w:color="auto" w:fill="1F3864" w:themeFill="accent1" w:themeFillShade="80"/>
            <w:noWrap/>
            <w:vAlign w:val="center"/>
            <w:hideMark/>
          </w:tcPr>
          <w:p w14:paraId="2EB97426"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2017</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1BA9B2A5"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2018</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58371970"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2019</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54D7D20D"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2020</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76A219EE"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2021</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43C9BE2A"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2022</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2D913118"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2023</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36152569"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2024</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6448EFC1"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2025</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5D22AB4F"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2026</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1612DAA1"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2027</w:t>
            </w:r>
          </w:p>
        </w:tc>
        <w:tc>
          <w:tcPr>
            <w:tcW w:w="282" w:type="pct"/>
            <w:tcBorders>
              <w:top w:val="single" w:sz="4" w:space="0" w:color="FFFFFF"/>
              <w:left w:val="nil"/>
              <w:bottom w:val="single" w:sz="4" w:space="0" w:color="auto"/>
              <w:right w:val="single" w:sz="4" w:space="0" w:color="FFFFFF"/>
            </w:tcBorders>
            <w:shd w:val="clear" w:color="auto" w:fill="1F3864" w:themeFill="accent1" w:themeFillShade="80"/>
            <w:noWrap/>
            <w:vAlign w:val="center"/>
            <w:hideMark/>
          </w:tcPr>
          <w:p w14:paraId="6C5A1FA9"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2028</w:t>
            </w:r>
          </w:p>
        </w:tc>
        <w:tc>
          <w:tcPr>
            <w:tcW w:w="282" w:type="pct"/>
            <w:tcBorders>
              <w:top w:val="single" w:sz="4" w:space="0" w:color="FFFFFF"/>
              <w:left w:val="nil"/>
              <w:bottom w:val="single" w:sz="4" w:space="0" w:color="auto"/>
              <w:right w:val="nil"/>
            </w:tcBorders>
            <w:shd w:val="clear" w:color="auto" w:fill="1F3864" w:themeFill="accent1" w:themeFillShade="80"/>
            <w:noWrap/>
            <w:vAlign w:val="center"/>
            <w:hideMark/>
          </w:tcPr>
          <w:p w14:paraId="587D9A0B"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2029</w:t>
            </w:r>
          </w:p>
        </w:tc>
        <w:tc>
          <w:tcPr>
            <w:tcW w:w="276" w:type="pct"/>
            <w:tcBorders>
              <w:top w:val="single" w:sz="4" w:space="0" w:color="FFFFFF"/>
              <w:left w:val="single" w:sz="4" w:space="0" w:color="FFFFFF"/>
              <w:bottom w:val="single" w:sz="4" w:space="0" w:color="auto"/>
              <w:right w:val="single" w:sz="4" w:space="0" w:color="FFFFFF"/>
            </w:tcBorders>
            <w:shd w:val="clear" w:color="auto" w:fill="1F3864" w:themeFill="accent1" w:themeFillShade="80"/>
            <w:noWrap/>
            <w:vAlign w:val="center"/>
            <w:hideMark/>
          </w:tcPr>
          <w:p w14:paraId="658B7761" w14:textId="77777777" w:rsidR="00B54F4E" w:rsidRPr="00D65B1A" w:rsidRDefault="00B54F4E" w:rsidP="006504C4">
            <w:pPr>
              <w:spacing w:before="0" w:after="0"/>
              <w:jc w:val="center"/>
              <w:rPr>
                <w:rFonts w:ascii="Calibri" w:hAnsi="Calibri" w:cs="Calibri"/>
                <w:color w:val="FFFFFF"/>
                <w:sz w:val="16"/>
                <w:szCs w:val="22"/>
                <w:lang w:eastAsia="es-CO"/>
              </w:rPr>
            </w:pPr>
            <w:r w:rsidRPr="00D65B1A">
              <w:rPr>
                <w:rFonts w:ascii="Calibri" w:hAnsi="Calibri" w:cs="Calibri"/>
                <w:color w:val="FFFFFF"/>
                <w:sz w:val="16"/>
                <w:szCs w:val="22"/>
                <w:lang w:eastAsia="es-CO"/>
              </w:rPr>
              <w:t>2030</w:t>
            </w:r>
          </w:p>
        </w:tc>
      </w:tr>
      <w:tr w:rsidR="00B54F4E" w:rsidRPr="00D65B1A" w14:paraId="7ECA1BA4" w14:textId="77777777" w:rsidTr="006504C4">
        <w:trPr>
          <w:trHeight w:val="375"/>
        </w:trPr>
        <w:tc>
          <w:tcPr>
            <w:tcW w:w="1059" w:type="pct"/>
            <w:tcBorders>
              <w:top w:val="nil"/>
              <w:left w:val="single" w:sz="4" w:space="0" w:color="auto"/>
              <w:bottom w:val="nil"/>
              <w:right w:val="single" w:sz="4" w:space="0" w:color="auto"/>
            </w:tcBorders>
            <w:shd w:val="clear" w:color="auto" w:fill="auto"/>
            <w:noWrap/>
            <w:vAlign w:val="bottom"/>
          </w:tcPr>
          <w:p w14:paraId="006087CF" w14:textId="77777777" w:rsidR="00B54F4E" w:rsidRPr="00D65B1A" w:rsidRDefault="00B54F4E" w:rsidP="006504C4">
            <w:pPr>
              <w:spacing w:before="0" w:after="0"/>
              <w:jc w:val="left"/>
              <w:rPr>
                <w:rFonts w:ascii="Calibri" w:hAnsi="Calibri" w:cs="Calibri"/>
                <w:color w:val="000000"/>
                <w:sz w:val="16"/>
                <w:szCs w:val="22"/>
                <w:lang w:eastAsia="es-CO"/>
              </w:rPr>
            </w:pPr>
            <w:r>
              <w:rPr>
                <w:rFonts w:ascii="Calibri" w:hAnsi="Calibri" w:cs="Calibri"/>
                <w:color w:val="000000"/>
                <w:sz w:val="16"/>
                <w:szCs w:val="22"/>
                <w:lang w:eastAsia="es-CO"/>
              </w:rPr>
              <w:t>Hidroeléctrica de Embalse</w:t>
            </w:r>
          </w:p>
        </w:tc>
        <w:tc>
          <w:tcPr>
            <w:tcW w:w="282" w:type="pct"/>
            <w:tcBorders>
              <w:top w:val="nil"/>
              <w:left w:val="single" w:sz="4" w:space="0" w:color="auto"/>
              <w:bottom w:val="nil"/>
              <w:right w:val="nil"/>
            </w:tcBorders>
            <w:shd w:val="clear" w:color="auto" w:fill="auto"/>
            <w:noWrap/>
            <w:vAlign w:val="bottom"/>
          </w:tcPr>
          <w:p w14:paraId="1246D3C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23799B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6A10E59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543C0CC"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Pr>
                <w:rFonts w:asciiTheme="minorHAnsi" w:hAnsiTheme="minorHAnsi" w:cstheme="minorHAnsi"/>
                <w:color w:val="000000" w:themeColor="text1"/>
                <w:sz w:val="16"/>
                <w:szCs w:val="16"/>
                <w:lang w:eastAsia="es-CO"/>
              </w:rPr>
              <w:t>215</w:t>
            </w:r>
          </w:p>
        </w:tc>
        <w:tc>
          <w:tcPr>
            <w:tcW w:w="282" w:type="pct"/>
            <w:tcBorders>
              <w:top w:val="nil"/>
              <w:left w:val="nil"/>
              <w:bottom w:val="nil"/>
              <w:right w:val="nil"/>
            </w:tcBorders>
            <w:shd w:val="clear" w:color="auto" w:fill="auto"/>
            <w:noWrap/>
            <w:vAlign w:val="bottom"/>
          </w:tcPr>
          <w:p w14:paraId="334812C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6F05066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ED37A6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020BAB4C"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14B728F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51ABB24C"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2E3F649"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E6C1ED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54E8138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76" w:type="pct"/>
            <w:tcBorders>
              <w:top w:val="nil"/>
              <w:left w:val="nil"/>
              <w:bottom w:val="nil"/>
              <w:right w:val="single" w:sz="4" w:space="0" w:color="auto"/>
            </w:tcBorders>
            <w:shd w:val="clear" w:color="auto" w:fill="auto"/>
            <w:noWrap/>
            <w:vAlign w:val="bottom"/>
          </w:tcPr>
          <w:p w14:paraId="6641A0F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7367CD35"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2A936DF2"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sidRPr="00D65B1A">
              <w:rPr>
                <w:rFonts w:ascii="Calibri" w:hAnsi="Calibri" w:cs="Calibri"/>
                <w:color w:val="000000"/>
                <w:sz w:val="16"/>
                <w:szCs w:val="22"/>
                <w:lang w:eastAsia="es-CO"/>
              </w:rPr>
              <w:t>Gas</w:t>
            </w:r>
          </w:p>
        </w:tc>
        <w:tc>
          <w:tcPr>
            <w:tcW w:w="282" w:type="pct"/>
            <w:tcBorders>
              <w:top w:val="nil"/>
              <w:left w:val="single" w:sz="4" w:space="0" w:color="auto"/>
              <w:bottom w:val="nil"/>
              <w:right w:val="nil"/>
            </w:tcBorders>
            <w:shd w:val="clear" w:color="auto" w:fill="auto"/>
            <w:noWrap/>
            <w:vAlign w:val="bottom"/>
          </w:tcPr>
          <w:p w14:paraId="74EDB10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5DAE659D"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381</w:t>
            </w:r>
          </w:p>
        </w:tc>
        <w:tc>
          <w:tcPr>
            <w:tcW w:w="282" w:type="pct"/>
            <w:tcBorders>
              <w:top w:val="nil"/>
              <w:left w:val="nil"/>
              <w:bottom w:val="nil"/>
              <w:right w:val="nil"/>
            </w:tcBorders>
            <w:shd w:val="clear" w:color="auto" w:fill="auto"/>
            <w:noWrap/>
            <w:vAlign w:val="bottom"/>
          </w:tcPr>
          <w:p w14:paraId="067D17D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168</w:t>
            </w:r>
          </w:p>
        </w:tc>
        <w:tc>
          <w:tcPr>
            <w:tcW w:w="282" w:type="pct"/>
            <w:tcBorders>
              <w:top w:val="nil"/>
              <w:left w:val="nil"/>
              <w:bottom w:val="nil"/>
              <w:right w:val="nil"/>
            </w:tcBorders>
            <w:shd w:val="clear" w:color="auto" w:fill="auto"/>
            <w:noWrap/>
            <w:vAlign w:val="bottom"/>
          </w:tcPr>
          <w:p w14:paraId="080985B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413</w:t>
            </w:r>
          </w:p>
        </w:tc>
        <w:tc>
          <w:tcPr>
            <w:tcW w:w="282" w:type="pct"/>
            <w:tcBorders>
              <w:top w:val="nil"/>
              <w:left w:val="nil"/>
              <w:bottom w:val="nil"/>
              <w:right w:val="nil"/>
            </w:tcBorders>
            <w:shd w:val="clear" w:color="auto" w:fill="auto"/>
            <w:noWrap/>
            <w:vAlign w:val="bottom"/>
          </w:tcPr>
          <w:p w14:paraId="705B0D0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00EA532"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CE4541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400</w:t>
            </w:r>
          </w:p>
        </w:tc>
        <w:tc>
          <w:tcPr>
            <w:tcW w:w="282" w:type="pct"/>
            <w:tcBorders>
              <w:top w:val="nil"/>
              <w:left w:val="nil"/>
              <w:bottom w:val="nil"/>
              <w:right w:val="nil"/>
            </w:tcBorders>
            <w:shd w:val="clear" w:color="auto" w:fill="auto"/>
            <w:noWrap/>
            <w:vAlign w:val="bottom"/>
          </w:tcPr>
          <w:p w14:paraId="5E7AE9F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C6EB36D"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250</w:t>
            </w:r>
          </w:p>
        </w:tc>
        <w:tc>
          <w:tcPr>
            <w:tcW w:w="282" w:type="pct"/>
            <w:tcBorders>
              <w:top w:val="nil"/>
              <w:left w:val="nil"/>
              <w:bottom w:val="nil"/>
              <w:right w:val="nil"/>
            </w:tcBorders>
            <w:shd w:val="clear" w:color="auto" w:fill="auto"/>
            <w:noWrap/>
            <w:vAlign w:val="bottom"/>
          </w:tcPr>
          <w:p w14:paraId="2DE6186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250</w:t>
            </w:r>
          </w:p>
        </w:tc>
        <w:tc>
          <w:tcPr>
            <w:tcW w:w="282" w:type="pct"/>
            <w:tcBorders>
              <w:top w:val="nil"/>
              <w:left w:val="nil"/>
              <w:bottom w:val="nil"/>
              <w:right w:val="nil"/>
            </w:tcBorders>
            <w:shd w:val="clear" w:color="auto" w:fill="auto"/>
            <w:noWrap/>
            <w:vAlign w:val="bottom"/>
          </w:tcPr>
          <w:p w14:paraId="6F428C3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150</w:t>
            </w:r>
          </w:p>
        </w:tc>
        <w:tc>
          <w:tcPr>
            <w:tcW w:w="282" w:type="pct"/>
            <w:tcBorders>
              <w:top w:val="nil"/>
              <w:left w:val="nil"/>
              <w:bottom w:val="nil"/>
              <w:right w:val="nil"/>
            </w:tcBorders>
            <w:shd w:val="clear" w:color="auto" w:fill="auto"/>
            <w:noWrap/>
            <w:vAlign w:val="bottom"/>
          </w:tcPr>
          <w:p w14:paraId="670A1CA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250</w:t>
            </w:r>
          </w:p>
        </w:tc>
        <w:tc>
          <w:tcPr>
            <w:tcW w:w="282" w:type="pct"/>
            <w:tcBorders>
              <w:top w:val="nil"/>
              <w:left w:val="nil"/>
              <w:bottom w:val="nil"/>
              <w:right w:val="nil"/>
            </w:tcBorders>
            <w:shd w:val="clear" w:color="auto" w:fill="auto"/>
            <w:noWrap/>
            <w:vAlign w:val="bottom"/>
          </w:tcPr>
          <w:p w14:paraId="09FA2A7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100</w:t>
            </w:r>
          </w:p>
        </w:tc>
        <w:tc>
          <w:tcPr>
            <w:tcW w:w="276" w:type="pct"/>
            <w:tcBorders>
              <w:top w:val="nil"/>
              <w:left w:val="nil"/>
              <w:bottom w:val="nil"/>
              <w:right w:val="single" w:sz="4" w:space="0" w:color="auto"/>
            </w:tcBorders>
            <w:shd w:val="clear" w:color="auto" w:fill="auto"/>
            <w:noWrap/>
            <w:vAlign w:val="bottom"/>
          </w:tcPr>
          <w:p w14:paraId="5D3C752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250</w:t>
            </w:r>
          </w:p>
        </w:tc>
      </w:tr>
      <w:tr w:rsidR="00B54F4E" w:rsidRPr="00D65B1A" w14:paraId="4162D132"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70385B3E"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sidRPr="00D65B1A">
              <w:rPr>
                <w:rFonts w:ascii="Calibri" w:hAnsi="Calibri" w:cs="Calibri"/>
                <w:color w:val="000000"/>
                <w:sz w:val="16"/>
                <w:szCs w:val="22"/>
                <w:lang w:eastAsia="es-CO"/>
              </w:rPr>
              <w:t>Carbón</w:t>
            </w:r>
          </w:p>
        </w:tc>
        <w:tc>
          <w:tcPr>
            <w:tcW w:w="282" w:type="pct"/>
            <w:tcBorders>
              <w:top w:val="nil"/>
              <w:left w:val="single" w:sz="4" w:space="0" w:color="auto"/>
              <w:bottom w:val="nil"/>
              <w:right w:val="nil"/>
            </w:tcBorders>
            <w:shd w:val="clear" w:color="auto" w:fill="auto"/>
            <w:noWrap/>
            <w:vAlign w:val="bottom"/>
          </w:tcPr>
          <w:p w14:paraId="3D11566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5D2D8C02"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760FE9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1F13ED3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5A7FB18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6FC9F5A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1E3278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26FF759"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C710FF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87E294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0B03867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14ADACD"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FB8B43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76" w:type="pct"/>
            <w:tcBorders>
              <w:top w:val="nil"/>
              <w:left w:val="nil"/>
              <w:bottom w:val="nil"/>
              <w:right w:val="single" w:sz="4" w:space="0" w:color="auto"/>
            </w:tcBorders>
            <w:shd w:val="clear" w:color="auto" w:fill="auto"/>
            <w:noWrap/>
            <w:vAlign w:val="bottom"/>
          </w:tcPr>
          <w:p w14:paraId="7BE5FE89"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076F7133"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070035B9"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sidRPr="00D65B1A">
              <w:rPr>
                <w:rFonts w:ascii="Calibri" w:hAnsi="Calibri" w:cs="Calibri"/>
                <w:color w:val="000000"/>
                <w:sz w:val="16"/>
                <w:szCs w:val="22"/>
                <w:lang w:eastAsia="es-CO"/>
              </w:rPr>
              <w:t>Diesel</w:t>
            </w:r>
          </w:p>
        </w:tc>
        <w:tc>
          <w:tcPr>
            <w:tcW w:w="282" w:type="pct"/>
            <w:tcBorders>
              <w:top w:val="nil"/>
              <w:left w:val="single" w:sz="4" w:space="0" w:color="auto"/>
              <w:bottom w:val="nil"/>
              <w:right w:val="nil"/>
            </w:tcBorders>
            <w:shd w:val="clear" w:color="auto" w:fill="auto"/>
            <w:noWrap/>
            <w:vAlign w:val="bottom"/>
          </w:tcPr>
          <w:p w14:paraId="2E19A36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89</w:t>
            </w:r>
          </w:p>
        </w:tc>
        <w:tc>
          <w:tcPr>
            <w:tcW w:w="282" w:type="pct"/>
            <w:tcBorders>
              <w:top w:val="nil"/>
              <w:left w:val="nil"/>
              <w:bottom w:val="nil"/>
              <w:right w:val="nil"/>
            </w:tcBorders>
            <w:shd w:val="clear" w:color="auto" w:fill="auto"/>
            <w:noWrap/>
            <w:vAlign w:val="bottom"/>
          </w:tcPr>
          <w:p w14:paraId="289F15F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A1A734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63C46C3D"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0179421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3E955B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989C31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50D3F0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836C0A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5789EF2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61A9A51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42FDE2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B69E30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76" w:type="pct"/>
            <w:tcBorders>
              <w:top w:val="nil"/>
              <w:left w:val="nil"/>
              <w:bottom w:val="nil"/>
              <w:right w:val="single" w:sz="4" w:space="0" w:color="auto"/>
            </w:tcBorders>
            <w:shd w:val="clear" w:color="auto" w:fill="auto"/>
            <w:noWrap/>
            <w:vAlign w:val="bottom"/>
          </w:tcPr>
          <w:p w14:paraId="2838004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7031F307"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595656FE"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Pr>
                <w:rFonts w:ascii="Calibri" w:hAnsi="Calibri" w:cs="Calibri"/>
                <w:color w:val="000000"/>
                <w:sz w:val="16"/>
                <w:szCs w:val="22"/>
                <w:lang w:eastAsia="es-CO"/>
              </w:rPr>
              <w:t>Hidroeléctrica de Pasada</w:t>
            </w:r>
          </w:p>
        </w:tc>
        <w:tc>
          <w:tcPr>
            <w:tcW w:w="282" w:type="pct"/>
            <w:tcBorders>
              <w:top w:val="nil"/>
              <w:left w:val="single" w:sz="4" w:space="0" w:color="auto"/>
              <w:bottom w:val="nil"/>
              <w:right w:val="nil"/>
            </w:tcBorders>
            <w:shd w:val="clear" w:color="auto" w:fill="auto"/>
            <w:noWrap/>
            <w:vAlign w:val="bottom"/>
          </w:tcPr>
          <w:p w14:paraId="6054213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70</w:t>
            </w:r>
          </w:p>
        </w:tc>
        <w:tc>
          <w:tcPr>
            <w:tcW w:w="282" w:type="pct"/>
            <w:tcBorders>
              <w:top w:val="nil"/>
              <w:left w:val="nil"/>
              <w:bottom w:val="nil"/>
              <w:right w:val="nil"/>
            </w:tcBorders>
            <w:shd w:val="clear" w:color="auto" w:fill="auto"/>
            <w:noWrap/>
            <w:vAlign w:val="bottom"/>
          </w:tcPr>
          <w:p w14:paraId="168B3E1C"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9</w:t>
            </w:r>
          </w:p>
        </w:tc>
        <w:tc>
          <w:tcPr>
            <w:tcW w:w="282" w:type="pct"/>
            <w:tcBorders>
              <w:top w:val="nil"/>
              <w:left w:val="nil"/>
              <w:bottom w:val="nil"/>
              <w:right w:val="nil"/>
            </w:tcBorders>
            <w:shd w:val="clear" w:color="auto" w:fill="auto"/>
            <w:noWrap/>
            <w:vAlign w:val="bottom"/>
          </w:tcPr>
          <w:p w14:paraId="76DA66B3"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15</w:t>
            </w:r>
          </w:p>
        </w:tc>
        <w:tc>
          <w:tcPr>
            <w:tcW w:w="282" w:type="pct"/>
            <w:tcBorders>
              <w:top w:val="nil"/>
              <w:left w:val="nil"/>
              <w:bottom w:val="nil"/>
              <w:right w:val="nil"/>
            </w:tcBorders>
            <w:shd w:val="clear" w:color="auto" w:fill="auto"/>
            <w:noWrap/>
            <w:vAlign w:val="bottom"/>
          </w:tcPr>
          <w:p w14:paraId="33A2D983"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114</w:t>
            </w:r>
          </w:p>
        </w:tc>
        <w:tc>
          <w:tcPr>
            <w:tcW w:w="282" w:type="pct"/>
            <w:tcBorders>
              <w:top w:val="nil"/>
              <w:left w:val="nil"/>
              <w:bottom w:val="nil"/>
              <w:right w:val="nil"/>
            </w:tcBorders>
            <w:shd w:val="clear" w:color="auto" w:fill="auto"/>
            <w:noWrap/>
            <w:vAlign w:val="bottom"/>
          </w:tcPr>
          <w:p w14:paraId="097F536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37</w:t>
            </w:r>
          </w:p>
        </w:tc>
        <w:tc>
          <w:tcPr>
            <w:tcW w:w="282" w:type="pct"/>
            <w:tcBorders>
              <w:top w:val="nil"/>
              <w:left w:val="nil"/>
              <w:bottom w:val="nil"/>
              <w:right w:val="nil"/>
            </w:tcBorders>
            <w:shd w:val="clear" w:color="auto" w:fill="auto"/>
            <w:noWrap/>
            <w:vAlign w:val="bottom"/>
          </w:tcPr>
          <w:p w14:paraId="74B0587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5</w:t>
            </w:r>
          </w:p>
        </w:tc>
        <w:tc>
          <w:tcPr>
            <w:tcW w:w="282" w:type="pct"/>
            <w:tcBorders>
              <w:top w:val="nil"/>
              <w:left w:val="nil"/>
              <w:bottom w:val="nil"/>
              <w:right w:val="nil"/>
            </w:tcBorders>
            <w:shd w:val="clear" w:color="auto" w:fill="auto"/>
            <w:noWrap/>
            <w:vAlign w:val="bottom"/>
          </w:tcPr>
          <w:p w14:paraId="2C3E74D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6</w:t>
            </w:r>
          </w:p>
        </w:tc>
        <w:tc>
          <w:tcPr>
            <w:tcW w:w="282" w:type="pct"/>
            <w:tcBorders>
              <w:top w:val="nil"/>
              <w:left w:val="nil"/>
              <w:bottom w:val="nil"/>
              <w:right w:val="nil"/>
            </w:tcBorders>
            <w:shd w:val="clear" w:color="auto" w:fill="auto"/>
            <w:noWrap/>
            <w:vAlign w:val="bottom"/>
          </w:tcPr>
          <w:p w14:paraId="731645E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28</w:t>
            </w:r>
          </w:p>
        </w:tc>
        <w:tc>
          <w:tcPr>
            <w:tcW w:w="282" w:type="pct"/>
            <w:tcBorders>
              <w:top w:val="nil"/>
              <w:left w:val="nil"/>
              <w:bottom w:val="nil"/>
              <w:right w:val="nil"/>
            </w:tcBorders>
            <w:shd w:val="clear" w:color="auto" w:fill="auto"/>
            <w:noWrap/>
            <w:vAlign w:val="bottom"/>
          </w:tcPr>
          <w:p w14:paraId="3885C122"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E4F10FC"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A4B995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8</w:t>
            </w:r>
          </w:p>
        </w:tc>
        <w:tc>
          <w:tcPr>
            <w:tcW w:w="282" w:type="pct"/>
            <w:tcBorders>
              <w:top w:val="nil"/>
              <w:left w:val="nil"/>
              <w:bottom w:val="nil"/>
              <w:right w:val="nil"/>
            </w:tcBorders>
            <w:shd w:val="clear" w:color="auto" w:fill="auto"/>
            <w:noWrap/>
            <w:vAlign w:val="bottom"/>
          </w:tcPr>
          <w:p w14:paraId="014794E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227142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76" w:type="pct"/>
            <w:tcBorders>
              <w:top w:val="nil"/>
              <w:left w:val="nil"/>
              <w:bottom w:val="nil"/>
              <w:right w:val="single" w:sz="4" w:space="0" w:color="auto"/>
            </w:tcBorders>
            <w:shd w:val="clear" w:color="auto" w:fill="auto"/>
            <w:noWrap/>
            <w:vAlign w:val="bottom"/>
          </w:tcPr>
          <w:p w14:paraId="203D715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5CA968ED"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474542A0"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sidRPr="00D65B1A">
              <w:rPr>
                <w:rFonts w:asciiTheme="minorHAnsi" w:hAnsiTheme="minorHAnsi" w:cstheme="minorHAnsi"/>
                <w:color w:val="000000"/>
                <w:sz w:val="16"/>
                <w:szCs w:val="22"/>
                <w:lang w:eastAsia="es-CO"/>
              </w:rPr>
              <w:t>Cogeneración y Biogás</w:t>
            </w:r>
          </w:p>
        </w:tc>
        <w:tc>
          <w:tcPr>
            <w:tcW w:w="282" w:type="pct"/>
            <w:tcBorders>
              <w:top w:val="nil"/>
              <w:left w:val="single" w:sz="4" w:space="0" w:color="auto"/>
              <w:bottom w:val="nil"/>
              <w:right w:val="nil"/>
            </w:tcBorders>
            <w:shd w:val="clear" w:color="auto" w:fill="auto"/>
            <w:noWrap/>
            <w:vAlign w:val="bottom"/>
          </w:tcPr>
          <w:p w14:paraId="4719C5B9"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2C31CA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522E1ED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E61C31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17874BC3"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C7246F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0719446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6F60FE2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701F70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16DB21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0854DB6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A7255E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F56B4C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76" w:type="pct"/>
            <w:tcBorders>
              <w:top w:val="nil"/>
              <w:left w:val="nil"/>
              <w:bottom w:val="nil"/>
              <w:right w:val="single" w:sz="4" w:space="0" w:color="auto"/>
            </w:tcBorders>
            <w:shd w:val="clear" w:color="auto" w:fill="auto"/>
            <w:noWrap/>
            <w:vAlign w:val="bottom"/>
          </w:tcPr>
          <w:p w14:paraId="4C61BD5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5D311646"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6A2B4062"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sidRPr="00D65B1A">
              <w:rPr>
                <w:rFonts w:asciiTheme="minorHAnsi" w:hAnsiTheme="minorHAnsi" w:cstheme="minorHAnsi"/>
                <w:color w:val="000000"/>
                <w:sz w:val="16"/>
                <w:szCs w:val="22"/>
                <w:lang w:eastAsia="es-CO"/>
              </w:rPr>
              <w:t>Eólica</w:t>
            </w:r>
          </w:p>
        </w:tc>
        <w:tc>
          <w:tcPr>
            <w:tcW w:w="282" w:type="pct"/>
            <w:tcBorders>
              <w:top w:val="nil"/>
              <w:left w:val="single" w:sz="4" w:space="0" w:color="auto"/>
              <w:bottom w:val="nil"/>
              <w:right w:val="nil"/>
            </w:tcBorders>
            <w:shd w:val="clear" w:color="auto" w:fill="auto"/>
            <w:noWrap/>
            <w:vAlign w:val="bottom"/>
          </w:tcPr>
          <w:p w14:paraId="1851EC3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68</w:t>
            </w:r>
          </w:p>
        </w:tc>
        <w:tc>
          <w:tcPr>
            <w:tcW w:w="282" w:type="pct"/>
            <w:tcBorders>
              <w:top w:val="nil"/>
              <w:left w:val="nil"/>
              <w:bottom w:val="nil"/>
              <w:right w:val="nil"/>
            </w:tcBorders>
            <w:shd w:val="clear" w:color="auto" w:fill="auto"/>
            <w:noWrap/>
            <w:vAlign w:val="bottom"/>
          </w:tcPr>
          <w:p w14:paraId="19DF89B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FB310D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102</w:t>
            </w:r>
          </w:p>
        </w:tc>
        <w:tc>
          <w:tcPr>
            <w:tcW w:w="282" w:type="pct"/>
            <w:tcBorders>
              <w:top w:val="nil"/>
              <w:left w:val="nil"/>
              <w:bottom w:val="nil"/>
              <w:right w:val="nil"/>
            </w:tcBorders>
            <w:shd w:val="clear" w:color="auto" w:fill="auto"/>
            <w:noWrap/>
            <w:vAlign w:val="bottom"/>
          </w:tcPr>
          <w:p w14:paraId="039AD0E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654C962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4629B33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175</w:t>
            </w:r>
          </w:p>
        </w:tc>
        <w:tc>
          <w:tcPr>
            <w:tcW w:w="282" w:type="pct"/>
            <w:tcBorders>
              <w:top w:val="nil"/>
              <w:left w:val="nil"/>
              <w:bottom w:val="nil"/>
              <w:right w:val="nil"/>
            </w:tcBorders>
            <w:shd w:val="clear" w:color="auto" w:fill="auto"/>
            <w:noWrap/>
            <w:vAlign w:val="bottom"/>
          </w:tcPr>
          <w:p w14:paraId="48CCCBF3"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3B8FEF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120</w:t>
            </w:r>
          </w:p>
        </w:tc>
        <w:tc>
          <w:tcPr>
            <w:tcW w:w="282" w:type="pct"/>
            <w:tcBorders>
              <w:top w:val="nil"/>
              <w:left w:val="nil"/>
              <w:bottom w:val="nil"/>
              <w:right w:val="nil"/>
            </w:tcBorders>
            <w:shd w:val="clear" w:color="auto" w:fill="auto"/>
            <w:noWrap/>
            <w:vAlign w:val="bottom"/>
          </w:tcPr>
          <w:p w14:paraId="1B1B4EB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01A66585"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280</w:t>
            </w:r>
          </w:p>
        </w:tc>
        <w:tc>
          <w:tcPr>
            <w:tcW w:w="282" w:type="pct"/>
            <w:tcBorders>
              <w:top w:val="nil"/>
              <w:left w:val="nil"/>
              <w:bottom w:val="nil"/>
              <w:right w:val="nil"/>
            </w:tcBorders>
            <w:shd w:val="clear" w:color="auto" w:fill="auto"/>
            <w:noWrap/>
            <w:vAlign w:val="bottom"/>
          </w:tcPr>
          <w:p w14:paraId="67915FE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123</w:t>
            </w:r>
          </w:p>
        </w:tc>
        <w:tc>
          <w:tcPr>
            <w:tcW w:w="282" w:type="pct"/>
            <w:tcBorders>
              <w:top w:val="nil"/>
              <w:left w:val="nil"/>
              <w:bottom w:val="nil"/>
              <w:right w:val="nil"/>
            </w:tcBorders>
            <w:shd w:val="clear" w:color="auto" w:fill="auto"/>
            <w:noWrap/>
            <w:vAlign w:val="bottom"/>
          </w:tcPr>
          <w:p w14:paraId="4F1910C9"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20</w:t>
            </w:r>
          </w:p>
        </w:tc>
        <w:tc>
          <w:tcPr>
            <w:tcW w:w="282" w:type="pct"/>
            <w:tcBorders>
              <w:top w:val="nil"/>
              <w:left w:val="nil"/>
              <w:bottom w:val="nil"/>
              <w:right w:val="nil"/>
            </w:tcBorders>
            <w:shd w:val="clear" w:color="auto" w:fill="auto"/>
            <w:noWrap/>
            <w:vAlign w:val="bottom"/>
          </w:tcPr>
          <w:p w14:paraId="0FA5DB9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76" w:type="pct"/>
            <w:tcBorders>
              <w:top w:val="nil"/>
              <w:left w:val="nil"/>
              <w:bottom w:val="nil"/>
              <w:right w:val="single" w:sz="4" w:space="0" w:color="auto"/>
            </w:tcBorders>
            <w:shd w:val="clear" w:color="auto" w:fill="auto"/>
            <w:noWrap/>
            <w:vAlign w:val="bottom"/>
          </w:tcPr>
          <w:p w14:paraId="68E61143"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49D34580" w14:textId="77777777" w:rsidTr="006504C4">
        <w:trPr>
          <w:trHeight w:val="290"/>
        </w:trPr>
        <w:tc>
          <w:tcPr>
            <w:tcW w:w="1059" w:type="pct"/>
            <w:tcBorders>
              <w:top w:val="nil"/>
              <w:left w:val="single" w:sz="4" w:space="0" w:color="auto"/>
              <w:bottom w:val="nil"/>
              <w:right w:val="single" w:sz="4" w:space="0" w:color="auto"/>
            </w:tcBorders>
            <w:shd w:val="clear" w:color="auto" w:fill="auto"/>
            <w:noWrap/>
            <w:vAlign w:val="bottom"/>
            <w:hideMark/>
          </w:tcPr>
          <w:p w14:paraId="3F305A97"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sidRPr="00D65B1A">
              <w:rPr>
                <w:rFonts w:asciiTheme="minorHAnsi" w:hAnsiTheme="minorHAnsi" w:cstheme="minorHAnsi"/>
                <w:color w:val="000000"/>
                <w:sz w:val="16"/>
                <w:szCs w:val="22"/>
                <w:lang w:eastAsia="es-CO"/>
              </w:rPr>
              <w:t>Solar</w:t>
            </w:r>
          </w:p>
        </w:tc>
        <w:tc>
          <w:tcPr>
            <w:tcW w:w="282" w:type="pct"/>
            <w:tcBorders>
              <w:top w:val="nil"/>
              <w:left w:val="single" w:sz="4" w:space="0" w:color="auto"/>
              <w:bottom w:val="nil"/>
              <w:right w:val="nil"/>
            </w:tcBorders>
            <w:shd w:val="clear" w:color="auto" w:fill="auto"/>
            <w:noWrap/>
            <w:vAlign w:val="bottom"/>
          </w:tcPr>
          <w:p w14:paraId="3D10208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56</w:t>
            </w:r>
          </w:p>
        </w:tc>
        <w:tc>
          <w:tcPr>
            <w:tcW w:w="282" w:type="pct"/>
            <w:tcBorders>
              <w:top w:val="nil"/>
              <w:left w:val="nil"/>
              <w:bottom w:val="nil"/>
              <w:right w:val="nil"/>
            </w:tcBorders>
            <w:shd w:val="clear" w:color="auto" w:fill="auto"/>
            <w:noWrap/>
            <w:vAlign w:val="bottom"/>
          </w:tcPr>
          <w:p w14:paraId="2EBDCF4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143</w:t>
            </w:r>
          </w:p>
        </w:tc>
        <w:tc>
          <w:tcPr>
            <w:tcW w:w="282" w:type="pct"/>
            <w:tcBorders>
              <w:top w:val="nil"/>
              <w:left w:val="nil"/>
              <w:bottom w:val="nil"/>
              <w:right w:val="nil"/>
            </w:tcBorders>
            <w:shd w:val="clear" w:color="auto" w:fill="auto"/>
            <w:noWrap/>
            <w:vAlign w:val="bottom"/>
          </w:tcPr>
          <w:p w14:paraId="42C60C58"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65</w:t>
            </w:r>
          </w:p>
        </w:tc>
        <w:tc>
          <w:tcPr>
            <w:tcW w:w="282" w:type="pct"/>
            <w:tcBorders>
              <w:top w:val="nil"/>
              <w:left w:val="nil"/>
              <w:bottom w:val="nil"/>
              <w:right w:val="nil"/>
            </w:tcBorders>
            <w:shd w:val="clear" w:color="auto" w:fill="auto"/>
            <w:noWrap/>
            <w:vAlign w:val="bottom"/>
          </w:tcPr>
          <w:p w14:paraId="42D46A3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100</w:t>
            </w:r>
          </w:p>
        </w:tc>
        <w:tc>
          <w:tcPr>
            <w:tcW w:w="282" w:type="pct"/>
            <w:tcBorders>
              <w:top w:val="nil"/>
              <w:left w:val="nil"/>
              <w:bottom w:val="nil"/>
              <w:right w:val="nil"/>
            </w:tcBorders>
            <w:shd w:val="clear" w:color="auto" w:fill="auto"/>
            <w:noWrap/>
            <w:vAlign w:val="bottom"/>
          </w:tcPr>
          <w:p w14:paraId="69FC203D"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80</w:t>
            </w:r>
          </w:p>
        </w:tc>
        <w:tc>
          <w:tcPr>
            <w:tcW w:w="282" w:type="pct"/>
            <w:tcBorders>
              <w:top w:val="nil"/>
              <w:left w:val="nil"/>
              <w:bottom w:val="nil"/>
              <w:right w:val="nil"/>
            </w:tcBorders>
            <w:shd w:val="clear" w:color="auto" w:fill="auto"/>
            <w:noWrap/>
            <w:vAlign w:val="bottom"/>
          </w:tcPr>
          <w:p w14:paraId="086DB6F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30</w:t>
            </w:r>
          </w:p>
        </w:tc>
        <w:tc>
          <w:tcPr>
            <w:tcW w:w="282" w:type="pct"/>
            <w:tcBorders>
              <w:top w:val="nil"/>
              <w:left w:val="nil"/>
              <w:bottom w:val="nil"/>
              <w:right w:val="nil"/>
            </w:tcBorders>
            <w:shd w:val="clear" w:color="auto" w:fill="auto"/>
            <w:noWrap/>
            <w:vAlign w:val="bottom"/>
          </w:tcPr>
          <w:p w14:paraId="74106C9A"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3523587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2805A54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nil"/>
              <w:right w:val="nil"/>
            </w:tcBorders>
            <w:shd w:val="clear" w:color="auto" w:fill="auto"/>
            <w:noWrap/>
            <w:vAlign w:val="bottom"/>
          </w:tcPr>
          <w:p w14:paraId="7BA2325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140</w:t>
            </w:r>
          </w:p>
        </w:tc>
        <w:tc>
          <w:tcPr>
            <w:tcW w:w="282" w:type="pct"/>
            <w:tcBorders>
              <w:top w:val="nil"/>
              <w:left w:val="nil"/>
              <w:bottom w:val="nil"/>
              <w:right w:val="nil"/>
            </w:tcBorders>
            <w:shd w:val="clear" w:color="auto" w:fill="auto"/>
            <w:noWrap/>
            <w:vAlign w:val="bottom"/>
          </w:tcPr>
          <w:p w14:paraId="187116A2"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85</w:t>
            </w:r>
          </w:p>
        </w:tc>
        <w:tc>
          <w:tcPr>
            <w:tcW w:w="282" w:type="pct"/>
            <w:tcBorders>
              <w:top w:val="nil"/>
              <w:left w:val="nil"/>
              <w:bottom w:val="nil"/>
              <w:right w:val="nil"/>
            </w:tcBorders>
            <w:shd w:val="clear" w:color="auto" w:fill="auto"/>
            <w:noWrap/>
            <w:vAlign w:val="bottom"/>
          </w:tcPr>
          <w:p w14:paraId="457E0A29"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50</w:t>
            </w:r>
          </w:p>
        </w:tc>
        <w:tc>
          <w:tcPr>
            <w:tcW w:w="282" w:type="pct"/>
            <w:tcBorders>
              <w:top w:val="nil"/>
              <w:left w:val="nil"/>
              <w:bottom w:val="nil"/>
              <w:right w:val="nil"/>
            </w:tcBorders>
            <w:shd w:val="clear" w:color="auto" w:fill="auto"/>
            <w:noWrap/>
            <w:vAlign w:val="bottom"/>
          </w:tcPr>
          <w:p w14:paraId="0F58A169"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r w:rsidRPr="008C379C">
              <w:rPr>
                <w:rFonts w:asciiTheme="minorHAnsi" w:hAnsiTheme="minorHAnsi" w:cstheme="minorHAnsi"/>
                <w:color w:val="000000" w:themeColor="text1"/>
                <w:sz w:val="16"/>
                <w:szCs w:val="16"/>
                <w:lang w:eastAsia="es-CO"/>
              </w:rPr>
              <w:t>40</w:t>
            </w:r>
          </w:p>
        </w:tc>
        <w:tc>
          <w:tcPr>
            <w:tcW w:w="276" w:type="pct"/>
            <w:tcBorders>
              <w:top w:val="nil"/>
              <w:left w:val="nil"/>
              <w:bottom w:val="nil"/>
              <w:right w:val="single" w:sz="4" w:space="0" w:color="auto"/>
            </w:tcBorders>
            <w:shd w:val="clear" w:color="auto" w:fill="auto"/>
            <w:noWrap/>
            <w:vAlign w:val="bottom"/>
          </w:tcPr>
          <w:p w14:paraId="5634FCCE"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0BD0185C" w14:textId="77777777" w:rsidTr="006504C4">
        <w:trPr>
          <w:trHeight w:val="290"/>
        </w:trPr>
        <w:tc>
          <w:tcPr>
            <w:tcW w:w="1059" w:type="pct"/>
            <w:tcBorders>
              <w:top w:val="nil"/>
              <w:left w:val="single" w:sz="4" w:space="0" w:color="auto"/>
              <w:bottom w:val="single" w:sz="4" w:space="0" w:color="auto"/>
              <w:right w:val="single" w:sz="4" w:space="0" w:color="auto"/>
            </w:tcBorders>
            <w:shd w:val="clear" w:color="auto" w:fill="auto"/>
            <w:noWrap/>
            <w:vAlign w:val="bottom"/>
            <w:hideMark/>
          </w:tcPr>
          <w:p w14:paraId="491E1119" w14:textId="77777777" w:rsidR="00B54F4E" w:rsidRPr="00D65B1A" w:rsidRDefault="00B54F4E" w:rsidP="006504C4">
            <w:pPr>
              <w:spacing w:before="0" w:after="0"/>
              <w:jc w:val="left"/>
              <w:rPr>
                <w:rFonts w:asciiTheme="minorHAnsi" w:hAnsiTheme="minorHAnsi" w:cstheme="minorHAnsi"/>
                <w:color w:val="000000"/>
                <w:sz w:val="16"/>
                <w:szCs w:val="22"/>
                <w:lang w:eastAsia="es-CO"/>
              </w:rPr>
            </w:pPr>
            <w:r w:rsidRPr="00D65B1A">
              <w:rPr>
                <w:rFonts w:asciiTheme="minorHAnsi" w:hAnsiTheme="minorHAnsi" w:cstheme="minorHAnsi"/>
                <w:color w:val="000000"/>
                <w:sz w:val="16"/>
                <w:szCs w:val="22"/>
                <w:lang w:eastAsia="es-CO"/>
              </w:rPr>
              <w:t>Geotérmica</w:t>
            </w:r>
          </w:p>
        </w:tc>
        <w:tc>
          <w:tcPr>
            <w:tcW w:w="282" w:type="pct"/>
            <w:tcBorders>
              <w:top w:val="nil"/>
              <w:left w:val="single" w:sz="4" w:space="0" w:color="auto"/>
              <w:bottom w:val="single" w:sz="4" w:space="0" w:color="auto"/>
              <w:right w:val="nil"/>
            </w:tcBorders>
            <w:shd w:val="clear" w:color="auto" w:fill="auto"/>
            <w:noWrap/>
            <w:vAlign w:val="bottom"/>
          </w:tcPr>
          <w:p w14:paraId="2182BE8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2FD32D3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537A3BF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135C7524"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5D068ED6"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5FA2A0C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7CFDCCF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2FAE5E6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4F677FEF"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50A3E5B7"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3AB07AEB"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1F68504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82" w:type="pct"/>
            <w:tcBorders>
              <w:top w:val="nil"/>
              <w:left w:val="nil"/>
              <w:bottom w:val="single" w:sz="4" w:space="0" w:color="auto"/>
              <w:right w:val="nil"/>
            </w:tcBorders>
            <w:shd w:val="clear" w:color="auto" w:fill="auto"/>
            <w:noWrap/>
            <w:vAlign w:val="bottom"/>
          </w:tcPr>
          <w:p w14:paraId="7FDBA101"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c>
          <w:tcPr>
            <w:tcW w:w="276" w:type="pct"/>
            <w:tcBorders>
              <w:top w:val="nil"/>
              <w:left w:val="nil"/>
              <w:bottom w:val="single" w:sz="4" w:space="0" w:color="auto"/>
              <w:right w:val="single" w:sz="4" w:space="0" w:color="auto"/>
            </w:tcBorders>
            <w:shd w:val="clear" w:color="auto" w:fill="auto"/>
            <w:noWrap/>
            <w:vAlign w:val="bottom"/>
          </w:tcPr>
          <w:p w14:paraId="27BCA9F0" w14:textId="77777777" w:rsidR="00B54F4E" w:rsidRPr="008C379C" w:rsidRDefault="00B54F4E" w:rsidP="006504C4">
            <w:pPr>
              <w:spacing w:before="0" w:after="0"/>
              <w:jc w:val="center"/>
              <w:rPr>
                <w:rFonts w:asciiTheme="minorHAnsi" w:hAnsiTheme="minorHAnsi" w:cstheme="minorHAnsi"/>
                <w:color w:val="000000" w:themeColor="text1"/>
                <w:sz w:val="16"/>
                <w:szCs w:val="16"/>
                <w:lang w:eastAsia="es-CO"/>
              </w:rPr>
            </w:pPr>
          </w:p>
        </w:tc>
      </w:tr>
      <w:tr w:rsidR="00B54F4E" w:rsidRPr="00D65B1A" w14:paraId="5C4A70D0" w14:textId="77777777" w:rsidTr="006504C4">
        <w:trPr>
          <w:trHeight w:val="290"/>
        </w:trPr>
        <w:tc>
          <w:tcPr>
            <w:tcW w:w="1059" w:type="pct"/>
            <w:tcBorders>
              <w:top w:val="nil"/>
              <w:left w:val="single" w:sz="4" w:space="0" w:color="auto"/>
              <w:bottom w:val="single" w:sz="4" w:space="0" w:color="auto"/>
              <w:right w:val="single" w:sz="4" w:space="0" w:color="auto"/>
            </w:tcBorders>
            <w:shd w:val="clear" w:color="auto" w:fill="auto"/>
            <w:noWrap/>
            <w:vAlign w:val="bottom"/>
            <w:hideMark/>
          </w:tcPr>
          <w:p w14:paraId="49432F6D" w14:textId="77777777" w:rsidR="00B54F4E" w:rsidRPr="00D65B1A" w:rsidRDefault="00B54F4E" w:rsidP="006504C4">
            <w:pPr>
              <w:spacing w:before="0" w:after="0"/>
              <w:jc w:val="left"/>
              <w:rPr>
                <w:rFonts w:asciiTheme="minorHAnsi" w:hAnsiTheme="minorHAnsi" w:cstheme="minorHAnsi"/>
                <w:b/>
                <w:color w:val="000000" w:themeColor="text1"/>
                <w:sz w:val="16"/>
                <w:szCs w:val="22"/>
                <w:lang w:eastAsia="es-CO"/>
              </w:rPr>
            </w:pPr>
            <w:r w:rsidRPr="00D65B1A">
              <w:rPr>
                <w:rFonts w:asciiTheme="minorHAnsi" w:hAnsiTheme="minorHAnsi" w:cstheme="minorHAnsi"/>
                <w:b/>
                <w:color w:val="000000" w:themeColor="text1"/>
                <w:sz w:val="16"/>
                <w:szCs w:val="22"/>
                <w:lang w:eastAsia="es-CO"/>
              </w:rPr>
              <w:t>Total Expansión</w:t>
            </w:r>
          </w:p>
        </w:tc>
        <w:tc>
          <w:tcPr>
            <w:tcW w:w="282" w:type="pct"/>
            <w:tcBorders>
              <w:top w:val="nil"/>
              <w:left w:val="single" w:sz="4" w:space="0" w:color="auto"/>
              <w:bottom w:val="single" w:sz="4" w:space="0" w:color="auto"/>
              <w:right w:val="nil"/>
            </w:tcBorders>
            <w:shd w:val="clear" w:color="auto" w:fill="auto"/>
            <w:noWrap/>
            <w:vAlign w:val="bottom"/>
          </w:tcPr>
          <w:p w14:paraId="317F56AB"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282</w:t>
            </w:r>
          </w:p>
        </w:tc>
        <w:tc>
          <w:tcPr>
            <w:tcW w:w="282" w:type="pct"/>
            <w:tcBorders>
              <w:top w:val="nil"/>
              <w:left w:val="nil"/>
              <w:bottom w:val="single" w:sz="4" w:space="0" w:color="auto"/>
              <w:right w:val="nil"/>
            </w:tcBorders>
            <w:shd w:val="clear" w:color="auto" w:fill="auto"/>
            <w:noWrap/>
            <w:vAlign w:val="bottom"/>
          </w:tcPr>
          <w:p w14:paraId="7D2CB170"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533</w:t>
            </w:r>
          </w:p>
        </w:tc>
        <w:tc>
          <w:tcPr>
            <w:tcW w:w="282" w:type="pct"/>
            <w:tcBorders>
              <w:top w:val="nil"/>
              <w:left w:val="nil"/>
              <w:bottom w:val="single" w:sz="4" w:space="0" w:color="auto"/>
              <w:right w:val="nil"/>
            </w:tcBorders>
            <w:shd w:val="clear" w:color="auto" w:fill="auto"/>
            <w:noWrap/>
            <w:vAlign w:val="bottom"/>
          </w:tcPr>
          <w:p w14:paraId="36A0154B"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350</w:t>
            </w:r>
          </w:p>
        </w:tc>
        <w:tc>
          <w:tcPr>
            <w:tcW w:w="282" w:type="pct"/>
            <w:tcBorders>
              <w:top w:val="nil"/>
              <w:left w:val="nil"/>
              <w:bottom w:val="single" w:sz="4" w:space="0" w:color="auto"/>
              <w:right w:val="nil"/>
            </w:tcBorders>
            <w:shd w:val="clear" w:color="auto" w:fill="auto"/>
            <w:noWrap/>
            <w:vAlign w:val="bottom"/>
          </w:tcPr>
          <w:p w14:paraId="365D9E9C"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841</w:t>
            </w:r>
          </w:p>
        </w:tc>
        <w:tc>
          <w:tcPr>
            <w:tcW w:w="282" w:type="pct"/>
            <w:tcBorders>
              <w:top w:val="nil"/>
              <w:left w:val="nil"/>
              <w:bottom w:val="single" w:sz="4" w:space="0" w:color="auto"/>
              <w:right w:val="nil"/>
            </w:tcBorders>
            <w:shd w:val="clear" w:color="auto" w:fill="auto"/>
            <w:noWrap/>
            <w:vAlign w:val="bottom"/>
          </w:tcPr>
          <w:p w14:paraId="409AA1A3"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117</w:t>
            </w:r>
          </w:p>
        </w:tc>
        <w:tc>
          <w:tcPr>
            <w:tcW w:w="282" w:type="pct"/>
            <w:tcBorders>
              <w:top w:val="nil"/>
              <w:left w:val="nil"/>
              <w:bottom w:val="single" w:sz="4" w:space="0" w:color="auto"/>
              <w:right w:val="nil"/>
            </w:tcBorders>
            <w:shd w:val="clear" w:color="auto" w:fill="auto"/>
            <w:noWrap/>
            <w:vAlign w:val="bottom"/>
          </w:tcPr>
          <w:p w14:paraId="0737B153"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210</w:t>
            </w:r>
          </w:p>
        </w:tc>
        <w:tc>
          <w:tcPr>
            <w:tcW w:w="282" w:type="pct"/>
            <w:tcBorders>
              <w:top w:val="nil"/>
              <w:left w:val="nil"/>
              <w:bottom w:val="single" w:sz="4" w:space="0" w:color="auto"/>
              <w:right w:val="nil"/>
            </w:tcBorders>
            <w:shd w:val="clear" w:color="auto" w:fill="auto"/>
            <w:noWrap/>
            <w:vAlign w:val="bottom"/>
          </w:tcPr>
          <w:p w14:paraId="7E9A7F16"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406</w:t>
            </w:r>
          </w:p>
        </w:tc>
        <w:tc>
          <w:tcPr>
            <w:tcW w:w="282" w:type="pct"/>
            <w:tcBorders>
              <w:top w:val="nil"/>
              <w:left w:val="nil"/>
              <w:bottom w:val="single" w:sz="4" w:space="0" w:color="auto"/>
              <w:right w:val="nil"/>
            </w:tcBorders>
            <w:shd w:val="clear" w:color="auto" w:fill="auto"/>
            <w:noWrap/>
            <w:vAlign w:val="bottom"/>
          </w:tcPr>
          <w:p w14:paraId="080A6934"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148</w:t>
            </w:r>
          </w:p>
        </w:tc>
        <w:tc>
          <w:tcPr>
            <w:tcW w:w="282" w:type="pct"/>
            <w:tcBorders>
              <w:top w:val="nil"/>
              <w:left w:val="nil"/>
              <w:bottom w:val="single" w:sz="4" w:space="0" w:color="auto"/>
              <w:right w:val="nil"/>
            </w:tcBorders>
            <w:shd w:val="clear" w:color="auto" w:fill="auto"/>
            <w:noWrap/>
            <w:vAlign w:val="bottom"/>
          </w:tcPr>
          <w:p w14:paraId="1272AD43"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250</w:t>
            </w:r>
          </w:p>
        </w:tc>
        <w:tc>
          <w:tcPr>
            <w:tcW w:w="282" w:type="pct"/>
            <w:tcBorders>
              <w:top w:val="nil"/>
              <w:left w:val="nil"/>
              <w:bottom w:val="single" w:sz="4" w:space="0" w:color="auto"/>
              <w:right w:val="nil"/>
            </w:tcBorders>
            <w:shd w:val="clear" w:color="auto" w:fill="auto"/>
            <w:noWrap/>
            <w:vAlign w:val="bottom"/>
          </w:tcPr>
          <w:p w14:paraId="546D8DC0"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670</w:t>
            </w:r>
          </w:p>
        </w:tc>
        <w:tc>
          <w:tcPr>
            <w:tcW w:w="282" w:type="pct"/>
            <w:tcBorders>
              <w:top w:val="nil"/>
              <w:left w:val="nil"/>
              <w:bottom w:val="single" w:sz="4" w:space="0" w:color="auto"/>
              <w:right w:val="nil"/>
            </w:tcBorders>
            <w:shd w:val="clear" w:color="auto" w:fill="auto"/>
            <w:noWrap/>
            <w:vAlign w:val="bottom"/>
          </w:tcPr>
          <w:p w14:paraId="09E3D140"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366</w:t>
            </w:r>
          </w:p>
        </w:tc>
        <w:tc>
          <w:tcPr>
            <w:tcW w:w="282" w:type="pct"/>
            <w:tcBorders>
              <w:top w:val="nil"/>
              <w:left w:val="nil"/>
              <w:bottom w:val="single" w:sz="4" w:space="0" w:color="auto"/>
              <w:right w:val="nil"/>
            </w:tcBorders>
            <w:shd w:val="clear" w:color="auto" w:fill="auto"/>
            <w:noWrap/>
            <w:vAlign w:val="bottom"/>
          </w:tcPr>
          <w:p w14:paraId="03DF3735"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320</w:t>
            </w:r>
          </w:p>
        </w:tc>
        <w:tc>
          <w:tcPr>
            <w:tcW w:w="282" w:type="pct"/>
            <w:tcBorders>
              <w:top w:val="nil"/>
              <w:left w:val="nil"/>
              <w:bottom w:val="single" w:sz="4" w:space="0" w:color="auto"/>
              <w:right w:val="nil"/>
            </w:tcBorders>
            <w:shd w:val="clear" w:color="auto" w:fill="auto"/>
            <w:noWrap/>
            <w:vAlign w:val="bottom"/>
          </w:tcPr>
          <w:p w14:paraId="25558D26"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140</w:t>
            </w:r>
          </w:p>
        </w:tc>
        <w:tc>
          <w:tcPr>
            <w:tcW w:w="276" w:type="pct"/>
            <w:tcBorders>
              <w:top w:val="nil"/>
              <w:left w:val="nil"/>
              <w:bottom w:val="single" w:sz="4" w:space="0" w:color="auto"/>
              <w:right w:val="single" w:sz="4" w:space="0" w:color="auto"/>
            </w:tcBorders>
            <w:shd w:val="clear" w:color="auto" w:fill="auto"/>
            <w:noWrap/>
            <w:vAlign w:val="bottom"/>
          </w:tcPr>
          <w:p w14:paraId="5E14BAAD" w14:textId="77777777" w:rsidR="00B54F4E" w:rsidRPr="008C379C" w:rsidRDefault="00B54F4E" w:rsidP="006504C4">
            <w:pPr>
              <w:spacing w:before="0" w:after="0"/>
              <w:jc w:val="center"/>
              <w:rPr>
                <w:rFonts w:asciiTheme="minorHAnsi" w:hAnsiTheme="minorHAnsi" w:cstheme="minorHAnsi"/>
                <w:b/>
                <w:color w:val="000000" w:themeColor="text1"/>
                <w:sz w:val="16"/>
                <w:szCs w:val="16"/>
                <w:lang w:eastAsia="es-CO"/>
              </w:rPr>
            </w:pPr>
            <w:r w:rsidRPr="008C379C">
              <w:rPr>
                <w:rFonts w:asciiTheme="minorHAnsi" w:hAnsiTheme="minorHAnsi" w:cstheme="minorHAnsi"/>
                <w:b/>
                <w:color w:val="000000" w:themeColor="text1"/>
                <w:sz w:val="16"/>
                <w:szCs w:val="16"/>
                <w:lang w:eastAsia="es-CO"/>
              </w:rPr>
              <w:t>250</w:t>
            </w:r>
          </w:p>
        </w:tc>
      </w:tr>
    </w:tbl>
    <w:p w14:paraId="2ED6BFF8" w14:textId="77777777" w:rsidR="00B54F4E" w:rsidRPr="00EA5936" w:rsidRDefault="00B54F4E" w:rsidP="00B54F4E">
      <w:pPr>
        <w:spacing w:before="0" w:after="0"/>
        <w:jc w:val="center"/>
        <w:rPr>
          <w:sz w:val="18"/>
          <w:szCs w:val="18"/>
          <w:lang w:val="es-ES"/>
        </w:rPr>
      </w:pPr>
      <w:r w:rsidRPr="00EA5936">
        <w:rPr>
          <w:sz w:val="18"/>
          <w:szCs w:val="18"/>
          <w:lang w:val="es-ES"/>
        </w:rPr>
        <w:t>Fuente: Elaborado con base en información del Plan de Expansión del Sistema Interconectado de ETESA</w:t>
      </w:r>
    </w:p>
    <w:p w14:paraId="7F8F4FDA" w14:textId="77777777" w:rsidR="00B54F4E" w:rsidRDefault="00B54F4E" w:rsidP="00B54F4E">
      <w:pPr>
        <w:spacing w:before="0" w:after="0"/>
        <w:jc w:val="center"/>
        <w:rPr>
          <w:sz w:val="18"/>
          <w:szCs w:val="18"/>
          <w:lang w:val="es-ES"/>
        </w:rPr>
      </w:pPr>
      <w:r w:rsidRPr="00EA5936">
        <w:rPr>
          <w:sz w:val="18"/>
          <w:szCs w:val="18"/>
          <w:lang w:val="es-ES"/>
        </w:rPr>
        <w:t>Nota: la capacidad de generación que se muestra en las tablas corresponde a nueva capacidad instalada en cada año y no al total de capacidad instalada del sistema</w:t>
      </w:r>
    </w:p>
    <w:p w14:paraId="37F75854" w14:textId="77777777" w:rsidR="00B54F4E" w:rsidRPr="006C4E72" w:rsidRDefault="00B54F4E" w:rsidP="00B54F4E">
      <w:pPr>
        <w:rPr>
          <w:b/>
        </w:rPr>
      </w:pPr>
      <w:bookmarkStart w:id="31" w:name="_Ref481402601"/>
      <w:bookmarkStart w:id="32" w:name="_Toc484097077"/>
      <w:r>
        <w:rPr>
          <w:b/>
        </w:rPr>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2</w:t>
      </w:r>
      <w:r>
        <w:rPr>
          <w:b/>
        </w:rPr>
        <w:fldChar w:fldCharType="end"/>
      </w:r>
      <w:bookmarkEnd w:id="31"/>
      <w:r>
        <w:rPr>
          <w:b/>
        </w:rPr>
        <w:t xml:space="preserve"> – Proyección de generación térmica para los escenarios de referencia y renovable</w:t>
      </w:r>
      <w:bookmarkEnd w:id="32"/>
    </w:p>
    <w:p w14:paraId="27046B5B" w14:textId="77777777" w:rsidR="00B54F4E" w:rsidRDefault="00B54F4E" w:rsidP="00B54F4E">
      <w:pPr>
        <w:jc w:val="center"/>
        <w:rPr>
          <w:sz w:val="18"/>
          <w:szCs w:val="18"/>
          <w:lang w:val="es-ES"/>
        </w:rPr>
      </w:pPr>
      <w:r>
        <w:rPr>
          <w:noProof/>
          <w:sz w:val="20"/>
          <w:lang w:val="en-US"/>
        </w:rPr>
        <w:drawing>
          <wp:inline distT="0" distB="0" distL="0" distR="0" wp14:anchorId="5E0E08D9" wp14:editId="5B7646BF">
            <wp:extent cx="4915340" cy="218305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958019" cy="2202005"/>
                    </a:xfrm>
                    <a:prstGeom prst="rect">
                      <a:avLst/>
                    </a:prstGeom>
                    <a:noFill/>
                  </pic:spPr>
                </pic:pic>
              </a:graphicData>
            </a:graphic>
          </wp:inline>
        </w:drawing>
      </w:r>
      <w:r w:rsidRPr="007C0F1F">
        <w:rPr>
          <w:sz w:val="18"/>
          <w:szCs w:val="18"/>
          <w:lang w:val="es-ES"/>
        </w:rPr>
        <w:t xml:space="preserve">Fuente: </w:t>
      </w:r>
      <w:r w:rsidRPr="00E4588E">
        <w:rPr>
          <w:sz w:val="18"/>
          <w:szCs w:val="18"/>
          <w:lang w:val="es-ES"/>
        </w:rPr>
        <w:t>Elabo</w:t>
      </w:r>
      <w:r>
        <w:rPr>
          <w:sz w:val="18"/>
          <w:szCs w:val="18"/>
          <w:lang w:val="es-ES"/>
        </w:rPr>
        <w:t xml:space="preserve">rado con base en información del </w:t>
      </w:r>
      <w:r w:rsidRPr="00481439">
        <w:rPr>
          <w:sz w:val="18"/>
          <w:szCs w:val="18"/>
          <w:lang w:val="es-ES"/>
        </w:rPr>
        <w:t>Pl</w:t>
      </w:r>
      <w:r>
        <w:rPr>
          <w:sz w:val="18"/>
          <w:szCs w:val="18"/>
          <w:lang w:val="es-ES"/>
        </w:rPr>
        <w:t>an Indicativo de Generación y cálculos del consultor</w:t>
      </w:r>
    </w:p>
    <w:p w14:paraId="6F97378E" w14:textId="77777777" w:rsidR="00B54F4E" w:rsidRDefault="00B54F4E" w:rsidP="00B54F4E">
      <w:pPr>
        <w:spacing w:before="120" w:after="0"/>
        <w:rPr>
          <w:sz w:val="18"/>
          <w:szCs w:val="18"/>
          <w:lang w:val="es-ES"/>
        </w:rPr>
      </w:pPr>
      <w:bookmarkStart w:id="33" w:name="_Ref484093609"/>
      <w:bookmarkStart w:id="34" w:name="_Toc484097078"/>
      <w:r>
        <w:rPr>
          <w:lang w:val="es-ES" w:eastAsia="es-CO"/>
        </w:rPr>
        <w:t>Se reitera que el escenario renovable considera una mayor capacidad instalada total debido a que la intermitencia de las energías renovables no convencionales requiere de capacidad de respaldo adicional que no es necesaria en el escenario de referencia.</w:t>
      </w:r>
    </w:p>
    <w:p w14:paraId="173B36F4" w14:textId="77777777" w:rsidR="00B54F4E" w:rsidRPr="00553F20" w:rsidRDefault="00B54F4E" w:rsidP="00B54F4E">
      <w:pPr>
        <w:spacing w:before="120" w:after="0"/>
        <w:rPr>
          <w:lang w:val="es-ES" w:eastAsia="es-CO"/>
        </w:rPr>
      </w:pPr>
      <w:r>
        <w:rPr>
          <w:lang w:val="es-ES" w:eastAsia="es-CO"/>
        </w:rPr>
        <w:t xml:space="preserve">La </w:t>
      </w:r>
      <w:r>
        <w:rPr>
          <w:lang w:val="es-ES" w:eastAsia="es-CO"/>
        </w:rPr>
        <w:fldChar w:fldCharType="begin"/>
      </w:r>
      <w:r>
        <w:rPr>
          <w:lang w:val="es-ES" w:eastAsia="es-CO"/>
        </w:rPr>
        <w:instrText xml:space="preserve"> REF _Ref481402601 \h </w:instrText>
      </w:r>
      <w:r>
        <w:rPr>
          <w:lang w:val="es-ES" w:eastAsia="es-CO"/>
        </w:rPr>
      </w:r>
      <w:r>
        <w:rPr>
          <w:lang w:val="es-ES" w:eastAsia="es-CO"/>
        </w:rPr>
        <w:fldChar w:fldCharType="separate"/>
      </w:r>
      <w:r>
        <w:rPr>
          <w:b/>
        </w:rPr>
        <w:t>Ilustración</w:t>
      </w:r>
      <w:r w:rsidRPr="00F53187">
        <w:rPr>
          <w:b/>
        </w:rPr>
        <w:t xml:space="preserve"> </w:t>
      </w:r>
      <w:r>
        <w:rPr>
          <w:b/>
          <w:noProof/>
        </w:rPr>
        <w:t>2</w:t>
      </w:r>
      <w:r>
        <w:rPr>
          <w:lang w:val="es-ES" w:eastAsia="es-CO"/>
        </w:rPr>
        <w:fldChar w:fldCharType="end"/>
      </w:r>
      <w:r>
        <w:rPr>
          <w:lang w:val="es-ES" w:eastAsia="es-CO"/>
        </w:rPr>
        <w:t xml:space="preserve"> muestra la generación térmica en cada escenario, observándose que en el escenario de renovables la generación térmica es menor que la del escenario de referencia como es de esperar. La </w:t>
      </w:r>
      <w:r>
        <w:rPr>
          <w:lang w:val="es-ES" w:eastAsia="es-CO"/>
        </w:rPr>
        <w:fldChar w:fldCharType="begin"/>
      </w:r>
      <w:r>
        <w:rPr>
          <w:lang w:val="es-ES" w:eastAsia="es-CO"/>
        </w:rPr>
        <w:instrText xml:space="preserve"> REF _Ref484093609 \h </w:instrText>
      </w:r>
      <w:r>
        <w:rPr>
          <w:lang w:val="es-ES" w:eastAsia="es-CO"/>
        </w:rPr>
      </w:r>
      <w:r>
        <w:rPr>
          <w:lang w:val="es-ES" w:eastAsia="es-CO"/>
        </w:rPr>
        <w:fldChar w:fldCharType="separate"/>
      </w:r>
      <w:r>
        <w:rPr>
          <w:b/>
        </w:rPr>
        <w:t>Ilustración</w:t>
      </w:r>
      <w:r w:rsidRPr="00F53187">
        <w:rPr>
          <w:b/>
        </w:rPr>
        <w:t xml:space="preserve"> </w:t>
      </w:r>
      <w:r>
        <w:rPr>
          <w:b/>
          <w:noProof/>
        </w:rPr>
        <w:t>3</w:t>
      </w:r>
      <w:r>
        <w:rPr>
          <w:lang w:val="es-ES" w:eastAsia="es-CO"/>
        </w:rPr>
        <w:fldChar w:fldCharType="end"/>
      </w:r>
      <w:r>
        <w:rPr>
          <w:lang w:val="es-ES" w:eastAsia="es-CO"/>
        </w:rPr>
        <w:t xml:space="preserve"> y la </w:t>
      </w:r>
      <w:r>
        <w:rPr>
          <w:lang w:val="es-ES" w:eastAsia="es-CO"/>
        </w:rPr>
        <w:fldChar w:fldCharType="begin"/>
      </w:r>
      <w:r>
        <w:rPr>
          <w:lang w:val="es-ES" w:eastAsia="es-CO"/>
        </w:rPr>
        <w:instrText xml:space="preserve"> REF _Ref484093622 \h </w:instrText>
      </w:r>
      <w:r>
        <w:rPr>
          <w:lang w:val="es-ES" w:eastAsia="es-CO"/>
        </w:rPr>
      </w:r>
      <w:r>
        <w:rPr>
          <w:lang w:val="es-ES" w:eastAsia="es-CO"/>
        </w:rPr>
        <w:fldChar w:fldCharType="separate"/>
      </w:r>
      <w:r>
        <w:rPr>
          <w:b/>
        </w:rPr>
        <w:t>Ilustración</w:t>
      </w:r>
      <w:r w:rsidRPr="00F53187">
        <w:rPr>
          <w:b/>
        </w:rPr>
        <w:t xml:space="preserve"> </w:t>
      </w:r>
      <w:r>
        <w:rPr>
          <w:b/>
          <w:noProof/>
        </w:rPr>
        <w:t>4</w:t>
      </w:r>
      <w:r>
        <w:rPr>
          <w:lang w:val="es-ES" w:eastAsia="es-CO"/>
        </w:rPr>
        <w:fldChar w:fldCharType="end"/>
      </w:r>
      <w:r>
        <w:rPr>
          <w:lang w:val="es-ES" w:eastAsia="es-CO"/>
        </w:rPr>
        <w:t xml:space="preserve"> presentan para cada escenario por separado, la generación total, la generación térmica y la generación con renovables.</w:t>
      </w:r>
      <w:r w:rsidRPr="00553F20">
        <w:t xml:space="preserve"> </w:t>
      </w:r>
      <w:r w:rsidRPr="00553F20">
        <w:rPr>
          <w:lang w:val="es-ES" w:eastAsia="es-CO"/>
        </w:rPr>
        <w:t>Para la estimación del beneficio por menores emisiones de CO2, este se estima calculando la diferencia de las emisiones producidas entre los dos escenarios considerados. Para ello, dado que el PEG no trae el cálculo de las emisiones, estas se han calculado tomando el despacho en cada escenario de la generación térmica por tecnología, multiplicado por el factor de emisiones de cada combustible utilizado según información de la EPA.</w:t>
      </w:r>
    </w:p>
    <w:p w14:paraId="55B7E590" w14:textId="77777777" w:rsidR="00B54F4E" w:rsidRPr="006C4E72" w:rsidRDefault="00B54F4E" w:rsidP="00B54F4E">
      <w:pPr>
        <w:jc w:val="center"/>
        <w:rPr>
          <w:b/>
        </w:rPr>
      </w:pPr>
      <w:r>
        <w:rPr>
          <w:b/>
        </w:rPr>
        <w:lastRenderedPageBreak/>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3</w:t>
      </w:r>
      <w:r>
        <w:rPr>
          <w:b/>
        </w:rPr>
        <w:fldChar w:fldCharType="end"/>
      </w:r>
      <w:bookmarkEnd w:id="33"/>
      <w:r>
        <w:rPr>
          <w:b/>
        </w:rPr>
        <w:t xml:space="preserve"> – Proyección de generación total, térmica y renovable del escenario de referencia</w:t>
      </w:r>
      <w:bookmarkEnd w:id="34"/>
    </w:p>
    <w:p w14:paraId="0AEEA4A0" w14:textId="77777777" w:rsidR="00B54F4E" w:rsidRDefault="00B54F4E" w:rsidP="00B54F4E">
      <w:pPr>
        <w:jc w:val="center"/>
        <w:rPr>
          <w:sz w:val="18"/>
          <w:szCs w:val="18"/>
          <w:lang w:val="es-ES"/>
        </w:rPr>
      </w:pPr>
      <w:r>
        <w:rPr>
          <w:noProof/>
          <w:sz w:val="20"/>
          <w:lang w:val="en-US"/>
        </w:rPr>
        <w:drawing>
          <wp:inline distT="0" distB="0" distL="0" distR="0" wp14:anchorId="6384E606" wp14:editId="7C796FCF">
            <wp:extent cx="5144547" cy="2333625"/>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161133" cy="2341149"/>
                    </a:xfrm>
                    <a:prstGeom prst="rect">
                      <a:avLst/>
                    </a:prstGeom>
                    <a:noFill/>
                  </pic:spPr>
                </pic:pic>
              </a:graphicData>
            </a:graphic>
          </wp:inline>
        </w:drawing>
      </w:r>
      <w:r>
        <w:rPr>
          <w:sz w:val="18"/>
          <w:szCs w:val="18"/>
          <w:lang w:val="es-ES"/>
        </w:rPr>
        <w:br/>
      </w:r>
      <w:r w:rsidRPr="007C0F1F">
        <w:rPr>
          <w:sz w:val="18"/>
          <w:szCs w:val="18"/>
          <w:lang w:val="es-ES"/>
        </w:rPr>
        <w:t xml:space="preserve">Fuente: </w:t>
      </w:r>
      <w:r w:rsidRPr="00E4588E">
        <w:rPr>
          <w:sz w:val="18"/>
          <w:szCs w:val="18"/>
          <w:lang w:val="es-ES"/>
        </w:rPr>
        <w:t>Elabo</w:t>
      </w:r>
      <w:r>
        <w:rPr>
          <w:sz w:val="18"/>
          <w:szCs w:val="18"/>
          <w:lang w:val="es-ES"/>
        </w:rPr>
        <w:t>rado con base en información del Plan Indicativo de Generación y cálculos del consultor. Nota: la energía renovable incluye la generación hidroeléctrica</w:t>
      </w:r>
    </w:p>
    <w:p w14:paraId="002E4367" w14:textId="77777777" w:rsidR="00B54F4E" w:rsidRDefault="00B54F4E" w:rsidP="00B54F4E">
      <w:pPr>
        <w:spacing w:before="0" w:after="0"/>
        <w:jc w:val="center"/>
        <w:rPr>
          <w:sz w:val="18"/>
          <w:szCs w:val="18"/>
          <w:lang w:val="es-ES"/>
        </w:rPr>
      </w:pPr>
    </w:p>
    <w:p w14:paraId="09DC7F84" w14:textId="77777777" w:rsidR="00B54F4E" w:rsidRPr="006C4E72" w:rsidRDefault="00B54F4E" w:rsidP="00B54F4E">
      <w:pPr>
        <w:jc w:val="center"/>
        <w:rPr>
          <w:b/>
        </w:rPr>
      </w:pPr>
      <w:bookmarkStart w:id="35" w:name="_Ref484093622"/>
      <w:bookmarkStart w:id="36" w:name="_Toc484097079"/>
      <w:r>
        <w:rPr>
          <w:b/>
        </w:rPr>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4</w:t>
      </w:r>
      <w:r>
        <w:rPr>
          <w:b/>
        </w:rPr>
        <w:fldChar w:fldCharType="end"/>
      </w:r>
      <w:bookmarkEnd w:id="35"/>
      <w:r>
        <w:rPr>
          <w:b/>
        </w:rPr>
        <w:t xml:space="preserve"> – Proyección de generación total, térmica y renovable del escenario renovable</w:t>
      </w:r>
      <w:bookmarkEnd w:id="36"/>
    </w:p>
    <w:p w14:paraId="6B14AE2A" w14:textId="77777777" w:rsidR="00B54F4E" w:rsidRDefault="00B54F4E" w:rsidP="00B54F4E">
      <w:pPr>
        <w:jc w:val="center"/>
        <w:rPr>
          <w:sz w:val="20"/>
          <w:lang w:val="es-ES"/>
        </w:rPr>
      </w:pPr>
      <w:r>
        <w:rPr>
          <w:noProof/>
          <w:sz w:val="20"/>
          <w:lang w:val="en-US"/>
        </w:rPr>
        <w:drawing>
          <wp:inline distT="0" distB="0" distL="0" distR="0" wp14:anchorId="59C34D29" wp14:editId="34740C91">
            <wp:extent cx="5048250" cy="2289943"/>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60933" cy="2295696"/>
                    </a:xfrm>
                    <a:prstGeom prst="rect">
                      <a:avLst/>
                    </a:prstGeom>
                    <a:noFill/>
                  </pic:spPr>
                </pic:pic>
              </a:graphicData>
            </a:graphic>
          </wp:inline>
        </w:drawing>
      </w:r>
    </w:p>
    <w:p w14:paraId="136A66DB" w14:textId="77777777" w:rsidR="00B54F4E" w:rsidRDefault="00B54F4E" w:rsidP="00B54F4E">
      <w:pPr>
        <w:spacing w:before="0" w:after="0"/>
        <w:jc w:val="center"/>
        <w:rPr>
          <w:sz w:val="18"/>
          <w:szCs w:val="18"/>
          <w:lang w:val="es-ES"/>
        </w:rPr>
      </w:pPr>
      <w:r w:rsidRPr="007C0F1F">
        <w:rPr>
          <w:sz w:val="18"/>
          <w:szCs w:val="18"/>
          <w:lang w:val="es-ES"/>
        </w:rPr>
        <w:t xml:space="preserve">Fuente: </w:t>
      </w:r>
      <w:r w:rsidRPr="00E4588E">
        <w:rPr>
          <w:sz w:val="18"/>
          <w:szCs w:val="18"/>
          <w:lang w:val="es-ES"/>
        </w:rPr>
        <w:t>Elabo</w:t>
      </w:r>
      <w:r>
        <w:rPr>
          <w:sz w:val="18"/>
          <w:szCs w:val="18"/>
          <w:lang w:val="es-ES"/>
        </w:rPr>
        <w:t>rado con base en información del Plan Indicativo de Generación y cálculos del consultor</w:t>
      </w:r>
    </w:p>
    <w:p w14:paraId="73F88F96" w14:textId="77777777" w:rsidR="00B54F4E" w:rsidRPr="007C0F1F" w:rsidRDefault="00B54F4E" w:rsidP="00B54F4E">
      <w:pPr>
        <w:spacing w:before="0" w:after="0"/>
        <w:jc w:val="center"/>
        <w:rPr>
          <w:sz w:val="18"/>
          <w:szCs w:val="18"/>
          <w:lang w:val="es-ES"/>
        </w:rPr>
      </w:pPr>
      <w:r>
        <w:rPr>
          <w:sz w:val="18"/>
          <w:szCs w:val="18"/>
          <w:lang w:val="es-ES"/>
        </w:rPr>
        <w:t>Nota: la energía renovable incluye la generación hidroeléctrica</w:t>
      </w:r>
    </w:p>
    <w:p w14:paraId="21A957E4" w14:textId="77777777" w:rsidR="00B54F4E" w:rsidRDefault="00B54F4E" w:rsidP="00B54F4E">
      <w:pPr>
        <w:spacing w:before="0" w:after="0"/>
        <w:jc w:val="center"/>
        <w:rPr>
          <w:sz w:val="18"/>
          <w:szCs w:val="18"/>
          <w:lang w:val="es-ES"/>
        </w:rPr>
      </w:pPr>
    </w:p>
    <w:p w14:paraId="789D9CF7" w14:textId="77777777" w:rsidR="00B54F4E" w:rsidRPr="007C0F1F" w:rsidRDefault="00B54F4E" w:rsidP="00B54F4E">
      <w:pPr>
        <w:spacing w:before="0" w:after="0"/>
        <w:rPr>
          <w:sz w:val="18"/>
          <w:szCs w:val="18"/>
          <w:lang w:val="es-ES"/>
        </w:rPr>
      </w:pPr>
      <w:r>
        <w:rPr>
          <w:lang w:val="es-ES" w:eastAsia="es-CO"/>
        </w:rPr>
        <w:t xml:space="preserve">La </w:t>
      </w:r>
      <w:r>
        <w:rPr>
          <w:lang w:val="es-ES" w:eastAsia="es-CO"/>
        </w:rPr>
        <w:fldChar w:fldCharType="begin"/>
      </w:r>
      <w:r>
        <w:rPr>
          <w:lang w:val="es-ES" w:eastAsia="es-CO"/>
        </w:rPr>
        <w:instrText xml:space="preserve"> REF _Ref472064393 \h </w:instrText>
      </w:r>
      <w:r>
        <w:rPr>
          <w:lang w:val="es-ES" w:eastAsia="es-CO"/>
        </w:rPr>
      </w:r>
      <w:r>
        <w:rPr>
          <w:lang w:val="es-ES" w:eastAsia="es-CO"/>
        </w:rPr>
        <w:fldChar w:fldCharType="separate"/>
      </w:r>
      <w:r>
        <w:rPr>
          <w:b/>
        </w:rPr>
        <w:t>Ilustración</w:t>
      </w:r>
      <w:r w:rsidRPr="00F53187">
        <w:rPr>
          <w:b/>
        </w:rPr>
        <w:t xml:space="preserve"> </w:t>
      </w:r>
      <w:r>
        <w:rPr>
          <w:b/>
          <w:noProof/>
        </w:rPr>
        <w:t>5</w:t>
      </w:r>
      <w:r>
        <w:rPr>
          <w:lang w:val="es-ES" w:eastAsia="es-CO"/>
        </w:rPr>
        <w:fldChar w:fldCharType="end"/>
      </w:r>
      <w:r>
        <w:rPr>
          <w:lang w:val="es-ES" w:eastAsia="es-CO"/>
        </w:rPr>
        <w:t xml:space="preserve"> muestra el comportamiento anual esperado en los costos totales de generación. Se aprecia como durante los primeros cuatro años de proyección los costos de generación de ambos escenarios son iguales, por cuanto consideran la misma expansión de corto plazo. A partir del año 2020 sin embargo, se evidencia el menor costo de generación del escenario renovable por cuanto la nueva capacidad instalada solar y eólica reduce el despacho de generación térmica. A partir del año 2026, el diferencial de costos de generación entre ambos escenarios se mantiene en aproximadamente USD$ 157 millones anuales.</w:t>
      </w:r>
    </w:p>
    <w:p w14:paraId="519BB973" w14:textId="77777777" w:rsidR="00B54F4E" w:rsidRPr="006C4E72" w:rsidRDefault="00B54F4E" w:rsidP="00B54F4E">
      <w:pPr>
        <w:ind w:left="720"/>
        <w:jc w:val="center"/>
        <w:rPr>
          <w:b/>
        </w:rPr>
      </w:pPr>
      <w:bookmarkStart w:id="37" w:name="_Ref472064393"/>
      <w:bookmarkStart w:id="38" w:name="_Toc476136963"/>
      <w:bookmarkStart w:id="39" w:name="_Toc484097080"/>
      <w:r>
        <w:rPr>
          <w:b/>
        </w:rPr>
        <w:lastRenderedPageBreak/>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5</w:t>
      </w:r>
      <w:r>
        <w:rPr>
          <w:b/>
        </w:rPr>
        <w:fldChar w:fldCharType="end"/>
      </w:r>
      <w:bookmarkEnd w:id="37"/>
      <w:r>
        <w:rPr>
          <w:b/>
        </w:rPr>
        <w:t xml:space="preserve"> – Proyección de costos anuales de generación según escenario</w:t>
      </w:r>
      <w:bookmarkEnd w:id="38"/>
      <w:bookmarkEnd w:id="39"/>
    </w:p>
    <w:p w14:paraId="5E264538" w14:textId="77777777" w:rsidR="00B54F4E" w:rsidRDefault="00B54F4E" w:rsidP="00B54F4E">
      <w:pPr>
        <w:jc w:val="center"/>
        <w:rPr>
          <w:sz w:val="20"/>
          <w:lang w:val="es-ES"/>
        </w:rPr>
      </w:pPr>
      <w:r>
        <w:rPr>
          <w:noProof/>
          <w:sz w:val="20"/>
          <w:lang w:val="en-US"/>
        </w:rPr>
        <w:drawing>
          <wp:inline distT="0" distB="0" distL="0" distR="0" wp14:anchorId="6312D504" wp14:editId="6482D916">
            <wp:extent cx="5331125" cy="2170556"/>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47970" cy="2177414"/>
                    </a:xfrm>
                    <a:prstGeom prst="rect">
                      <a:avLst/>
                    </a:prstGeom>
                    <a:noFill/>
                  </pic:spPr>
                </pic:pic>
              </a:graphicData>
            </a:graphic>
          </wp:inline>
        </w:drawing>
      </w:r>
    </w:p>
    <w:p w14:paraId="7D3A6A61" w14:textId="77777777" w:rsidR="00B54F4E" w:rsidRPr="007C0F1F" w:rsidRDefault="00B54F4E" w:rsidP="00B54F4E">
      <w:pPr>
        <w:spacing w:before="0" w:after="0"/>
        <w:jc w:val="center"/>
        <w:rPr>
          <w:sz w:val="18"/>
          <w:szCs w:val="18"/>
          <w:lang w:val="es-ES"/>
        </w:rPr>
      </w:pPr>
      <w:r w:rsidRPr="007C0F1F">
        <w:rPr>
          <w:sz w:val="18"/>
          <w:szCs w:val="18"/>
          <w:lang w:val="es-ES"/>
        </w:rPr>
        <w:t xml:space="preserve">Fuente: </w:t>
      </w:r>
      <w:r w:rsidRPr="00E4588E">
        <w:rPr>
          <w:sz w:val="18"/>
          <w:szCs w:val="18"/>
          <w:lang w:val="es-ES"/>
        </w:rPr>
        <w:t>Elabo</w:t>
      </w:r>
      <w:r>
        <w:rPr>
          <w:sz w:val="18"/>
          <w:szCs w:val="18"/>
          <w:lang w:val="es-ES"/>
        </w:rPr>
        <w:t>rado con base en información del Plan Indicativo de Generación y cálculos del consultor</w:t>
      </w:r>
    </w:p>
    <w:p w14:paraId="451000CD" w14:textId="77777777" w:rsidR="00B54F4E" w:rsidRPr="00520F44" w:rsidRDefault="00B54F4E" w:rsidP="00B54F4E">
      <w:pPr>
        <w:spacing w:before="0"/>
        <w:jc w:val="center"/>
        <w:rPr>
          <w:sz w:val="18"/>
          <w:szCs w:val="18"/>
          <w:lang w:val="es-ES"/>
        </w:rPr>
      </w:pPr>
      <w:r w:rsidRPr="00520F44">
        <w:rPr>
          <w:sz w:val="18"/>
          <w:szCs w:val="18"/>
          <w:lang w:val="es-ES"/>
        </w:rPr>
        <w:t>Nota: los precios graficados corresponden a USD$ reales de 2016</w:t>
      </w:r>
    </w:p>
    <w:p w14:paraId="11FB922A" w14:textId="77777777" w:rsidR="00B54F4E" w:rsidRDefault="00B54F4E" w:rsidP="00B54F4E">
      <w:pPr>
        <w:spacing w:before="0" w:after="0"/>
        <w:rPr>
          <w:lang w:val="es-ES" w:eastAsia="es-CO"/>
        </w:rPr>
      </w:pPr>
      <w:r w:rsidRPr="00FA4827">
        <w:rPr>
          <w:lang w:val="es-ES" w:eastAsia="es-CO"/>
        </w:rPr>
        <w:t>Los beneficios económicos esperados</w:t>
      </w:r>
      <w:r>
        <w:rPr>
          <w:lang w:val="es-ES" w:eastAsia="es-CO"/>
        </w:rPr>
        <w:t xml:space="preserve"> en cada año, calculados como la diferencia entre los costos totales de cada escenario,</w:t>
      </w:r>
      <w:r w:rsidRPr="00FA4827">
        <w:rPr>
          <w:lang w:val="es-ES" w:eastAsia="es-CO"/>
        </w:rPr>
        <w:t xml:space="preserve"> se resumen </w:t>
      </w:r>
      <w:r>
        <w:rPr>
          <w:lang w:val="es-ES" w:eastAsia="es-CO"/>
        </w:rPr>
        <w:t xml:space="preserve">en la tabla </w:t>
      </w:r>
      <w:r w:rsidRPr="00FA4827">
        <w:rPr>
          <w:lang w:val="es-ES" w:eastAsia="es-CO"/>
        </w:rPr>
        <w:t>a continuación.</w:t>
      </w:r>
      <w:r>
        <w:rPr>
          <w:lang w:val="es-ES" w:eastAsia="es-CO"/>
        </w:rPr>
        <w:t xml:space="preserve"> </w:t>
      </w:r>
      <w:r w:rsidRPr="004E2A21">
        <w:rPr>
          <w:lang w:val="es-ES" w:eastAsia="es-CO"/>
        </w:rPr>
        <w:t xml:space="preserve">El detalle de supuestos </w:t>
      </w:r>
      <w:r>
        <w:rPr>
          <w:lang w:val="es-ES" w:eastAsia="es-CO"/>
        </w:rPr>
        <w:t xml:space="preserve">de generación asociados con el despacho de cada tecnología, y el detalle </w:t>
      </w:r>
      <w:r w:rsidRPr="004E2A21">
        <w:rPr>
          <w:lang w:val="es-ES" w:eastAsia="es-CO"/>
        </w:rPr>
        <w:t xml:space="preserve">de costos de O&amp;M </w:t>
      </w:r>
      <w:r w:rsidRPr="00E35162">
        <w:rPr>
          <w:lang w:val="es-ES" w:eastAsia="es-CO"/>
        </w:rPr>
        <w:t>(que consideran costos fijos de operación y mantenimiento según tipo de tecnología y los costos variables principalmente asociados con el costo del combustible en el caso de la generación térmica), se presentan</w:t>
      </w:r>
      <w:r w:rsidRPr="004E2A21">
        <w:rPr>
          <w:lang w:val="es-ES" w:eastAsia="es-CO"/>
        </w:rPr>
        <w:t xml:space="preserve"> en el</w:t>
      </w:r>
      <w:r>
        <w:rPr>
          <w:lang w:val="es-ES" w:eastAsia="es-CO"/>
        </w:rPr>
        <w:t xml:space="preserve"> Anexo 1</w:t>
      </w:r>
      <w:r w:rsidRPr="00D11488">
        <w:rPr>
          <w:lang w:val="es-ES" w:eastAsia="es-CO"/>
        </w:rPr>
        <w:t>.</w:t>
      </w:r>
    </w:p>
    <w:p w14:paraId="7B2318FD" w14:textId="77777777" w:rsidR="00B54F4E" w:rsidRPr="004E2A21" w:rsidRDefault="00B54F4E" w:rsidP="00B54F4E">
      <w:pPr>
        <w:spacing w:before="0" w:after="0"/>
        <w:rPr>
          <w:lang w:val="es-ES" w:eastAsia="es-CO"/>
        </w:rPr>
      </w:pPr>
    </w:p>
    <w:p w14:paraId="0C82A9E9" w14:textId="77777777" w:rsidR="00B54F4E" w:rsidRPr="008C12BC" w:rsidRDefault="00B54F4E" w:rsidP="00B54F4E">
      <w:pPr>
        <w:ind w:left="720"/>
        <w:jc w:val="center"/>
        <w:rPr>
          <w:b/>
        </w:rPr>
      </w:pPr>
      <w:bookmarkStart w:id="40" w:name="_Toc476136968"/>
      <w:bookmarkStart w:id="41" w:name="_Toc484097043"/>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3</w:t>
      </w:r>
      <w:r w:rsidRPr="008C12BC">
        <w:rPr>
          <w:b/>
        </w:rPr>
        <w:fldChar w:fldCharType="end"/>
      </w:r>
      <w:r>
        <w:rPr>
          <w:b/>
        </w:rPr>
        <w:t xml:space="preserve"> – Estimación</w:t>
      </w:r>
      <w:r w:rsidRPr="008C12BC">
        <w:rPr>
          <w:b/>
        </w:rPr>
        <w:t xml:space="preserve"> de beneficios por menores costos de generación</w:t>
      </w:r>
      <w:bookmarkEnd w:id="40"/>
      <w:bookmarkEnd w:id="41"/>
    </w:p>
    <w:tbl>
      <w:tblPr>
        <w:tblW w:w="5055" w:type="pct"/>
        <w:tblLayout w:type="fixed"/>
        <w:tblCellMar>
          <w:left w:w="70" w:type="dxa"/>
          <w:right w:w="70" w:type="dxa"/>
        </w:tblCellMar>
        <w:tblLook w:val="04A0" w:firstRow="1" w:lastRow="0" w:firstColumn="1" w:lastColumn="0" w:noHBand="0" w:noVBand="1"/>
      </w:tblPr>
      <w:tblGrid>
        <w:gridCol w:w="1701"/>
        <w:gridCol w:w="481"/>
        <w:gridCol w:w="482"/>
        <w:gridCol w:w="482"/>
        <w:gridCol w:w="332"/>
        <w:gridCol w:w="150"/>
        <w:gridCol w:w="225"/>
        <w:gridCol w:w="257"/>
        <w:gridCol w:w="118"/>
        <w:gridCol w:w="364"/>
        <w:gridCol w:w="9"/>
        <w:gridCol w:w="373"/>
        <w:gridCol w:w="100"/>
        <w:gridCol w:w="275"/>
        <w:gridCol w:w="207"/>
        <w:gridCol w:w="168"/>
        <w:gridCol w:w="314"/>
        <w:gridCol w:w="61"/>
        <w:gridCol w:w="375"/>
        <w:gridCol w:w="46"/>
        <w:gridCol w:w="327"/>
        <w:gridCol w:w="155"/>
        <w:gridCol w:w="220"/>
        <w:gridCol w:w="263"/>
        <w:gridCol w:w="141"/>
        <w:gridCol w:w="341"/>
        <w:gridCol w:w="63"/>
        <w:gridCol w:w="402"/>
        <w:gridCol w:w="18"/>
        <w:gridCol w:w="480"/>
      </w:tblGrid>
      <w:tr w:rsidR="00B54F4E" w:rsidRPr="00AF433C" w14:paraId="6321A04A" w14:textId="77777777" w:rsidTr="006504C4">
        <w:trPr>
          <w:trHeight w:val="300"/>
        </w:trPr>
        <w:tc>
          <w:tcPr>
            <w:tcW w:w="952" w:type="pct"/>
            <w:tcBorders>
              <w:top w:val="nil"/>
              <w:left w:val="nil"/>
              <w:bottom w:val="nil"/>
              <w:right w:val="nil"/>
            </w:tcBorders>
            <w:shd w:val="clear" w:color="auto" w:fill="auto"/>
            <w:noWrap/>
            <w:vAlign w:val="bottom"/>
            <w:hideMark/>
          </w:tcPr>
          <w:p w14:paraId="0BBCF6D6" w14:textId="77777777" w:rsidR="00B54F4E" w:rsidRPr="00AF433C" w:rsidRDefault="00B54F4E" w:rsidP="006504C4">
            <w:pPr>
              <w:spacing w:before="0" w:after="0"/>
              <w:jc w:val="left"/>
              <w:rPr>
                <w:rFonts w:ascii="Calibri" w:hAnsi="Calibri" w:cs="Calibri"/>
                <w:b/>
                <w:bCs/>
                <w:color w:val="000000"/>
                <w:sz w:val="14"/>
                <w:szCs w:val="22"/>
                <w:lang w:eastAsia="es-CO"/>
              </w:rPr>
            </w:pPr>
            <w:r w:rsidRPr="00AF433C">
              <w:rPr>
                <w:rFonts w:ascii="Calibri" w:hAnsi="Calibri" w:cs="Calibri"/>
                <w:b/>
                <w:bCs/>
                <w:color w:val="000000"/>
                <w:sz w:val="14"/>
                <w:szCs w:val="22"/>
                <w:lang w:eastAsia="es-CO"/>
              </w:rPr>
              <w:t>OPEX asociado con generación eléctrica (Millones USD$ 2016)</w:t>
            </w:r>
          </w:p>
        </w:tc>
        <w:tc>
          <w:tcPr>
            <w:tcW w:w="269" w:type="pct"/>
            <w:tcBorders>
              <w:top w:val="single" w:sz="4" w:space="0" w:color="FFFFFF"/>
              <w:left w:val="nil"/>
              <w:bottom w:val="single" w:sz="4" w:space="0" w:color="auto"/>
              <w:right w:val="single" w:sz="4" w:space="0" w:color="FFFFFF"/>
            </w:tcBorders>
            <w:shd w:val="clear" w:color="000000" w:fill="203764"/>
            <w:noWrap/>
            <w:vAlign w:val="center"/>
            <w:hideMark/>
          </w:tcPr>
          <w:p w14:paraId="6B562324"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2016</w:t>
            </w:r>
          </w:p>
        </w:tc>
        <w:tc>
          <w:tcPr>
            <w:tcW w:w="270" w:type="pct"/>
            <w:tcBorders>
              <w:top w:val="single" w:sz="4" w:space="0" w:color="FFFFFF"/>
              <w:left w:val="nil"/>
              <w:bottom w:val="single" w:sz="4" w:space="0" w:color="auto"/>
              <w:right w:val="single" w:sz="4" w:space="0" w:color="FFFFFF"/>
            </w:tcBorders>
            <w:shd w:val="clear" w:color="000000" w:fill="203764"/>
            <w:noWrap/>
            <w:vAlign w:val="center"/>
            <w:hideMark/>
          </w:tcPr>
          <w:p w14:paraId="628F0D25"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2017</w:t>
            </w:r>
          </w:p>
        </w:tc>
        <w:tc>
          <w:tcPr>
            <w:tcW w:w="270" w:type="pct"/>
            <w:tcBorders>
              <w:top w:val="single" w:sz="4" w:space="0" w:color="FFFFFF"/>
              <w:left w:val="nil"/>
              <w:bottom w:val="single" w:sz="4" w:space="0" w:color="auto"/>
              <w:right w:val="single" w:sz="4" w:space="0" w:color="FFFFFF"/>
            </w:tcBorders>
            <w:shd w:val="clear" w:color="000000" w:fill="203764"/>
            <w:noWrap/>
            <w:vAlign w:val="center"/>
            <w:hideMark/>
          </w:tcPr>
          <w:p w14:paraId="24F82207"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2018</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5E3E3B5C"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2019</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147829F1"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2020</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60EDBD25"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2021</w:t>
            </w:r>
          </w:p>
        </w:tc>
        <w:tc>
          <w:tcPr>
            <w:tcW w:w="270" w:type="pct"/>
            <w:gridSpan w:val="3"/>
            <w:tcBorders>
              <w:top w:val="single" w:sz="4" w:space="0" w:color="FFFFFF"/>
              <w:left w:val="nil"/>
              <w:bottom w:val="single" w:sz="4" w:space="0" w:color="auto"/>
              <w:right w:val="single" w:sz="4" w:space="0" w:color="FFFFFF"/>
            </w:tcBorders>
            <w:shd w:val="clear" w:color="000000" w:fill="203764"/>
            <w:noWrap/>
            <w:vAlign w:val="center"/>
            <w:hideMark/>
          </w:tcPr>
          <w:p w14:paraId="1B7E0FEE"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2022</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4E35EEFB"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2023</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061E0501"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2024</w:t>
            </w:r>
          </w:p>
        </w:tc>
        <w:tc>
          <w:tcPr>
            <w:tcW w:w="270" w:type="pct"/>
            <w:gridSpan w:val="3"/>
            <w:tcBorders>
              <w:top w:val="single" w:sz="4" w:space="0" w:color="FFFFFF"/>
              <w:left w:val="nil"/>
              <w:bottom w:val="single" w:sz="4" w:space="0" w:color="auto"/>
              <w:right w:val="single" w:sz="4" w:space="0" w:color="FFFFFF"/>
            </w:tcBorders>
            <w:shd w:val="clear" w:color="000000" w:fill="203764"/>
            <w:noWrap/>
            <w:vAlign w:val="center"/>
            <w:hideMark/>
          </w:tcPr>
          <w:p w14:paraId="48B2A778"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2025</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08CF719A"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2026</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1945CD9B"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2027</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center"/>
            <w:hideMark/>
          </w:tcPr>
          <w:p w14:paraId="25ED70AD"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2028</w:t>
            </w:r>
          </w:p>
        </w:tc>
        <w:tc>
          <w:tcPr>
            <w:tcW w:w="270" w:type="pct"/>
            <w:gridSpan w:val="3"/>
            <w:tcBorders>
              <w:top w:val="single" w:sz="4" w:space="0" w:color="FFFFFF"/>
              <w:left w:val="nil"/>
              <w:bottom w:val="single" w:sz="4" w:space="0" w:color="auto"/>
              <w:right w:val="nil"/>
            </w:tcBorders>
            <w:shd w:val="clear" w:color="000000" w:fill="203764"/>
            <w:noWrap/>
            <w:vAlign w:val="center"/>
            <w:hideMark/>
          </w:tcPr>
          <w:p w14:paraId="21086D9F"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2029</w:t>
            </w:r>
          </w:p>
        </w:tc>
        <w:tc>
          <w:tcPr>
            <w:tcW w:w="269" w:type="pct"/>
            <w:tcBorders>
              <w:top w:val="single" w:sz="4" w:space="0" w:color="FFFFFF"/>
              <w:left w:val="single" w:sz="4" w:space="0" w:color="FFFFFF"/>
              <w:bottom w:val="single" w:sz="4" w:space="0" w:color="auto"/>
              <w:right w:val="single" w:sz="4" w:space="0" w:color="FFFFFF"/>
            </w:tcBorders>
            <w:shd w:val="clear" w:color="000000" w:fill="203764"/>
            <w:noWrap/>
            <w:vAlign w:val="center"/>
            <w:hideMark/>
          </w:tcPr>
          <w:p w14:paraId="5B623F42" w14:textId="77777777" w:rsidR="00B54F4E" w:rsidRPr="00AF433C" w:rsidRDefault="00B54F4E" w:rsidP="006504C4">
            <w:pPr>
              <w:spacing w:before="0" w:after="0"/>
              <w:jc w:val="center"/>
              <w:rPr>
                <w:rFonts w:ascii="Calibri" w:hAnsi="Calibri" w:cs="Calibri"/>
                <w:color w:val="FFFFFF"/>
                <w:sz w:val="14"/>
                <w:szCs w:val="22"/>
                <w:lang w:eastAsia="es-CO"/>
              </w:rPr>
            </w:pPr>
            <w:r w:rsidRPr="00AF433C">
              <w:rPr>
                <w:rFonts w:ascii="Calibri" w:hAnsi="Calibri" w:cs="Calibri"/>
                <w:color w:val="FFFFFF"/>
                <w:sz w:val="14"/>
                <w:szCs w:val="22"/>
                <w:lang w:eastAsia="es-CO"/>
              </w:rPr>
              <w:t>2030</w:t>
            </w:r>
          </w:p>
        </w:tc>
      </w:tr>
      <w:tr w:rsidR="00B54F4E" w:rsidRPr="00AF433C" w14:paraId="7EBB5162" w14:textId="77777777" w:rsidTr="006504C4">
        <w:trPr>
          <w:trHeight w:val="300"/>
        </w:trPr>
        <w:tc>
          <w:tcPr>
            <w:tcW w:w="952" w:type="pct"/>
            <w:tcBorders>
              <w:top w:val="nil"/>
              <w:left w:val="nil"/>
              <w:bottom w:val="nil"/>
              <w:right w:val="nil"/>
            </w:tcBorders>
            <w:shd w:val="clear" w:color="auto" w:fill="auto"/>
            <w:noWrap/>
            <w:vAlign w:val="bottom"/>
            <w:hideMark/>
          </w:tcPr>
          <w:p w14:paraId="1C0F2481" w14:textId="77777777" w:rsidR="00B54F4E" w:rsidRPr="00AF433C" w:rsidRDefault="00B54F4E" w:rsidP="006504C4">
            <w:pPr>
              <w:spacing w:before="0" w:after="0"/>
              <w:jc w:val="left"/>
              <w:rPr>
                <w:rFonts w:ascii="Calibri" w:hAnsi="Calibri" w:cs="Calibri"/>
                <w:color w:val="000000"/>
                <w:sz w:val="14"/>
                <w:szCs w:val="22"/>
                <w:lang w:eastAsia="es-CO"/>
              </w:rPr>
            </w:pPr>
            <w:r w:rsidRPr="00AF433C">
              <w:rPr>
                <w:rFonts w:ascii="Calibri" w:hAnsi="Calibri" w:cs="Calibri"/>
                <w:color w:val="000000"/>
                <w:sz w:val="14"/>
                <w:szCs w:val="22"/>
                <w:lang w:eastAsia="es-CO"/>
              </w:rPr>
              <w:t>Escenario de referencia</w:t>
            </w:r>
          </w:p>
        </w:tc>
        <w:tc>
          <w:tcPr>
            <w:tcW w:w="269" w:type="pct"/>
            <w:tcBorders>
              <w:top w:val="nil"/>
              <w:left w:val="nil"/>
              <w:bottom w:val="nil"/>
              <w:right w:val="nil"/>
            </w:tcBorders>
            <w:shd w:val="clear" w:color="auto" w:fill="auto"/>
            <w:noWrap/>
            <w:hideMark/>
          </w:tcPr>
          <w:p w14:paraId="0BF838BE"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396</w:t>
            </w:r>
          </w:p>
        </w:tc>
        <w:tc>
          <w:tcPr>
            <w:tcW w:w="270" w:type="pct"/>
            <w:tcBorders>
              <w:top w:val="nil"/>
              <w:left w:val="nil"/>
              <w:bottom w:val="nil"/>
              <w:right w:val="nil"/>
            </w:tcBorders>
            <w:shd w:val="clear" w:color="auto" w:fill="auto"/>
            <w:noWrap/>
            <w:hideMark/>
          </w:tcPr>
          <w:p w14:paraId="4CA57643"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416</w:t>
            </w:r>
          </w:p>
        </w:tc>
        <w:tc>
          <w:tcPr>
            <w:tcW w:w="270" w:type="pct"/>
            <w:tcBorders>
              <w:top w:val="nil"/>
              <w:left w:val="nil"/>
              <w:bottom w:val="nil"/>
              <w:right w:val="nil"/>
            </w:tcBorders>
            <w:shd w:val="clear" w:color="auto" w:fill="auto"/>
            <w:noWrap/>
            <w:hideMark/>
          </w:tcPr>
          <w:p w14:paraId="02B6CCB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513</w:t>
            </w:r>
          </w:p>
        </w:tc>
        <w:tc>
          <w:tcPr>
            <w:tcW w:w="270" w:type="pct"/>
            <w:gridSpan w:val="2"/>
            <w:tcBorders>
              <w:top w:val="nil"/>
              <w:left w:val="nil"/>
              <w:bottom w:val="nil"/>
              <w:right w:val="nil"/>
            </w:tcBorders>
            <w:shd w:val="clear" w:color="auto" w:fill="auto"/>
            <w:noWrap/>
            <w:hideMark/>
          </w:tcPr>
          <w:p w14:paraId="39D97E26"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594</w:t>
            </w:r>
          </w:p>
        </w:tc>
        <w:tc>
          <w:tcPr>
            <w:tcW w:w="270" w:type="pct"/>
            <w:gridSpan w:val="2"/>
            <w:tcBorders>
              <w:top w:val="nil"/>
              <w:left w:val="nil"/>
              <w:bottom w:val="nil"/>
              <w:right w:val="nil"/>
            </w:tcBorders>
            <w:shd w:val="clear" w:color="auto" w:fill="auto"/>
            <w:noWrap/>
            <w:hideMark/>
          </w:tcPr>
          <w:p w14:paraId="67C94B93"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653</w:t>
            </w:r>
          </w:p>
        </w:tc>
        <w:tc>
          <w:tcPr>
            <w:tcW w:w="270" w:type="pct"/>
            <w:gridSpan w:val="2"/>
            <w:tcBorders>
              <w:top w:val="nil"/>
              <w:left w:val="nil"/>
              <w:bottom w:val="nil"/>
              <w:right w:val="nil"/>
            </w:tcBorders>
            <w:shd w:val="clear" w:color="auto" w:fill="auto"/>
            <w:noWrap/>
            <w:hideMark/>
          </w:tcPr>
          <w:p w14:paraId="30653A18"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649</w:t>
            </w:r>
          </w:p>
        </w:tc>
        <w:tc>
          <w:tcPr>
            <w:tcW w:w="270" w:type="pct"/>
            <w:gridSpan w:val="3"/>
            <w:tcBorders>
              <w:top w:val="nil"/>
              <w:left w:val="nil"/>
              <w:bottom w:val="nil"/>
              <w:right w:val="nil"/>
            </w:tcBorders>
            <w:shd w:val="clear" w:color="auto" w:fill="auto"/>
            <w:noWrap/>
            <w:hideMark/>
          </w:tcPr>
          <w:p w14:paraId="36726F94"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678</w:t>
            </w:r>
          </w:p>
        </w:tc>
        <w:tc>
          <w:tcPr>
            <w:tcW w:w="270" w:type="pct"/>
            <w:gridSpan w:val="2"/>
            <w:tcBorders>
              <w:top w:val="nil"/>
              <w:left w:val="nil"/>
              <w:bottom w:val="nil"/>
              <w:right w:val="nil"/>
            </w:tcBorders>
            <w:shd w:val="clear" w:color="auto" w:fill="auto"/>
            <w:noWrap/>
            <w:hideMark/>
          </w:tcPr>
          <w:p w14:paraId="5F2F57D5"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749</w:t>
            </w:r>
          </w:p>
        </w:tc>
        <w:tc>
          <w:tcPr>
            <w:tcW w:w="270" w:type="pct"/>
            <w:gridSpan w:val="2"/>
            <w:tcBorders>
              <w:top w:val="nil"/>
              <w:left w:val="nil"/>
              <w:bottom w:val="nil"/>
              <w:right w:val="nil"/>
            </w:tcBorders>
            <w:shd w:val="clear" w:color="auto" w:fill="auto"/>
            <w:noWrap/>
            <w:hideMark/>
          </w:tcPr>
          <w:p w14:paraId="364962C4"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858</w:t>
            </w:r>
          </w:p>
        </w:tc>
        <w:tc>
          <w:tcPr>
            <w:tcW w:w="270" w:type="pct"/>
            <w:gridSpan w:val="3"/>
            <w:tcBorders>
              <w:top w:val="nil"/>
              <w:left w:val="nil"/>
              <w:bottom w:val="nil"/>
              <w:right w:val="nil"/>
            </w:tcBorders>
            <w:shd w:val="clear" w:color="auto" w:fill="auto"/>
            <w:noWrap/>
            <w:hideMark/>
          </w:tcPr>
          <w:p w14:paraId="385ED19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910</w:t>
            </w:r>
          </w:p>
        </w:tc>
        <w:tc>
          <w:tcPr>
            <w:tcW w:w="270" w:type="pct"/>
            <w:gridSpan w:val="2"/>
            <w:tcBorders>
              <w:top w:val="nil"/>
              <w:left w:val="nil"/>
              <w:bottom w:val="nil"/>
              <w:right w:val="nil"/>
            </w:tcBorders>
            <w:shd w:val="clear" w:color="auto" w:fill="auto"/>
            <w:noWrap/>
            <w:hideMark/>
          </w:tcPr>
          <w:p w14:paraId="289C8120"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992</w:t>
            </w:r>
          </w:p>
        </w:tc>
        <w:tc>
          <w:tcPr>
            <w:tcW w:w="270" w:type="pct"/>
            <w:gridSpan w:val="2"/>
            <w:tcBorders>
              <w:top w:val="nil"/>
              <w:left w:val="nil"/>
              <w:bottom w:val="nil"/>
              <w:right w:val="nil"/>
            </w:tcBorders>
            <w:shd w:val="clear" w:color="auto" w:fill="auto"/>
            <w:noWrap/>
            <w:hideMark/>
          </w:tcPr>
          <w:p w14:paraId="17128397"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1.076</w:t>
            </w:r>
          </w:p>
        </w:tc>
        <w:tc>
          <w:tcPr>
            <w:tcW w:w="270" w:type="pct"/>
            <w:gridSpan w:val="2"/>
            <w:tcBorders>
              <w:top w:val="nil"/>
              <w:left w:val="nil"/>
              <w:bottom w:val="nil"/>
              <w:right w:val="nil"/>
            </w:tcBorders>
            <w:shd w:val="clear" w:color="auto" w:fill="auto"/>
            <w:noWrap/>
            <w:hideMark/>
          </w:tcPr>
          <w:p w14:paraId="3C4EFEF7"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1.137</w:t>
            </w:r>
          </w:p>
        </w:tc>
        <w:tc>
          <w:tcPr>
            <w:tcW w:w="270" w:type="pct"/>
            <w:gridSpan w:val="3"/>
            <w:tcBorders>
              <w:top w:val="nil"/>
              <w:left w:val="nil"/>
              <w:bottom w:val="nil"/>
              <w:right w:val="nil"/>
            </w:tcBorders>
            <w:shd w:val="clear" w:color="auto" w:fill="auto"/>
            <w:noWrap/>
            <w:hideMark/>
          </w:tcPr>
          <w:p w14:paraId="3D980BAB"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1.211</w:t>
            </w:r>
          </w:p>
        </w:tc>
        <w:tc>
          <w:tcPr>
            <w:tcW w:w="269" w:type="pct"/>
            <w:tcBorders>
              <w:top w:val="nil"/>
              <w:left w:val="nil"/>
              <w:bottom w:val="nil"/>
              <w:right w:val="nil"/>
            </w:tcBorders>
            <w:shd w:val="clear" w:color="auto" w:fill="auto"/>
            <w:noWrap/>
            <w:hideMark/>
          </w:tcPr>
          <w:p w14:paraId="0D0472F8"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1.266</w:t>
            </w:r>
          </w:p>
        </w:tc>
      </w:tr>
      <w:tr w:rsidR="00B54F4E" w:rsidRPr="00AF433C" w14:paraId="143D5E4E" w14:textId="77777777" w:rsidTr="006504C4">
        <w:trPr>
          <w:trHeight w:val="300"/>
        </w:trPr>
        <w:tc>
          <w:tcPr>
            <w:tcW w:w="952" w:type="pct"/>
            <w:tcBorders>
              <w:top w:val="nil"/>
              <w:left w:val="nil"/>
              <w:bottom w:val="single" w:sz="4" w:space="0" w:color="auto"/>
              <w:right w:val="nil"/>
            </w:tcBorders>
            <w:shd w:val="clear" w:color="auto" w:fill="auto"/>
            <w:noWrap/>
            <w:vAlign w:val="bottom"/>
            <w:hideMark/>
          </w:tcPr>
          <w:p w14:paraId="732E0CC4" w14:textId="77777777" w:rsidR="00B54F4E" w:rsidRPr="00AF433C" w:rsidRDefault="00B54F4E" w:rsidP="006504C4">
            <w:pPr>
              <w:spacing w:before="0" w:after="0"/>
              <w:jc w:val="left"/>
              <w:rPr>
                <w:rFonts w:ascii="Calibri" w:hAnsi="Calibri" w:cs="Calibri"/>
                <w:color w:val="000000"/>
                <w:sz w:val="14"/>
                <w:szCs w:val="22"/>
                <w:lang w:eastAsia="es-CO"/>
              </w:rPr>
            </w:pPr>
            <w:r w:rsidRPr="00AF433C">
              <w:rPr>
                <w:rFonts w:ascii="Calibri" w:hAnsi="Calibri" w:cs="Calibri"/>
                <w:color w:val="000000"/>
                <w:sz w:val="14"/>
                <w:szCs w:val="22"/>
                <w:lang w:eastAsia="es-CO"/>
              </w:rPr>
              <w:t>Escenario Renovable</w:t>
            </w:r>
          </w:p>
        </w:tc>
        <w:tc>
          <w:tcPr>
            <w:tcW w:w="269" w:type="pct"/>
            <w:tcBorders>
              <w:top w:val="nil"/>
              <w:left w:val="nil"/>
              <w:bottom w:val="single" w:sz="4" w:space="0" w:color="auto"/>
              <w:right w:val="nil"/>
            </w:tcBorders>
            <w:shd w:val="clear" w:color="auto" w:fill="auto"/>
            <w:noWrap/>
            <w:hideMark/>
          </w:tcPr>
          <w:p w14:paraId="48ACB842"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396</w:t>
            </w:r>
          </w:p>
        </w:tc>
        <w:tc>
          <w:tcPr>
            <w:tcW w:w="270" w:type="pct"/>
            <w:tcBorders>
              <w:top w:val="nil"/>
              <w:left w:val="nil"/>
              <w:bottom w:val="single" w:sz="4" w:space="0" w:color="auto"/>
              <w:right w:val="nil"/>
            </w:tcBorders>
            <w:shd w:val="clear" w:color="auto" w:fill="auto"/>
            <w:noWrap/>
            <w:hideMark/>
          </w:tcPr>
          <w:p w14:paraId="25259BF6"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417</w:t>
            </w:r>
          </w:p>
        </w:tc>
        <w:tc>
          <w:tcPr>
            <w:tcW w:w="270" w:type="pct"/>
            <w:tcBorders>
              <w:top w:val="nil"/>
              <w:left w:val="nil"/>
              <w:bottom w:val="single" w:sz="4" w:space="0" w:color="auto"/>
              <w:right w:val="nil"/>
            </w:tcBorders>
            <w:shd w:val="clear" w:color="auto" w:fill="auto"/>
            <w:noWrap/>
            <w:hideMark/>
          </w:tcPr>
          <w:p w14:paraId="2EDCF9F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513</w:t>
            </w:r>
          </w:p>
        </w:tc>
        <w:tc>
          <w:tcPr>
            <w:tcW w:w="270" w:type="pct"/>
            <w:gridSpan w:val="2"/>
            <w:tcBorders>
              <w:top w:val="nil"/>
              <w:left w:val="nil"/>
              <w:bottom w:val="single" w:sz="4" w:space="0" w:color="auto"/>
              <w:right w:val="nil"/>
            </w:tcBorders>
            <w:shd w:val="clear" w:color="auto" w:fill="auto"/>
            <w:noWrap/>
            <w:hideMark/>
          </w:tcPr>
          <w:p w14:paraId="6E6F6601"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594</w:t>
            </w:r>
          </w:p>
        </w:tc>
        <w:tc>
          <w:tcPr>
            <w:tcW w:w="270" w:type="pct"/>
            <w:gridSpan w:val="2"/>
            <w:tcBorders>
              <w:top w:val="nil"/>
              <w:left w:val="nil"/>
              <w:bottom w:val="single" w:sz="4" w:space="0" w:color="auto"/>
              <w:right w:val="nil"/>
            </w:tcBorders>
            <w:shd w:val="clear" w:color="auto" w:fill="auto"/>
            <w:noWrap/>
            <w:hideMark/>
          </w:tcPr>
          <w:p w14:paraId="42A9214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641</w:t>
            </w:r>
          </w:p>
        </w:tc>
        <w:tc>
          <w:tcPr>
            <w:tcW w:w="270" w:type="pct"/>
            <w:gridSpan w:val="2"/>
            <w:tcBorders>
              <w:top w:val="nil"/>
              <w:left w:val="nil"/>
              <w:bottom w:val="single" w:sz="4" w:space="0" w:color="auto"/>
              <w:right w:val="nil"/>
            </w:tcBorders>
            <w:shd w:val="clear" w:color="auto" w:fill="auto"/>
            <w:noWrap/>
            <w:hideMark/>
          </w:tcPr>
          <w:p w14:paraId="6D6FB1BB"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633</w:t>
            </w:r>
          </w:p>
        </w:tc>
        <w:tc>
          <w:tcPr>
            <w:tcW w:w="270" w:type="pct"/>
            <w:gridSpan w:val="3"/>
            <w:tcBorders>
              <w:top w:val="nil"/>
              <w:left w:val="nil"/>
              <w:bottom w:val="single" w:sz="4" w:space="0" w:color="auto"/>
              <w:right w:val="nil"/>
            </w:tcBorders>
            <w:shd w:val="clear" w:color="auto" w:fill="auto"/>
            <w:noWrap/>
            <w:hideMark/>
          </w:tcPr>
          <w:p w14:paraId="7102518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643</w:t>
            </w:r>
          </w:p>
        </w:tc>
        <w:tc>
          <w:tcPr>
            <w:tcW w:w="270" w:type="pct"/>
            <w:gridSpan w:val="2"/>
            <w:tcBorders>
              <w:top w:val="nil"/>
              <w:left w:val="nil"/>
              <w:bottom w:val="single" w:sz="4" w:space="0" w:color="auto"/>
              <w:right w:val="nil"/>
            </w:tcBorders>
            <w:shd w:val="clear" w:color="auto" w:fill="auto"/>
            <w:noWrap/>
            <w:hideMark/>
          </w:tcPr>
          <w:p w14:paraId="00FFDA42"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702</w:t>
            </w:r>
          </w:p>
        </w:tc>
        <w:tc>
          <w:tcPr>
            <w:tcW w:w="270" w:type="pct"/>
            <w:gridSpan w:val="2"/>
            <w:tcBorders>
              <w:top w:val="nil"/>
              <w:left w:val="nil"/>
              <w:bottom w:val="single" w:sz="4" w:space="0" w:color="auto"/>
              <w:right w:val="nil"/>
            </w:tcBorders>
            <w:shd w:val="clear" w:color="auto" w:fill="auto"/>
            <w:noWrap/>
            <w:hideMark/>
          </w:tcPr>
          <w:p w14:paraId="7264BA77"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751</w:t>
            </w:r>
          </w:p>
        </w:tc>
        <w:tc>
          <w:tcPr>
            <w:tcW w:w="270" w:type="pct"/>
            <w:gridSpan w:val="3"/>
            <w:tcBorders>
              <w:top w:val="nil"/>
              <w:left w:val="nil"/>
              <w:bottom w:val="single" w:sz="4" w:space="0" w:color="auto"/>
              <w:right w:val="nil"/>
            </w:tcBorders>
            <w:shd w:val="clear" w:color="auto" w:fill="auto"/>
            <w:noWrap/>
            <w:hideMark/>
          </w:tcPr>
          <w:p w14:paraId="1D5252AE"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803</w:t>
            </w:r>
          </w:p>
        </w:tc>
        <w:tc>
          <w:tcPr>
            <w:tcW w:w="270" w:type="pct"/>
            <w:gridSpan w:val="2"/>
            <w:tcBorders>
              <w:top w:val="nil"/>
              <w:left w:val="nil"/>
              <w:bottom w:val="single" w:sz="4" w:space="0" w:color="auto"/>
              <w:right w:val="nil"/>
            </w:tcBorders>
            <w:shd w:val="clear" w:color="auto" w:fill="auto"/>
            <w:noWrap/>
            <w:hideMark/>
          </w:tcPr>
          <w:p w14:paraId="7A3AAE5B"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842</w:t>
            </w:r>
          </w:p>
        </w:tc>
        <w:tc>
          <w:tcPr>
            <w:tcW w:w="270" w:type="pct"/>
            <w:gridSpan w:val="2"/>
            <w:tcBorders>
              <w:top w:val="nil"/>
              <w:left w:val="nil"/>
              <w:bottom w:val="single" w:sz="4" w:space="0" w:color="auto"/>
              <w:right w:val="nil"/>
            </w:tcBorders>
            <w:shd w:val="clear" w:color="auto" w:fill="auto"/>
            <w:noWrap/>
            <w:hideMark/>
          </w:tcPr>
          <w:p w14:paraId="383FCE66"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924</w:t>
            </w:r>
          </w:p>
        </w:tc>
        <w:tc>
          <w:tcPr>
            <w:tcW w:w="270" w:type="pct"/>
            <w:gridSpan w:val="2"/>
            <w:tcBorders>
              <w:top w:val="nil"/>
              <w:left w:val="nil"/>
              <w:bottom w:val="single" w:sz="4" w:space="0" w:color="auto"/>
              <w:right w:val="nil"/>
            </w:tcBorders>
            <w:shd w:val="clear" w:color="auto" w:fill="auto"/>
            <w:noWrap/>
            <w:hideMark/>
          </w:tcPr>
          <w:p w14:paraId="02DDE3EB"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981</w:t>
            </w:r>
          </w:p>
        </w:tc>
        <w:tc>
          <w:tcPr>
            <w:tcW w:w="270" w:type="pct"/>
            <w:gridSpan w:val="3"/>
            <w:tcBorders>
              <w:top w:val="nil"/>
              <w:left w:val="nil"/>
              <w:bottom w:val="single" w:sz="4" w:space="0" w:color="auto"/>
              <w:right w:val="nil"/>
            </w:tcBorders>
            <w:shd w:val="clear" w:color="auto" w:fill="auto"/>
            <w:noWrap/>
            <w:hideMark/>
          </w:tcPr>
          <w:p w14:paraId="157D5F14"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1.048</w:t>
            </w:r>
          </w:p>
        </w:tc>
        <w:tc>
          <w:tcPr>
            <w:tcW w:w="269" w:type="pct"/>
            <w:tcBorders>
              <w:top w:val="nil"/>
              <w:left w:val="nil"/>
              <w:bottom w:val="single" w:sz="4" w:space="0" w:color="auto"/>
              <w:right w:val="nil"/>
            </w:tcBorders>
            <w:shd w:val="clear" w:color="auto" w:fill="auto"/>
            <w:noWrap/>
            <w:hideMark/>
          </w:tcPr>
          <w:p w14:paraId="05B5384C"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1.098</w:t>
            </w:r>
          </w:p>
        </w:tc>
      </w:tr>
      <w:tr w:rsidR="00B54F4E" w:rsidRPr="00AF433C" w14:paraId="38CD0FAD" w14:textId="77777777" w:rsidTr="006504C4">
        <w:trPr>
          <w:trHeight w:val="300"/>
        </w:trPr>
        <w:tc>
          <w:tcPr>
            <w:tcW w:w="952" w:type="pct"/>
            <w:tcBorders>
              <w:top w:val="nil"/>
              <w:left w:val="nil"/>
              <w:bottom w:val="single" w:sz="4" w:space="0" w:color="auto"/>
              <w:right w:val="nil"/>
            </w:tcBorders>
            <w:shd w:val="clear" w:color="auto" w:fill="auto"/>
            <w:noWrap/>
            <w:vAlign w:val="bottom"/>
            <w:hideMark/>
          </w:tcPr>
          <w:p w14:paraId="11578DA3" w14:textId="77777777" w:rsidR="00B54F4E" w:rsidRPr="00AF433C" w:rsidRDefault="00B54F4E" w:rsidP="006504C4">
            <w:pPr>
              <w:spacing w:before="0" w:after="0"/>
              <w:jc w:val="left"/>
              <w:rPr>
                <w:rFonts w:ascii="Calibri" w:hAnsi="Calibri" w:cs="Calibri"/>
                <w:color w:val="000000"/>
                <w:sz w:val="14"/>
                <w:szCs w:val="22"/>
                <w:lang w:eastAsia="es-CO"/>
              </w:rPr>
            </w:pPr>
            <w:r w:rsidRPr="00AF433C">
              <w:rPr>
                <w:rFonts w:ascii="Calibri" w:hAnsi="Calibri" w:cs="Calibri"/>
                <w:color w:val="000000"/>
                <w:sz w:val="14"/>
                <w:szCs w:val="22"/>
                <w:lang w:eastAsia="es-CO"/>
              </w:rPr>
              <w:t>Beneficio (menor OPEX)</w:t>
            </w:r>
          </w:p>
        </w:tc>
        <w:tc>
          <w:tcPr>
            <w:tcW w:w="269" w:type="pct"/>
            <w:tcBorders>
              <w:top w:val="nil"/>
              <w:left w:val="nil"/>
              <w:bottom w:val="single" w:sz="4" w:space="0" w:color="auto"/>
              <w:right w:val="nil"/>
            </w:tcBorders>
            <w:shd w:val="clear" w:color="auto" w:fill="auto"/>
            <w:noWrap/>
            <w:hideMark/>
          </w:tcPr>
          <w:p w14:paraId="66E15BA3"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0</w:t>
            </w:r>
          </w:p>
        </w:tc>
        <w:tc>
          <w:tcPr>
            <w:tcW w:w="270" w:type="pct"/>
            <w:tcBorders>
              <w:top w:val="nil"/>
              <w:left w:val="nil"/>
              <w:bottom w:val="single" w:sz="4" w:space="0" w:color="auto"/>
              <w:right w:val="nil"/>
            </w:tcBorders>
            <w:shd w:val="clear" w:color="auto" w:fill="auto"/>
            <w:noWrap/>
            <w:hideMark/>
          </w:tcPr>
          <w:p w14:paraId="6E85699C"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w:t>
            </w:r>
          </w:p>
        </w:tc>
        <w:tc>
          <w:tcPr>
            <w:tcW w:w="270" w:type="pct"/>
            <w:tcBorders>
              <w:top w:val="nil"/>
              <w:left w:val="nil"/>
              <w:bottom w:val="single" w:sz="4" w:space="0" w:color="auto"/>
              <w:right w:val="nil"/>
            </w:tcBorders>
            <w:shd w:val="clear" w:color="auto" w:fill="auto"/>
            <w:noWrap/>
            <w:hideMark/>
          </w:tcPr>
          <w:p w14:paraId="0F316702"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w:t>
            </w:r>
          </w:p>
        </w:tc>
        <w:tc>
          <w:tcPr>
            <w:tcW w:w="270" w:type="pct"/>
            <w:gridSpan w:val="2"/>
            <w:tcBorders>
              <w:top w:val="nil"/>
              <w:left w:val="nil"/>
              <w:bottom w:val="single" w:sz="4" w:space="0" w:color="auto"/>
              <w:right w:val="nil"/>
            </w:tcBorders>
            <w:shd w:val="clear" w:color="auto" w:fill="auto"/>
            <w:noWrap/>
            <w:hideMark/>
          </w:tcPr>
          <w:p w14:paraId="75496967"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w:t>
            </w:r>
          </w:p>
        </w:tc>
        <w:tc>
          <w:tcPr>
            <w:tcW w:w="270" w:type="pct"/>
            <w:gridSpan w:val="2"/>
            <w:tcBorders>
              <w:top w:val="nil"/>
              <w:left w:val="nil"/>
              <w:bottom w:val="single" w:sz="4" w:space="0" w:color="auto"/>
              <w:right w:val="nil"/>
            </w:tcBorders>
            <w:shd w:val="clear" w:color="auto" w:fill="auto"/>
            <w:noWrap/>
            <w:hideMark/>
          </w:tcPr>
          <w:p w14:paraId="1C5D7EAB"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12</w:t>
            </w:r>
          </w:p>
        </w:tc>
        <w:tc>
          <w:tcPr>
            <w:tcW w:w="270" w:type="pct"/>
            <w:gridSpan w:val="2"/>
            <w:tcBorders>
              <w:top w:val="nil"/>
              <w:left w:val="nil"/>
              <w:bottom w:val="single" w:sz="4" w:space="0" w:color="auto"/>
              <w:right w:val="nil"/>
            </w:tcBorders>
            <w:shd w:val="clear" w:color="auto" w:fill="auto"/>
            <w:noWrap/>
            <w:hideMark/>
          </w:tcPr>
          <w:p w14:paraId="49D12F7A"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16</w:t>
            </w:r>
          </w:p>
        </w:tc>
        <w:tc>
          <w:tcPr>
            <w:tcW w:w="270" w:type="pct"/>
            <w:gridSpan w:val="3"/>
            <w:tcBorders>
              <w:top w:val="nil"/>
              <w:left w:val="nil"/>
              <w:bottom w:val="single" w:sz="4" w:space="0" w:color="auto"/>
              <w:right w:val="nil"/>
            </w:tcBorders>
            <w:shd w:val="clear" w:color="auto" w:fill="auto"/>
            <w:noWrap/>
            <w:hideMark/>
          </w:tcPr>
          <w:p w14:paraId="79172E7D"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36</w:t>
            </w:r>
          </w:p>
        </w:tc>
        <w:tc>
          <w:tcPr>
            <w:tcW w:w="270" w:type="pct"/>
            <w:gridSpan w:val="2"/>
            <w:tcBorders>
              <w:top w:val="nil"/>
              <w:left w:val="nil"/>
              <w:bottom w:val="single" w:sz="4" w:space="0" w:color="auto"/>
              <w:right w:val="nil"/>
            </w:tcBorders>
            <w:shd w:val="clear" w:color="auto" w:fill="auto"/>
            <w:noWrap/>
            <w:hideMark/>
          </w:tcPr>
          <w:p w14:paraId="095F6314"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47</w:t>
            </w:r>
          </w:p>
        </w:tc>
        <w:tc>
          <w:tcPr>
            <w:tcW w:w="270" w:type="pct"/>
            <w:gridSpan w:val="2"/>
            <w:tcBorders>
              <w:top w:val="nil"/>
              <w:left w:val="nil"/>
              <w:bottom w:val="single" w:sz="4" w:space="0" w:color="auto"/>
              <w:right w:val="nil"/>
            </w:tcBorders>
            <w:shd w:val="clear" w:color="auto" w:fill="auto"/>
            <w:noWrap/>
            <w:hideMark/>
          </w:tcPr>
          <w:p w14:paraId="2B68BEDF"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107</w:t>
            </w:r>
          </w:p>
        </w:tc>
        <w:tc>
          <w:tcPr>
            <w:tcW w:w="270" w:type="pct"/>
            <w:gridSpan w:val="3"/>
            <w:tcBorders>
              <w:top w:val="nil"/>
              <w:left w:val="nil"/>
              <w:bottom w:val="single" w:sz="4" w:space="0" w:color="auto"/>
              <w:right w:val="nil"/>
            </w:tcBorders>
            <w:shd w:val="clear" w:color="auto" w:fill="auto"/>
            <w:noWrap/>
            <w:hideMark/>
          </w:tcPr>
          <w:p w14:paraId="6C6F4B39"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108</w:t>
            </w:r>
          </w:p>
        </w:tc>
        <w:tc>
          <w:tcPr>
            <w:tcW w:w="270" w:type="pct"/>
            <w:gridSpan w:val="2"/>
            <w:tcBorders>
              <w:top w:val="nil"/>
              <w:left w:val="nil"/>
              <w:bottom w:val="single" w:sz="4" w:space="0" w:color="auto"/>
              <w:right w:val="nil"/>
            </w:tcBorders>
            <w:shd w:val="clear" w:color="auto" w:fill="auto"/>
            <w:noWrap/>
            <w:hideMark/>
          </w:tcPr>
          <w:p w14:paraId="04A5BE39"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150</w:t>
            </w:r>
          </w:p>
        </w:tc>
        <w:tc>
          <w:tcPr>
            <w:tcW w:w="270" w:type="pct"/>
            <w:gridSpan w:val="2"/>
            <w:tcBorders>
              <w:top w:val="nil"/>
              <w:left w:val="nil"/>
              <w:bottom w:val="single" w:sz="4" w:space="0" w:color="auto"/>
              <w:right w:val="nil"/>
            </w:tcBorders>
            <w:shd w:val="clear" w:color="auto" w:fill="auto"/>
            <w:noWrap/>
            <w:hideMark/>
          </w:tcPr>
          <w:p w14:paraId="657F5590"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152</w:t>
            </w:r>
          </w:p>
        </w:tc>
        <w:tc>
          <w:tcPr>
            <w:tcW w:w="270" w:type="pct"/>
            <w:gridSpan w:val="2"/>
            <w:tcBorders>
              <w:top w:val="nil"/>
              <w:left w:val="nil"/>
              <w:bottom w:val="single" w:sz="4" w:space="0" w:color="auto"/>
              <w:right w:val="nil"/>
            </w:tcBorders>
            <w:shd w:val="clear" w:color="auto" w:fill="auto"/>
            <w:noWrap/>
            <w:hideMark/>
          </w:tcPr>
          <w:p w14:paraId="610272BE"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156</w:t>
            </w:r>
          </w:p>
        </w:tc>
        <w:tc>
          <w:tcPr>
            <w:tcW w:w="270" w:type="pct"/>
            <w:gridSpan w:val="3"/>
            <w:tcBorders>
              <w:top w:val="nil"/>
              <w:left w:val="nil"/>
              <w:bottom w:val="single" w:sz="4" w:space="0" w:color="auto"/>
              <w:right w:val="nil"/>
            </w:tcBorders>
            <w:shd w:val="clear" w:color="auto" w:fill="auto"/>
            <w:noWrap/>
            <w:hideMark/>
          </w:tcPr>
          <w:p w14:paraId="35F8BF69"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163</w:t>
            </w:r>
          </w:p>
        </w:tc>
        <w:tc>
          <w:tcPr>
            <w:tcW w:w="269" w:type="pct"/>
            <w:tcBorders>
              <w:top w:val="nil"/>
              <w:left w:val="nil"/>
              <w:bottom w:val="single" w:sz="4" w:space="0" w:color="auto"/>
              <w:right w:val="nil"/>
            </w:tcBorders>
            <w:shd w:val="clear" w:color="auto" w:fill="auto"/>
            <w:noWrap/>
            <w:hideMark/>
          </w:tcPr>
          <w:p w14:paraId="22D3F790"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168</w:t>
            </w:r>
          </w:p>
        </w:tc>
      </w:tr>
      <w:tr w:rsidR="00B54F4E" w:rsidRPr="00AF433C" w14:paraId="46B57294" w14:textId="77777777" w:rsidTr="006504C4">
        <w:trPr>
          <w:trHeight w:val="300"/>
        </w:trPr>
        <w:tc>
          <w:tcPr>
            <w:tcW w:w="952" w:type="pct"/>
            <w:tcBorders>
              <w:top w:val="nil"/>
              <w:left w:val="nil"/>
              <w:bottom w:val="nil"/>
              <w:right w:val="nil"/>
            </w:tcBorders>
            <w:shd w:val="clear" w:color="auto" w:fill="auto"/>
            <w:noWrap/>
            <w:vAlign w:val="bottom"/>
            <w:hideMark/>
          </w:tcPr>
          <w:p w14:paraId="2DDF3AD0" w14:textId="77777777" w:rsidR="00B54F4E" w:rsidRPr="00AF433C" w:rsidRDefault="00B54F4E" w:rsidP="006504C4">
            <w:pPr>
              <w:spacing w:before="0" w:after="0"/>
              <w:jc w:val="right"/>
              <w:rPr>
                <w:rFonts w:ascii="Calibri" w:hAnsi="Calibri" w:cs="Calibri"/>
                <w:color w:val="000000"/>
                <w:sz w:val="16"/>
                <w:szCs w:val="22"/>
                <w:lang w:eastAsia="es-CO"/>
              </w:rPr>
            </w:pPr>
          </w:p>
        </w:tc>
        <w:tc>
          <w:tcPr>
            <w:tcW w:w="995" w:type="pct"/>
            <w:gridSpan w:val="4"/>
            <w:tcBorders>
              <w:top w:val="nil"/>
              <w:left w:val="nil"/>
              <w:bottom w:val="nil"/>
              <w:right w:val="nil"/>
            </w:tcBorders>
            <w:shd w:val="clear" w:color="auto" w:fill="auto"/>
            <w:noWrap/>
            <w:vAlign w:val="bottom"/>
            <w:hideMark/>
          </w:tcPr>
          <w:p w14:paraId="67E004AB"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181FFC6D"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1E238F15" w14:textId="77777777" w:rsidR="00B54F4E" w:rsidRPr="00AF433C" w:rsidRDefault="00B54F4E" w:rsidP="006504C4">
            <w:pPr>
              <w:spacing w:before="0" w:after="0"/>
              <w:jc w:val="left"/>
              <w:rPr>
                <w:rFonts w:ascii="Times New Roman" w:hAnsi="Times New Roman"/>
                <w:sz w:val="16"/>
                <w:lang w:eastAsia="es-CO"/>
              </w:rPr>
            </w:pPr>
          </w:p>
        </w:tc>
        <w:tc>
          <w:tcPr>
            <w:tcW w:w="209" w:type="pct"/>
            <w:gridSpan w:val="2"/>
            <w:tcBorders>
              <w:top w:val="nil"/>
              <w:left w:val="nil"/>
              <w:bottom w:val="nil"/>
              <w:right w:val="nil"/>
            </w:tcBorders>
            <w:shd w:val="clear" w:color="auto" w:fill="auto"/>
            <w:noWrap/>
            <w:vAlign w:val="bottom"/>
            <w:hideMark/>
          </w:tcPr>
          <w:p w14:paraId="5534D5EB" w14:textId="77777777" w:rsidR="00B54F4E" w:rsidRPr="00AF433C" w:rsidRDefault="00B54F4E" w:rsidP="006504C4">
            <w:pPr>
              <w:spacing w:before="0" w:after="0"/>
              <w:jc w:val="left"/>
              <w:rPr>
                <w:rFonts w:ascii="Times New Roman" w:hAnsi="Times New Roman"/>
                <w:sz w:val="16"/>
                <w:lang w:eastAsia="es-CO"/>
              </w:rPr>
            </w:pPr>
          </w:p>
        </w:tc>
        <w:tc>
          <w:tcPr>
            <w:tcW w:w="209" w:type="pct"/>
            <w:tcBorders>
              <w:top w:val="nil"/>
              <w:left w:val="nil"/>
              <w:bottom w:val="nil"/>
              <w:right w:val="nil"/>
            </w:tcBorders>
            <w:shd w:val="clear" w:color="auto" w:fill="auto"/>
            <w:noWrap/>
            <w:vAlign w:val="bottom"/>
            <w:hideMark/>
          </w:tcPr>
          <w:p w14:paraId="66FF8889"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7425ECBF"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6DF85AB0"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6BBC0327" w14:textId="77777777" w:rsidR="00B54F4E" w:rsidRPr="00AF433C" w:rsidRDefault="00B54F4E" w:rsidP="006504C4">
            <w:pPr>
              <w:spacing w:before="0" w:after="0"/>
              <w:jc w:val="left"/>
              <w:rPr>
                <w:rFonts w:ascii="Times New Roman" w:hAnsi="Times New Roman"/>
                <w:sz w:val="16"/>
                <w:lang w:eastAsia="es-CO"/>
              </w:rPr>
            </w:pPr>
          </w:p>
        </w:tc>
        <w:tc>
          <w:tcPr>
            <w:tcW w:w="210" w:type="pct"/>
            <w:tcBorders>
              <w:top w:val="nil"/>
              <w:left w:val="nil"/>
              <w:bottom w:val="nil"/>
              <w:right w:val="nil"/>
            </w:tcBorders>
            <w:shd w:val="clear" w:color="auto" w:fill="auto"/>
            <w:noWrap/>
            <w:vAlign w:val="bottom"/>
            <w:hideMark/>
          </w:tcPr>
          <w:p w14:paraId="26D1DAB1" w14:textId="77777777" w:rsidR="00B54F4E" w:rsidRPr="00AF433C" w:rsidRDefault="00B54F4E" w:rsidP="006504C4">
            <w:pPr>
              <w:spacing w:before="0" w:after="0"/>
              <w:jc w:val="left"/>
              <w:rPr>
                <w:rFonts w:ascii="Times New Roman" w:hAnsi="Times New Roman"/>
                <w:sz w:val="16"/>
                <w:lang w:eastAsia="es-CO"/>
              </w:rPr>
            </w:pPr>
          </w:p>
        </w:tc>
        <w:tc>
          <w:tcPr>
            <w:tcW w:w="209" w:type="pct"/>
            <w:gridSpan w:val="2"/>
            <w:tcBorders>
              <w:top w:val="nil"/>
              <w:left w:val="nil"/>
              <w:bottom w:val="nil"/>
              <w:right w:val="nil"/>
            </w:tcBorders>
            <w:shd w:val="clear" w:color="auto" w:fill="auto"/>
            <w:noWrap/>
            <w:vAlign w:val="bottom"/>
            <w:hideMark/>
          </w:tcPr>
          <w:p w14:paraId="5BBF84F3"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5D5C5783" w14:textId="77777777" w:rsidR="00B54F4E" w:rsidRPr="00AF433C"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shd w:val="clear" w:color="auto" w:fill="auto"/>
            <w:noWrap/>
            <w:vAlign w:val="bottom"/>
            <w:hideMark/>
          </w:tcPr>
          <w:p w14:paraId="3A961262" w14:textId="77777777" w:rsidR="00B54F4E" w:rsidRPr="00AF433C"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shd w:val="clear" w:color="auto" w:fill="auto"/>
            <w:noWrap/>
            <w:vAlign w:val="bottom"/>
            <w:hideMark/>
          </w:tcPr>
          <w:p w14:paraId="2A4C129E" w14:textId="77777777" w:rsidR="00B54F4E" w:rsidRPr="00AF433C" w:rsidRDefault="00B54F4E" w:rsidP="006504C4">
            <w:pPr>
              <w:spacing w:before="0" w:after="0"/>
              <w:jc w:val="left"/>
              <w:rPr>
                <w:rFonts w:ascii="Times New Roman" w:hAnsi="Times New Roman"/>
                <w:sz w:val="16"/>
                <w:lang w:eastAsia="es-CO"/>
              </w:rPr>
            </w:pPr>
          </w:p>
        </w:tc>
        <w:tc>
          <w:tcPr>
            <w:tcW w:w="225" w:type="pct"/>
            <w:tcBorders>
              <w:top w:val="nil"/>
              <w:left w:val="nil"/>
              <w:bottom w:val="nil"/>
              <w:right w:val="nil"/>
            </w:tcBorders>
            <w:shd w:val="clear" w:color="auto" w:fill="auto"/>
            <w:noWrap/>
            <w:vAlign w:val="bottom"/>
            <w:hideMark/>
          </w:tcPr>
          <w:p w14:paraId="43730925" w14:textId="77777777" w:rsidR="00B54F4E" w:rsidRPr="00AF433C" w:rsidRDefault="00B54F4E" w:rsidP="006504C4">
            <w:pPr>
              <w:spacing w:before="0" w:after="0"/>
              <w:jc w:val="left"/>
              <w:rPr>
                <w:rFonts w:ascii="Times New Roman" w:hAnsi="Times New Roman"/>
                <w:sz w:val="16"/>
                <w:lang w:eastAsia="es-CO"/>
              </w:rPr>
            </w:pPr>
          </w:p>
        </w:tc>
        <w:tc>
          <w:tcPr>
            <w:tcW w:w="279" w:type="pct"/>
            <w:gridSpan w:val="2"/>
            <w:tcBorders>
              <w:top w:val="nil"/>
              <w:left w:val="nil"/>
              <w:bottom w:val="nil"/>
              <w:right w:val="nil"/>
            </w:tcBorders>
            <w:shd w:val="clear" w:color="auto" w:fill="auto"/>
            <w:noWrap/>
            <w:vAlign w:val="bottom"/>
            <w:hideMark/>
          </w:tcPr>
          <w:p w14:paraId="2F32B0CD" w14:textId="77777777" w:rsidR="00B54F4E" w:rsidRPr="00AF433C" w:rsidRDefault="00B54F4E" w:rsidP="006504C4">
            <w:pPr>
              <w:spacing w:before="0" w:after="0"/>
              <w:jc w:val="left"/>
              <w:rPr>
                <w:rFonts w:ascii="Times New Roman" w:hAnsi="Times New Roman"/>
                <w:sz w:val="16"/>
                <w:lang w:eastAsia="es-CO"/>
              </w:rPr>
            </w:pPr>
          </w:p>
        </w:tc>
      </w:tr>
      <w:tr w:rsidR="00B54F4E" w:rsidRPr="00AF433C" w14:paraId="18848835" w14:textId="77777777" w:rsidTr="006504C4">
        <w:trPr>
          <w:trHeight w:val="300"/>
        </w:trPr>
        <w:tc>
          <w:tcPr>
            <w:tcW w:w="952" w:type="pct"/>
            <w:tcBorders>
              <w:top w:val="single" w:sz="4" w:space="0" w:color="auto"/>
              <w:left w:val="single" w:sz="4" w:space="0" w:color="auto"/>
              <w:bottom w:val="single" w:sz="4" w:space="0" w:color="auto"/>
              <w:right w:val="nil"/>
            </w:tcBorders>
            <w:shd w:val="clear" w:color="000000" w:fill="E2EFDA"/>
            <w:noWrap/>
            <w:vAlign w:val="center"/>
            <w:hideMark/>
          </w:tcPr>
          <w:p w14:paraId="39F963E5" w14:textId="77777777" w:rsidR="00B54F4E" w:rsidRDefault="00B54F4E" w:rsidP="006504C4">
            <w:pPr>
              <w:spacing w:before="0" w:after="0"/>
              <w:jc w:val="left"/>
              <w:rPr>
                <w:rFonts w:ascii="Calibri" w:hAnsi="Calibri" w:cs="Calibri"/>
                <w:color w:val="000000"/>
                <w:sz w:val="14"/>
                <w:szCs w:val="22"/>
                <w:lang w:eastAsia="es-CO"/>
              </w:rPr>
            </w:pPr>
            <w:r w:rsidRPr="00AF433C">
              <w:rPr>
                <w:rFonts w:ascii="Calibri" w:hAnsi="Calibri" w:cs="Calibri"/>
                <w:color w:val="000000"/>
                <w:sz w:val="16"/>
                <w:szCs w:val="22"/>
                <w:lang w:eastAsia="es-CO"/>
              </w:rPr>
              <w:t>VPN dic 2016</w:t>
            </w:r>
          </w:p>
          <w:p w14:paraId="2F7A10A6" w14:textId="77777777" w:rsidR="00B54F4E" w:rsidRPr="00AF433C" w:rsidRDefault="00B54F4E" w:rsidP="006504C4">
            <w:pPr>
              <w:spacing w:before="0" w:after="0"/>
              <w:jc w:val="left"/>
              <w:rPr>
                <w:rFonts w:ascii="Calibri" w:hAnsi="Calibri" w:cs="Calibri"/>
                <w:color w:val="000000"/>
                <w:sz w:val="16"/>
                <w:szCs w:val="22"/>
                <w:lang w:eastAsia="es-CO"/>
              </w:rPr>
            </w:pPr>
            <w:r w:rsidRPr="00AF433C">
              <w:rPr>
                <w:rFonts w:ascii="Calibri" w:hAnsi="Calibri" w:cs="Calibri"/>
                <w:color w:val="000000"/>
                <w:sz w:val="16"/>
                <w:szCs w:val="22"/>
                <w:lang w:eastAsia="es-CO"/>
              </w:rPr>
              <w:t>(Millones $USD)</w:t>
            </w:r>
          </w:p>
        </w:tc>
        <w:tc>
          <w:tcPr>
            <w:tcW w:w="995" w:type="pct"/>
            <w:gridSpan w:val="4"/>
            <w:tcBorders>
              <w:top w:val="single" w:sz="4" w:space="0" w:color="auto"/>
              <w:left w:val="nil"/>
              <w:bottom w:val="single" w:sz="4" w:space="0" w:color="auto"/>
              <w:right w:val="single" w:sz="4" w:space="0" w:color="auto"/>
            </w:tcBorders>
            <w:shd w:val="clear" w:color="000000" w:fill="E2EFDA"/>
            <w:noWrap/>
            <w:vAlign w:val="center"/>
            <w:hideMark/>
          </w:tcPr>
          <w:p w14:paraId="78DD7C94" w14:textId="77777777" w:rsidR="00B54F4E" w:rsidRPr="00AF433C" w:rsidRDefault="00B54F4E" w:rsidP="006504C4">
            <w:pPr>
              <w:spacing w:before="0" w:after="0"/>
              <w:jc w:val="center"/>
              <w:rPr>
                <w:rFonts w:ascii="Calibri" w:hAnsi="Calibri" w:cs="Calibri"/>
                <w:color w:val="000000"/>
                <w:sz w:val="16"/>
                <w:szCs w:val="22"/>
                <w:lang w:eastAsia="es-CO"/>
              </w:rPr>
            </w:pPr>
            <w:r>
              <w:rPr>
                <w:rFonts w:ascii="Calibri" w:hAnsi="Calibri" w:cs="Calibri"/>
                <w:color w:val="000000"/>
                <w:sz w:val="16"/>
                <w:szCs w:val="22"/>
                <w:lang w:eastAsia="es-CO"/>
              </w:rPr>
              <w:t>$342</w:t>
            </w:r>
          </w:p>
        </w:tc>
        <w:tc>
          <w:tcPr>
            <w:tcW w:w="210" w:type="pct"/>
            <w:gridSpan w:val="2"/>
            <w:tcBorders>
              <w:top w:val="nil"/>
              <w:left w:val="nil"/>
              <w:bottom w:val="nil"/>
              <w:right w:val="nil"/>
            </w:tcBorders>
            <w:shd w:val="clear" w:color="auto" w:fill="auto"/>
            <w:noWrap/>
            <w:vAlign w:val="bottom"/>
            <w:hideMark/>
          </w:tcPr>
          <w:p w14:paraId="64013685" w14:textId="77777777" w:rsidR="00B54F4E" w:rsidRPr="00AF433C" w:rsidRDefault="00B54F4E" w:rsidP="006504C4">
            <w:pPr>
              <w:spacing w:before="0" w:after="0"/>
              <w:jc w:val="right"/>
              <w:rPr>
                <w:rFonts w:ascii="Calibri" w:hAnsi="Calibri" w:cs="Calibri"/>
                <w:color w:val="000000"/>
                <w:sz w:val="16"/>
                <w:szCs w:val="22"/>
                <w:lang w:eastAsia="es-CO"/>
              </w:rPr>
            </w:pPr>
          </w:p>
        </w:tc>
        <w:tc>
          <w:tcPr>
            <w:tcW w:w="210" w:type="pct"/>
            <w:gridSpan w:val="2"/>
            <w:tcBorders>
              <w:top w:val="nil"/>
              <w:left w:val="nil"/>
              <w:bottom w:val="nil"/>
              <w:right w:val="nil"/>
            </w:tcBorders>
            <w:shd w:val="clear" w:color="auto" w:fill="auto"/>
            <w:noWrap/>
            <w:vAlign w:val="bottom"/>
            <w:hideMark/>
          </w:tcPr>
          <w:p w14:paraId="1D9576CB" w14:textId="77777777" w:rsidR="00B54F4E" w:rsidRPr="00AF433C" w:rsidRDefault="00B54F4E" w:rsidP="006504C4">
            <w:pPr>
              <w:spacing w:before="0" w:after="0"/>
              <w:jc w:val="left"/>
              <w:rPr>
                <w:rFonts w:ascii="Times New Roman" w:hAnsi="Times New Roman"/>
                <w:sz w:val="16"/>
                <w:lang w:eastAsia="es-CO"/>
              </w:rPr>
            </w:pPr>
          </w:p>
        </w:tc>
        <w:tc>
          <w:tcPr>
            <w:tcW w:w="209" w:type="pct"/>
            <w:gridSpan w:val="2"/>
            <w:tcBorders>
              <w:top w:val="nil"/>
              <w:left w:val="nil"/>
              <w:bottom w:val="nil"/>
              <w:right w:val="nil"/>
            </w:tcBorders>
            <w:shd w:val="clear" w:color="auto" w:fill="auto"/>
            <w:noWrap/>
            <w:vAlign w:val="bottom"/>
            <w:hideMark/>
          </w:tcPr>
          <w:p w14:paraId="09FB017F" w14:textId="77777777" w:rsidR="00B54F4E" w:rsidRPr="00AF433C" w:rsidRDefault="00B54F4E" w:rsidP="006504C4">
            <w:pPr>
              <w:spacing w:before="0" w:after="0"/>
              <w:jc w:val="left"/>
              <w:rPr>
                <w:rFonts w:ascii="Times New Roman" w:hAnsi="Times New Roman"/>
                <w:sz w:val="16"/>
                <w:lang w:eastAsia="es-CO"/>
              </w:rPr>
            </w:pPr>
          </w:p>
        </w:tc>
        <w:tc>
          <w:tcPr>
            <w:tcW w:w="209" w:type="pct"/>
            <w:tcBorders>
              <w:top w:val="nil"/>
              <w:left w:val="nil"/>
              <w:bottom w:val="nil"/>
              <w:right w:val="nil"/>
            </w:tcBorders>
            <w:shd w:val="clear" w:color="auto" w:fill="auto"/>
            <w:noWrap/>
            <w:vAlign w:val="bottom"/>
            <w:hideMark/>
          </w:tcPr>
          <w:p w14:paraId="7D751E01"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110D0766"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3BE1916C"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5794AD02" w14:textId="77777777" w:rsidR="00B54F4E" w:rsidRPr="00AF433C" w:rsidRDefault="00B54F4E" w:rsidP="006504C4">
            <w:pPr>
              <w:spacing w:before="0" w:after="0"/>
              <w:jc w:val="left"/>
              <w:rPr>
                <w:rFonts w:ascii="Times New Roman" w:hAnsi="Times New Roman"/>
                <w:sz w:val="16"/>
                <w:lang w:eastAsia="es-CO"/>
              </w:rPr>
            </w:pPr>
          </w:p>
        </w:tc>
        <w:tc>
          <w:tcPr>
            <w:tcW w:w="210" w:type="pct"/>
            <w:tcBorders>
              <w:top w:val="nil"/>
              <w:left w:val="nil"/>
              <w:bottom w:val="nil"/>
              <w:right w:val="nil"/>
            </w:tcBorders>
            <w:shd w:val="clear" w:color="auto" w:fill="auto"/>
            <w:noWrap/>
            <w:vAlign w:val="bottom"/>
            <w:hideMark/>
          </w:tcPr>
          <w:p w14:paraId="7DBDF838" w14:textId="77777777" w:rsidR="00B54F4E" w:rsidRPr="00AF433C" w:rsidRDefault="00B54F4E" w:rsidP="006504C4">
            <w:pPr>
              <w:spacing w:before="0" w:after="0"/>
              <w:jc w:val="left"/>
              <w:rPr>
                <w:rFonts w:ascii="Times New Roman" w:hAnsi="Times New Roman"/>
                <w:sz w:val="16"/>
                <w:lang w:eastAsia="es-CO"/>
              </w:rPr>
            </w:pPr>
          </w:p>
        </w:tc>
        <w:tc>
          <w:tcPr>
            <w:tcW w:w="209" w:type="pct"/>
            <w:gridSpan w:val="2"/>
            <w:tcBorders>
              <w:top w:val="nil"/>
              <w:left w:val="nil"/>
              <w:bottom w:val="nil"/>
              <w:right w:val="nil"/>
            </w:tcBorders>
            <w:shd w:val="clear" w:color="auto" w:fill="auto"/>
            <w:noWrap/>
            <w:vAlign w:val="bottom"/>
            <w:hideMark/>
          </w:tcPr>
          <w:p w14:paraId="7BE87C05" w14:textId="77777777" w:rsidR="00B54F4E" w:rsidRPr="00AF433C" w:rsidRDefault="00B54F4E" w:rsidP="006504C4">
            <w:pPr>
              <w:spacing w:before="0" w:after="0"/>
              <w:jc w:val="left"/>
              <w:rPr>
                <w:rFonts w:ascii="Times New Roman" w:hAnsi="Times New Roman"/>
                <w:sz w:val="16"/>
                <w:lang w:eastAsia="es-CO"/>
              </w:rPr>
            </w:pPr>
          </w:p>
        </w:tc>
        <w:tc>
          <w:tcPr>
            <w:tcW w:w="210" w:type="pct"/>
            <w:gridSpan w:val="2"/>
            <w:tcBorders>
              <w:top w:val="nil"/>
              <w:left w:val="nil"/>
              <w:bottom w:val="nil"/>
              <w:right w:val="nil"/>
            </w:tcBorders>
            <w:shd w:val="clear" w:color="auto" w:fill="auto"/>
            <w:noWrap/>
            <w:vAlign w:val="bottom"/>
            <w:hideMark/>
          </w:tcPr>
          <w:p w14:paraId="20EAB970" w14:textId="77777777" w:rsidR="00B54F4E" w:rsidRPr="00AF433C"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shd w:val="clear" w:color="auto" w:fill="auto"/>
            <w:noWrap/>
            <w:vAlign w:val="bottom"/>
            <w:hideMark/>
          </w:tcPr>
          <w:p w14:paraId="67D8CDA2" w14:textId="77777777" w:rsidR="00B54F4E" w:rsidRPr="00AF433C"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shd w:val="clear" w:color="auto" w:fill="auto"/>
            <w:noWrap/>
            <w:vAlign w:val="bottom"/>
            <w:hideMark/>
          </w:tcPr>
          <w:p w14:paraId="0355B8CA" w14:textId="77777777" w:rsidR="00B54F4E" w:rsidRPr="00AF433C" w:rsidRDefault="00B54F4E" w:rsidP="006504C4">
            <w:pPr>
              <w:spacing w:before="0" w:after="0"/>
              <w:jc w:val="left"/>
              <w:rPr>
                <w:rFonts w:ascii="Times New Roman" w:hAnsi="Times New Roman"/>
                <w:sz w:val="16"/>
                <w:lang w:eastAsia="es-CO"/>
              </w:rPr>
            </w:pPr>
          </w:p>
        </w:tc>
        <w:tc>
          <w:tcPr>
            <w:tcW w:w="225" w:type="pct"/>
            <w:tcBorders>
              <w:top w:val="nil"/>
              <w:left w:val="nil"/>
              <w:bottom w:val="nil"/>
              <w:right w:val="nil"/>
            </w:tcBorders>
            <w:shd w:val="clear" w:color="auto" w:fill="auto"/>
            <w:noWrap/>
            <w:vAlign w:val="bottom"/>
            <w:hideMark/>
          </w:tcPr>
          <w:p w14:paraId="0A9ED74E" w14:textId="77777777" w:rsidR="00B54F4E" w:rsidRPr="00AF433C" w:rsidRDefault="00B54F4E" w:rsidP="006504C4">
            <w:pPr>
              <w:spacing w:before="0" w:after="0"/>
              <w:jc w:val="left"/>
              <w:rPr>
                <w:rFonts w:ascii="Times New Roman" w:hAnsi="Times New Roman"/>
                <w:sz w:val="16"/>
                <w:lang w:eastAsia="es-CO"/>
              </w:rPr>
            </w:pPr>
          </w:p>
        </w:tc>
        <w:tc>
          <w:tcPr>
            <w:tcW w:w="279" w:type="pct"/>
            <w:gridSpan w:val="2"/>
            <w:tcBorders>
              <w:top w:val="nil"/>
              <w:left w:val="nil"/>
              <w:bottom w:val="nil"/>
              <w:right w:val="nil"/>
            </w:tcBorders>
            <w:shd w:val="clear" w:color="auto" w:fill="auto"/>
            <w:noWrap/>
            <w:vAlign w:val="bottom"/>
            <w:hideMark/>
          </w:tcPr>
          <w:p w14:paraId="0AB68E7A" w14:textId="77777777" w:rsidR="00B54F4E" w:rsidRPr="00AF433C" w:rsidRDefault="00B54F4E" w:rsidP="006504C4">
            <w:pPr>
              <w:spacing w:before="0" w:after="0"/>
              <w:jc w:val="left"/>
              <w:rPr>
                <w:rFonts w:ascii="Times New Roman" w:hAnsi="Times New Roman"/>
                <w:sz w:val="16"/>
                <w:lang w:eastAsia="es-CO"/>
              </w:rPr>
            </w:pPr>
          </w:p>
        </w:tc>
      </w:tr>
    </w:tbl>
    <w:p w14:paraId="2F6A2156" w14:textId="77777777" w:rsidR="00B54F4E" w:rsidRDefault="00B54F4E" w:rsidP="00B54F4E">
      <w:pPr>
        <w:spacing w:before="120" w:after="0"/>
        <w:rPr>
          <w:lang w:val="es-ES" w:eastAsia="es-CO"/>
        </w:rPr>
      </w:pPr>
    </w:p>
    <w:p w14:paraId="158DB00B" w14:textId="77777777" w:rsidR="00B54F4E" w:rsidRDefault="00B54F4E" w:rsidP="00B54F4E">
      <w:pPr>
        <w:spacing w:before="120" w:after="0"/>
        <w:rPr>
          <w:lang w:val="es-ES" w:eastAsia="es-CO"/>
        </w:rPr>
      </w:pPr>
      <w:r>
        <w:rPr>
          <w:lang w:val="es-ES" w:eastAsia="es-CO"/>
        </w:rPr>
        <w:t>Adicional a los beneficios originados por un menor costo de la generación, se obtiene el beneficio de una menor emisión de CO</w:t>
      </w:r>
      <w:r w:rsidRPr="00D647E1">
        <w:rPr>
          <w:vertAlign w:val="subscript"/>
          <w:lang w:val="es-ES" w:eastAsia="es-CO"/>
        </w:rPr>
        <w:t>2</w:t>
      </w:r>
      <w:r>
        <w:rPr>
          <w:lang w:val="es-ES" w:eastAsia="es-CO"/>
        </w:rPr>
        <w:t xml:space="preserve"> frente al escenario de referencia. La </w:t>
      </w:r>
      <w:r>
        <w:rPr>
          <w:lang w:val="es-ES" w:eastAsia="es-CO"/>
        </w:rPr>
        <w:fldChar w:fldCharType="begin"/>
      </w:r>
      <w:r>
        <w:rPr>
          <w:lang w:val="es-ES" w:eastAsia="es-CO"/>
        </w:rPr>
        <w:instrText xml:space="preserve"> REF _Ref472064375 \h </w:instrText>
      </w:r>
      <w:r>
        <w:rPr>
          <w:lang w:val="es-ES" w:eastAsia="es-CO"/>
        </w:rPr>
      </w:r>
      <w:r>
        <w:rPr>
          <w:lang w:val="es-ES" w:eastAsia="es-CO"/>
        </w:rPr>
        <w:fldChar w:fldCharType="separate"/>
      </w:r>
      <w:r>
        <w:rPr>
          <w:b/>
        </w:rPr>
        <w:t>Ilustración</w:t>
      </w:r>
      <w:r w:rsidRPr="00F53187">
        <w:rPr>
          <w:b/>
        </w:rPr>
        <w:t xml:space="preserve"> </w:t>
      </w:r>
      <w:r>
        <w:rPr>
          <w:b/>
          <w:noProof/>
        </w:rPr>
        <w:t>6</w:t>
      </w:r>
      <w:r>
        <w:rPr>
          <w:lang w:val="es-ES" w:eastAsia="es-CO"/>
        </w:rPr>
        <w:fldChar w:fldCharType="end"/>
      </w:r>
      <w:r>
        <w:rPr>
          <w:lang w:val="es-ES" w:eastAsia="es-CO"/>
        </w:rPr>
        <w:t xml:space="preserve"> muestra el volumen de emisiones de CO</w:t>
      </w:r>
      <w:r w:rsidRPr="00BD4303">
        <w:rPr>
          <w:vertAlign w:val="subscript"/>
          <w:lang w:val="es-ES" w:eastAsia="es-CO"/>
        </w:rPr>
        <w:t>2</w:t>
      </w:r>
      <w:r>
        <w:rPr>
          <w:lang w:val="es-ES" w:eastAsia="es-CO"/>
        </w:rPr>
        <w:t xml:space="preserve"> esperado en ambos escenarios. </w:t>
      </w:r>
    </w:p>
    <w:p w14:paraId="77A75AA1" w14:textId="77777777" w:rsidR="00B54F4E" w:rsidRDefault="00B54F4E" w:rsidP="00B54F4E">
      <w:pPr>
        <w:spacing w:before="120" w:after="0"/>
        <w:rPr>
          <w:lang w:val="es-ES" w:eastAsia="es-CO"/>
        </w:rPr>
      </w:pPr>
      <w:r>
        <w:rPr>
          <w:lang w:val="es-ES" w:eastAsia="es-CO"/>
        </w:rPr>
        <w:t xml:space="preserve">Se analizó el comportamiento de los </w:t>
      </w:r>
      <w:r w:rsidRPr="00B54011">
        <w:rPr>
          <w:lang w:val="es-ES" w:eastAsia="es-CO"/>
        </w:rPr>
        <w:t xml:space="preserve">certificados de </w:t>
      </w:r>
      <w:r>
        <w:rPr>
          <w:lang w:val="es-ES" w:eastAsia="es-CO"/>
        </w:rPr>
        <w:t xml:space="preserve">reducción de </w:t>
      </w:r>
      <w:r w:rsidRPr="00B54011">
        <w:rPr>
          <w:lang w:val="es-ES" w:eastAsia="es-CO"/>
        </w:rPr>
        <w:t>emisiones</w:t>
      </w:r>
      <w:r>
        <w:rPr>
          <w:lang w:val="es-ES" w:eastAsia="es-CO"/>
        </w:rPr>
        <w:t xml:space="preserve"> (CRE)</w:t>
      </w:r>
      <w:r w:rsidRPr="00B54011">
        <w:rPr>
          <w:lang w:val="es-ES" w:eastAsia="es-CO"/>
        </w:rPr>
        <w:t xml:space="preserve"> del sistema ETS de la Unión Europea</w:t>
      </w:r>
      <w:r>
        <w:rPr>
          <w:lang w:val="es-ES" w:eastAsia="es-CO"/>
        </w:rPr>
        <w:t>, el mercado más líquido a nivel mundial.</w:t>
      </w:r>
      <w:r w:rsidRPr="00B54011">
        <w:rPr>
          <w:lang w:val="es-ES" w:eastAsia="es-CO"/>
        </w:rPr>
        <w:t xml:space="preserve"> Al 30 de diciembre de 2016, </w:t>
      </w:r>
      <w:r>
        <w:rPr>
          <w:lang w:val="es-ES" w:eastAsia="es-CO"/>
        </w:rPr>
        <w:t>estos</w:t>
      </w:r>
      <w:r w:rsidRPr="00B54011">
        <w:rPr>
          <w:lang w:val="es-ES" w:eastAsia="es-CO"/>
        </w:rPr>
        <w:t xml:space="preserve"> se valoraban en 6,57 €/TonC</w:t>
      </w:r>
      <w:r>
        <w:rPr>
          <w:lang w:val="es-ES" w:eastAsia="es-CO"/>
        </w:rPr>
        <w:t>O</w:t>
      </w:r>
      <w:r w:rsidRPr="00B54011">
        <w:rPr>
          <w:vertAlign w:val="subscript"/>
          <w:lang w:val="es-ES" w:eastAsia="es-CO"/>
        </w:rPr>
        <w:t>2</w:t>
      </w:r>
      <w:r w:rsidRPr="00B54011">
        <w:rPr>
          <w:lang w:val="es-ES" w:eastAsia="es-CO"/>
        </w:rPr>
        <w:t xml:space="preserve"> (6,93 $USD/TonCO</w:t>
      </w:r>
      <w:r w:rsidRPr="00B54011">
        <w:rPr>
          <w:vertAlign w:val="subscript"/>
          <w:lang w:val="es-ES" w:eastAsia="es-CO"/>
        </w:rPr>
        <w:t>2</w:t>
      </w:r>
      <w:r w:rsidRPr="00B54011">
        <w:rPr>
          <w:lang w:val="es-ES" w:eastAsia="es-CO"/>
        </w:rPr>
        <w:t xml:space="preserve"> a la tasa de cambio de referencia en </w:t>
      </w:r>
      <w:r>
        <w:rPr>
          <w:lang w:val="es-ES" w:eastAsia="es-CO"/>
        </w:rPr>
        <w:t>dicha</w:t>
      </w:r>
      <w:r w:rsidRPr="00B54011">
        <w:rPr>
          <w:lang w:val="es-ES" w:eastAsia="es-CO"/>
        </w:rPr>
        <w:t xml:space="preserve"> fecha)</w:t>
      </w:r>
      <w:r>
        <w:rPr>
          <w:rStyle w:val="FootnoteReference"/>
          <w:lang w:val="es-ES" w:eastAsia="es-CO"/>
        </w:rPr>
        <w:footnoteReference w:id="11"/>
      </w:r>
      <w:r>
        <w:rPr>
          <w:lang w:val="es-ES" w:eastAsia="es-CO"/>
        </w:rPr>
        <w:t xml:space="preserve">, y en lo corrido del 2017, los precios han mantenido </w:t>
      </w:r>
      <w:r>
        <w:rPr>
          <w:lang w:val="es-ES" w:eastAsia="es-CO"/>
        </w:rPr>
        <w:lastRenderedPageBreak/>
        <w:t>una tendencia a la baja. Debido a que se prevé una menor utilización del carbón alrededor del mundo</w:t>
      </w:r>
      <w:r w:rsidRPr="00DA53C5">
        <w:rPr>
          <w:lang w:val="es-ES" w:eastAsia="es-CO"/>
        </w:rPr>
        <w:t>, se proyecta que los precios de los certificados de emisiones continúen cayendo y que se mantengan por</w:t>
      </w:r>
      <w:r>
        <w:rPr>
          <w:lang w:val="es-ES" w:eastAsia="es-CO"/>
        </w:rPr>
        <w:t xml:space="preserve"> debajo de los 6,00 </w:t>
      </w:r>
      <w:r w:rsidRPr="00B54011">
        <w:rPr>
          <w:lang w:val="es-ES" w:eastAsia="es-CO"/>
        </w:rPr>
        <w:t>€/TonC</w:t>
      </w:r>
      <w:r>
        <w:rPr>
          <w:lang w:val="es-ES" w:eastAsia="es-CO"/>
        </w:rPr>
        <w:t>O</w:t>
      </w:r>
      <w:r w:rsidRPr="00B54011">
        <w:rPr>
          <w:vertAlign w:val="subscript"/>
          <w:lang w:val="es-ES" w:eastAsia="es-CO"/>
        </w:rPr>
        <w:t>2</w:t>
      </w:r>
      <w:r>
        <w:rPr>
          <w:vertAlign w:val="subscript"/>
          <w:lang w:val="es-ES" w:eastAsia="es-CO"/>
        </w:rPr>
        <w:t xml:space="preserve"> </w:t>
      </w:r>
      <w:r>
        <w:rPr>
          <w:lang w:val="es-ES" w:eastAsia="es-CO"/>
        </w:rPr>
        <w:t>(5,70</w:t>
      </w:r>
      <w:r w:rsidRPr="00B54011">
        <w:rPr>
          <w:lang w:val="es-ES" w:eastAsia="es-CO"/>
        </w:rPr>
        <w:t xml:space="preserve"> €/TonC</w:t>
      </w:r>
      <w:r>
        <w:rPr>
          <w:lang w:val="es-ES" w:eastAsia="es-CO"/>
        </w:rPr>
        <w:t>O</w:t>
      </w:r>
      <w:r w:rsidRPr="00B54011">
        <w:rPr>
          <w:vertAlign w:val="subscript"/>
          <w:lang w:val="es-ES" w:eastAsia="es-CO"/>
        </w:rPr>
        <w:t>2</w:t>
      </w:r>
      <w:r w:rsidRPr="00B54011">
        <w:rPr>
          <w:lang w:val="es-ES" w:eastAsia="es-CO"/>
        </w:rPr>
        <w:t xml:space="preserve"> </w:t>
      </w:r>
      <w:r>
        <w:rPr>
          <w:lang w:val="es-ES" w:eastAsia="es-CO"/>
        </w:rPr>
        <w:t xml:space="preserve">o </w:t>
      </w:r>
      <w:r w:rsidRPr="00B54011">
        <w:rPr>
          <w:lang w:val="es-ES" w:eastAsia="es-CO"/>
        </w:rPr>
        <w:t>6,</w:t>
      </w:r>
      <w:r>
        <w:rPr>
          <w:lang w:val="es-ES" w:eastAsia="es-CO"/>
        </w:rPr>
        <w:t>01</w:t>
      </w:r>
      <w:r w:rsidRPr="00B54011">
        <w:rPr>
          <w:lang w:val="es-ES" w:eastAsia="es-CO"/>
        </w:rPr>
        <w:t xml:space="preserve"> $USD/TonCO</w:t>
      </w:r>
      <w:r w:rsidRPr="00B54011">
        <w:rPr>
          <w:vertAlign w:val="subscript"/>
          <w:lang w:val="es-ES" w:eastAsia="es-CO"/>
        </w:rPr>
        <w:t>2</w:t>
      </w:r>
      <w:r w:rsidRPr="00B54011">
        <w:rPr>
          <w:lang w:val="es-ES" w:eastAsia="es-CO"/>
        </w:rPr>
        <w:t xml:space="preserve"> </w:t>
      </w:r>
      <w:r>
        <w:rPr>
          <w:lang w:val="es-ES" w:eastAsia="es-CO"/>
        </w:rPr>
        <w:t>para el año 2018</w:t>
      </w:r>
      <w:r w:rsidRPr="00B54011">
        <w:rPr>
          <w:lang w:val="es-ES" w:eastAsia="es-CO"/>
        </w:rPr>
        <w:t>)</w:t>
      </w:r>
      <w:r>
        <w:rPr>
          <w:lang w:val="es-ES" w:eastAsia="es-CO"/>
        </w:rPr>
        <w:t>. El análisis utiliza las pr</w:t>
      </w:r>
      <w:r w:rsidRPr="00DA53C5">
        <w:rPr>
          <w:lang w:val="es-ES" w:eastAsia="es-CO"/>
        </w:rPr>
        <w:t xml:space="preserve">oyecciones realizadas en el último trimestre de 2016 </w:t>
      </w:r>
      <w:r>
        <w:rPr>
          <w:lang w:val="es-ES" w:eastAsia="es-CO"/>
        </w:rPr>
        <w:t>por</w:t>
      </w:r>
      <w:r w:rsidRPr="00DA53C5">
        <w:rPr>
          <w:lang w:val="es-ES" w:eastAsia="es-CO"/>
        </w:rPr>
        <w:t xml:space="preserve"> Reuters</w:t>
      </w:r>
      <w:r>
        <w:rPr>
          <w:lang w:val="es-ES" w:eastAsia="es-CO"/>
        </w:rPr>
        <w:t>,</w:t>
      </w:r>
      <w:r w:rsidRPr="00DA53C5">
        <w:rPr>
          <w:lang w:val="es-ES" w:eastAsia="es-CO"/>
        </w:rPr>
        <w:t xml:space="preserve"> disponibles solo para 2017 y 2018. Se utiliza el valor proyectado a 2018 cómo valor constante de referencia en el </w:t>
      </w:r>
      <w:r>
        <w:rPr>
          <w:lang w:val="es-ES" w:eastAsia="es-CO"/>
        </w:rPr>
        <w:t xml:space="preserve">resto del </w:t>
      </w:r>
      <w:r w:rsidRPr="00DA53C5">
        <w:rPr>
          <w:lang w:val="es-ES" w:eastAsia="es-CO"/>
        </w:rPr>
        <w:t>horizonte de proyección</w:t>
      </w:r>
      <w:r>
        <w:rPr>
          <w:lang w:val="es-ES" w:eastAsia="es-CO"/>
        </w:rPr>
        <w:t xml:space="preserve"> para el análisis. La valoración de los beneficios anuales, calculados como la diferencia de las emisiones entre los dos escenarios, multiplicada por el precio de los certificados según las proyecciones disponibles, se presenta en la </w:t>
      </w:r>
      <w:r>
        <w:rPr>
          <w:lang w:val="es-ES" w:eastAsia="es-CO"/>
        </w:rPr>
        <w:fldChar w:fldCharType="begin"/>
      </w:r>
      <w:r>
        <w:rPr>
          <w:lang w:val="es-ES" w:eastAsia="es-CO"/>
        </w:rPr>
        <w:instrText xml:space="preserve"> REF _Ref472949574 \h </w:instrText>
      </w:r>
      <w:r>
        <w:rPr>
          <w:lang w:val="es-ES" w:eastAsia="es-CO"/>
        </w:rPr>
      </w:r>
      <w:r>
        <w:rPr>
          <w:lang w:val="es-ES" w:eastAsia="es-CO"/>
        </w:rPr>
        <w:fldChar w:fldCharType="separate"/>
      </w:r>
      <w:r w:rsidRPr="008C12BC">
        <w:rPr>
          <w:b/>
        </w:rPr>
        <w:t xml:space="preserve">Tabla </w:t>
      </w:r>
      <w:r>
        <w:rPr>
          <w:b/>
          <w:noProof/>
        </w:rPr>
        <w:t>4</w:t>
      </w:r>
      <w:r>
        <w:rPr>
          <w:lang w:val="es-ES" w:eastAsia="es-CO"/>
        </w:rPr>
        <w:fldChar w:fldCharType="end"/>
      </w:r>
      <w:r>
        <w:rPr>
          <w:lang w:val="es-ES" w:eastAsia="es-CO"/>
        </w:rPr>
        <w:t>.</w:t>
      </w:r>
    </w:p>
    <w:p w14:paraId="6A4CBB03" w14:textId="77777777" w:rsidR="00B54F4E" w:rsidRPr="006C4E72" w:rsidRDefault="00B54F4E" w:rsidP="00B54F4E">
      <w:pPr>
        <w:ind w:left="720"/>
        <w:jc w:val="center"/>
        <w:rPr>
          <w:b/>
        </w:rPr>
      </w:pPr>
      <w:bookmarkStart w:id="42" w:name="_Ref472064375"/>
      <w:bookmarkStart w:id="43" w:name="_Toc476136964"/>
      <w:bookmarkStart w:id="44" w:name="_Toc484097081"/>
      <w:r>
        <w:rPr>
          <w:b/>
        </w:rPr>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6</w:t>
      </w:r>
      <w:r>
        <w:rPr>
          <w:b/>
        </w:rPr>
        <w:fldChar w:fldCharType="end"/>
      </w:r>
      <w:bookmarkEnd w:id="42"/>
      <w:r>
        <w:rPr>
          <w:b/>
        </w:rPr>
        <w:t xml:space="preserve"> – Proyección de emisiones anuales de CO</w:t>
      </w:r>
      <w:r w:rsidRPr="006238DA">
        <w:rPr>
          <w:b/>
          <w:vertAlign w:val="subscript"/>
        </w:rPr>
        <w:t>2</w:t>
      </w:r>
      <w:r>
        <w:rPr>
          <w:b/>
        </w:rPr>
        <w:t xml:space="preserve"> según escenario</w:t>
      </w:r>
      <w:bookmarkEnd w:id="43"/>
      <w:bookmarkEnd w:id="44"/>
    </w:p>
    <w:p w14:paraId="1CAF4AEB" w14:textId="77777777" w:rsidR="00B54F4E" w:rsidRPr="007C0F1F" w:rsidRDefault="00B54F4E" w:rsidP="00B54F4E">
      <w:pPr>
        <w:jc w:val="center"/>
        <w:rPr>
          <w:sz w:val="18"/>
          <w:szCs w:val="18"/>
          <w:lang w:val="es-ES"/>
        </w:rPr>
      </w:pPr>
      <w:r>
        <w:rPr>
          <w:noProof/>
          <w:sz w:val="20"/>
          <w:lang w:val="en-US"/>
        </w:rPr>
        <w:drawing>
          <wp:inline distT="0" distB="0" distL="0" distR="0" wp14:anchorId="0ACF0AA5" wp14:editId="43D813C3">
            <wp:extent cx="5460521" cy="2128751"/>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65093" cy="2130533"/>
                    </a:xfrm>
                    <a:prstGeom prst="rect">
                      <a:avLst/>
                    </a:prstGeom>
                    <a:noFill/>
                  </pic:spPr>
                </pic:pic>
              </a:graphicData>
            </a:graphic>
          </wp:inline>
        </w:drawing>
      </w:r>
      <w:r w:rsidRPr="007C0F1F">
        <w:rPr>
          <w:sz w:val="18"/>
          <w:szCs w:val="18"/>
          <w:lang w:val="es-ES"/>
        </w:rPr>
        <w:t xml:space="preserve">Fuente: </w:t>
      </w:r>
      <w:r w:rsidRPr="00E4588E">
        <w:rPr>
          <w:sz w:val="18"/>
          <w:szCs w:val="18"/>
          <w:lang w:val="es-ES"/>
        </w:rPr>
        <w:t>Elabo</w:t>
      </w:r>
      <w:r>
        <w:rPr>
          <w:sz w:val="18"/>
          <w:szCs w:val="18"/>
          <w:lang w:val="es-ES"/>
        </w:rPr>
        <w:t xml:space="preserve">rado con base en información del </w:t>
      </w:r>
      <w:r w:rsidRPr="00481439">
        <w:rPr>
          <w:sz w:val="18"/>
          <w:szCs w:val="18"/>
          <w:lang w:val="es-ES"/>
        </w:rPr>
        <w:t>Plan Indicativo de Generación (ETESA)</w:t>
      </w:r>
      <w:r>
        <w:rPr>
          <w:sz w:val="18"/>
          <w:szCs w:val="18"/>
          <w:lang w:val="es-ES"/>
        </w:rPr>
        <w:t xml:space="preserve"> y cálculos del consultor</w:t>
      </w:r>
    </w:p>
    <w:p w14:paraId="0BD9D145" w14:textId="77777777" w:rsidR="00B54F4E" w:rsidRPr="008C12BC" w:rsidRDefault="00B54F4E" w:rsidP="00B54F4E">
      <w:pPr>
        <w:ind w:left="720"/>
        <w:jc w:val="center"/>
        <w:rPr>
          <w:b/>
        </w:rPr>
      </w:pPr>
      <w:bookmarkStart w:id="45" w:name="_Ref472949574"/>
      <w:bookmarkStart w:id="46" w:name="_Toc476136969"/>
      <w:bookmarkStart w:id="47" w:name="_Toc484097044"/>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4</w:t>
      </w:r>
      <w:r w:rsidRPr="008C12BC">
        <w:rPr>
          <w:b/>
        </w:rPr>
        <w:fldChar w:fldCharType="end"/>
      </w:r>
      <w:bookmarkEnd w:id="45"/>
      <w:r>
        <w:rPr>
          <w:b/>
        </w:rPr>
        <w:t xml:space="preserve"> – Estimación</w:t>
      </w:r>
      <w:r w:rsidRPr="008C12BC">
        <w:rPr>
          <w:b/>
        </w:rPr>
        <w:t xml:space="preserve"> de beneficios por menores </w:t>
      </w:r>
      <w:r>
        <w:rPr>
          <w:b/>
        </w:rPr>
        <w:t>emisiones de CO</w:t>
      </w:r>
      <w:r w:rsidRPr="00F24F77">
        <w:rPr>
          <w:b/>
          <w:vertAlign w:val="subscript"/>
        </w:rPr>
        <w:t>2</w:t>
      </w:r>
      <w:bookmarkEnd w:id="46"/>
      <w:bookmarkEnd w:id="47"/>
    </w:p>
    <w:tbl>
      <w:tblPr>
        <w:tblW w:w="5000" w:type="pct"/>
        <w:tblLayout w:type="fixed"/>
        <w:tblCellMar>
          <w:left w:w="70" w:type="dxa"/>
          <w:right w:w="70" w:type="dxa"/>
        </w:tblCellMar>
        <w:tblLook w:val="04A0" w:firstRow="1" w:lastRow="0" w:firstColumn="1" w:lastColumn="0" w:noHBand="0" w:noVBand="1"/>
      </w:tblPr>
      <w:tblGrid>
        <w:gridCol w:w="1701"/>
        <w:gridCol w:w="476"/>
        <w:gridCol w:w="476"/>
        <w:gridCol w:w="476"/>
        <w:gridCol w:w="122"/>
        <w:gridCol w:w="355"/>
        <w:gridCol w:w="35"/>
        <w:gridCol w:w="384"/>
        <w:gridCol w:w="57"/>
        <w:gridCol w:w="327"/>
        <w:gridCol w:w="148"/>
        <w:gridCol w:w="235"/>
        <w:gridCol w:w="240"/>
        <w:gridCol w:w="143"/>
        <w:gridCol w:w="332"/>
        <w:gridCol w:w="51"/>
        <w:gridCol w:w="384"/>
        <w:gridCol w:w="41"/>
        <w:gridCol w:w="373"/>
        <w:gridCol w:w="103"/>
        <w:gridCol w:w="311"/>
        <w:gridCol w:w="164"/>
        <w:gridCol w:w="249"/>
        <w:gridCol w:w="226"/>
        <w:gridCol w:w="187"/>
        <w:gridCol w:w="288"/>
        <w:gridCol w:w="125"/>
        <w:gridCol w:w="350"/>
        <w:gridCol w:w="64"/>
        <w:gridCol w:w="415"/>
      </w:tblGrid>
      <w:tr w:rsidR="00B54F4E" w:rsidRPr="00B267CC" w14:paraId="326D72C5" w14:textId="77777777" w:rsidTr="006504C4">
        <w:trPr>
          <w:trHeight w:val="300"/>
        </w:trPr>
        <w:tc>
          <w:tcPr>
            <w:tcW w:w="962" w:type="pct"/>
            <w:tcBorders>
              <w:top w:val="nil"/>
              <w:left w:val="nil"/>
              <w:bottom w:val="nil"/>
              <w:right w:val="nil"/>
            </w:tcBorders>
            <w:shd w:val="clear" w:color="auto" w:fill="auto"/>
            <w:noWrap/>
            <w:vAlign w:val="bottom"/>
            <w:hideMark/>
          </w:tcPr>
          <w:p w14:paraId="3E3E0AE0" w14:textId="77777777" w:rsidR="00B54F4E" w:rsidRPr="00B267CC" w:rsidRDefault="00B54F4E" w:rsidP="006504C4">
            <w:pPr>
              <w:spacing w:before="0" w:after="0"/>
              <w:jc w:val="left"/>
              <w:rPr>
                <w:rFonts w:ascii="Calibri" w:hAnsi="Calibri" w:cs="Calibri"/>
                <w:b/>
                <w:bCs/>
                <w:color w:val="000000"/>
                <w:sz w:val="14"/>
                <w:szCs w:val="22"/>
                <w:lang w:eastAsia="es-CO"/>
              </w:rPr>
            </w:pPr>
            <w:r w:rsidRPr="00B267CC">
              <w:rPr>
                <w:rFonts w:ascii="Calibri" w:hAnsi="Calibri" w:cs="Calibri"/>
                <w:b/>
                <w:bCs/>
                <w:color w:val="000000"/>
                <w:sz w:val="14"/>
                <w:szCs w:val="22"/>
                <w:lang w:eastAsia="es-CO"/>
              </w:rPr>
              <w:t>Emisiones anuales de CO2 (Millones de Ton)</w:t>
            </w:r>
          </w:p>
        </w:tc>
        <w:tc>
          <w:tcPr>
            <w:tcW w:w="876" w:type="pct"/>
            <w:gridSpan w:val="4"/>
            <w:tcBorders>
              <w:top w:val="nil"/>
              <w:left w:val="nil"/>
              <w:bottom w:val="nil"/>
              <w:right w:val="nil"/>
            </w:tcBorders>
            <w:shd w:val="clear" w:color="auto" w:fill="auto"/>
            <w:noWrap/>
            <w:vAlign w:val="bottom"/>
            <w:hideMark/>
          </w:tcPr>
          <w:p w14:paraId="6D33FFCD" w14:textId="77777777" w:rsidR="00B54F4E" w:rsidRPr="00B267CC" w:rsidRDefault="00B54F4E" w:rsidP="006504C4">
            <w:pPr>
              <w:spacing w:before="0" w:after="0"/>
              <w:jc w:val="left"/>
              <w:rPr>
                <w:rFonts w:ascii="Calibri" w:hAnsi="Calibri" w:cs="Calibri"/>
                <w:b/>
                <w:bCs/>
                <w:color w:val="000000"/>
                <w:sz w:val="14"/>
                <w:szCs w:val="22"/>
                <w:lang w:eastAsia="es-CO"/>
              </w:rPr>
            </w:pPr>
          </w:p>
        </w:tc>
        <w:tc>
          <w:tcPr>
            <w:tcW w:w="221" w:type="pct"/>
            <w:gridSpan w:val="2"/>
            <w:tcBorders>
              <w:top w:val="nil"/>
              <w:left w:val="nil"/>
              <w:bottom w:val="nil"/>
              <w:right w:val="nil"/>
            </w:tcBorders>
            <w:shd w:val="clear" w:color="auto" w:fill="auto"/>
            <w:noWrap/>
            <w:vAlign w:val="bottom"/>
            <w:hideMark/>
          </w:tcPr>
          <w:p w14:paraId="7EE93FCC" w14:textId="77777777" w:rsidR="00B54F4E" w:rsidRPr="00B267CC" w:rsidRDefault="00B54F4E" w:rsidP="006504C4">
            <w:pPr>
              <w:spacing w:before="0" w:after="0"/>
              <w:jc w:val="left"/>
              <w:rPr>
                <w:rFonts w:ascii="Times New Roman" w:hAnsi="Times New Roman"/>
                <w:sz w:val="14"/>
                <w:lang w:eastAsia="es-CO"/>
              </w:rPr>
            </w:pPr>
          </w:p>
        </w:tc>
        <w:tc>
          <w:tcPr>
            <w:tcW w:w="217" w:type="pct"/>
            <w:tcBorders>
              <w:top w:val="nil"/>
              <w:left w:val="nil"/>
              <w:bottom w:val="nil"/>
              <w:right w:val="nil"/>
            </w:tcBorders>
            <w:shd w:val="clear" w:color="auto" w:fill="auto"/>
            <w:noWrap/>
            <w:vAlign w:val="bottom"/>
            <w:hideMark/>
          </w:tcPr>
          <w:p w14:paraId="55417DB4"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4C804153"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6F56EC4F"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74B486C3"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4CA2CE9D" w14:textId="77777777" w:rsidR="00B54F4E" w:rsidRPr="00B267CC" w:rsidRDefault="00B54F4E" w:rsidP="006504C4">
            <w:pPr>
              <w:spacing w:before="0" w:after="0"/>
              <w:jc w:val="left"/>
              <w:rPr>
                <w:rFonts w:ascii="Times New Roman" w:hAnsi="Times New Roman"/>
                <w:sz w:val="14"/>
                <w:lang w:eastAsia="es-CO"/>
              </w:rPr>
            </w:pPr>
          </w:p>
        </w:tc>
        <w:tc>
          <w:tcPr>
            <w:tcW w:w="217" w:type="pct"/>
            <w:tcBorders>
              <w:top w:val="nil"/>
              <w:left w:val="nil"/>
              <w:bottom w:val="nil"/>
              <w:right w:val="nil"/>
            </w:tcBorders>
            <w:shd w:val="clear" w:color="auto" w:fill="auto"/>
            <w:noWrap/>
            <w:vAlign w:val="bottom"/>
            <w:hideMark/>
          </w:tcPr>
          <w:p w14:paraId="1CDD4CE8"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70DC1B06"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47059E9B"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3DA269AA"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1ABC71EE"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4A6B82C3"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198461BD" w14:textId="77777777" w:rsidR="00B54F4E" w:rsidRPr="00B267CC" w:rsidRDefault="00B54F4E" w:rsidP="006504C4">
            <w:pPr>
              <w:spacing w:before="0" w:after="0"/>
              <w:jc w:val="left"/>
              <w:rPr>
                <w:rFonts w:ascii="Times New Roman" w:hAnsi="Times New Roman"/>
                <w:sz w:val="14"/>
                <w:lang w:eastAsia="es-CO"/>
              </w:rPr>
            </w:pPr>
          </w:p>
        </w:tc>
        <w:tc>
          <w:tcPr>
            <w:tcW w:w="235" w:type="pct"/>
            <w:tcBorders>
              <w:top w:val="nil"/>
              <w:left w:val="nil"/>
              <w:bottom w:val="nil"/>
              <w:right w:val="nil"/>
            </w:tcBorders>
            <w:shd w:val="clear" w:color="auto" w:fill="auto"/>
            <w:noWrap/>
            <w:vAlign w:val="bottom"/>
            <w:hideMark/>
          </w:tcPr>
          <w:p w14:paraId="06A63C8C" w14:textId="77777777" w:rsidR="00B54F4E" w:rsidRPr="00B267CC" w:rsidRDefault="00B54F4E" w:rsidP="006504C4">
            <w:pPr>
              <w:spacing w:before="0" w:after="0"/>
              <w:jc w:val="left"/>
              <w:rPr>
                <w:rFonts w:ascii="Times New Roman" w:hAnsi="Times New Roman"/>
                <w:sz w:val="14"/>
                <w:lang w:eastAsia="es-CO"/>
              </w:rPr>
            </w:pPr>
          </w:p>
        </w:tc>
      </w:tr>
      <w:tr w:rsidR="00B54F4E" w:rsidRPr="00B267CC" w14:paraId="6C9F634C" w14:textId="77777777" w:rsidTr="006504C4">
        <w:trPr>
          <w:trHeight w:val="300"/>
        </w:trPr>
        <w:tc>
          <w:tcPr>
            <w:tcW w:w="962" w:type="pct"/>
            <w:tcBorders>
              <w:top w:val="nil"/>
              <w:left w:val="nil"/>
              <w:bottom w:val="single" w:sz="4" w:space="0" w:color="auto"/>
              <w:right w:val="nil"/>
            </w:tcBorders>
            <w:shd w:val="clear" w:color="auto" w:fill="auto"/>
            <w:noWrap/>
            <w:vAlign w:val="bottom"/>
            <w:hideMark/>
          </w:tcPr>
          <w:p w14:paraId="2BD8B3FA" w14:textId="77777777" w:rsidR="00B54F4E" w:rsidRPr="00B267CC" w:rsidRDefault="00B54F4E" w:rsidP="006504C4">
            <w:pPr>
              <w:spacing w:before="0" w:after="0"/>
              <w:jc w:val="left"/>
              <w:rPr>
                <w:rFonts w:ascii="Calibri" w:hAnsi="Calibri" w:cs="Calibri"/>
                <w:color w:val="000000"/>
                <w:sz w:val="14"/>
                <w:szCs w:val="22"/>
                <w:lang w:eastAsia="es-CO"/>
              </w:rPr>
            </w:pPr>
            <w:r w:rsidRPr="00B267CC">
              <w:rPr>
                <w:rFonts w:ascii="Calibri" w:hAnsi="Calibri" w:cs="Calibri"/>
                <w:color w:val="000000"/>
                <w:sz w:val="14"/>
                <w:szCs w:val="22"/>
                <w:lang w:eastAsia="es-CO"/>
              </w:rPr>
              <w:t> </w:t>
            </w:r>
          </w:p>
        </w:tc>
        <w:tc>
          <w:tcPr>
            <w:tcW w:w="269" w:type="pct"/>
            <w:tcBorders>
              <w:top w:val="single" w:sz="4" w:space="0" w:color="FFFFFF"/>
              <w:left w:val="nil"/>
              <w:bottom w:val="single" w:sz="4" w:space="0" w:color="auto"/>
              <w:right w:val="single" w:sz="4" w:space="0" w:color="FFFFFF"/>
            </w:tcBorders>
            <w:shd w:val="clear" w:color="000000" w:fill="203764"/>
            <w:noWrap/>
            <w:vAlign w:val="bottom"/>
            <w:hideMark/>
          </w:tcPr>
          <w:p w14:paraId="337D5171"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2016</w:t>
            </w:r>
          </w:p>
        </w:tc>
        <w:tc>
          <w:tcPr>
            <w:tcW w:w="269" w:type="pct"/>
            <w:tcBorders>
              <w:top w:val="single" w:sz="4" w:space="0" w:color="FFFFFF"/>
              <w:left w:val="nil"/>
              <w:bottom w:val="single" w:sz="4" w:space="0" w:color="auto"/>
              <w:right w:val="single" w:sz="4" w:space="0" w:color="FFFFFF"/>
            </w:tcBorders>
            <w:shd w:val="clear" w:color="000000" w:fill="203764"/>
            <w:noWrap/>
            <w:vAlign w:val="bottom"/>
            <w:hideMark/>
          </w:tcPr>
          <w:p w14:paraId="69AA2ACC"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2017</w:t>
            </w:r>
          </w:p>
        </w:tc>
        <w:tc>
          <w:tcPr>
            <w:tcW w:w="269" w:type="pct"/>
            <w:tcBorders>
              <w:top w:val="single" w:sz="4" w:space="0" w:color="FFFFFF"/>
              <w:left w:val="nil"/>
              <w:bottom w:val="single" w:sz="4" w:space="0" w:color="auto"/>
              <w:right w:val="single" w:sz="4" w:space="0" w:color="FFFFFF"/>
            </w:tcBorders>
            <w:shd w:val="clear" w:color="000000" w:fill="203764"/>
            <w:noWrap/>
            <w:vAlign w:val="bottom"/>
            <w:hideMark/>
          </w:tcPr>
          <w:p w14:paraId="4038D0A4"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2018</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EA8F912"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2019</w:t>
            </w:r>
          </w:p>
        </w:tc>
        <w:tc>
          <w:tcPr>
            <w:tcW w:w="269"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13680B0C"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2020</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197C873B"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2021</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95C9AEE"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2022</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0B074A7"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2023</w:t>
            </w:r>
          </w:p>
        </w:tc>
        <w:tc>
          <w:tcPr>
            <w:tcW w:w="269"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1C77FC7E"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2024</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421E2EBD"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2025</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1AF3CEA5"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2026</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164B5C72"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2027</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64264659"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2028</w:t>
            </w:r>
          </w:p>
        </w:tc>
        <w:tc>
          <w:tcPr>
            <w:tcW w:w="269" w:type="pct"/>
            <w:gridSpan w:val="2"/>
            <w:tcBorders>
              <w:top w:val="single" w:sz="4" w:space="0" w:color="FFFFFF"/>
              <w:left w:val="nil"/>
              <w:bottom w:val="single" w:sz="4" w:space="0" w:color="auto"/>
              <w:right w:val="nil"/>
            </w:tcBorders>
            <w:shd w:val="clear" w:color="000000" w:fill="203764"/>
            <w:noWrap/>
            <w:vAlign w:val="bottom"/>
            <w:hideMark/>
          </w:tcPr>
          <w:p w14:paraId="2B65A25E"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2029</w:t>
            </w:r>
          </w:p>
        </w:tc>
        <w:tc>
          <w:tcPr>
            <w:tcW w:w="271" w:type="pct"/>
            <w:gridSpan w:val="2"/>
            <w:tcBorders>
              <w:top w:val="single" w:sz="4" w:space="0" w:color="FFFFFF"/>
              <w:left w:val="single" w:sz="4" w:space="0" w:color="FFFFFF"/>
              <w:bottom w:val="single" w:sz="4" w:space="0" w:color="auto"/>
              <w:right w:val="nil"/>
            </w:tcBorders>
            <w:shd w:val="clear" w:color="000000" w:fill="203764"/>
            <w:noWrap/>
            <w:vAlign w:val="bottom"/>
            <w:hideMark/>
          </w:tcPr>
          <w:p w14:paraId="7512C869"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2030</w:t>
            </w:r>
          </w:p>
        </w:tc>
      </w:tr>
      <w:tr w:rsidR="00B54F4E" w:rsidRPr="00B267CC" w14:paraId="7AB9D86E" w14:textId="77777777" w:rsidTr="006504C4">
        <w:trPr>
          <w:trHeight w:val="300"/>
        </w:trPr>
        <w:tc>
          <w:tcPr>
            <w:tcW w:w="962" w:type="pct"/>
            <w:tcBorders>
              <w:top w:val="nil"/>
              <w:left w:val="nil"/>
              <w:bottom w:val="nil"/>
              <w:right w:val="nil"/>
            </w:tcBorders>
            <w:shd w:val="clear" w:color="auto" w:fill="auto"/>
            <w:noWrap/>
            <w:vAlign w:val="bottom"/>
            <w:hideMark/>
          </w:tcPr>
          <w:p w14:paraId="39B13DE4" w14:textId="77777777" w:rsidR="00B54F4E" w:rsidRPr="00B267CC" w:rsidRDefault="00B54F4E" w:rsidP="006504C4">
            <w:pPr>
              <w:spacing w:before="0" w:after="0"/>
              <w:jc w:val="left"/>
              <w:rPr>
                <w:rFonts w:ascii="Calibri" w:hAnsi="Calibri" w:cs="Calibri"/>
                <w:color w:val="000000"/>
                <w:sz w:val="14"/>
                <w:szCs w:val="22"/>
                <w:lang w:eastAsia="es-CO"/>
              </w:rPr>
            </w:pPr>
            <w:r w:rsidRPr="00B267CC">
              <w:rPr>
                <w:rFonts w:ascii="Calibri" w:hAnsi="Calibri" w:cs="Calibri"/>
                <w:color w:val="000000"/>
                <w:sz w:val="14"/>
                <w:szCs w:val="22"/>
                <w:lang w:eastAsia="es-CO"/>
              </w:rPr>
              <w:t>Escenario de referencia</w:t>
            </w:r>
          </w:p>
        </w:tc>
        <w:tc>
          <w:tcPr>
            <w:tcW w:w="269" w:type="pct"/>
            <w:tcBorders>
              <w:top w:val="nil"/>
              <w:left w:val="nil"/>
              <w:bottom w:val="nil"/>
              <w:right w:val="nil"/>
            </w:tcBorders>
            <w:shd w:val="clear" w:color="auto" w:fill="auto"/>
            <w:noWrap/>
            <w:vAlign w:val="bottom"/>
            <w:hideMark/>
          </w:tcPr>
          <w:p w14:paraId="5FA0213A"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1,74</w:t>
            </w:r>
          </w:p>
        </w:tc>
        <w:tc>
          <w:tcPr>
            <w:tcW w:w="269" w:type="pct"/>
            <w:tcBorders>
              <w:top w:val="nil"/>
              <w:left w:val="nil"/>
              <w:bottom w:val="nil"/>
              <w:right w:val="nil"/>
            </w:tcBorders>
            <w:shd w:val="clear" w:color="auto" w:fill="auto"/>
            <w:noWrap/>
            <w:vAlign w:val="bottom"/>
            <w:hideMark/>
          </w:tcPr>
          <w:p w14:paraId="1D27A043"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1,61</w:t>
            </w:r>
          </w:p>
        </w:tc>
        <w:tc>
          <w:tcPr>
            <w:tcW w:w="269" w:type="pct"/>
            <w:tcBorders>
              <w:top w:val="nil"/>
              <w:left w:val="nil"/>
              <w:bottom w:val="nil"/>
              <w:right w:val="nil"/>
            </w:tcBorders>
            <w:shd w:val="clear" w:color="auto" w:fill="auto"/>
            <w:noWrap/>
            <w:vAlign w:val="bottom"/>
            <w:hideMark/>
          </w:tcPr>
          <w:p w14:paraId="143BFD4A"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2,63</w:t>
            </w:r>
          </w:p>
        </w:tc>
        <w:tc>
          <w:tcPr>
            <w:tcW w:w="270" w:type="pct"/>
            <w:gridSpan w:val="2"/>
            <w:tcBorders>
              <w:top w:val="nil"/>
              <w:left w:val="nil"/>
              <w:bottom w:val="nil"/>
              <w:right w:val="nil"/>
            </w:tcBorders>
            <w:shd w:val="clear" w:color="auto" w:fill="auto"/>
            <w:noWrap/>
            <w:vAlign w:val="bottom"/>
            <w:hideMark/>
          </w:tcPr>
          <w:p w14:paraId="5C70B648"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2,69</w:t>
            </w:r>
          </w:p>
        </w:tc>
        <w:tc>
          <w:tcPr>
            <w:tcW w:w="269" w:type="pct"/>
            <w:gridSpan w:val="3"/>
            <w:tcBorders>
              <w:top w:val="nil"/>
              <w:left w:val="nil"/>
              <w:bottom w:val="nil"/>
              <w:right w:val="nil"/>
            </w:tcBorders>
            <w:shd w:val="clear" w:color="auto" w:fill="auto"/>
            <w:noWrap/>
            <w:vAlign w:val="bottom"/>
            <w:hideMark/>
          </w:tcPr>
          <w:p w14:paraId="6B0DBD0C"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2,40</w:t>
            </w:r>
          </w:p>
        </w:tc>
        <w:tc>
          <w:tcPr>
            <w:tcW w:w="269" w:type="pct"/>
            <w:gridSpan w:val="2"/>
            <w:tcBorders>
              <w:top w:val="nil"/>
              <w:left w:val="nil"/>
              <w:bottom w:val="nil"/>
              <w:right w:val="nil"/>
            </w:tcBorders>
            <w:shd w:val="clear" w:color="auto" w:fill="auto"/>
            <w:noWrap/>
            <w:vAlign w:val="bottom"/>
            <w:hideMark/>
          </w:tcPr>
          <w:p w14:paraId="091A6DD9"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2,38</w:t>
            </w:r>
          </w:p>
        </w:tc>
        <w:tc>
          <w:tcPr>
            <w:tcW w:w="269" w:type="pct"/>
            <w:gridSpan w:val="2"/>
            <w:tcBorders>
              <w:top w:val="nil"/>
              <w:left w:val="nil"/>
              <w:bottom w:val="nil"/>
              <w:right w:val="nil"/>
            </w:tcBorders>
            <w:shd w:val="clear" w:color="auto" w:fill="auto"/>
            <w:noWrap/>
            <w:vAlign w:val="bottom"/>
            <w:hideMark/>
          </w:tcPr>
          <w:p w14:paraId="55F4D44E"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2,69</w:t>
            </w:r>
          </w:p>
        </w:tc>
        <w:tc>
          <w:tcPr>
            <w:tcW w:w="269" w:type="pct"/>
            <w:gridSpan w:val="2"/>
            <w:tcBorders>
              <w:top w:val="nil"/>
              <w:left w:val="nil"/>
              <w:bottom w:val="nil"/>
              <w:right w:val="nil"/>
            </w:tcBorders>
            <w:shd w:val="clear" w:color="auto" w:fill="auto"/>
            <w:noWrap/>
            <w:vAlign w:val="bottom"/>
            <w:hideMark/>
          </w:tcPr>
          <w:p w14:paraId="2C819033"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3,87</w:t>
            </w:r>
          </w:p>
        </w:tc>
        <w:tc>
          <w:tcPr>
            <w:tcW w:w="269" w:type="pct"/>
            <w:gridSpan w:val="3"/>
            <w:tcBorders>
              <w:top w:val="nil"/>
              <w:left w:val="nil"/>
              <w:bottom w:val="nil"/>
              <w:right w:val="nil"/>
            </w:tcBorders>
            <w:shd w:val="clear" w:color="auto" w:fill="auto"/>
            <w:noWrap/>
            <w:vAlign w:val="bottom"/>
            <w:hideMark/>
          </w:tcPr>
          <w:p w14:paraId="0185C288"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5,70</w:t>
            </w:r>
          </w:p>
        </w:tc>
        <w:tc>
          <w:tcPr>
            <w:tcW w:w="269" w:type="pct"/>
            <w:gridSpan w:val="2"/>
            <w:tcBorders>
              <w:top w:val="nil"/>
              <w:left w:val="nil"/>
              <w:bottom w:val="nil"/>
              <w:right w:val="nil"/>
            </w:tcBorders>
            <w:shd w:val="clear" w:color="auto" w:fill="auto"/>
            <w:noWrap/>
            <w:vAlign w:val="bottom"/>
            <w:hideMark/>
          </w:tcPr>
          <w:p w14:paraId="03849242"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6,07</w:t>
            </w:r>
          </w:p>
        </w:tc>
        <w:tc>
          <w:tcPr>
            <w:tcW w:w="269" w:type="pct"/>
            <w:gridSpan w:val="2"/>
            <w:tcBorders>
              <w:top w:val="nil"/>
              <w:left w:val="nil"/>
              <w:bottom w:val="nil"/>
              <w:right w:val="nil"/>
            </w:tcBorders>
            <w:shd w:val="clear" w:color="auto" w:fill="auto"/>
            <w:noWrap/>
            <w:vAlign w:val="bottom"/>
            <w:hideMark/>
          </w:tcPr>
          <w:p w14:paraId="0FEB9FF5"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6,36</w:t>
            </w:r>
          </w:p>
        </w:tc>
        <w:tc>
          <w:tcPr>
            <w:tcW w:w="269" w:type="pct"/>
            <w:gridSpan w:val="2"/>
            <w:tcBorders>
              <w:top w:val="nil"/>
              <w:left w:val="nil"/>
              <w:bottom w:val="nil"/>
              <w:right w:val="nil"/>
            </w:tcBorders>
            <w:shd w:val="clear" w:color="auto" w:fill="auto"/>
            <w:noWrap/>
            <w:vAlign w:val="bottom"/>
            <w:hideMark/>
          </w:tcPr>
          <w:p w14:paraId="5D643EE5"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7,05</w:t>
            </w:r>
          </w:p>
        </w:tc>
        <w:tc>
          <w:tcPr>
            <w:tcW w:w="269" w:type="pct"/>
            <w:gridSpan w:val="2"/>
            <w:tcBorders>
              <w:top w:val="nil"/>
              <w:left w:val="nil"/>
              <w:bottom w:val="nil"/>
              <w:right w:val="nil"/>
            </w:tcBorders>
            <w:shd w:val="clear" w:color="auto" w:fill="auto"/>
            <w:noWrap/>
            <w:vAlign w:val="bottom"/>
            <w:hideMark/>
          </w:tcPr>
          <w:p w14:paraId="69CDBD4C"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7,47</w:t>
            </w:r>
          </w:p>
        </w:tc>
        <w:tc>
          <w:tcPr>
            <w:tcW w:w="269" w:type="pct"/>
            <w:gridSpan w:val="2"/>
            <w:tcBorders>
              <w:top w:val="nil"/>
              <w:left w:val="nil"/>
              <w:bottom w:val="nil"/>
              <w:right w:val="nil"/>
            </w:tcBorders>
            <w:shd w:val="clear" w:color="auto" w:fill="auto"/>
            <w:noWrap/>
            <w:vAlign w:val="bottom"/>
            <w:hideMark/>
          </w:tcPr>
          <w:p w14:paraId="14E4046C"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7,87</w:t>
            </w:r>
          </w:p>
        </w:tc>
        <w:tc>
          <w:tcPr>
            <w:tcW w:w="271" w:type="pct"/>
            <w:gridSpan w:val="2"/>
            <w:tcBorders>
              <w:top w:val="nil"/>
              <w:left w:val="nil"/>
              <w:bottom w:val="nil"/>
              <w:right w:val="nil"/>
            </w:tcBorders>
            <w:shd w:val="clear" w:color="auto" w:fill="auto"/>
            <w:noWrap/>
            <w:vAlign w:val="bottom"/>
            <w:hideMark/>
          </w:tcPr>
          <w:p w14:paraId="0A8A67B9"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8,17</w:t>
            </w:r>
          </w:p>
        </w:tc>
      </w:tr>
      <w:tr w:rsidR="00B54F4E" w:rsidRPr="00B267CC" w14:paraId="70B27657" w14:textId="77777777" w:rsidTr="006504C4">
        <w:trPr>
          <w:trHeight w:val="300"/>
        </w:trPr>
        <w:tc>
          <w:tcPr>
            <w:tcW w:w="962" w:type="pct"/>
            <w:tcBorders>
              <w:top w:val="nil"/>
              <w:left w:val="nil"/>
              <w:bottom w:val="single" w:sz="4" w:space="0" w:color="auto"/>
              <w:right w:val="nil"/>
            </w:tcBorders>
            <w:shd w:val="clear" w:color="auto" w:fill="auto"/>
            <w:noWrap/>
            <w:vAlign w:val="bottom"/>
            <w:hideMark/>
          </w:tcPr>
          <w:p w14:paraId="46B0E4F4" w14:textId="77777777" w:rsidR="00B54F4E" w:rsidRPr="00B267CC" w:rsidRDefault="00B54F4E" w:rsidP="006504C4">
            <w:pPr>
              <w:spacing w:before="0" w:after="0"/>
              <w:jc w:val="left"/>
              <w:rPr>
                <w:rFonts w:ascii="Calibri" w:hAnsi="Calibri" w:cs="Calibri"/>
                <w:color w:val="000000"/>
                <w:sz w:val="14"/>
                <w:szCs w:val="22"/>
                <w:lang w:eastAsia="es-CO"/>
              </w:rPr>
            </w:pPr>
            <w:r w:rsidRPr="00B267CC">
              <w:rPr>
                <w:rFonts w:ascii="Calibri" w:hAnsi="Calibri" w:cs="Calibri"/>
                <w:color w:val="000000"/>
                <w:sz w:val="14"/>
                <w:szCs w:val="22"/>
                <w:lang w:eastAsia="es-CO"/>
              </w:rPr>
              <w:t>Escenario Renovable</w:t>
            </w:r>
          </w:p>
        </w:tc>
        <w:tc>
          <w:tcPr>
            <w:tcW w:w="269" w:type="pct"/>
            <w:tcBorders>
              <w:top w:val="nil"/>
              <w:left w:val="nil"/>
              <w:bottom w:val="nil"/>
              <w:right w:val="nil"/>
            </w:tcBorders>
            <w:shd w:val="clear" w:color="auto" w:fill="auto"/>
            <w:noWrap/>
            <w:vAlign w:val="bottom"/>
            <w:hideMark/>
          </w:tcPr>
          <w:p w14:paraId="0B4C3B30"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1,74</w:t>
            </w:r>
          </w:p>
        </w:tc>
        <w:tc>
          <w:tcPr>
            <w:tcW w:w="269" w:type="pct"/>
            <w:tcBorders>
              <w:top w:val="nil"/>
              <w:left w:val="nil"/>
              <w:bottom w:val="nil"/>
              <w:right w:val="nil"/>
            </w:tcBorders>
            <w:shd w:val="clear" w:color="auto" w:fill="auto"/>
            <w:noWrap/>
            <w:vAlign w:val="bottom"/>
            <w:hideMark/>
          </w:tcPr>
          <w:p w14:paraId="06874C0D"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1,63</w:t>
            </w:r>
          </w:p>
        </w:tc>
        <w:tc>
          <w:tcPr>
            <w:tcW w:w="269" w:type="pct"/>
            <w:tcBorders>
              <w:top w:val="nil"/>
              <w:left w:val="nil"/>
              <w:bottom w:val="nil"/>
              <w:right w:val="nil"/>
            </w:tcBorders>
            <w:shd w:val="clear" w:color="auto" w:fill="auto"/>
            <w:noWrap/>
            <w:vAlign w:val="bottom"/>
            <w:hideMark/>
          </w:tcPr>
          <w:p w14:paraId="0F7D3743"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2,62</w:t>
            </w:r>
          </w:p>
        </w:tc>
        <w:tc>
          <w:tcPr>
            <w:tcW w:w="270" w:type="pct"/>
            <w:gridSpan w:val="2"/>
            <w:tcBorders>
              <w:top w:val="nil"/>
              <w:left w:val="nil"/>
              <w:bottom w:val="nil"/>
              <w:right w:val="nil"/>
            </w:tcBorders>
            <w:shd w:val="clear" w:color="auto" w:fill="auto"/>
            <w:noWrap/>
            <w:vAlign w:val="bottom"/>
            <w:hideMark/>
          </w:tcPr>
          <w:p w14:paraId="51BDC314"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2,68</w:t>
            </w:r>
          </w:p>
        </w:tc>
        <w:tc>
          <w:tcPr>
            <w:tcW w:w="269" w:type="pct"/>
            <w:gridSpan w:val="3"/>
            <w:tcBorders>
              <w:top w:val="nil"/>
              <w:left w:val="nil"/>
              <w:bottom w:val="nil"/>
              <w:right w:val="nil"/>
            </w:tcBorders>
            <w:shd w:val="clear" w:color="auto" w:fill="auto"/>
            <w:noWrap/>
            <w:vAlign w:val="bottom"/>
            <w:hideMark/>
          </w:tcPr>
          <w:p w14:paraId="77F1C9E0"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2,27</w:t>
            </w:r>
          </w:p>
        </w:tc>
        <w:tc>
          <w:tcPr>
            <w:tcW w:w="269" w:type="pct"/>
            <w:gridSpan w:val="2"/>
            <w:tcBorders>
              <w:top w:val="nil"/>
              <w:left w:val="nil"/>
              <w:bottom w:val="nil"/>
              <w:right w:val="nil"/>
            </w:tcBorders>
            <w:shd w:val="clear" w:color="auto" w:fill="auto"/>
            <w:noWrap/>
            <w:vAlign w:val="bottom"/>
            <w:hideMark/>
          </w:tcPr>
          <w:p w14:paraId="11DAA0FF"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2,21</w:t>
            </w:r>
          </w:p>
        </w:tc>
        <w:tc>
          <w:tcPr>
            <w:tcW w:w="269" w:type="pct"/>
            <w:gridSpan w:val="2"/>
            <w:tcBorders>
              <w:top w:val="nil"/>
              <w:left w:val="nil"/>
              <w:bottom w:val="nil"/>
              <w:right w:val="nil"/>
            </w:tcBorders>
            <w:shd w:val="clear" w:color="auto" w:fill="auto"/>
            <w:noWrap/>
            <w:vAlign w:val="bottom"/>
            <w:hideMark/>
          </w:tcPr>
          <w:p w14:paraId="0B5F0B9D"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2,31</w:t>
            </w:r>
          </w:p>
        </w:tc>
        <w:tc>
          <w:tcPr>
            <w:tcW w:w="269" w:type="pct"/>
            <w:gridSpan w:val="2"/>
            <w:tcBorders>
              <w:top w:val="nil"/>
              <w:left w:val="nil"/>
              <w:bottom w:val="nil"/>
              <w:right w:val="nil"/>
            </w:tcBorders>
            <w:shd w:val="clear" w:color="auto" w:fill="auto"/>
            <w:noWrap/>
            <w:vAlign w:val="bottom"/>
            <w:hideMark/>
          </w:tcPr>
          <w:p w14:paraId="584D499F"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3,37</w:t>
            </w:r>
          </w:p>
        </w:tc>
        <w:tc>
          <w:tcPr>
            <w:tcW w:w="269" w:type="pct"/>
            <w:gridSpan w:val="3"/>
            <w:tcBorders>
              <w:top w:val="nil"/>
              <w:left w:val="nil"/>
              <w:bottom w:val="nil"/>
              <w:right w:val="nil"/>
            </w:tcBorders>
            <w:shd w:val="clear" w:color="auto" w:fill="auto"/>
            <w:noWrap/>
            <w:vAlign w:val="bottom"/>
            <w:hideMark/>
          </w:tcPr>
          <w:p w14:paraId="280E2C75"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3,80</w:t>
            </w:r>
          </w:p>
        </w:tc>
        <w:tc>
          <w:tcPr>
            <w:tcW w:w="269" w:type="pct"/>
            <w:gridSpan w:val="2"/>
            <w:tcBorders>
              <w:top w:val="nil"/>
              <w:left w:val="nil"/>
              <w:bottom w:val="nil"/>
              <w:right w:val="nil"/>
            </w:tcBorders>
            <w:shd w:val="clear" w:color="auto" w:fill="auto"/>
            <w:noWrap/>
            <w:vAlign w:val="bottom"/>
            <w:hideMark/>
          </w:tcPr>
          <w:p w14:paraId="42CC5A39"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4,09</w:t>
            </w:r>
          </w:p>
        </w:tc>
        <w:tc>
          <w:tcPr>
            <w:tcW w:w="269" w:type="pct"/>
            <w:gridSpan w:val="2"/>
            <w:tcBorders>
              <w:top w:val="nil"/>
              <w:left w:val="nil"/>
              <w:bottom w:val="nil"/>
              <w:right w:val="nil"/>
            </w:tcBorders>
            <w:shd w:val="clear" w:color="auto" w:fill="auto"/>
            <w:noWrap/>
            <w:vAlign w:val="bottom"/>
            <w:hideMark/>
          </w:tcPr>
          <w:p w14:paraId="34AE0EC1"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4,35</w:t>
            </w:r>
          </w:p>
        </w:tc>
        <w:tc>
          <w:tcPr>
            <w:tcW w:w="269" w:type="pct"/>
            <w:gridSpan w:val="2"/>
            <w:tcBorders>
              <w:top w:val="nil"/>
              <w:left w:val="nil"/>
              <w:bottom w:val="nil"/>
              <w:right w:val="nil"/>
            </w:tcBorders>
            <w:shd w:val="clear" w:color="auto" w:fill="auto"/>
            <w:noWrap/>
            <w:vAlign w:val="bottom"/>
            <w:hideMark/>
          </w:tcPr>
          <w:p w14:paraId="1478D7FC"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4,86</w:t>
            </w:r>
          </w:p>
        </w:tc>
        <w:tc>
          <w:tcPr>
            <w:tcW w:w="269" w:type="pct"/>
            <w:gridSpan w:val="2"/>
            <w:tcBorders>
              <w:top w:val="nil"/>
              <w:left w:val="nil"/>
              <w:bottom w:val="nil"/>
              <w:right w:val="nil"/>
            </w:tcBorders>
            <w:shd w:val="clear" w:color="auto" w:fill="auto"/>
            <w:noWrap/>
            <w:vAlign w:val="bottom"/>
            <w:hideMark/>
          </w:tcPr>
          <w:p w14:paraId="7B02982A"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5,17</w:t>
            </w:r>
          </w:p>
        </w:tc>
        <w:tc>
          <w:tcPr>
            <w:tcW w:w="269" w:type="pct"/>
            <w:gridSpan w:val="2"/>
            <w:tcBorders>
              <w:top w:val="nil"/>
              <w:left w:val="nil"/>
              <w:bottom w:val="nil"/>
              <w:right w:val="nil"/>
            </w:tcBorders>
            <w:shd w:val="clear" w:color="auto" w:fill="auto"/>
            <w:noWrap/>
            <w:vAlign w:val="bottom"/>
            <w:hideMark/>
          </w:tcPr>
          <w:p w14:paraId="2D947740"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5,48</w:t>
            </w:r>
          </w:p>
        </w:tc>
        <w:tc>
          <w:tcPr>
            <w:tcW w:w="271" w:type="pct"/>
            <w:gridSpan w:val="2"/>
            <w:tcBorders>
              <w:top w:val="nil"/>
              <w:left w:val="nil"/>
              <w:bottom w:val="nil"/>
              <w:right w:val="nil"/>
            </w:tcBorders>
            <w:shd w:val="clear" w:color="auto" w:fill="auto"/>
            <w:noWrap/>
            <w:vAlign w:val="bottom"/>
            <w:hideMark/>
          </w:tcPr>
          <w:p w14:paraId="33AF8C9F" w14:textId="77777777" w:rsidR="00B54F4E" w:rsidRPr="00B267CC" w:rsidRDefault="00B54F4E" w:rsidP="006504C4">
            <w:pPr>
              <w:spacing w:before="0" w:after="0"/>
              <w:jc w:val="right"/>
              <w:rPr>
                <w:rFonts w:ascii="Calibri" w:hAnsi="Calibri" w:cs="Calibri"/>
                <w:color w:val="000000" w:themeColor="text1"/>
                <w:sz w:val="14"/>
                <w:szCs w:val="22"/>
                <w:lang w:eastAsia="es-CO"/>
              </w:rPr>
            </w:pPr>
            <w:r w:rsidRPr="00B267CC">
              <w:rPr>
                <w:rFonts w:ascii="Calibri" w:hAnsi="Calibri" w:cs="Calibri"/>
                <w:color w:val="000000" w:themeColor="text1"/>
                <w:sz w:val="14"/>
                <w:szCs w:val="22"/>
                <w:lang w:eastAsia="es-CO"/>
              </w:rPr>
              <w:t>5,72</w:t>
            </w:r>
          </w:p>
        </w:tc>
      </w:tr>
      <w:tr w:rsidR="00B54F4E" w:rsidRPr="00B267CC" w14:paraId="6183022A" w14:textId="77777777" w:rsidTr="006504C4">
        <w:trPr>
          <w:trHeight w:val="300"/>
        </w:trPr>
        <w:tc>
          <w:tcPr>
            <w:tcW w:w="962" w:type="pct"/>
            <w:tcBorders>
              <w:top w:val="nil"/>
              <w:left w:val="nil"/>
              <w:bottom w:val="single" w:sz="4" w:space="0" w:color="auto"/>
              <w:right w:val="nil"/>
            </w:tcBorders>
            <w:shd w:val="clear" w:color="auto" w:fill="auto"/>
            <w:noWrap/>
            <w:vAlign w:val="bottom"/>
            <w:hideMark/>
          </w:tcPr>
          <w:p w14:paraId="0972EBDC" w14:textId="77777777" w:rsidR="00B54F4E" w:rsidRPr="00B267CC" w:rsidRDefault="00B54F4E" w:rsidP="006504C4">
            <w:pPr>
              <w:spacing w:before="0" w:after="0"/>
              <w:jc w:val="left"/>
              <w:rPr>
                <w:rFonts w:ascii="Calibri" w:hAnsi="Calibri" w:cs="Calibri"/>
                <w:color w:val="000000"/>
                <w:sz w:val="14"/>
                <w:szCs w:val="22"/>
                <w:lang w:eastAsia="es-CO"/>
              </w:rPr>
            </w:pPr>
            <w:r w:rsidRPr="00B267CC">
              <w:rPr>
                <w:rFonts w:ascii="Calibri" w:hAnsi="Calibri" w:cs="Calibri"/>
                <w:color w:val="000000"/>
                <w:sz w:val="14"/>
                <w:szCs w:val="22"/>
                <w:lang w:eastAsia="es-CO"/>
              </w:rPr>
              <w:t>Diferencia</w:t>
            </w:r>
          </w:p>
        </w:tc>
        <w:tc>
          <w:tcPr>
            <w:tcW w:w="269" w:type="pct"/>
            <w:tcBorders>
              <w:top w:val="single" w:sz="4" w:space="0" w:color="auto"/>
              <w:left w:val="nil"/>
              <w:bottom w:val="single" w:sz="4" w:space="0" w:color="auto"/>
              <w:right w:val="nil"/>
            </w:tcBorders>
            <w:shd w:val="clear" w:color="auto" w:fill="auto"/>
            <w:noWrap/>
            <w:vAlign w:val="bottom"/>
            <w:hideMark/>
          </w:tcPr>
          <w:p w14:paraId="18CEFAF7" w14:textId="77777777" w:rsidR="00B54F4E" w:rsidRPr="00B267CC" w:rsidRDefault="00B54F4E" w:rsidP="006504C4">
            <w:pPr>
              <w:spacing w:before="0" w:after="0"/>
              <w:jc w:val="left"/>
              <w:rPr>
                <w:rFonts w:ascii="Calibri" w:hAnsi="Calibri" w:cs="Calibri"/>
                <w:color w:val="000000"/>
                <w:sz w:val="14"/>
                <w:szCs w:val="22"/>
                <w:lang w:eastAsia="es-CO"/>
              </w:rPr>
            </w:pPr>
            <w:r w:rsidRPr="00B267CC">
              <w:rPr>
                <w:rFonts w:ascii="Calibri" w:hAnsi="Calibri" w:cs="Calibri"/>
                <w:color w:val="000000"/>
                <w:sz w:val="14"/>
                <w:szCs w:val="22"/>
                <w:lang w:eastAsia="es-CO"/>
              </w:rPr>
              <w:t> </w:t>
            </w:r>
          </w:p>
        </w:tc>
        <w:tc>
          <w:tcPr>
            <w:tcW w:w="269" w:type="pct"/>
            <w:tcBorders>
              <w:top w:val="single" w:sz="4" w:space="0" w:color="auto"/>
              <w:left w:val="nil"/>
              <w:bottom w:val="single" w:sz="4" w:space="0" w:color="auto"/>
              <w:right w:val="nil"/>
            </w:tcBorders>
            <w:shd w:val="clear" w:color="auto" w:fill="auto"/>
            <w:noWrap/>
            <w:vAlign w:val="bottom"/>
            <w:hideMark/>
          </w:tcPr>
          <w:p w14:paraId="577E975E"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-0,01</w:t>
            </w:r>
          </w:p>
        </w:tc>
        <w:tc>
          <w:tcPr>
            <w:tcW w:w="269" w:type="pct"/>
            <w:tcBorders>
              <w:top w:val="single" w:sz="4" w:space="0" w:color="auto"/>
              <w:left w:val="nil"/>
              <w:bottom w:val="single" w:sz="4" w:space="0" w:color="auto"/>
              <w:right w:val="nil"/>
            </w:tcBorders>
            <w:shd w:val="clear" w:color="auto" w:fill="auto"/>
            <w:noWrap/>
            <w:vAlign w:val="bottom"/>
            <w:hideMark/>
          </w:tcPr>
          <w:p w14:paraId="2E81CF7C"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0,00</w:t>
            </w:r>
          </w:p>
        </w:tc>
        <w:tc>
          <w:tcPr>
            <w:tcW w:w="270" w:type="pct"/>
            <w:gridSpan w:val="2"/>
            <w:tcBorders>
              <w:top w:val="single" w:sz="4" w:space="0" w:color="auto"/>
              <w:left w:val="nil"/>
              <w:bottom w:val="single" w:sz="4" w:space="0" w:color="auto"/>
              <w:right w:val="nil"/>
            </w:tcBorders>
            <w:shd w:val="clear" w:color="auto" w:fill="auto"/>
            <w:noWrap/>
            <w:vAlign w:val="bottom"/>
            <w:hideMark/>
          </w:tcPr>
          <w:p w14:paraId="450195D3"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0,00</w:t>
            </w:r>
          </w:p>
        </w:tc>
        <w:tc>
          <w:tcPr>
            <w:tcW w:w="269" w:type="pct"/>
            <w:gridSpan w:val="3"/>
            <w:tcBorders>
              <w:top w:val="single" w:sz="4" w:space="0" w:color="auto"/>
              <w:left w:val="nil"/>
              <w:bottom w:val="single" w:sz="4" w:space="0" w:color="auto"/>
              <w:right w:val="nil"/>
            </w:tcBorders>
            <w:shd w:val="clear" w:color="auto" w:fill="auto"/>
            <w:noWrap/>
            <w:vAlign w:val="bottom"/>
            <w:hideMark/>
          </w:tcPr>
          <w:p w14:paraId="68DD87F5"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0,13</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15B5A6B6"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0,17</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74C94C63"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0,38</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69845B9D"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0,50</w:t>
            </w:r>
          </w:p>
        </w:tc>
        <w:tc>
          <w:tcPr>
            <w:tcW w:w="269" w:type="pct"/>
            <w:gridSpan w:val="3"/>
            <w:tcBorders>
              <w:top w:val="single" w:sz="4" w:space="0" w:color="auto"/>
              <w:left w:val="nil"/>
              <w:bottom w:val="single" w:sz="4" w:space="0" w:color="auto"/>
              <w:right w:val="nil"/>
            </w:tcBorders>
            <w:shd w:val="clear" w:color="auto" w:fill="auto"/>
            <w:noWrap/>
            <w:vAlign w:val="bottom"/>
            <w:hideMark/>
          </w:tcPr>
          <w:p w14:paraId="15BB745F"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1,90</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536C2E49"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1,98</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7838952F"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2,00</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2DC03724"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2,19</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42103EB6"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2,30</w:t>
            </w:r>
          </w:p>
        </w:tc>
        <w:tc>
          <w:tcPr>
            <w:tcW w:w="269" w:type="pct"/>
            <w:gridSpan w:val="2"/>
            <w:tcBorders>
              <w:top w:val="single" w:sz="4" w:space="0" w:color="auto"/>
              <w:left w:val="nil"/>
              <w:bottom w:val="single" w:sz="4" w:space="0" w:color="auto"/>
              <w:right w:val="nil"/>
            </w:tcBorders>
            <w:shd w:val="clear" w:color="auto" w:fill="auto"/>
            <w:noWrap/>
            <w:vAlign w:val="bottom"/>
            <w:hideMark/>
          </w:tcPr>
          <w:p w14:paraId="0442B5C5"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2,40</w:t>
            </w:r>
          </w:p>
        </w:tc>
        <w:tc>
          <w:tcPr>
            <w:tcW w:w="271" w:type="pct"/>
            <w:gridSpan w:val="2"/>
            <w:tcBorders>
              <w:top w:val="single" w:sz="4" w:space="0" w:color="auto"/>
              <w:left w:val="nil"/>
              <w:bottom w:val="single" w:sz="4" w:space="0" w:color="auto"/>
              <w:right w:val="nil"/>
            </w:tcBorders>
            <w:shd w:val="clear" w:color="auto" w:fill="auto"/>
            <w:noWrap/>
            <w:vAlign w:val="bottom"/>
            <w:hideMark/>
          </w:tcPr>
          <w:p w14:paraId="0E43FE64"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2,45</w:t>
            </w:r>
          </w:p>
        </w:tc>
      </w:tr>
      <w:tr w:rsidR="00B54F4E" w:rsidRPr="00B267CC" w14:paraId="6AD4B71A" w14:textId="77777777" w:rsidTr="006504C4">
        <w:trPr>
          <w:trHeight w:val="300"/>
        </w:trPr>
        <w:tc>
          <w:tcPr>
            <w:tcW w:w="962" w:type="pct"/>
            <w:tcBorders>
              <w:top w:val="nil"/>
              <w:left w:val="nil"/>
              <w:bottom w:val="nil"/>
              <w:right w:val="nil"/>
            </w:tcBorders>
            <w:shd w:val="clear" w:color="auto" w:fill="auto"/>
            <w:noWrap/>
            <w:vAlign w:val="bottom"/>
            <w:hideMark/>
          </w:tcPr>
          <w:p w14:paraId="79F6FC2A" w14:textId="77777777" w:rsidR="00B54F4E" w:rsidRPr="00B267CC" w:rsidRDefault="00B54F4E" w:rsidP="006504C4">
            <w:pPr>
              <w:spacing w:before="0" w:after="0"/>
              <w:jc w:val="left"/>
              <w:rPr>
                <w:rFonts w:ascii="Calibri" w:hAnsi="Calibri" w:cs="Calibri"/>
                <w:b/>
                <w:bCs/>
                <w:color w:val="000000"/>
                <w:sz w:val="14"/>
                <w:szCs w:val="22"/>
                <w:lang w:eastAsia="es-CO"/>
              </w:rPr>
            </w:pPr>
            <w:r w:rsidRPr="00B267CC">
              <w:rPr>
                <w:rFonts w:ascii="Calibri" w:hAnsi="Calibri" w:cs="Calibri"/>
                <w:b/>
                <w:bCs/>
                <w:color w:val="000000"/>
                <w:sz w:val="14"/>
                <w:szCs w:val="22"/>
                <w:lang w:eastAsia="es-CO"/>
              </w:rPr>
              <w:t>Benefi</w:t>
            </w:r>
            <w:r>
              <w:rPr>
                <w:rFonts w:ascii="Calibri" w:hAnsi="Calibri" w:cs="Calibri"/>
                <w:b/>
                <w:bCs/>
                <w:color w:val="000000"/>
                <w:sz w:val="14"/>
                <w:szCs w:val="22"/>
                <w:lang w:eastAsia="es-CO"/>
              </w:rPr>
              <w:t>cio económico esperado (MM</w:t>
            </w:r>
            <w:r w:rsidRPr="00B267CC">
              <w:rPr>
                <w:rFonts w:ascii="Calibri" w:hAnsi="Calibri" w:cs="Calibri"/>
                <w:b/>
                <w:bCs/>
                <w:color w:val="000000"/>
                <w:sz w:val="14"/>
                <w:szCs w:val="22"/>
                <w:lang w:eastAsia="es-CO"/>
              </w:rPr>
              <w:t xml:space="preserve"> </w:t>
            </w:r>
            <w:r>
              <w:rPr>
                <w:rFonts w:ascii="Calibri" w:hAnsi="Calibri" w:cs="Calibri"/>
                <w:b/>
                <w:bCs/>
                <w:color w:val="000000"/>
                <w:sz w:val="14"/>
                <w:szCs w:val="22"/>
                <w:lang w:eastAsia="es-CO"/>
              </w:rPr>
              <w:t>US</w:t>
            </w:r>
            <w:r w:rsidRPr="00B267CC">
              <w:rPr>
                <w:rFonts w:ascii="Calibri" w:hAnsi="Calibri" w:cs="Calibri"/>
                <w:b/>
                <w:bCs/>
                <w:color w:val="000000"/>
                <w:sz w:val="14"/>
                <w:szCs w:val="22"/>
                <w:lang w:eastAsia="es-CO"/>
              </w:rPr>
              <w:t>$ 2016)</w:t>
            </w:r>
          </w:p>
        </w:tc>
        <w:tc>
          <w:tcPr>
            <w:tcW w:w="269" w:type="pct"/>
            <w:tcBorders>
              <w:top w:val="nil"/>
              <w:left w:val="nil"/>
              <w:bottom w:val="nil"/>
              <w:right w:val="nil"/>
            </w:tcBorders>
            <w:shd w:val="clear" w:color="auto" w:fill="auto"/>
            <w:noWrap/>
            <w:vAlign w:val="bottom"/>
            <w:hideMark/>
          </w:tcPr>
          <w:p w14:paraId="1334E194" w14:textId="77777777" w:rsidR="00B54F4E" w:rsidRPr="00B267CC" w:rsidRDefault="00B54F4E" w:rsidP="006504C4">
            <w:pPr>
              <w:spacing w:before="0" w:after="0"/>
              <w:jc w:val="left"/>
              <w:rPr>
                <w:rFonts w:ascii="Calibri" w:hAnsi="Calibri" w:cs="Calibri"/>
                <w:b/>
                <w:bCs/>
                <w:color w:val="000000"/>
                <w:sz w:val="14"/>
                <w:szCs w:val="22"/>
                <w:lang w:eastAsia="es-CO"/>
              </w:rPr>
            </w:pPr>
          </w:p>
        </w:tc>
        <w:tc>
          <w:tcPr>
            <w:tcW w:w="269" w:type="pct"/>
            <w:tcBorders>
              <w:top w:val="nil"/>
              <w:left w:val="nil"/>
              <w:bottom w:val="nil"/>
              <w:right w:val="nil"/>
            </w:tcBorders>
            <w:shd w:val="clear" w:color="auto" w:fill="auto"/>
            <w:noWrap/>
            <w:vAlign w:val="bottom"/>
            <w:hideMark/>
          </w:tcPr>
          <w:p w14:paraId="6EBEAA3A" w14:textId="77777777" w:rsidR="00B54F4E" w:rsidRPr="00B267CC" w:rsidRDefault="00B54F4E" w:rsidP="006504C4">
            <w:pPr>
              <w:spacing w:before="0" w:after="0"/>
              <w:jc w:val="left"/>
              <w:rPr>
                <w:rFonts w:ascii="Times New Roman" w:hAnsi="Times New Roman"/>
                <w:sz w:val="14"/>
                <w:lang w:eastAsia="es-CO"/>
              </w:rPr>
            </w:pPr>
          </w:p>
        </w:tc>
        <w:tc>
          <w:tcPr>
            <w:tcW w:w="269" w:type="pct"/>
            <w:tcBorders>
              <w:top w:val="nil"/>
              <w:left w:val="nil"/>
              <w:bottom w:val="nil"/>
              <w:right w:val="nil"/>
            </w:tcBorders>
            <w:shd w:val="clear" w:color="auto" w:fill="auto"/>
            <w:noWrap/>
            <w:vAlign w:val="bottom"/>
            <w:hideMark/>
          </w:tcPr>
          <w:p w14:paraId="23956D81" w14:textId="77777777" w:rsidR="00B54F4E" w:rsidRPr="00B267CC" w:rsidRDefault="00B54F4E" w:rsidP="006504C4">
            <w:pPr>
              <w:spacing w:before="0" w:after="0"/>
              <w:jc w:val="left"/>
              <w:rPr>
                <w:rFonts w:ascii="Times New Roman" w:hAnsi="Times New Roman"/>
                <w:sz w:val="14"/>
                <w:lang w:eastAsia="es-CO"/>
              </w:rPr>
            </w:pPr>
          </w:p>
        </w:tc>
        <w:tc>
          <w:tcPr>
            <w:tcW w:w="270" w:type="pct"/>
            <w:gridSpan w:val="2"/>
            <w:tcBorders>
              <w:top w:val="nil"/>
              <w:left w:val="nil"/>
              <w:bottom w:val="nil"/>
              <w:right w:val="nil"/>
            </w:tcBorders>
            <w:shd w:val="clear" w:color="auto" w:fill="auto"/>
            <w:noWrap/>
            <w:vAlign w:val="bottom"/>
            <w:hideMark/>
          </w:tcPr>
          <w:p w14:paraId="3696C036"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3"/>
            <w:tcBorders>
              <w:top w:val="nil"/>
              <w:left w:val="nil"/>
              <w:bottom w:val="nil"/>
              <w:right w:val="nil"/>
            </w:tcBorders>
            <w:shd w:val="clear" w:color="auto" w:fill="auto"/>
            <w:noWrap/>
            <w:vAlign w:val="bottom"/>
            <w:hideMark/>
          </w:tcPr>
          <w:p w14:paraId="5058A2FF"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7371E022"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72B06DD6"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7572A3C0"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3"/>
            <w:tcBorders>
              <w:top w:val="nil"/>
              <w:left w:val="nil"/>
              <w:bottom w:val="nil"/>
              <w:right w:val="nil"/>
            </w:tcBorders>
            <w:shd w:val="clear" w:color="auto" w:fill="auto"/>
            <w:noWrap/>
            <w:vAlign w:val="bottom"/>
            <w:hideMark/>
          </w:tcPr>
          <w:p w14:paraId="4A00E413"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1F3A9953"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2618D8A0"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223B32F1"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541DFF99" w14:textId="77777777" w:rsidR="00B54F4E" w:rsidRPr="00B267CC" w:rsidRDefault="00B54F4E" w:rsidP="006504C4">
            <w:pPr>
              <w:spacing w:before="0" w:after="0"/>
              <w:jc w:val="left"/>
              <w:rPr>
                <w:rFonts w:ascii="Times New Roman" w:hAnsi="Times New Roman"/>
                <w:sz w:val="14"/>
                <w:lang w:eastAsia="es-CO"/>
              </w:rPr>
            </w:pPr>
          </w:p>
        </w:tc>
        <w:tc>
          <w:tcPr>
            <w:tcW w:w="269" w:type="pct"/>
            <w:gridSpan w:val="2"/>
            <w:tcBorders>
              <w:top w:val="nil"/>
              <w:left w:val="nil"/>
              <w:bottom w:val="nil"/>
              <w:right w:val="nil"/>
            </w:tcBorders>
            <w:shd w:val="clear" w:color="auto" w:fill="auto"/>
            <w:noWrap/>
            <w:vAlign w:val="bottom"/>
            <w:hideMark/>
          </w:tcPr>
          <w:p w14:paraId="1DE36554" w14:textId="77777777" w:rsidR="00B54F4E" w:rsidRPr="00B267CC" w:rsidRDefault="00B54F4E" w:rsidP="006504C4">
            <w:pPr>
              <w:spacing w:before="0" w:after="0"/>
              <w:jc w:val="left"/>
              <w:rPr>
                <w:rFonts w:ascii="Times New Roman" w:hAnsi="Times New Roman"/>
                <w:sz w:val="14"/>
                <w:lang w:eastAsia="es-CO"/>
              </w:rPr>
            </w:pPr>
          </w:p>
        </w:tc>
        <w:tc>
          <w:tcPr>
            <w:tcW w:w="271" w:type="pct"/>
            <w:gridSpan w:val="2"/>
            <w:tcBorders>
              <w:top w:val="nil"/>
              <w:left w:val="nil"/>
              <w:bottom w:val="nil"/>
              <w:right w:val="nil"/>
            </w:tcBorders>
            <w:shd w:val="clear" w:color="auto" w:fill="auto"/>
            <w:noWrap/>
            <w:vAlign w:val="bottom"/>
            <w:hideMark/>
          </w:tcPr>
          <w:p w14:paraId="37B30BB4" w14:textId="77777777" w:rsidR="00B54F4E" w:rsidRPr="00B267CC" w:rsidRDefault="00B54F4E" w:rsidP="006504C4">
            <w:pPr>
              <w:spacing w:before="0" w:after="0"/>
              <w:jc w:val="left"/>
              <w:rPr>
                <w:rFonts w:ascii="Times New Roman" w:hAnsi="Times New Roman"/>
                <w:sz w:val="14"/>
                <w:lang w:eastAsia="es-CO"/>
              </w:rPr>
            </w:pPr>
          </w:p>
        </w:tc>
      </w:tr>
      <w:tr w:rsidR="00B54F4E" w:rsidRPr="00B267CC" w14:paraId="357937E9" w14:textId="77777777" w:rsidTr="006504C4">
        <w:trPr>
          <w:trHeight w:val="300"/>
        </w:trPr>
        <w:tc>
          <w:tcPr>
            <w:tcW w:w="962" w:type="pct"/>
            <w:tcBorders>
              <w:top w:val="nil"/>
              <w:left w:val="nil"/>
              <w:bottom w:val="single" w:sz="4" w:space="0" w:color="auto"/>
              <w:right w:val="nil"/>
            </w:tcBorders>
            <w:shd w:val="clear" w:color="auto" w:fill="auto"/>
            <w:noWrap/>
            <w:vAlign w:val="bottom"/>
            <w:hideMark/>
          </w:tcPr>
          <w:p w14:paraId="7D8161EB" w14:textId="77777777" w:rsidR="00B54F4E" w:rsidRPr="00B267CC" w:rsidRDefault="00B54F4E" w:rsidP="006504C4">
            <w:pPr>
              <w:spacing w:before="0" w:after="0"/>
              <w:jc w:val="left"/>
              <w:rPr>
                <w:rFonts w:ascii="Calibri" w:hAnsi="Calibri" w:cs="Calibri"/>
                <w:color w:val="000000"/>
                <w:sz w:val="14"/>
                <w:szCs w:val="22"/>
                <w:lang w:eastAsia="es-CO"/>
              </w:rPr>
            </w:pPr>
            <w:r w:rsidRPr="00B267CC">
              <w:rPr>
                <w:rFonts w:ascii="Calibri" w:hAnsi="Calibri" w:cs="Calibri"/>
                <w:color w:val="000000"/>
                <w:sz w:val="14"/>
                <w:szCs w:val="22"/>
                <w:lang w:eastAsia="es-CO"/>
              </w:rPr>
              <w:t> </w:t>
            </w:r>
          </w:p>
        </w:tc>
        <w:tc>
          <w:tcPr>
            <w:tcW w:w="269" w:type="pct"/>
            <w:tcBorders>
              <w:top w:val="single" w:sz="4" w:space="0" w:color="FFFFFF"/>
              <w:left w:val="nil"/>
              <w:bottom w:val="single" w:sz="4" w:space="0" w:color="auto"/>
              <w:right w:val="single" w:sz="4" w:space="0" w:color="FFFFFF"/>
            </w:tcBorders>
            <w:shd w:val="clear" w:color="000000" w:fill="203764"/>
            <w:noWrap/>
            <w:vAlign w:val="bottom"/>
            <w:hideMark/>
          </w:tcPr>
          <w:p w14:paraId="67966FC7"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2016</w:t>
            </w:r>
          </w:p>
        </w:tc>
        <w:tc>
          <w:tcPr>
            <w:tcW w:w="269" w:type="pct"/>
            <w:tcBorders>
              <w:top w:val="single" w:sz="4" w:space="0" w:color="FFFFFF"/>
              <w:left w:val="nil"/>
              <w:bottom w:val="single" w:sz="4" w:space="0" w:color="auto"/>
              <w:right w:val="single" w:sz="4" w:space="0" w:color="FFFFFF"/>
            </w:tcBorders>
            <w:shd w:val="clear" w:color="000000" w:fill="203764"/>
            <w:noWrap/>
            <w:vAlign w:val="bottom"/>
            <w:hideMark/>
          </w:tcPr>
          <w:p w14:paraId="114B056E"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2017</w:t>
            </w:r>
          </w:p>
        </w:tc>
        <w:tc>
          <w:tcPr>
            <w:tcW w:w="269" w:type="pct"/>
            <w:tcBorders>
              <w:top w:val="single" w:sz="4" w:space="0" w:color="FFFFFF"/>
              <w:left w:val="nil"/>
              <w:bottom w:val="single" w:sz="4" w:space="0" w:color="auto"/>
              <w:right w:val="single" w:sz="4" w:space="0" w:color="FFFFFF"/>
            </w:tcBorders>
            <w:shd w:val="clear" w:color="000000" w:fill="203764"/>
            <w:noWrap/>
            <w:vAlign w:val="bottom"/>
            <w:hideMark/>
          </w:tcPr>
          <w:p w14:paraId="061C022A"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2018</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B8BB762"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2019</w:t>
            </w:r>
          </w:p>
        </w:tc>
        <w:tc>
          <w:tcPr>
            <w:tcW w:w="269"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3A07184C"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2020</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D3BF274"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2021</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FD1139F"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2022</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2EA9F8A"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2023</w:t>
            </w:r>
          </w:p>
        </w:tc>
        <w:tc>
          <w:tcPr>
            <w:tcW w:w="269"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0DF756BD"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2024</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64C74FD3"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2025</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4D4E3036"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2026</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4B9C6A4C"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2027</w:t>
            </w:r>
          </w:p>
        </w:tc>
        <w:tc>
          <w:tcPr>
            <w:tcW w:w="269"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4AA6C7EA"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2028</w:t>
            </w:r>
          </w:p>
        </w:tc>
        <w:tc>
          <w:tcPr>
            <w:tcW w:w="269" w:type="pct"/>
            <w:gridSpan w:val="2"/>
            <w:tcBorders>
              <w:top w:val="single" w:sz="4" w:space="0" w:color="FFFFFF"/>
              <w:left w:val="nil"/>
              <w:bottom w:val="single" w:sz="4" w:space="0" w:color="auto"/>
              <w:right w:val="nil"/>
            </w:tcBorders>
            <w:shd w:val="clear" w:color="000000" w:fill="203764"/>
            <w:noWrap/>
            <w:vAlign w:val="bottom"/>
            <w:hideMark/>
          </w:tcPr>
          <w:p w14:paraId="7B5041D5"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2029</w:t>
            </w:r>
          </w:p>
        </w:tc>
        <w:tc>
          <w:tcPr>
            <w:tcW w:w="271" w:type="pct"/>
            <w:gridSpan w:val="2"/>
            <w:tcBorders>
              <w:top w:val="single" w:sz="4" w:space="0" w:color="FFFFFF"/>
              <w:left w:val="single" w:sz="4" w:space="0" w:color="FFFFFF"/>
              <w:bottom w:val="single" w:sz="4" w:space="0" w:color="auto"/>
              <w:right w:val="nil"/>
            </w:tcBorders>
            <w:shd w:val="clear" w:color="000000" w:fill="203764"/>
            <w:noWrap/>
            <w:vAlign w:val="bottom"/>
            <w:hideMark/>
          </w:tcPr>
          <w:p w14:paraId="50FA82D0" w14:textId="77777777" w:rsidR="00B54F4E" w:rsidRPr="00B267CC" w:rsidRDefault="00B54F4E" w:rsidP="006504C4">
            <w:pPr>
              <w:spacing w:before="0" w:after="0"/>
              <w:jc w:val="center"/>
              <w:rPr>
                <w:rFonts w:ascii="Calibri" w:hAnsi="Calibri" w:cs="Calibri"/>
                <w:color w:val="FFFFFF"/>
                <w:sz w:val="14"/>
                <w:szCs w:val="22"/>
                <w:lang w:eastAsia="es-CO"/>
              </w:rPr>
            </w:pPr>
            <w:r w:rsidRPr="00B267CC">
              <w:rPr>
                <w:rFonts w:ascii="Calibri" w:hAnsi="Calibri" w:cs="Calibri"/>
                <w:color w:val="FFFFFF"/>
                <w:sz w:val="14"/>
                <w:szCs w:val="22"/>
                <w:lang w:eastAsia="es-CO"/>
              </w:rPr>
              <w:t>2030</w:t>
            </w:r>
          </w:p>
        </w:tc>
      </w:tr>
      <w:tr w:rsidR="00B54F4E" w:rsidRPr="00B267CC" w14:paraId="07EEC638" w14:textId="77777777" w:rsidTr="006504C4">
        <w:trPr>
          <w:trHeight w:val="300"/>
        </w:trPr>
        <w:tc>
          <w:tcPr>
            <w:tcW w:w="962" w:type="pct"/>
            <w:tcBorders>
              <w:top w:val="nil"/>
              <w:left w:val="nil"/>
              <w:bottom w:val="single" w:sz="4" w:space="0" w:color="auto"/>
              <w:right w:val="nil"/>
            </w:tcBorders>
            <w:shd w:val="clear" w:color="auto" w:fill="auto"/>
            <w:noWrap/>
            <w:vAlign w:val="bottom"/>
            <w:hideMark/>
          </w:tcPr>
          <w:p w14:paraId="0662B107" w14:textId="77777777" w:rsidR="00B54F4E" w:rsidRPr="00B267CC" w:rsidRDefault="00B54F4E" w:rsidP="006504C4">
            <w:pPr>
              <w:spacing w:before="0" w:after="0"/>
              <w:jc w:val="left"/>
              <w:rPr>
                <w:rFonts w:ascii="Calibri" w:hAnsi="Calibri" w:cs="Calibri"/>
                <w:color w:val="000000"/>
                <w:sz w:val="14"/>
                <w:szCs w:val="22"/>
                <w:lang w:eastAsia="es-CO"/>
              </w:rPr>
            </w:pPr>
            <w:r w:rsidRPr="00B267CC">
              <w:rPr>
                <w:rFonts w:ascii="Calibri" w:hAnsi="Calibri" w:cs="Calibri"/>
                <w:color w:val="000000"/>
                <w:sz w:val="14"/>
                <w:szCs w:val="22"/>
                <w:lang w:eastAsia="es-CO"/>
              </w:rPr>
              <w:t>Beneficio económico anual (Millones $USD)</w:t>
            </w:r>
          </w:p>
        </w:tc>
        <w:tc>
          <w:tcPr>
            <w:tcW w:w="269" w:type="pct"/>
            <w:tcBorders>
              <w:top w:val="nil"/>
              <w:left w:val="nil"/>
              <w:bottom w:val="single" w:sz="4" w:space="0" w:color="auto"/>
              <w:right w:val="nil"/>
            </w:tcBorders>
            <w:shd w:val="clear" w:color="auto" w:fill="auto"/>
            <w:noWrap/>
            <w:vAlign w:val="bottom"/>
            <w:hideMark/>
          </w:tcPr>
          <w:p w14:paraId="132E02AF"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0,00</w:t>
            </w:r>
          </w:p>
        </w:tc>
        <w:tc>
          <w:tcPr>
            <w:tcW w:w="269" w:type="pct"/>
            <w:tcBorders>
              <w:top w:val="nil"/>
              <w:left w:val="nil"/>
              <w:bottom w:val="single" w:sz="4" w:space="0" w:color="auto"/>
              <w:right w:val="nil"/>
            </w:tcBorders>
            <w:shd w:val="clear" w:color="auto" w:fill="auto"/>
            <w:noWrap/>
            <w:vAlign w:val="bottom"/>
            <w:hideMark/>
          </w:tcPr>
          <w:p w14:paraId="67299C55"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-0,07</w:t>
            </w:r>
          </w:p>
        </w:tc>
        <w:tc>
          <w:tcPr>
            <w:tcW w:w="269" w:type="pct"/>
            <w:tcBorders>
              <w:top w:val="nil"/>
              <w:left w:val="nil"/>
              <w:bottom w:val="single" w:sz="4" w:space="0" w:color="auto"/>
              <w:right w:val="nil"/>
            </w:tcBorders>
            <w:shd w:val="clear" w:color="auto" w:fill="auto"/>
            <w:noWrap/>
            <w:vAlign w:val="bottom"/>
            <w:hideMark/>
          </w:tcPr>
          <w:p w14:paraId="425F61E3"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0,02</w:t>
            </w:r>
          </w:p>
        </w:tc>
        <w:tc>
          <w:tcPr>
            <w:tcW w:w="270" w:type="pct"/>
            <w:gridSpan w:val="2"/>
            <w:tcBorders>
              <w:top w:val="nil"/>
              <w:left w:val="nil"/>
              <w:bottom w:val="single" w:sz="4" w:space="0" w:color="auto"/>
              <w:right w:val="nil"/>
            </w:tcBorders>
            <w:shd w:val="clear" w:color="auto" w:fill="auto"/>
            <w:noWrap/>
            <w:vAlign w:val="bottom"/>
            <w:hideMark/>
          </w:tcPr>
          <w:p w14:paraId="603B28B7"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0,01</w:t>
            </w:r>
          </w:p>
        </w:tc>
        <w:tc>
          <w:tcPr>
            <w:tcW w:w="269" w:type="pct"/>
            <w:gridSpan w:val="3"/>
            <w:tcBorders>
              <w:top w:val="nil"/>
              <w:left w:val="nil"/>
              <w:bottom w:val="single" w:sz="4" w:space="0" w:color="auto"/>
              <w:right w:val="nil"/>
            </w:tcBorders>
            <w:shd w:val="clear" w:color="auto" w:fill="auto"/>
            <w:noWrap/>
            <w:vAlign w:val="bottom"/>
            <w:hideMark/>
          </w:tcPr>
          <w:p w14:paraId="5895D9DB"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0,75</w:t>
            </w:r>
          </w:p>
        </w:tc>
        <w:tc>
          <w:tcPr>
            <w:tcW w:w="269" w:type="pct"/>
            <w:gridSpan w:val="2"/>
            <w:tcBorders>
              <w:top w:val="nil"/>
              <w:left w:val="nil"/>
              <w:bottom w:val="single" w:sz="4" w:space="0" w:color="auto"/>
              <w:right w:val="nil"/>
            </w:tcBorders>
            <w:shd w:val="clear" w:color="auto" w:fill="auto"/>
            <w:noWrap/>
            <w:vAlign w:val="bottom"/>
            <w:hideMark/>
          </w:tcPr>
          <w:p w14:paraId="07D39D8C"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1,00</w:t>
            </w:r>
          </w:p>
        </w:tc>
        <w:tc>
          <w:tcPr>
            <w:tcW w:w="269" w:type="pct"/>
            <w:gridSpan w:val="2"/>
            <w:tcBorders>
              <w:top w:val="nil"/>
              <w:left w:val="nil"/>
              <w:bottom w:val="single" w:sz="4" w:space="0" w:color="auto"/>
              <w:right w:val="nil"/>
            </w:tcBorders>
            <w:shd w:val="clear" w:color="auto" w:fill="auto"/>
            <w:noWrap/>
            <w:vAlign w:val="bottom"/>
            <w:hideMark/>
          </w:tcPr>
          <w:p w14:paraId="5C4FC86B"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2,27</w:t>
            </w:r>
          </w:p>
        </w:tc>
        <w:tc>
          <w:tcPr>
            <w:tcW w:w="269" w:type="pct"/>
            <w:gridSpan w:val="2"/>
            <w:tcBorders>
              <w:top w:val="nil"/>
              <w:left w:val="nil"/>
              <w:bottom w:val="single" w:sz="4" w:space="0" w:color="auto"/>
              <w:right w:val="nil"/>
            </w:tcBorders>
            <w:shd w:val="clear" w:color="auto" w:fill="auto"/>
            <w:noWrap/>
            <w:vAlign w:val="bottom"/>
            <w:hideMark/>
          </w:tcPr>
          <w:p w14:paraId="7BC8926D"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3,03</w:t>
            </w:r>
          </w:p>
        </w:tc>
        <w:tc>
          <w:tcPr>
            <w:tcW w:w="269" w:type="pct"/>
            <w:gridSpan w:val="3"/>
            <w:tcBorders>
              <w:top w:val="nil"/>
              <w:left w:val="nil"/>
              <w:bottom w:val="single" w:sz="4" w:space="0" w:color="auto"/>
              <w:right w:val="nil"/>
            </w:tcBorders>
            <w:shd w:val="clear" w:color="auto" w:fill="auto"/>
            <w:noWrap/>
            <w:vAlign w:val="bottom"/>
            <w:hideMark/>
          </w:tcPr>
          <w:p w14:paraId="58A64C78"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11,43</w:t>
            </w:r>
          </w:p>
        </w:tc>
        <w:tc>
          <w:tcPr>
            <w:tcW w:w="269" w:type="pct"/>
            <w:gridSpan w:val="2"/>
            <w:tcBorders>
              <w:top w:val="nil"/>
              <w:left w:val="nil"/>
              <w:bottom w:val="single" w:sz="4" w:space="0" w:color="auto"/>
              <w:right w:val="nil"/>
            </w:tcBorders>
            <w:shd w:val="clear" w:color="auto" w:fill="auto"/>
            <w:noWrap/>
            <w:vAlign w:val="bottom"/>
            <w:hideMark/>
          </w:tcPr>
          <w:p w14:paraId="7ED06E95"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11,89</w:t>
            </w:r>
          </w:p>
        </w:tc>
        <w:tc>
          <w:tcPr>
            <w:tcW w:w="269" w:type="pct"/>
            <w:gridSpan w:val="2"/>
            <w:tcBorders>
              <w:top w:val="nil"/>
              <w:left w:val="nil"/>
              <w:bottom w:val="single" w:sz="4" w:space="0" w:color="auto"/>
              <w:right w:val="nil"/>
            </w:tcBorders>
            <w:shd w:val="clear" w:color="auto" w:fill="auto"/>
            <w:noWrap/>
            <w:vAlign w:val="bottom"/>
            <w:hideMark/>
          </w:tcPr>
          <w:p w14:paraId="1D2F45EA"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12,03</w:t>
            </w:r>
          </w:p>
        </w:tc>
        <w:tc>
          <w:tcPr>
            <w:tcW w:w="269" w:type="pct"/>
            <w:gridSpan w:val="2"/>
            <w:tcBorders>
              <w:top w:val="nil"/>
              <w:left w:val="nil"/>
              <w:bottom w:val="single" w:sz="4" w:space="0" w:color="auto"/>
              <w:right w:val="nil"/>
            </w:tcBorders>
            <w:shd w:val="clear" w:color="auto" w:fill="auto"/>
            <w:noWrap/>
            <w:vAlign w:val="bottom"/>
            <w:hideMark/>
          </w:tcPr>
          <w:p w14:paraId="3999D82F"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13,16</w:t>
            </w:r>
          </w:p>
        </w:tc>
        <w:tc>
          <w:tcPr>
            <w:tcW w:w="269" w:type="pct"/>
            <w:gridSpan w:val="2"/>
            <w:tcBorders>
              <w:top w:val="nil"/>
              <w:left w:val="nil"/>
              <w:bottom w:val="single" w:sz="4" w:space="0" w:color="auto"/>
              <w:right w:val="nil"/>
            </w:tcBorders>
            <w:shd w:val="clear" w:color="auto" w:fill="auto"/>
            <w:noWrap/>
            <w:vAlign w:val="bottom"/>
            <w:hideMark/>
          </w:tcPr>
          <w:p w14:paraId="5E074310"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13,82</w:t>
            </w:r>
          </w:p>
        </w:tc>
        <w:tc>
          <w:tcPr>
            <w:tcW w:w="269" w:type="pct"/>
            <w:gridSpan w:val="2"/>
            <w:tcBorders>
              <w:top w:val="nil"/>
              <w:left w:val="nil"/>
              <w:bottom w:val="single" w:sz="4" w:space="0" w:color="auto"/>
              <w:right w:val="nil"/>
            </w:tcBorders>
            <w:shd w:val="clear" w:color="auto" w:fill="auto"/>
            <w:noWrap/>
            <w:vAlign w:val="bottom"/>
            <w:hideMark/>
          </w:tcPr>
          <w:p w14:paraId="57A49B4C"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14,41</w:t>
            </w:r>
          </w:p>
        </w:tc>
        <w:tc>
          <w:tcPr>
            <w:tcW w:w="271" w:type="pct"/>
            <w:gridSpan w:val="2"/>
            <w:tcBorders>
              <w:top w:val="nil"/>
              <w:left w:val="nil"/>
              <w:bottom w:val="single" w:sz="4" w:space="0" w:color="auto"/>
              <w:right w:val="nil"/>
            </w:tcBorders>
            <w:shd w:val="clear" w:color="auto" w:fill="auto"/>
            <w:noWrap/>
            <w:vAlign w:val="bottom"/>
            <w:hideMark/>
          </w:tcPr>
          <w:p w14:paraId="60E68E52" w14:textId="77777777" w:rsidR="00B54F4E" w:rsidRPr="00B267CC" w:rsidRDefault="00B54F4E" w:rsidP="006504C4">
            <w:pPr>
              <w:spacing w:before="0" w:after="0"/>
              <w:jc w:val="right"/>
              <w:rPr>
                <w:rFonts w:ascii="Calibri" w:hAnsi="Calibri" w:cs="Calibri"/>
                <w:color w:val="000000"/>
                <w:sz w:val="14"/>
                <w:szCs w:val="22"/>
                <w:lang w:eastAsia="es-CO"/>
              </w:rPr>
            </w:pPr>
            <w:r w:rsidRPr="00B267CC">
              <w:rPr>
                <w:rFonts w:ascii="Calibri" w:hAnsi="Calibri" w:cs="Calibri"/>
                <w:color w:val="000000"/>
                <w:sz w:val="14"/>
                <w:szCs w:val="22"/>
                <w:lang w:eastAsia="es-CO"/>
              </w:rPr>
              <w:t>14,73</w:t>
            </w:r>
          </w:p>
        </w:tc>
      </w:tr>
      <w:tr w:rsidR="00B54F4E" w:rsidRPr="00B267CC" w14:paraId="0F183CCC" w14:textId="77777777" w:rsidTr="006504C4">
        <w:trPr>
          <w:trHeight w:val="300"/>
        </w:trPr>
        <w:tc>
          <w:tcPr>
            <w:tcW w:w="962" w:type="pct"/>
            <w:tcBorders>
              <w:top w:val="nil"/>
              <w:left w:val="nil"/>
              <w:bottom w:val="nil"/>
              <w:right w:val="nil"/>
            </w:tcBorders>
            <w:shd w:val="clear" w:color="auto" w:fill="auto"/>
            <w:noWrap/>
            <w:vAlign w:val="bottom"/>
            <w:hideMark/>
          </w:tcPr>
          <w:p w14:paraId="6E37116E" w14:textId="77777777" w:rsidR="00B54F4E" w:rsidRPr="00B267CC" w:rsidRDefault="00B54F4E" w:rsidP="006504C4">
            <w:pPr>
              <w:spacing w:before="0" w:after="0"/>
              <w:jc w:val="left"/>
              <w:rPr>
                <w:rFonts w:ascii="Times New Roman" w:hAnsi="Times New Roman"/>
                <w:sz w:val="14"/>
                <w:lang w:eastAsia="es-CO"/>
              </w:rPr>
            </w:pPr>
          </w:p>
        </w:tc>
        <w:tc>
          <w:tcPr>
            <w:tcW w:w="876" w:type="pct"/>
            <w:gridSpan w:val="4"/>
            <w:tcBorders>
              <w:top w:val="nil"/>
              <w:left w:val="nil"/>
              <w:bottom w:val="nil"/>
              <w:right w:val="nil"/>
            </w:tcBorders>
            <w:shd w:val="clear" w:color="auto" w:fill="auto"/>
            <w:noWrap/>
            <w:vAlign w:val="bottom"/>
            <w:hideMark/>
          </w:tcPr>
          <w:p w14:paraId="51A4A6EA" w14:textId="77777777" w:rsidR="00B54F4E" w:rsidRPr="00B267CC" w:rsidRDefault="00B54F4E" w:rsidP="006504C4">
            <w:pPr>
              <w:spacing w:before="0" w:after="0"/>
              <w:jc w:val="left"/>
              <w:rPr>
                <w:rFonts w:ascii="Times New Roman" w:hAnsi="Times New Roman"/>
                <w:sz w:val="14"/>
                <w:lang w:eastAsia="es-CO"/>
              </w:rPr>
            </w:pPr>
          </w:p>
        </w:tc>
        <w:tc>
          <w:tcPr>
            <w:tcW w:w="221" w:type="pct"/>
            <w:gridSpan w:val="2"/>
            <w:tcBorders>
              <w:top w:val="nil"/>
              <w:left w:val="nil"/>
              <w:bottom w:val="nil"/>
              <w:right w:val="nil"/>
            </w:tcBorders>
            <w:shd w:val="clear" w:color="auto" w:fill="auto"/>
            <w:noWrap/>
            <w:vAlign w:val="bottom"/>
            <w:hideMark/>
          </w:tcPr>
          <w:p w14:paraId="34A445E3" w14:textId="77777777" w:rsidR="00B54F4E" w:rsidRPr="00B267CC" w:rsidRDefault="00B54F4E" w:rsidP="006504C4">
            <w:pPr>
              <w:spacing w:before="0" w:after="0"/>
              <w:jc w:val="left"/>
              <w:rPr>
                <w:rFonts w:ascii="Times New Roman" w:hAnsi="Times New Roman"/>
                <w:sz w:val="14"/>
                <w:lang w:eastAsia="es-CO"/>
              </w:rPr>
            </w:pPr>
          </w:p>
        </w:tc>
        <w:tc>
          <w:tcPr>
            <w:tcW w:w="217" w:type="pct"/>
            <w:tcBorders>
              <w:top w:val="nil"/>
              <w:left w:val="nil"/>
              <w:bottom w:val="nil"/>
              <w:right w:val="nil"/>
            </w:tcBorders>
            <w:shd w:val="clear" w:color="auto" w:fill="auto"/>
            <w:noWrap/>
            <w:vAlign w:val="bottom"/>
            <w:hideMark/>
          </w:tcPr>
          <w:p w14:paraId="1D19D801"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03805D3B"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6E85631E"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0E386911"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25236BB2" w14:textId="77777777" w:rsidR="00B54F4E" w:rsidRPr="00B267CC" w:rsidRDefault="00B54F4E" w:rsidP="006504C4">
            <w:pPr>
              <w:spacing w:before="0" w:after="0"/>
              <w:jc w:val="left"/>
              <w:rPr>
                <w:rFonts w:ascii="Times New Roman" w:hAnsi="Times New Roman"/>
                <w:sz w:val="14"/>
                <w:lang w:eastAsia="es-CO"/>
              </w:rPr>
            </w:pPr>
          </w:p>
        </w:tc>
        <w:tc>
          <w:tcPr>
            <w:tcW w:w="217" w:type="pct"/>
            <w:tcBorders>
              <w:top w:val="nil"/>
              <w:left w:val="nil"/>
              <w:bottom w:val="nil"/>
              <w:right w:val="nil"/>
            </w:tcBorders>
            <w:shd w:val="clear" w:color="auto" w:fill="auto"/>
            <w:noWrap/>
            <w:vAlign w:val="bottom"/>
            <w:hideMark/>
          </w:tcPr>
          <w:p w14:paraId="5AE7602F"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7961C0B7"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362B1DEC"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2F27C0E0"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231F188F"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7AFDEEDA"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7AC11747" w14:textId="77777777" w:rsidR="00B54F4E" w:rsidRPr="00B267CC" w:rsidRDefault="00B54F4E" w:rsidP="006504C4">
            <w:pPr>
              <w:spacing w:before="0" w:after="0"/>
              <w:jc w:val="left"/>
              <w:rPr>
                <w:rFonts w:ascii="Times New Roman" w:hAnsi="Times New Roman"/>
                <w:sz w:val="14"/>
                <w:lang w:eastAsia="es-CO"/>
              </w:rPr>
            </w:pPr>
          </w:p>
        </w:tc>
        <w:tc>
          <w:tcPr>
            <w:tcW w:w="235" w:type="pct"/>
            <w:tcBorders>
              <w:top w:val="nil"/>
              <w:left w:val="nil"/>
              <w:bottom w:val="nil"/>
              <w:right w:val="nil"/>
            </w:tcBorders>
            <w:shd w:val="clear" w:color="auto" w:fill="auto"/>
            <w:noWrap/>
            <w:vAlign w:val="bottom"/>
            <w:hideMark/>
          </w:tcPr>
          <w:p w14:paraId="5CA7092F" w14:textId="77777777" w:rsidR="00B54F4E" w:rsidRPr="00B267CC" w:rsidRDefault="00B54F4E" w:rsidP="006504C4">
            <w:pPr>
              <w:spacing w:before="0" w:after="0"/>
              <w:jc w:val="left"/>
              <w:rPr>
                <w:rFonts w:ascii="Times New Roman" w:hAnsi="Times New Roman"/>
                <w:sz w:val="14"/>
                <w:lang w:eastAsia="es-CO"/>
              </w:rPr>
            </w:pPr>
          </w:p>
        </w:tc>
      </w:tr>
      <w:tr w:rsidR="00B54F4E" w:rsidRPr="00B267CC" w14:paraId="4B50CCAD" w14:textId="77777777" w:rsidTr="006504C4">
        <w:trPr>
          <w:trHeight w:val="300"/>
        </w:trPr>
        <w:tc>
          <w:tcPr>
            <w:tcW w:w="962" w:type="pct"/>
            <w:tcBorders>
              <w:top w:val="single" w:sz="4" w:space="0" w:color="auto"/>
              <w:left w:val="single" w:sz="4" w:space="0" w:color="auto"/>
              <w:bottom w:val="single" w:sz="4" w:space="0" w:color="auto"/>
              <w:right w:val="nil"/>
            </w:tcBorders>
            <w:shd w:val="clear" w:color="000000" w:fill="E2EFDA"/>
            <w:noWrap/>
            <w:vAlign w:val="bottom"/>
            <w:hideMark/>
          </w:tcPr>
          <w:p w14:paraId="2FE12717" w14:textId="77777777" w:rsidR="00B54F4E" w:rsidRDefault="00B54F4E" w:rsidP="006504C4">
            <w:pPr>
              <w:spacing w:before="0" w:after="0"/>
              <w:jc w:val="left"/>
              <w:rPr>
                <w:rFonts w:ascii="Calibri" w:hAnsi="Calibri" w:cs="Calibri"/>
                <w:color w:val="000000"/>
                <w:sz w:val="16"/>
                <w:szCs w:val="22"/>
                <w:lang w:eastAsia="es-CO"/>
              </w:rPr>
            </w:pPr>
            <w:r w:rsidRPr="00B267CC">
              <w:rPr>
                <w:rFonts w:ascii="Calibri" w:hAnsi="Calibri" w:cs="Calibri"/>
                <w:color w:val="000000"/>
                <w:sz w:val="16"/>
                <w:szCs w:val="22"/>
                <w:lang w:eastAsia="es-CO"/>
              </w:rPr>
              <w:t>VPN dic 2016</w:t>
            </w:r>
          </w:p>
          <w:p w14:paraId="6BA5740C" w14:textId="77777777" w:rsidR="00B54F4E" w:rsidRPr="00B267CC" w:rsidRDefault="00B54F4E" w:rsidP="006504C4">
            <w:pPr>
              <w:spacing w:before="0" w:after="0"/>
              <w:jc w:val="left"/>
              <w:rPr>
                <w:rFonts w:ascii="Calibri" w:hAnsi="Calibri" w:cs="Calibri"/>
                <w:color w:val="000000"/>
                <w:sz w:val="16"/>
                <w:szCs w:val="22"/>
                <w:lang w:eastAsia="es-CO"/>
              </w:rPr>
            </w:pPr>
            <w:r w:rsidRPr="00B267CC">
              <w:rPr>
                <w:rFonts w:ascii="Calibri" w:hAnsi="Calibri" w:cs="Calibri"/>
                <w:color w:val="000000"/>
                <w:sz w:val="16"/>
                <w:szCs w:val="22"/>
                <w:lang w:eastAsia="es-CO"/>
              </w:rPr>
              <w:t>(Millones $USD)</w:t>
            </w:r>
          </w:p>
        </w:tc>
        <w:tc>
          <w:tcPr>
            <w:tcW w:w="876" w:type="pct"/>
            <w:gridSpan w:val="4"/>
            <w:tcBorders>
              <w:top w:val="single" w:sz="4" w:space="0" w:color="auto"/>
              <w:left w:val="nil"/>
              <w:bottom w:val="single" w:sz="4" w:space="0" w:color="auto"/>
              <w:right w:val="single" w:sz="4" w:space="0" w:color="auto"/>
            </w:tcBorders>
            <w:shd w:val="clear" w:color="000000" w:fill="E2EFDA"/>
            <w:noWrap/>
            <w:vAlign w:val="center"/>
            <w:hideMark/>
          </w:tcPr>
          <w:p w14:paraId="4561D045" w14:textId="77777777" w:rsidR="00B54F4E" w:rsidRPr="00B267CC" w:rsidRDefault="00B54F4E" w:rsidP="006504C4">
            <w:pPr>
              <w:spacing w:before="0" w:after="0"/>
              <w:jc w:val="center"/>
              <w:rPr>
                <w:rFonts w:ascii="Calibri" w:hAnsi="Calibri" w:cs="Calibri"/>
                <w:color w:val="000000"/>
                <w:sz w:val="16"/>
                <w:szCs w:val="22"/>
                <w:lang w:eastAsia="es-CO"/>
              </w:rPr>
            </w:pPr>
            <w:r w:rsidRPr="00B267CC">
              <w:rPr>
                <w:rFonts w:ascii="Calibri" w:hAnsi="Calibri" w:cs="Calibri"/>
                <w:color w:val="000000"/>
                <w:sz w:val="16"/>
                <w:szCs w:val="22"/>
                <w:lang w:eastAsia="es-CO"/>
              </w:rPr>
              <w:t>$29,96</w:t>
            </w:r>
          </w:p>
        </w:tc>
        <w:tc>
          <w:tcPr>
            <w:tcW w:w="221" w:type="pct"/>
            <w:gridSpan w:val="2"/>
            <w:tcBorders>
              <w:top w:val="nil"/>
              <w:left w:val="nil"/>
              <w:bottom w:val="nil"/>
              <w:right w:val="nil"/>
            </w:tcBorders>
            <w:shd w:val="clear" w:color="auto" w:fill="auto"/>
            <w:noWrap/>
            <w:vAlign w:val="bottom"/>
            <w:hideMark/>
          </w:tcPr>
          <w:p w14:paraId="547FADB9" w14:textId="77777777" w:rsidR="00B54F4E" w:rsidRPr="00B267CC" w:rsidRDefault="00B54F4E" w:rsidP="006504C4">
            <w:pPr>
              <w:spacing w:before="0" w:after="0"/>
              <w:jc w:val="right"/>
              <w:rPr>
                <w:rFonts w:ascii="Calibri" w:hAnsi="Calibri" w:cs="Calibri"/>
                <w:color w:val="000000"/>
                <w:sz w:val="14"/>
                <w:szCs w:val="22"/>
                <w:lang w:eastAsia="es-CO"/>
              </w:rPr>
            </w:pPr>
          </w:p>
        </w:tc>
        <w:tc>
          <w:tcPr>
            <w:tcW w:w="217" w:type="pct"/>
            <w:tcBorders>
              <w:top w:val="nil"/>
              <w:left w:val="nil"/>
              <w:bottom w:val="nil"/>
              <w:right w:val="nil"/>
            </w:tcBorders>
            <w:shd w:val="clear" w:color="auto" w:fill="auto"/>
            <w:noWrap/>
            <w:vAlign w:val="bottom"/>
            <w:hideMark/>
          </w:tcPr>
          <w:p w14:paraId="41387710"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2E3C6706"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5E490C39"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3366C5A4" w14:textId="77777777" w:rsidR="00B54F4E" w:rsidRPr="00B267CC" w:rsidRDefault="00B54F4E" w:rsidP="006504C4">
            <w:pPr>
              <w:spacing w:before="0" w:after="0"/>
              <w:jc w:val="left"/>
              <w:rPr>
                <w:rFonts w:ascii="Times New Roman" w:hAnsi="Times New Roman"/>
                <w:sz w:val="14"/>
                <w:lang w:eastAsia="es-CO"/>
              </w:rPr>
            </w:pPr>
          </w:p>
        </w:tc>
        <w:tc>
          <w:tcPr>
            <w:tcW w:w="217" w:type="pct"/>
            <w:gridSpan w:val="2"/>
            <w:tcBorders>
              <w:top w:val="nil"/>
              <w:left w:val="nil"/>
              <w:bottom w:val="nil"/>
              <w:right w:val="nil"/>
            </w:tcBorders>
            <w:shd w:val="clear" w:color="auto" w:fill="auto"/>
            <w:noWrap/>
            <w:vAlign w:val="bottom"/>
            <w:hideMark/>
          </w:tcPr>
          <w:p w14:paraId="08B903BE" w14:textId="77777777" w:rsidR="00B54F4E" w:rsidRPr="00B267CC" w:rsidRDefault="00B54F4E" w:rsidP="006504C4">
            <w:pPr>
              <w:spacing w:before="0" w:after="0"/>
              <w:jc w:val="left"/>
              <w:rPr>
                <w:rFonts w:ascii="Times New Roman" w:hAnsi="Times New Roman"/>
                <w:sz w:val="14"/>
                <w:lang w:eastAsia="es-CO"/>
              </w:rPr>
            </w:pPr>
          </w:p>
        </w:tc>
        <w:tc>
          <w:tcPr>
            <w:tcW w:w="217" w:type="pct"/>
            <w:tcBorders>
              <w:top w:val="nil"/>
              <w:left w:val="nil"/>
              <w:bottom w:val="nil"/>
              <w:right w:val="nil"/>
            </w:tcBorders>
            <w:shd w:val="clear" w:color="auto" w:fill="auto"/>
            <w:noWrap/>
            <w:vAlign w:val="bottom"/>
            <w:hideMark/>
          </w:tcPr>
          <w:p w14:paraId="3CD1375C"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4145AC1F"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28E90A17"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0F34CC41"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778CA06B"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68F31BA9" w14:textId="77777777" w:rsidR="00B54F4E" w:rsidRPr="00B267CC" w:rsidRDefault="00B54F4E" w:rsidP="006504C4">
            <w:pPr>
              <w:spacing w:before="0" w:after="0"/>
              <w:jc w:val="left"/>
              <w:rPr>
                <w:rFonts w:ascii="Times New Roman" w:hAnsi="Times New Roman"/>
                <w:sz w:val="14"/>
                <w:lang w:eastAsia="es-CO"/>
              </w:rPr>
            </w:pPr>
          </w:p>
        </w:tc>
        <w:tc>
          <w:tcPr>
            <w:tcW w:w="234" w:type="pct"/>
            <w:gridSpan w:val="2"/>
            <w:tcBorders>
              <w:top w:val="nil"/>
              <w:left w:val="nil"/>
              <w:bottom w:val="nil"/>
              <w:right w:val="nil"/>
            </w:tcBorders>
            <w:shd w:val="clear" w:color="auto" w:fill="auto"/>
            <w:noWrap/>
            <w:vAlign w:val="bottom"/>
            <w:hideMark/>
          </w:tcPr>
          <w:p w14:paraId="517906B9" w14:textId="77777777" w:rsidR="00B54F4E" w:rsidRPr="00B267CC" w:rsidRDefault="00B54F4E" w:rsidP="006504C4">
            <w:pPr>
              <w:spacing w:before="0" w:after="0"/>
              <w:jc w:val="left"/>
              <w:rPr>
                <w:rFonts w:ascii="Times New Roman" w:hAnsi="Times New Roman"/>
                <w:sz w:val="14"/>
                <w:lang w:eastAsia="es-CO"/>
              </w:rPr>
            </w:pPr>
          </w:p>
        </w:tc>
        <w:tc>
          <w:tcPr>
            <w:tcW w:w="235" w:type="pct"/>
            <w:tcBorders>
              <w:top w:val="nil"/>
              <w:left w:val="nil"/>
              <w:bottom w:val="nil"/>
              <w:right w:val="nil"/>
            </w:tcBorders>
            <w:shd w:val="clear" w:color="auto" w:fill="auto"/>
            <w:noWrap/>
            <w:vAlign w:val="bottom"/>
            <w:hideMark/>
          </w:tcPr>
          <w:p w14:paraId="2B03C95D" w14:textId="77777777" w:rsidR="00B54F4E" w:rsidRPr="00B267CC" w:rsidRDefault="00B54F4E" w:rsidP="006504C4">
            <w:pPr>
              <w:spacing w:before="0" w:after="0"/>
              <w:jc w:val="left"/>
              <w:rPr>
                <w:rFonts w:ascii="Times New Roman" w:hAnsi="Times New Roman"/>
                <w:sz w:val="14"/>
                <w:lang w:eastAsia="es-CO"/>
              </w:rPr>
            </w:pPr>
          </w:p>
        </w:tc>
      </w:tr>
    </w:tbl>
    <w:p w14:paraId="75C8E528" w14:textId="77777777" w:rsidR="00B54F4E" w:rsidRDefault="00B54F4E" w:rsidP="00B54F4E">
      <w:pPr>
        <w:rPr>
          <w:lang w:eastAsia="es-CO"/>
        </w:rPr>
      </w:pPr>
      <w:r>
        <w:rPr>
          <w:lang w:eastAsia="es-CO"/>
        </w:rPr>
        <w:t xml:space="preserve">En total, los beneficios </w:t>
      </w:r>
      <w:r w:rsidRPr="00461E55">
        <w:rPr>
          <w:lang w:eastAsia="es-CO"/>
        </w:rPr>
        <w:t>por menores precios esperados y reducción de emisiones asciend</w:t>
      </w:r>
      <w:r>
        <w:rPr>
          <w:lang w:eastAsia="es-CO"/>
        </w:rPr>
        <w:t>en</w:t>
      </w:r>
      <w:r w:rsidRPr="00461E55">
        <w:rPr>
          <w:lang w:eastAsia="es-CO"/>
        </w:rPr>
        <w:t xml:space="preserve"> a US$</w:t>
      </w:r>
      <w:r>
        <w:rPr>
          <w:lang w:eastAsia="es-CO"/>
        </w:rPr>
        <w:t>372 millones.</w:t>
      </w:r>
    </w:p>
    <w:p w14:paraId="370C2758" w14:textId="77777777" w:rsidR="00B54F4E" w:rsidRDefault="00B54F4E" w:rsidP="00B54F4E">
      <w:pPr>
        <w:spacing w:before="120" w:after="0"/>
        <w:rPr>
          <w:lang w:eastAsia="es-CO"/>
        </w:rPr>
      </w:pPr>
      <w:r>
        <w:rPr>
          <w:lang w:eastAsia="es-CO"/>
        </w:rPr>
        <w:t>En cuanto al incremento de inversión requerida en el escenario con mayor participación de energías renovables respecto al escenario base, y utilizando los valores de la Tabla 2, se obtienen los siguientes flujos de inversión en el horizonte de proyección.</w:t>
      </w:r>
    </w:p>
    <w:p w14:paraId="684E1F87" w14:textId="77777777" w:rsidR="00B54F4E" w:rsidRPr="008C12BC" w:rsidRDefault="00B54F4E" w:rsidP="00B54F4E">
      <w:pPr>
        <w:ind w:left="720"/>
        <w:jc w:val="center"/>
        <w:rPr>
          <w:b/>
        </w:rPr>
      </w:pPr>
      <w:bookmarkStart w:id="48" w:name="_Toc476136970"/>
      <w:bookmarkStart w:id="49" w:name="_Toc484097045"/>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5</w:t>
      </w:r>
      <w:r w:rsidRPr="008C12BC">
        <w:rPr>
          <w:b/>
        </w:rPr>
        <w:fldChar w:fldCharType="end"/>
      </w:r>
      <w:r w:rsidRPr="008C12BC">
        <w:rPr>
          <w:b/>
        </w:rPr>
        <w:t xml:space="preserve"> – </w:t>
      </w:r>
      <w:r w:rsidRPr="00AD47EF">
        <w:rPr>
          <w:b/>
        </w:rPr>
        <w:t xml:space="preserve">Inversión </w:t>
      </w:r>
      <w:r>
        <w:rPr>
          <w:b/>
        </w:rPr>
        <w:t>incremental en</w:t>
      </w:r>
      <w:r w:rsidRPr="00AD47EF">
        <w:rPr>
          <w:b/>
        </w:rPr>
        <w:t xml:space="preserve"> capacidad de generación</w:t>
      </w:r>
      <w:r>
        <w:rPr>
          <w:b/>
        </w:rPr>
        <w:br/>
        <w:t>(</w:t>
      </w:r>
      <w:r w:rsidRPr="00AD47EF">
        <w:rPr>
          <w:b/>
        </w:rPr>
        <w:t>Millones USD$ 2016)</w:t>
      </w:r>
      <w:bookmarkEnd w:id="48"/>
      <w:bookmarkEnd w:id="49"/>
    </w:p>
    <w:tbl>
      <w:tblPr>
        <w:tblW w:w="5000" w:type="pct"/>
        <w:tblLayout w:type="fixed"/>
        <w:tblCellMar>
          <w:left w:w="70" w:type="dxa"/>
          <w:right w:w="70" w:type="dxa"/>
        </w:tblCellMar>
        <w:tblLook w:val="04A0" w:firstRow="1" w:lastRow="0" w:firstColumn="1" w:lastColumn="0" w:noHBand="0" w:noVBand="1"/>
      </w:tblPr>
      <w:tblGrid>
        <w:gridCol w:w="1678"/>
        <w:gridCol w:w="478"/>
        <w:gridCol w:w="477"/>
        <w:gridCol w:w="477"/>
        <w:gridCol w:w="477"/>
        <w:gridCol w:w="65"/>
        <w:gridCol w:w="364"/>
        <w:gridCol w:w="48"/>
        <w:gridCol w:w="316"/>
        <w:gridCol w:w="161"/>
        <w:gridCol w:w="203"/>
        <w:gridCol w:w="274"/>
        <w:gridCol w:w="118"/>
        <w:gridCol w:w="364"/>
        <w:gridCol w:w="364"/>
        <w:gridCol w:w="113"/>
        <w:gridCol w:w="251"/>
        <w:gridCol w:w="226"/>
        <w:gridCol w:w="200"/>
        <w:gridCol w:w="278"/>
        <w:gridCol w:w="87"/>
        <w:gridCol w:w="364"/>
        <w:gridCol w:w="27"/>
        <w:gridCol w:w="338"/>
        <w:gridCol w:w="140"/>
        <w:gridCol w:w="224"/>
        <w:gridCol w:w="253"/>
        <w:gridCol w:w="111"/>
        <w:gridCol w:w="362"/>
      </w:tblGrid>
      <w:tr w:rsidR="00B54F4E" w:rsidRPr="00235633" w14:paraId="5571115E" w14:textId="77777777" w:rsidTr="006504C4">
        <w:trPr>
          <w:trHeight w:val="300"/>
        </w:trPr>
        <w:tc>
          <w:tcPr>
            <w:tcW w:w="2066" w:type="pct"/>
            <w:gridSpan w:val="6"/>
            <w:tcBorders>
              <w:top w:val="nil"/>
              <w:left w:val="nil"/>
              <w:bottom w:val="nil"/>
              <w:right w:val="nil"/>
            </w:tcBorders>
            <w:shd w:val="clear" w:color="auto" w:fill="auto"/>
            <w:noWrap/>
            <w:vAlign w:val="bottom"/>
            <w:hideMark/>
          </w:tcPr>
          <w:p w14:paraId="181C5F9A" w14:textId="77777777" w:rsidR="00B54F4E" w:rsidRPr="00235633" w:rsidRDefault="00B54F4E" w:rsidP="006504C4">
            <w:pPr>
              <w:spacing w:before="0" w:after="0"/>
              <w:jc w:val="left"/>
              <w:rPr>
                <w:rFonts w:ascii="Calibri" w:hAnsi="Calibri" w:cs="Calibri"/>
                <w:b/>
                <w:bCs/>
                <w:color w:val="000000"/>
                <w:sz w:val="14"/>
                <w:szCs w:val="14"/>
                <w:lang w:eastAsia="es-CO"/>
              </w:rPr>
            </w:pPr>
            <w:r w:rsidRPr="00235633">
              <w:rPr>
                <w:rFonts w:ascii="Calibri" w:hAnsi="Calibri" w:cs="Calibri"/>
                <w:b/>
                <w:bCs/>
                <w:color w:val="000000"/>
                <w:sz w:val="14"/>
                <w:szCs w:val="14"/>
                <w:lang w:eastAsia="es-CO"/>
              </w:rPr>
              <w:t>Inversión en nueva capacidad de generación instalada (Millones USD$ 2016)</w:t>
            </w:r>
          </w:p>
        </w:tc>
        <w:tc>
          <w:tcPr>
            <w:tcW w:w="206" w:type="pct"/>
            <w:tcBorders>
              <w:top w:val="nil"/>
              <w:left w:val="nil"/>
              <w:bottom w:val="nil"/>
              <w:right w:val="nil"/>
            </w:tcBorders>
            <w:shd w:val="clear" w:color="auto" w:fill="auto"/>
            <w:noWrap/>
            <w:vAlign w:val="bottom"/>
            <w:hideMark/>
          </w:tcPr>
          <w:p w14:paraId="138C5D75" w14:textId="77777777" w:rsidR="00B54F4E" w:rsidRPr="00235633" w:rsidRDefault="00B54F4E" w:rsidP="006504C4">
            <w:pPr>
              <w:spacing w:before="0" w:after="0"/>
              <w:jc w:val="left"/>
              <w:rPr>
                <w:rFonts w:ascii="Calibri" w:hAnsi="Calibri" w:cs="Calibri"/>
                <w:b/>
                <w:bCs/>
                <w:color w:val="000000"/>
                <w:sz w:val="14"/>
                <w:szCs w:val="14"/>
                <w:lang w:eastAsia="es-CO"/>
              </w:rPr>
            </w:pPr>
          </w:p>
        </w:tc>
        <w:tc>
          <w:tcPr>
            <w:tcW w:w="206" w:type="pct"/>
            <w:gridSpan w:val="2"/>
            <w:tcBorders>
              <w:top w:val="nil"/>
              <w:left w:val="nil"/>
              <w:bottom w:val="nil"/>
              <w:right w:val="nil"/>
            </w:tcBorders>
            <w:shd w:val="clear" w:color="auto" w:fill="auto"/>
            <w:noWrap/>
            <w:vAlign w:val="bottom"/>
            <w:hideMark/>
          </w:tcPr>
          <w:p w14:paraId="0AEA0210"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4E5DC7E6" w14:textId="77777777" w:rsidR="00B54F4E" w:rsidRPr="00235633" w:rsidRDefault="00B54F4E" w:rsidP="006504C4">
            <w:pPr>
              <w:spacing w:before="0" w:after="0"/>
              <w:jc w:val="left"/>
              <w:rPr>
                <w:rFonts w:ascii="Times New Roman" w:hAnsi="Times New Roman"/>
                <w:sz w:val="14"/>
                <w:szCs w:val="14"/>
                <w:lang w:eastAsia="es-CO"/>
              </w:rPr>
            </w:pPr>
          </w:p>
        </w:tc>
        <w:tc>
          <w:tcPr>
            <w:tcW w:w="222" w:type="pct"/>
            <w:gridSpan w:val="2"/>
            <w:tcBorders>
              <w:top w:val="nil"/>
              <w:left w:val="nil"/>
              <w:bottom w:val="nil"/>
              <w:right w:val="nil"/>
            </w:tcBorders>
            <w:shd w:val="clear" w:color="auto" w:fill="auto"/>
            <w:noWrap/>
            <w:vAlign w:val="bottom"/>
            <w:hideMark/>
          </w:tcPr>
          <w:p w14:paraId="7ECAA335"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3EE43498"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53C28D4D"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69B393E5" w14:textId="77777777" w:rsidR="00B54F4E" w:rsidRPr="00235633" w:rsidRDefault="00B54F4E" w:rsidP="006504C4">
            <w:pPr>
              <w:spacing w:before="0" w:after="0"/>
              <w:jc w:val="left"/>
              <w:rPr>
                <w:rFonts w:ascii="Times New Roman" w:hAnsi="Times New Roman"/>
                <w:sz w:val="14"/>
                <w:szCs w:val="14"/>
                <w:lang w:eastAsia="es-CO"/>
              </w:rPr>
            </w:pPr>
          </w:p>
        </w:tc>
        <w:tc>
          <w:tcPr>
            <w:tcW w:w="241" w:type="pct"/>
            <w:gridSpan w:val="2"/>
            <w:tcBorders>
              <w:top w:val="nil"/>
              <w:left w:val="nil"/>
              <w:bottom w:val="nil"/>
              <w:right w:val="nil"/>
            </w:tcBorders>
            <w:shd w:val="clear" w:color="auto" w:fill="auto"/>
            <w:noWrap/>
            <w:vAlign w:val="bottom"/>
            <w:hideMark/>
          </w:tcPr>
          <w:p w14:paraId="293D98A0"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3B150333"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30288389"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1D4AE79A"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5DA3C7B3"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6F31062D" w14:textId="77777777" w:rsidR="00B54F4E" w:rsidRPr="00235633" w:rsidRDefault="00B54F4E" w:rsidP="006504C4">
            <w:pPr>
              <w:spacing w:before="0" w:after="0"/>
              <w:jc w:val="left"/>
              <w:rPr>
                <w:rFonts w:ascii="Times New Roman" w:hAnsi="Times New Roman"/>
                <w:sz w:val="14"/>
                <w:szCs w:val="14"/>
                <w:lang w:eastAsia="es-CO"/>
              </w:rPr>
            </w:pPr>
          </w:p>
        </w:tc>
        <w:tc>
          <w:tcPr>
            <w:tcW w:w="205" w:type="pct"/>
            <w:tcBorders>
              <w:top w:val="nil"/>
              <w:left w:val="nil"/>
              <w:bottom w:val="nil"/>
              <w:right w:val="nil"/>
            </w:tcBorders>
            <w:shd w:val="clear" w:color="auto" w:fill="auto"/>
            <w:noWrap/>
            <w:vAlign w:val="bottom"/>
            <w:hideMark/>
          </w:tcPr>
          <w:p w14:paraId="46C6D89E" w14:textId="77777777" w:rsidR="00B54F4E" w:rsidRPr="00235633" w:rsidRDefault="00B54F4E" w:rsidP="006504C4">
            <w:pPr>
              <w:spacing w:before="0" w:after="0"/>
              <w:jc w:val="left"/>
              <w:rPr>
                <w:rFonts w:ascii="Times New Roman" w:hAnsi="Times New Roman"/>
                <w:sz w:val="14"/>
                <w:szCs w:val="14"/>
                <w:lang w:eastAsia="es-CO"/>
              </w:rPr>
            </w:pPr>
          </w:p>
        </w:tc>
      </w:tr>
      <w:tr w:rsidR="00B54F4E" w:rsidRPr="00235633" w14:paraId="74994308" w14:textId="77777777" w:rsidTr="006504C4">
        <w:trPr>
          <w:trHeight w:val="300"/>
        </w:trPr>
        <w:tc>
          <w:tcPr>
            <w:tcW w:w="949" w:type="pct"/>
            <w:tcBorders>
              <w:top w:val="nil"/>
              <w:left w:val="nil"/>
              <w:bottom w:val="single" w:sz="4" w:space="0" w:color="auto"/>
              <w:right w:val="nil"/>
            </w:tcBorders>
            <w:shd w:val="clear" w:color="auto" w:fill="auto"/>
            <w:noWrap/>
            <w:vAlign w:val="bottom"/>
            <w:hideMark/>
          </w:tcPr>
          <w:p w14:paraId="6DB43988" w14:textId="77777777" w:rsidR="00B54F4E" w:rsidRPr="00235633" w:rsidRDefault="00B54F4E" w:rsidP="006504C4">
            <w:pPr>
              <w:spacing w:before="0" w:after="0"/>
              <w:jc w:val="left"/>
              <w:rPr>
                <w:rFonts w:ascii="Calibri" w:hAnsi="Calibri" w:cs="Calibri"/>
                <w:color w:val="000000"/>
                <w:sz w:val="14"/>
                <w:szCs w:val="14"/>
                <w:lang w:eastAsia="es-CO"/>
              </w:rPr>
            </w:pPr>
            <w:r w:rsidRPr="00235633">
              <w:rPr>
                <w:rFonts w:ascii="Calibri" w:hAnsi="Calibri" w:cs="Calibri"/>
                <w:color w:val="000000"/>
                <w:sz w:val="14"/>
                <w:szCs w:val="14"/>
                <w:lang w:eastAsia="es-CO"/>
              </w:rPr>
              <w:t> </w:t>
            </w:r>
          </w:p>
        </w:tc>
        <w:tc>
          <w:tcPr>
            <w:tcW w:w="270" w:type="pct"/>
            <w:tcBorders>
              <w:top w:val="single" w:sz="4" w:space="0" w:color="FFFFFF"/>
              <w:left w:val="nil"/>
              <w:bottom w:val="single" w:sz="4" w:space="0" w:color="auto"/>
              <w:right w:val="single" w:sz="4" w:space="0" w:color="FFFFFF"/>
            </w:tcBorders>
            <w:shd w:val="clear" w:color="000000" w:fill="203764"/>
            <w:noWrap/>
            <w:vAlign w:val="bottom"/>
            <w:hideMark/>
          </w:tcPr>
          <w:p w14:paraId="3610164F"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2016</w:t>
            </w:r>
          </w:p>
        </w:tc>
        <w:tc>
          <w:tcPr>
            <w:tcW w:w="270" w:type="pct"/>
            <w:tcBorders>
              <w:top w:val="single" w:sz="4" w:space="0" w:color="FFFFFF"/>
              <w:left w:val="nil"/>
              <w:bottom w:val="single" w:sz="4" w:space="0" w:color="auto"/>
              <w:right w:val="single" w:sz="4" w:space="0" w:color="FFFFFF"/>
            </w:tcBorders>
            <w:shd w:val="clear" w:color="000000" w:fill="203764"/>
            <w:noWrap/>
            <w:vAlign w:val="bottom"/>
            <w:hideMark/>
          </w:tcPr>
          <w:p w14:paraId="2234B0F0"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2017</w:t>
            </w:r>
          </w:p>
        </w:tc>
        <w:tc>
          <w:tcPr>
            <w:tcW w:w="270" w:type="pct"/>
            <w:tcBorders>
              <w:top w:val="single" w:sz="4" w:space="0" w:color="FFFFFF"/>
              <w:left w:val="nil"/>
              <w:bottom w:val="single" w:sz="4" w:space="0" w:color="auto"/>
              <w:right w:val="single" w:sz="4" w:space="0" w:color="FFFFFF"/>
            </w:tcBorders>
            <w:shd w:val="clear" w:color="000000" w:fill="203764"/>
            <w:noWrap/>
            <w:vAlign w:val="bottom"/>
            <w:hideMark/>
          </w:tcPr>
          <w:p w14:paraId="5A74B1AA"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2018</w:t>
            </w:r>
          </w:p>
        </w:tc>
        <w:tc>
          <w:tcPr>
            <w:tcW w:w="270" w:type="pct"/>
            <w:tcBorders>
              <w:top w:val="single" w:sz="4" w:space="0" w:color="FFFFFF"/>
              <w:left w:val="nil"/>
              <w:bottom w:val="single" w:sz="4" w:space="0" w:color="auto"/>
              <w:right w:val="single" w:sz="4" w:space="0" w:color="FFFFFF"/>
            </w:tcBorders>
            <w:shd w:val="clear" w:color="000000" w:fill="203764"/>
            <w:noWrap/>
            <w:vAlign w:val="bottom"/>
            <w:hideMark/>
          </w:tcPr>
          <w:p w14:paraId="49D0B5BA"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2019</w:t>
            </w:r>
          </w:p>
        </w:tc>
        <w:tc>
          <w:tcPr>
            <w:tcW w:w="270"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66D87AC8"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2020</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19EB3F2C"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2021</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0E33FC4"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2022</w:t>
            </w:r>
          </w:p>
        </w:tc>
        <w:tc>
          <w:tcPr>
            <w:tcW w:w="273"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91238AA"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2023</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2B14B258"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2024</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40A929D"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2025</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34A7772A"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2026</w:t>
            </w:r>
          </w:p>
        </w:tc>
        <w:tc>
          <w:tcPr>
            <w:tcW w:w="270" w:type="pct"/>
            <w:gridSpan w:val="3"/>
            <w:tcBorders>
              <w:top w:val="single" w:sz="4" w:space="0" w:color="FFFFFF"/>
              <w:left w:val="nil"/>
              <w:bottom w:val="single" w:sz="4" w:space="0" w:color="auto"/>
              <w:right w:val="single" w:sz="4" w:space="0" w:color="FFFFFF"/>
            </w:tcBorders>
            <w:shd w:val="clear" w:color="000000" w:fill="203764"/>
            <w:noWrap/>
            <w:vAlign w:val="bottom"/>
            <w:hideMark/>
          </w:tcPr>
          <w:p w14:paraId="17934FD7"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2027</w:t>
            </w:r>
          </w:p>
        </w:tc>
        <w:tc>
          <w:tcPr>
            <w:tcW w:w="270"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096AACD2"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2028</w:t>
            </w:r>
          </w:p>
        </w:tc>
        <w:tc>
          <w:tcPr>
            <w:tcW w:w="270" w:type="pct"/>
            <w:gridSpan w:val="2"/>
            <w:tcBorders>
              <w:top w:val="single" w:sz="4" w:space="0" w:color="FFFFFF"/>
              <w:left w:val="nil"/>
              <w:bottom w:val="single" w:sz="4" w:space="0" w:color="auto"/>
              <w:right w:val="nil"/>
            </w:tcBorders>
            <w:shd w:val="clear" w:color="000000" w:fill="203764"/>
            <w:noWrap/>
            <w:vAlign w:val="bottom"/>
            <w:hideMark/>
          </w:tcPr>
          <w:p w14:paraId="5C74B33A"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2029</w:t>
            </w:r>
          </w:p>
        </w:tc>
        <w:tc>
          <w:tcPr>
            <w:tcW w:w="268"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040CA818" w14:textId="77777777" w:rsidR="00B54F4E" w:rsidRPr="00235633" w:rsidRDefault="00B54F4E" w:rsidP="006504C4">
            <w:pPr>
              <w:spacing w:before="0" w:after="0"/>
              <w:jc w:val="center"/>
              <w:rPr>
                <w:rFonts w:ascii="Calibri" w:hAnsi="Calibri" w:cs="Calibri"/>
                <w:color w:val="FFFFFF"/>
                <w:sz w:val="14"/>
                <w:szCs w:val="14"/>
                <w:lang w:eastAsia="es-CO"/>
              </w:rPr>
            </w:pPr>
            <w:r w:rsidRPr="00235633">
              <w:rPr>
                <w:rFonts w:ascii="Calibri" w:hAnsi="Calibri" w:cs="Calibri"/>
                <w:color w:val="FFFFFF"/>
                <w:sz w:val="14"/>
                <w:szCs w:val="14"/>
                <w:lang w:eastAsia="es-CO"/>
              </w:rPr>
              <w:t>2030</w:t>
            </w:r>
          </w:p>
        </w:tc>
      </w:tr>
      <w:tr w:rsidR="00B54F4E" w:rsidRPr="00235633" w14:paraId="1F67E5B6" w14:textId="77777777" w:rsidTr="006504C4">
        <w:trPr>
          <w:trHeight w:val="300"/>
        </w:trPr>
        <w:tc>
          <w:tcPr>
            <w:tcW w:w="949" w:type="pct"/>
            <w:tcBorders>
              <w:top w:val="nil"/>
              <w:left w:val="nil"/>
              <w:bottom w:val="nil"/>
              <w:right w:val="nil"/>
            </w:tcBorders>
            <w:shd w:val="clear" w:color="auto" w:fill="auto"/>
            <w:noWrap/>
            <w:vAlign w:val="bottom"/>
            <w:hideMark/>
          </w:tcPr>
          <w:p w14:paraId="36AD9174" w14:textId="77777777" w:rsidR="00B54F4E" w:rsidRPr="00235633" w:rsidRDefault="00B54F4E" w:rsidP="006504C4">
            <w:pPr>
              <w:spacing w:before="0" w:after="0"/>
              <w:jc w:val="left"/>
              <w:rPr>
                <w:rFonts w:ascii="Calibri" w:hAnsi="Calibri" w:cs="Calibri"/>
                <w:color w:val="000000"/>
                <w:sz w:val="14"/>
                <w:szCs w:val="14"/>
                <w:lang w:eastAsia="es-CO"/>
              </w:rPr>
            </w:pPr>
            <w:r w:rsidRPr="00235633">
              <w:rPr>
                <w:rFonts w:ascii="Calibri" w:hAnsi="Calibri" w:cs="Calibri"/>
                <w:color w:val="000000"/>
                <w:sz w:val="14"/>
                <w:szCs w:val="14"/>
                <w:lang w:eastAsia="es-CO"/>
              </w:rPr>
              <w:t>Escenario de referencia</w:t>
            </w:r>
          </w:p>
        </w:tc>
        <w:tc>
          <w:tcPr>
            <w:tcW w:w="270" w:type="pct"/>
            <w:tcBorders>
              <w:top w:val="nil"/>
              <w:left w:val="nil"/>
              <w:bottom w:val="nil"/>
              <w:right w:val="nil"/>
            </w:tcBorders>
            <w:shd w:val="clear" w:color="auto" w:fill="auto"/>
            <w:noWrap/>
            <w:hideMark/>
          </w:tcPr>
          <w:p w14:paraId="3BB1D93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313</w:t>
            </w:r>
          </w:p>
        </w:tc>
        <w:tc>
          <w:tcPr>
            <w:tcW w:w="270" w:type="pct"/>
            <w:tcBorders>
              <w:top w:val="nil"/>
              <w:left w:val="nil"/>
              <w:bottom w:val="nil"/>
              <w:right w:val="nil"/>
            </w:tcBorders>
            <w:shd w:val="clear" w:color="auto" w:fill="auto"/>
            <w:noWrap/>
            <w:hideMark/>
          </w:tcPr>
          <w:p w14:paraId="30E81204"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541</w:t>
            </w:r>
          </w:p>
        </w:tc>
        <w:tc>
          <w:tcPr>
            <w:tcW w:w="270" w:type="pct"/>
            <w:tcBorders>
              <w:top w:val="nil"/>
              <w:left w:val="nil"/>
              <w:bottom w:val="nil"/>
              <w:right w:val="nil"/>
            </w:tcBorders>
            <w:shd w:val="clear" w:color="auto" w:fill="auto"/>
            <w:noWrap/>
            <w:hideMark/>
          </w:tcPr>
          <w:p w14:paraId="5207EBE8"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616</w:t>
            </w:r>
          </w:p>
        </w:tc>
        <w:tc>
          <w:tcPr>
            <w:tcW w:w="270" w:type="pct"/>
            <w:tcBorders>
              <w:top w:val="nil"/>
              <w:left w:val="nil"/>
              <w:bottom w:val="nil"/>
              <w:right w:val="nil"/>
            </w:tcBorders>
            <w:shd w:val="clear" w:color="auto" w:fill="auto"/>
            <w:noWrap/>
            <w:hideMark/>
          </w:tcPr>
          <w:p w14:paraId="14F215ED"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507</w:t>
            </w:r>
          </w:p>
        </w:tc>
        <w:tc>
          <w:tcPr>
            <w:tcW w:w="270" w:type="pct"/>
            <w:gridSpan w:val="3"/>
            <w:tcBorders>
              <w:top w:val="nil"/>
              <w:left w:val="nil"/>
              <w:bottom w:val="nil"/>
              <w:right w:val="nil"/>
            </w:tcBorders>
            <w:shd w:val="clear" w:color="auto" w:fill="auto"/>
            <w:noWrap/>
            <w:hideMark/>
          </w:tcPr>
          <w:p w14:paraId="263FD521"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1.762</w:t>
            </w:r>
          </w:p>
        </w:tc>
        <w:tc>
          <w:tcPr>
            <w:tcW w:w="270" w:type="pct"/>
            <w:gridSpan w:val="2"/>
            <w:tcBorders>
              <w:top w:val="nil"/>
              <w:left w:val="nil"/>
              <w:bottom w:val="nil"/>
              <w:right w:val="nil"/>
            </w:tcBorders>
            <w:shd w:val="clear" w:color="auto" w:fill="auto"/>
            <w:noWrap/>
            <w:hideMark/>
          </w:tcPr>
          <w:p w14:paraId="79E01705"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137</w:t>
            </w:r>
          </w:p>
        </w:tc>
        <w:tc>
          <w:tcPr>
            <w:tcW w:w="270" w:type="pct"/>
            <w:gridSpan w:val="2"/>
            <w:tcBorders>
              <w:top w:val="nil"/>
              <w:left w:val="nil"/>
              <w:bottom w:val="nil"/>
              <w:right w:val="nil"/>
            </w:tcBorders>
            <w:shd w:val="clear" w:color="auto" w:fill="auto"/>
            <w:noWrap/>
            <w:hideMark/>
          </w:tcPr>
          <w:p w14:paraId="24E01853"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143</w:t>
            </w:r>
          </w:p>
        </w:tc>
        <w:tc>
          <w:tcPr>
            <w:tcW w:w="273" w:type="pct"/>
            <w:gridSpan w:val="2"/>
            <w:tcBorders>
              <w:top w:val="nil"/>
              <w:left w:val="nil"/>
              <w:bottom w:val="nil"/>
              <w:right w:val="nil"/>
            </w:tcBorders>
            <w:shd w:val="clear" w:color="auto" w:fill="auto"/>
            <w:noWrap/>
            <w:hideMark/>
          </w:tcPr>
          <w:p w14:paraId="4411E538"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23</w:t>
            </w:r>
          </w:p>
        </w:tc>
        <w:tc>
          <w:tcPr>
            <w:tcW w:w="270" w:type="pct"/>
            <w:gridSpan w:val="2"/>
            <w:tcBorders>
              <w:top w:val="nil"/>
              <w:left w:val="nil"/>
              <w:bottom w:val="nil"/>
              <w:right w:val="nil"/>
            </w:tcBorders>
            <w:shd w:val="clear" w:color="auto" w:fill="auto"/>
            <w:noWrap/>
            <w:hideMark/>
          </w:tcPr>
          <w:p w14:paraId="7D93709A"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1.504</w:t>
            </w:r>
          </w:p>
        </w:tc>
        <w:tc>
          <w:tcPr>
            <w:tcW w:w="270" w:type="pct"/>
            <w:gridSpan w:val="2"/>
            <w:tcBorders>
              <w:top w:val="nil"/>
              <w:left w:val="nil"/>
              <w:bottom w:val="nil"/>
              <w:right w:val="nil"/>
            </w:tcBorders>
            <w:shd w:val="clear" w:color="auto" w:fill="auto"/>
            <w:noWrap/>
            <w:hideMark/>
          </w:tcPr>
          <w:p w14:paraId="1C53CD4B"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0</w:t>
            </w:r>
          </w:p>
        </w:tc>
        <w:tc>
          <w:tcPr>
            <w:tcW w:w="270" w:type="pct"/>
            <w:gridSpan w:val="2"/>
            <w:tcBorders>
              <w:top w:val="nil"/>
              <w:left w:val="nil"/>
              <w:bottom w:val="nil"/>
              <w:right w:val="nil"/>
            </w:tcBorders>
            <w:shd w:val="clear" w:color="auto" w:fill="auto"/>
            <w:noWrap/>
            <w:hideMark/>
          </w:tcPr>
          <w:p w14:paraId="55F767C6"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737</w:t>
            </w:r>
          </w:p>
        </w:tc>
        <w:tc>
          <w:tcPr>
            <w:tcW w:w="270" w:type="pct"/>
            <w:gridSpan w:val="3"/>
            <w:tcBorders>
              <w:top w:val="nil"/>
              <w:left w:val="nil"/>
              <w:bottom w:val="nil"/>
              <w:right w:val="nil"/>
            </w:tcBorders>
            <w:shd w:val="clear" w:color="auto" w:fill="auto"/>
            <w:noWrap/>
            <w:hideMark/>
          </w:tcPr>
          <w:p w14:paraId="0F54F33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285</w:t>
            </w:r>
          </w:p>
        </w:tc>
        <w:tc>
          <w:tcPr>
            <w:tcW w:w="270" w:type="pct"/>
            <w:gridSpan w:val="2"/>
            <w:tcBorders>
              <w:top w:val="nil"/>
              <w:left w:val="nil"/>
              <w:bottom w:val="nil"/>
              <w:right w:val="nil"/>
            </w:tcBorders>
            <w:shd w:val="clear" w:color="auto" w:fill="auto"/>
            <w:noWrap/>
            <w:hideMark/>
          </w:tcPr>
          <w:p w14:paraId="490462F8"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125</w:t>
            </w:r>
          </w:p>
        </w:tc>
        <w:tc>
          <w:tcPr>
            <w:tcW w:w="270" w:type="pct"/>
            <w:gridSpan w:val="2"/>
            <w:tcBorders>
              <w:top w:val="nil"/>
              <w:left w:val="nil"/>
              <w:bottom w:val="nil"/>
              <w:right w:val="nil"/>
            </w:tcBorders>
            <w:shd w:val="clear" w:color="auto" w:fill="auto"/>
            <w:noWrap/>
            <w:hideMark/>
          </w:tcPr>
          <w:p w14:paraId="4855AEF1"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231</w:t>
            </w:r>
          </w:p>
        </w:tc>
        <w:tc>
          <w:tcPr>
            <w:tcW w:w="268" w:type="pct"/>
            <w:gridSpan w:val="2"/>
            <w:tcBorders>
              <w:top w:val="nil"/>
              <w:left w:val="nil"/>
              <w:bottom w:val="nil"/>
              <w:right w:val="nil"/>
            </w:tcBorders>
            <w:shd w:val="clear" w:color="auto" w:fill="auto"/>
            <w:noWrap/>
            <w:hideMark/>
          </w:tcPr>
          <w:p w14:paraId="1A252E24"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231</w:t>
            </w:r>
          </w:p>
        </w:tc>
      </w:tr>
      <w:tr w:rsidR="00B54F4E" w:rsidRPr="00235633" w14:paraId="007CBCC4" w14:textId="77777777" w:rsidTr="006504C4">
        <w:trPr>
          <w:trHeight w:val="300"/>
        </w:trPr>
        <w:tc>
          <w:tcPr>
            <w:tcW w:w="949" w:type="pct"/>
            <w:tcBorders>
              <w:top w:val="nil"/>
              <w:left w:val="nil"/>
              <w:bottom w:val="single" w:sz="4" w:space="0" w:color="auto"/>
              <w:right w:val="nil"/>
            </w:tcBorders>
            <w:shd w:val="clear" w:color="auto" w:fill="auto"/>
            <w:noWrap/>
            <w:vAlign w:val="bottom"/>
            <w:hideMark/>
          </w:tcPr>
          <w:p w14:paraId="6FE4274B" w14:textId="77777777" w:rsidR="00B54F4E" w:rsidRPr="00235633" w:rsidRDefault="00B54F4E" w:rsidP="006504C4">
            <w:pPr>
              <w:spacing w:before="0" w:after="0"/>
              <w:jc w:val="left"/>
              <w:rPr>
                <w:rFonts w:ascii="Calibri" w:hAnsi="Calibri" w:cs="Calibri"/>
                <w:color w:val="000000"/>
                <w:sz w:val="14"/>
                <w:szCs w:val="14"/>
                <w:lang w:eastAsia="es-CO"/>
              </w:rPr>
            </w:pPr>
            <w:r w:rsidRPr="00235633">
              <w:rPr>
                <w:rFonts w:ascii="Calibri" w:hAnsi="Calibri" w:cs="Calibri"/>
                <w:color w:val="000000"/>
                <w:sz w:val="14"/>
                <w:szCs w:val="14"/>
                <w:lang w:eastAsia="es-CO"/>
              </w:rPr>
              <w:t>Escenario Renovable</w:t>
            </w:r>
          </w:p>
        </w:tc>
        <w:tc>
          <w:tcPr>
            <w:tcW w:w="270" w:type="pct"/>
            <w:tcBorders>
              <w:top w:val="nil"/>
              <w:left w:val="nil"/>
              <w:bottom w:val="single" w:sz="4" w:space="0" w:color="auto"/>
              <w:right w:val="nil"/>
            </w:tcBorders>
            <w:shd w:val="clear" w:color="auto" w:fill="auto"/>
            <w:noWrap/>
            <w:hideMark/>
          </w:tcPr>
          <w:p w14:paraId="1EC46095"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313</w:t>
            </w:r>
          </w:p>
        </w:tc>
        <w:tc>
          <w:tcPr>
            <w:tcW w:w="270" w:type="pct"/>
            <w:tcBorders>
              <w:top w:val="nil"/>
              <w:left w:val="nil"/>
              <w:bottom w:val="single" w:sz="4" w:space="0" w:color="auto"/>
              <w:right w:val="nil"/>
            </w:tcBorders>
            <w:shd w:val="clear" w:color="auto" w:fill="auto"/>
            <w:noWrap/>
            <w:hideMark/>
          </w:tcPr>
          <w:p w14:paraId="6EBA032D"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541</w:t>
            </w:r>
          </w:p>
        </w:tc>
        <w:tc>
          <w:tcPr>
            <w:tcW w:w="270" w:type="pct"/>
            <w:tcBorders>
              <w:top w:val="nil"/>
              <w:left w:val="nil"/>
              <w:bottom w:val="single" w:sz="4" w:space="0" w:color="auto"/>
              <w:right w:val="nil"/>
            </w:tcBorders>
            <w:shd w:val="clear" w:color="auto" w:fill="auto"/>
            <w:noWrap/>
            <w:hideMark/>
          </w:tcPr>
          <w:p w14:paraId="7118C763"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616</w:t>
            </w:r>
          </w:p>
        </w:tc>
        <w:tc>
          <w:tcPr>
            <w:tcW w:w="270" w:type="pct"/>
            <w:tcBorders>
              <w:top w:val="nil"/>
              <w:left w:val="nil"/>
              <w:bottom w:val="single" w:sz="4" w:space="0" w:color="auto"/>
              <w:right w:val="nil"/>
            </w:tcBorders>
            <w:shd w:val="clear" w:color="auto" w:fill="auto"/>
            <w:noWrap/>
            <w:hideMark/>
          </w:tcPr>
          <w:p w14:paraId="5EA60C7C"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507</w:t>
            </w:r>
          </w:p>
        </w:tc>
        <w:tc>
          <w:tcPr>
            <w:tcW w:w="270" w:type="pct"/>
            <w:gridSpan w:val="3"/>
            <w:tcBorders>
              <w:top w:val="nil"/>
              <w:left w:val="nil"/>
              <w:bottom w:val="single" w:sz="4" w:space="0" w:color="auto"/>
              <w:right w:val="nil"/>
            </w:tcBorders>
            <w:shd w:val="clear" w:color="auto" w:fill="auto"/>
            <w:noWrap/>
            <w:hideMark/>
          </w:tcPr>
          <w:p w14:paraId="2339E410"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1.947</w:t>
            </w:r>
          </w:p>
        </w:tc>
        <w:tc>
          <w:tcPr>
            <w:tcW w:w="270" w:type="pct"/>
            <w:gridSpan w:val="2"/>
            <w:tcBorders>
              <w:top w:val="nil"/>
              <w:left w:val="nil"/>
              <w:bottom w:val="single" w:sz="4" w:space="0" w:color="auto"/>
              <w:right w:val="nil"/>
            </w:tcBorders>
            <w:shd w:val="clear" w:color="auto" w:fill="auto"/>
            <w:noWrap/>
            <w:hideMark/>
          </w:tcPr>
          <w:p w14:paraId="7EEF0CAE"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262</w:t>
            </w:r>
          </w:p>
        </w:tc>
        <w:tc>
          <w:tcPr>
            <w:tcW w:w="270" w:type="pct"/>
            <w:gridSpan w:val="2"/>
            <w:tcBorders>
              <w:top w:val="nil"/>
              <w:left w:val="nil"/>
              <w:bottom w:val="single" w:sz="4" w:space="0" w:color="auto"/>
              <w:right w:val="nil"/>
            </w:tcBorders>
            <w:shd w:val="clear" w:color="auto" w:fill="auto"/>
            <w:noWrap/>
            <w:hideMark/>
          </w:tcPr>
          <w:p w14:paraId="33C66B5E"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400</w:t>
            </w:r>
          </w:p>
        </w:tc>
        <w:tc>
          <w:tcPr>
            <w:tcW w:w="273" w:type="pct"/>
            <w:gridSpan w:val="2"/>
            <w:tcBorders>
              <w:top w:val="nil"/>
              <w:left w:val="nil"/>
              <w:bottom w:val="single" w:sz="4" w:space="0" w:color="auto"/>
              <w:right w:val="nil"/>
            </w:tcBorders>
            <w:shd w:val="clear" w:color="auto" w:fill="auto"/>
            <w:noWrap/>
            <w:hideMark/>
          </w:tcPr>
          <w:p w14:paraId="5E11CE3D"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393</w:t>
            </w:r>
          </w:p>
        </w:tc>
        <w:tc>
          <w:tcPr>
            <w:tcW w:w="270" w:type="pct"/>
            <w:gridSpan w:val="2"/>
            <w:tcBorders>
              <w:top w:val="nil"/>
              <w:left w:val="nil"/>
              <w:bottom w:val="single" w:sz="4" w:space="0" w:color="auto"/>
              <w:right w:val="nil"/>
            </w:tcBorders>
            <w:shd w:val="clear" w:color="auto" w:fill="auto"/>
            <w:noWrap/>
            <w:hideMark/>
          </w:tcPr>
          <w:p w14:paraId="6C21D2DF"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329</w:t>
            </w:r>
          </w:p>
        </w:tc>
        <w:tc>
          <w:tcPr>
            <w:tcW w:w="270" w:type="pct"/>
            <w:gridSpan w:val="2"/>
            <w:tcBorders>
              <w:top w:val="nil"/>
              <w:left w:val="nil"/>
              <w:bottom w:val="single" w:sz="4" w:space="0" w:color="auto"/>
              <w:right w:val="nil"/>
            </w:tcBorders>
            <w:shd w:val="clear" w:color="auto" w:fill="auto"/>
            <w:noWrap/>
            <w:hideMark/>
          </w:tcPr>
          <w:p w14:paraId="68A3B79C"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231</w:t>
            </w:r>
          </w:p>
        </w:tc>
        <w:tc>
          <w:tcPr>
            <w:tcW w:w="270" w:type="pct"/>
            <w:gridSpan w:val="2"/>
            <w:tcBorders>
              <w:top w:val="nil"/>
              <w:left w:val="nil"/>
              <w:bottom w:val="single" w:sz="4" w:space="0" w:color="auto"/>
              <w:right w:val="nil"/>
            </w:tcBorders>
            <w:shd w:val="clear" w:color="auto" w:fill="auto"/>
            <w:noWrap/>
            <w:hideMark/>
          </w:tcPr>
          <w:p w14:paraId="6BC7CC96"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992</w:t>
            </w:r>
          </w:p>
        </w:tc>
        <w:tc>
          <w:tcPr>
            <w:tcW w:w="270" w:type="pct"/>
            <w:gridSpan w:val="3"/>
            <w:tcBorders>
              <w:top w:val="nil"/>
              <w:left w:val="nil"/>
              <w:bottom w:val="single" w:sz="4" w:space="0" w:color="auto"/>
              <w:right w:val="nil"/>
            </w:tcBorders>
            <w:shd w:val="clear" w:color="auto" w:fill="auto"/>
            <w:noWrap/>
            <w:hideMark/>
          </w:tcPr>
          <w:p w14:paraId="6B008C6D"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538</w:t>
            </w:r>
          </w:p>
        </w:tc>
        <w:tc>
          <w:tcPr>
            <w:tcW w:w="270" w:type="pct"/>
            <w:gridSpan w:val="2"/>
            <w:tcBorders>
              <w:top w:val="nil"/>
              <w:left w:val="nil"/>
              <w:bottom w:val="single" w:sz="4" w:space="0" w:color="auto"/>
              <w:right w:val="nil"/>
            </w:tcBorders>
            <w:shd w:val="clear" w:color="auto" w:fill="auto"/>
            <w:noWrap/>
            <w:hideMark/>
          </w:tcPr>
          <w:p w14:paraId="0F182E35"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351</w:t>
            </w:r>
          </w:p>
        </w:tc>
        <w:tc>
          <w:tcPr>
            <w:tcW w:w="270" w:type="pct"/>
            <w:gridSpan w:val="2"/>
            <w:tcBorders>
              <w:top w:val="nil"/>
              <w:left w:val="nil"/>
              <w:bottom w:val="single" w:sz="4" w:space="0" w:color="auto"/>
              <w:right w:val="nil"/>
            </w:tcBorders>
            <w:shd w:val="clear" w:color="auto" w:fill="auto"/>
            <w:noWrap/>
            <w:hideMark/>
          </w:tcPr>
          <w:p w14:paraId="2DB15D6E"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157</w:t>
            </w:r>
          </w:p>
        </w:tc>
        <w:tc>
          <w:tcPr>
            <w:tcW w:w="268" w:type="pct"/>
            <w:gridSpan w:val="2"/>
            <w:tcBorders>
              <w:top w:val="nil"/>
              <w:left w:val="nil"/>
              <w:bottom w:val="single" w:sz="4" w:space="0" w:color="auto"/>
              <w:right w:val="nil"/>
            </w:tcBorders>
            <w:shd w:val="clear" w:color="auto" w:fill="auto"/>
            <w:noWrap/>
            <w:hideMark/>
          </w:tcPr>
          <w:p w14:paraId="085A04F4" w14:textId="77777777" w:rsidR="00B54F4E" w:rsidRPr="005C5B38" w:rsidRDefault="00B54F4E" w:rsidP="006504C4">
            <w:pPr>
              <w:spacing w:before="0" w:after="0"/>
              <w:jc w:val="right"/>
              <w:rPr>
                <w:rFonts w:asciiTheme="minorHAnsi" w:hAnsiTheme="minorHAnsi" w:cstheme="minorHAnsi"/>
                <w:color w:val="000000" w:themeColor="text1"/>
                <w:sz w:val="14"/>
                <w:szCs w:val="14"/>
                <w:lang w:eastAsia="es-CO"/>
              </w:rPr>
            </w:pPr>
            <w:r w:rsidRPr="005C5B38">
              <w:rPr>
                <w:rFonts w:asciiTheme="minorHAnsi" w:hAnsiTheme="minorHAnsi" w:cstheme="minorHAnsi"/>
                <w:sz w:val="14"/>
                <w:szCs w:val="14"/>
              </w:rPr>
              <w:t>231</w:t>
            </w:r>
          </w:p>
        </w:tc>
      </w:tr>
      <w:tr w:rsidR="00B54F4E" w:rsidRPr="00235633" w14:paraId="0DA6890D" w14:textId="77777777" w:rsidTr="006504C4">
        <w:trPr>
          <w:trHeight w:val="300"/>
        </w:trPr>
        <w:tc>
          <w:tcPr>
            <w:tcW w:w="949" w:type="pct"/>
            <w:tcBorders>
              <w:top w:val="nil"/>
              <w:left w:val="nil"/>
              <w:bottom w:val="single" w:sz="4" w:space="0" w:color="auto"/>
              <w:right w:val="nil"/>
            </w:tcBorders>
            <w:shd w:val="clear" w:color="auto" w:fill="auto"/>
            <w:noWrap/>
            <w:vAlign w:val="bottom"/>
            <w:hideMark/>
          </w:tcPr>
          <w:p w14:paraId="4C62608D" w14:textId="77777777" w:rsidR="00B54F4E" w:rsidRPr="00235633" w:rsidRDefault="00B54F4E" w:rsidP="006504C4">
            <w:pPr>
              <w:spacing w:before="0" w:after="0"/>
              <w:jc w:val="left"/>
              <w:rPr>
                <w:rFonts w:ascii="Calibri" w:hAnsi="Calibri" w:cs="Calibri"/>
                <w:color w:val="000000"/>
                <w:sz w:val="14"/>
                <w:szCs w:val="14"/>
                <w:lang w:eastAsia="es-CO"/>
              </w:rPr>
            </w:pPr>
            <w:r w:rsidRPr="00235633">
              <w:rPr>
                <w:rFonts w:ascii="Calibri" w:hAnsi="Calibri" w:cs="Calibri"/>
                <w:color w:val="000000"/>
                <w:sz w:val="14"/>
                <w:szCs w:val="14"/>
                <w:lang w:eastAsia="es-CO"/>
              </w:rPr>
              <w:t>Diferencia (mayores costos)</w:t>
            </w:r>
          </w:p>
        </w:tc>
        <w:tc>
          <w:tcPr>
            <w:tcW w:w="270" w:type="pct"/>
            <w:tcBorders>
              <w:top w:val="nil"/>
              <w:left w:val="nil"/>
              <w:bottom w:val="single" w:sz="4" w:space="0" w:color="auto"/>
              <w:right w:val="nil"/>
            </w:tcBorders>
            <w:shd w:val="clear" w:color="auto" w:fill="auto"/>
            <w:noWrap/>
            <w:hideMark/>
          </w:tcPr>
          <w:p w14:paraId="751EE7A6"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0</w:t>
            </w:r>
          </w:p>
        </w:tc>
        <w:tc>
          <w:tcPr>
            <w:tcW w:w="270" w:type="pct"/>
            <w:tcBorders>
              <w:top w:val="nil"/>
              <w:left w:val="nil"/>
              <w:bottom w:val="single" w:sz="4" w:space="0" w:color="auto"/>
              <w:right w:val="nil"/>
            </w:tcBorders>
            <w:shd w:val="clear" w:color="auto" w:fill="auto"/>
            <w:noWrap/>
            <w:hideMark/>
          </w:tcPr>
          <w:p w14:paraId="3DA9BC39"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0</w:t>
            </w:r>
          </w:p>
        </w:tc>
        <w:tc>
          <w:tcPr>
            <w:tcW w:w="270" w:type="pct"/>
            <w:tcBorders>
              <w:top w:val="nil"/>
              <w:left w:val="nil"/>
              <w:bottom w:val="single" w:sz="4" w:space="0" w:color="auto"/>
              <w:right w:val="nil"/>
            </w:tcBorders>
            <w:shd w:val="clear" w:color="auto" w:fill="auto"/>
            <w:noWrap/>
            <w:hideMark/>
          </w:tcPr>
          <w:p w14:paraId="33A6A65B"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0</w:t>
            </w:r>
          </w:p>
        </w:tc>
        <w:tc>
          <w:tcPr>
            <w:tcW w:w="270" w:type="pct"/>
            <w:tcBorders>
              <w:top w:val="nil"/>
              <w:left w:val="nil"/>
              <w:bottom w:val="single" w:sz="4" w:space="0" w:color="auto"/>
              <w:right w:val="nil"/>
            </w:tcBorders>
            <w:shd w:val="clear" w:color="auto" w:fill="auto"/>
            <w:noWrap/>
            <w:hideMark/>
          </w:tcPr>
          <w:p w14:paraId="1B48CE1F"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0</w:t>
            </w:r>
          </w:p>
        </w:tc>
        <w:tc>
          <w:tcPr>
            <w:tcW w:w="270" w:type="pct"/>
            <w:gridSpan w:val="3"/>
            <w:tcBorders>
              <w:top w:val="nil"/>
              <w:left w:val="nil"/>
              <w:bottom w:val="single" w:sz="4" w:space="0" w:color="auto"/>
              <w:right w:val="nil"/>
            </w:tcBorders>
            <w:shd w:val="clear" w:color="auto" w:fill="auto"/>
            <w:noWrap/>
            <w:hideMark/>
          </w:tcPr>
          <w:p w14:paraId="531845AA"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185</w:t>
            </w:r>
          </w:p>
        </w:tc>
        <w:tc>
          <w:tcPr>
            <w:tcW w:w="270" w:type="pct"/>
            <w:gridSpan w:val="2"/>
            <w:tcBorders>
              <w:top w:val="nil"/>
              <w:left w:val="nil"/>
              <w:bottom w:val="single" w:sz="4" w:space="0" w:color="auto"/>
              <w:right w:val="nil"/>
            </w:tcBorders>
            <w:shd w:val="clear" w:color="auto" w:fill="auto"/>
            <w:noWrap/>
            <w:hideMark/>
          </w:tcPr>
          <w:p w14:paraId="653572C2"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125</w:t>
            </w:r>
          </w:p>
        </w:tc>
        <w:tc>
          <w:tcPr>
            <w:tcW w:w="270" w:type="pct"/>
            <w:gridSpan w:val="2"/>
            <w:tcBorders>
              <w:top w:val="nil"/>
              <w:left w:val="nil"/>
              <w:bottom w:val="single" w:sz="4" w:space="0" w:color="auto"/>
              <w:right w:val="nil"/>
            </w:tcBorders>
            <w:shd w:val="clear" w:color="auto" w:fill="auto"/>
            <w:noWrap/>
            <w:hideMark/>
          </w:tcPr>
          <w:p w14:paraId="4E805AD0"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257</w:t>
            </w:r>
          </w:p>
        </w:tc>
        <w:tc>
          <w:tcPr>
            <w:tcW w:w="273" w:type="pct"/>
            <w:gridSpan w:val="2"/>
            <w:tcBorders>
              <w:top w:val="nil"/>
              <w:left w:val="nil"/>
              <w:bottom w:val="single" w:sz="4" w:space="0" w:color="auto"/>
              <w:right w:val="nil"/>
            </w:tcBorders>
            <w:shd w:val="clear" w:color="auto" w:fill="auto"/>
            <w:noWrap/>
            <w:hideMark/>
          </w:tcPr>
          <w:p w14:paraId="2D28AB57"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370</w:t>
            </w:r>
          </w:p>
        </w:tc>
        <w:tc>
          <w:tcPr>
            <w:tcW w:w="270" w:type="pct"/>
            <w:gridSpan w:val="2"/>
            <w:tcBorders>
              <w:top w:val="nil"/>
              <w:left w:val="nil"/>
              <w:bottom w:val="single" w:sz="4" w:space="0" w:color="auto"/>
              <w:right w:val="nil"/>
            </w:tcBorders>
            <w:shd w:val="clear" w:color="auto" w:fill="auto"/>
            <w:noWrap/>
            <w:hideMark/>
          </w:tcPr>
          <w:p w14:paraId="0C41F0EA"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-1175</w:t>
            </w:r>
          </w:p>
        </w:tc>
        <w:tc>
          <w:tcPr>
            <w:tcW w:w="270" w:type="pct"/>
            <w:gridSpan w:val="2"/>
            <w:tcBorders>
              <w:top w:val="nil"/>
              <w:left w:val="nil"/>
              <w:bottom w:val="single" w:sz="4" w:space="0" w:color="auto"/>
              <w:right w:val="nil"/>
            </w:tcBorders>
            <w:shd w:val="clear" w:color="auto" w:fill="auto"/>
            <w:noWrap/>
            <w:hideMark/>
          </w:tcPr>
          <w:p w14:paraId="58C3FF59"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231</w:t>
            </w:r>
          </w:p>
        </w:tc>
        <w:tc>
          <w:tcPr>
            <w:tcW w:w="270" w:type="pct"/>
            <w:gridSpan w:val="2"/>
            <w:tcBorders>
              <w:top w:val="nil"/>
              <w:left w:val="nil"/>
              <w:bottom w:val="single" w:sz="4" w:space="0" w:color="auto"/>
              <w:right w:val="nil"/>
            </w:tcBorders>
            <w:shd w:val="clear" w:color="auto" w:fill="auto"/>
            <w:noWrap/>
            <w:hideMark/>
          </w:tcPr>
          <w:p w14:paraId="7227D7F7"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255</w:t>
            </w:r>
          </w:p>
        </w:tc>
        <w:tc>
          <w:tcPr>
            <w:tcW w:w="270" w:type="pct"/>
            <w:gridSpan w:val="3"/>
            <w:tcBorders>
              <w:top w:val="nil"/>
              <w:left w:val="nil"/>
              <w:bottom w:val="single" w:sz="4" w:space="0" w:color="auto"/>
              <w:right w:val="nil"/>
            </w:tcBorders>
            <w:shd w:val="clear" w:color="auto" w:fill="auto"/>
            <w:noWrap/>
            <w:hideMark/>
          </w:tcPr>
          <w:p w14:paraId="7D950860"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253</w:t>
            </w:r>
          </w:p>
        </w:tc>
        <w:tc>
          <w:tcPr>
            <w:tcW w:w="270" w:type="pct"/>
            <w:gridSpan w:val="2"/>
            <w:tcBorders>
              <w:top w:val="nil"/>
              <w:left w:val="nil"/>
              <w:bottom w:val="single" w:sz="4" w:space="0" w:color="auto"/>
              <w:right w:val="nil"/>
            </w:tcBorders>
            <w:shd w:val="clear" w:color="auto" w:fill="auto"/>
            <w:noWrap/>
            <w:hideMark/>
          </w:tcPr>
          <w:p w14:paraId="596F4F92"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226</w:t>
            </w:r>
          </w:p>
        </w:tc>
        <w:tc>
          <w:tcPr>
            <w:tcW w:w="270" w:type="pct"/>
            <w:gridSpan w:val="2"/>
            <w:tcBorders>
              <w:top w:val="nil"/>
              <w:left w:val="nil"/>
              <w:bottom w:val="single" w:sz="4" w:space="0" w:color="auto"/>
              <w:right w:val="nil"/>
            </w:tcBorders>
            <w:shd w:val="clear" w:color="auto" w:fill="auto"/>
            <w:noWrap/>
            <w:hideMark/>
          </w:tcPr>
          <w:p w14:paraId="1E4C8841"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-74</w:t>
            </w:r>
          </w:p>
        </w:tc>
        <w:tc>
          <w:tcPr>
            <w:tcW w:w="268" w:type="pct"/>
            <w:gridSpan w:val="2"/>
            <w:tcBorders>
              <w:top w:val="nil"/>
              <w:left w:val="nil"/>
              <w:bottom w:val="single" w:sz="4" w:space="0" w:color="auto"/>
              <w:right w:val="nil"/>
            </w:tcBorders>
            <w:shd w:val="clear" w:color="auto" w:fill="auto"/>
            <w:noWrap/>
            <w:hideMark/>
          </w:tcPr>
          <w:p w14:paraId="7913F4E2" w14:textId="77777777" w:rsidR="00B54F4E" w:rsidRPr="005C5B38" w:rsidRDefault="00B54F4E" w:rsidP="006504C4">
            <w:pPr>
              <w:spacing w:before="0" w:after="0"/>
              <w:jc w:val="right"/>
              <w:rPr>
                <w:rFonts w:asciiTheme="minorHAnsi" w:hAnsiTheme="minorHAnsi" w:cstheme="minorHAnsi"/>
                <w:color w:val="000000"/>
                <w:sz w:val="14"/>
                <w:szCs w:val="14"/>
                <w:lang w:eastAsia="es-CO"/>
              </w:rPr>
            </w:pPr>
            <w:r w:rsidRPr="005C5B38">
              <w:rPr>
                <w:rFonts w:asciiTheme="minorHAnsi" w:hAnsiTheme="minorHAnsi" w:cstheme="minorHAnsi"/>
                <w:sz w:val="14"/>
                <w:szCs w:val="14"/>
              </w:rPr>
              <w:t>0</w:t>
            </w:r>
          </w:p>
        </w:tc>
      </w:tr>
      <w:tr w:rsidR="00B54F4E" w:rsidRPr="00235633" w14:paraId="234F999D" w14:textId="77777777" w:rsidTr="006504C4">
        <w:trPr>
          <w:trHeight w:val="300"/>
        </w:trPr>
        <w:tc>
          <w:tcPr>
            <w:tcW w:w="949" w:type="pct"/>
            <w:tcBorders>
              <w:top w:val="nil"/>
              <w:left w:val="nil"/>
              <w:bottom w:val="nil"/>
              <w:right w:val="nil"/>
            </w:tcBorders>
            <w:shd w:val="clear" w:color="auto" w:fill="auto"/>
            <w:noWrap/>
            <w:vAlign w:val="bottom"/>
            <w:hideMark/>
          </w:tcPr>
          <w:p w14:paraId="48E47071" w14:textId="77777777" w:rsidR="00B54F4E" w:rsidRPr="00235633" w:rsidRDefault="00B54F4E" w:rsidP="006504C4">
            <w:pPr>
              <w:spacing w:before="0" w:after="0"/>
              <w:jc w:val="right"/>
              <w:rPr>
                <w:rFonts w:ascii="Calibri" w:hAnsi="Calibri" w:cs="Calibri"/>
                <w:color w:val="000000"/>
                <w:sz w:val="14"/>
                <w:szCs w:val="14"/>
                <w:lang w:eastAsia="es-CO"/>
              </w:rPr>
            </w:pPr>
          </w:p>
        </w:tc>
        <w:tc>
          <w:tcPr>
            <w:tcW w:w="1117" w:type="pct"/>
            <w:gridSpan w:val="5"/>
            <w:tcBorders>
              <w:top w:val="nil"/>
              <w:left w:val="nil"/>
              <w:bottom w:val="nil"/>
              <w:right w:val="nil"/>
            </w:tcBorders>
            <w:shd w:val="clear" w:color="auto" w:fill="auto"/>
            <w:noWrap/>
            <w:vAlign w:val="bottom"/>
            <w:hideMark/>
          </w:tcPr>
          <w:p w14:paraId="7EBA8C25"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559F5343"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5C4A19DD"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21CF1C09" w14:textId="77777777" w:rsidR="00B54F4E" w:rsidRPr="00235633" w:rsidRDefault="00B54F4E" w:rsidP="006504C4">
            <w:pPr>
              <w:spacing w:before="0" w:after="0"/>
              <w:jc w:val="left"/>
              <w:rPr>
                <w:rFonts w:ascii="Times New Roman" w:hAnsi="Times New Roman"/>
                <w:sz w:val="14"/>
                <w:szCs w:val="14"/>
                <w:lang w:eastAsia="es-CO"/>
              </w:rPr>
            </w:pPr>
          </w:p>
        </w:tc>
        <w:tc>
          <w:tcPr>
            <w:tcW w:w="222" w:type="pct"/>
            <w:gridSpan w:val="2"/>
            <w:tcBorders>
              <w:top w:val="nil"/>
              <w:left w:val="nil"/>
              <w:bottom w:val="nil"/>
              <w:right w:val="nil"/>
            </w:tcBorders>
            <w:shd w:val="clear" w:color="auto" w:fill="auto"/>
            <w:noWrap/>
            <w:vAlign w:val="bottom"/>
            <w:hideMark/>
          </w:tcPr>
          <w:p w14:paraId="21735C90"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61B2CB3D"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232BD594"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63AD5040" w14:textId="77777777" w:rsidR="00B54F4E" w:rsidRPr="00235633" w:rsidRDefault="00B54F4E" w:rsidP="006504C4">
            <w:pPr>
              <w:spacing w:before="0" w:after="0"/>
              <w:jc w:val="left"/>
              <w:rPr>
                <w:rFonts w:ascii="Times New Roman" w:hAnsi="Times New Roman"/>
                <w:sz w:val="14"/>
                <w:szCs w:val="14"/>
                <w:lang w:eastAsia="es-CO"/>
              </w:rPr>
            </w:pPr>
          </w:p>
        </w:tc>
        <w:tc>
          <w:tcPr>
            <w:tcW w:w="241" w:type="pct"/>
            <w:gridSpan w:val="2"/>
            <w:tcBorders>
              <w:top w:val="nil"/>
              <w:left w:val="nil"/>
              <w:bottom w:val="nil"/>
              <w:right w:val="nil"/>
            </w:tcBorders>
            <w:shd w:val="clear" w:color="auto" w:fill="auto"/>
            <w:noWrap/>
            <w:vAlign w:val="bottom"/>
            <w:hideMark/>
          </w:tcPr>
          <w:p w14:paraId="0AEC9E04"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3276AF1C"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0E288CBB"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44ABA751"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083EAFE9"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67EF3D2E" w14:textId="77777777" w:rsidR="00B54F4E" w:rsidRPr="00235633" w:rsidRDefault="00B54F4E" w:rsidP="006504C4">
            <w:pPr>
              <w:spacing w:before="0" w:after="0"/>
              <w:jc w:val="left"/>
              <w:rPr>
                <w:rFonts w:ascii="Times New Roman" w:hAnsi="Times New Roman"/>
                <w:sz w:val="14"/>
                <w:szCs w:val="14"/>
                <w:lang w:eastAsia="es-CO"/>
              </w:rPr>
            </w:pPr>
          </w:p>
        </w:tc>
        <w:tc>
          <w:tcPr>
            <w:tcW w:w="205" w:type="pct"/>
            <w:tcBorders>
              <w:top w:val="nil"/>
              <w:left w:val="nil"/>
              <w:bottom w:val="nil"/>
              <w:right w:val="nil"/>
            </w:tcBorders>
            <w:shd w:val="clear" w:color="auto" w:fill="auto"/>
            <w:noWrap/>
            <w:vAlign w:val="bottom"/>
            <w:hideMark/>
          </w:tcPr>
          <w:p w14:paraId="600B0F1C" w14:textId="77777777" w:rsidR="00B54F4E" w:rsidRPr="00235633" w:rsidRDefault="00B54F4E" w:rsidP="006504C4">
            <w:pPr>
              <w:spacing w:before="0" w:after="0"/>
              <w:jc w:val="left"/>
              <w:rPr>
                <w:rFonts w:ascii="Times New Roman" w:hAnsi="Times New Roman"/>
                <w:sz w:val="14"/>
                <w:szCs w:val="14"/>
                <w:lang w:eastAsia="es-CO"/>
              </w:rPr>
            </w:pPr>
          </w:p>
        </w:tc>
      </w:tr>
      <w:tr w:rsidR="00B54F4E" w:rsidRPr="00235633" w14:paraId="71BDFC6D" w14:textId="77777777" w:rsidTr="006504C4">
        <w:trPr>
          <w:trHeight w:val="300"/>
        </w:trPr>
        <w:tc>
          <w:tcPr>
            <w:tcW w:w="949" w:type="pct"/>
            <w:tcBorders>
              <w:top w:val="single" w:sz="4" w:space="0" w:color="auto"/>
              <w:left w:val="single" w:sz="4" w:space="0" w:color="auto"/>
              <w:bottom w:val="single" w:sz="4" w:space="0" w:color="auto"/>
              <w:right w:val="nil"/>
            </w:tcBorders>
            <w:shd w:val="clear" w:color="000000" w:fill="E2EFDA"/>
            <w:noWrap/>
            <w:vAlign w:val="center"/>
            <w:hideMark/>
          </w:tcPr>
          <w:p w14:paraId="3FC4D9DA" w14:textId="77777777" w:rsidR="00B54F4E" w:rsidRDefault="00B54F4E" w:rsidP="006504C4">
            <w:pPr>
              <w:spacing w:before="0" w:after="0"/>
              <w:jc w:val="left"/>
              <w:rPr>
                <w:rFonts w:ascii="Calibri" w:hAnsi="Calibri" w:cs="Calibri"/>
                <w:color w:val="000000"/>
                <w:sz w:val="16"/>
                <w:szCs w:val="16"/>
                <w:lang w:eastAsia="es-CO"/>
              </w:rPr>
            </w:pPr>
            <w:r w:rsidRPr="00235633">
              <w:rPr>
                <w:rFonts w:ascii="Calibri" w:hAnsi="Calibri" w:cs="Calibri"/>
                <w:color w:val="000000"/>
                <w:sz w:val="16"/>
                <w:szCs w:val="16"/>
                <w:lang w:eastAsia="es-CO"/>
              </w:rPr>
              <w:t xml:space="preserve">VPN dic 2016 </w:t>
            </w:r>
          </w:p>
          <w:p w14:paraId="7DE65469" w14:textId="77777777" w:rsidR="00B54F4E" w:rsidRPr="00235633" w:rsidRDefault="00B54F4E" w:rsidP="006504C4">
            <w:pPr>
              <w:spacing w:before="0" w:after="0"/>
              <w:jc w:val="left"/>
              <w:rPr>
                <w:rFonts w:ascii="Calibri" w:hAnsi="Calibri" w:cs="Calibri"/>
                <w:color w:val="000000"/>
                <w:sz w:val="16"/>
                <w:szCs w:val="16"/>
                <w:lang w:eastAsia="es-CO"/>
              </w:rPr>
            </w:pPr>
            <w:r w:rsidRPr="00235633">
              <w:rPr>
                <w:rFonts w:ascii="Calibri" w:hAnsi="Calibri" w:cs="Calibri"/>
                <w:color w:val="000000"/>
                <w:sz w:val="16"/>
                <w:szCs w:val="16"/>
                <w:lang w:eastAsia="es-CO"/>
              </w:rPr>
              <w:t>(Millones $USD)</w:t>
            </w:r>
          </w:p>
        </w:tc>
        <w:tc>
          <w:tcPr>
            <w:tcW w:w="1117" w:type="pct"/>
            <w:gridSpan w:val="5"/>
            <w:tcBorders>
              <w:top w:val="single" w:sz="4" w:space="0" w:color="auto"/>
              <w:left w:val="nil"/>
              <w:bottom w:val="single" w:sz="4" w:space="0" w:color="auto"/>
              <w:right w:val="single" w:sz="4" w:space="0" w:color="auto"/>
            </w:tcBorders>
            <w:shd w:val="clear" w:color="000000" w:fill="E2EFDA"/>
            <w:noWrap/>
            <w:vAlign w:val="center"/>
            <w:hideMark/>
          </w:tcPr>
          <w:p w14:paraId="084146A5" w14:textId="77777777" w:rsidR="00B54F4E" w:rsidRPr="00235633" w:rsidRDefault="00B54F4E" w:rsidP="006504C4">
            <w:pPr>
              <w:spacing w:before="0" w:after="0"/>
              <w:jc w:val="center"/>
              <w:rPr>
                <w:rFonts w:ascii="Calibri" w:hAnsi="Calibri" w:cs="Calibri"/>
                <w:color w:val="000000"/>
                <w:sz w:val="16"/>
                <w:szCs w:val="16"/>
                <w:lang w:eastAsia="es-CO"/>
              </w:rPr>
            </w:pPr>
            <w:r w:rsidRPr="00235633">
              <w:rPr>
                <w:rFonts w:ascii="Calibri" w:hAnsi="Calibri" w:cs="Calibri"/>
                <w:color w:val="000000"/>
                <w:sz w:val="16"/>
                <w:szCs w:val="16"/>
                <w:lang w:eastAsia="es-CO"/>
              </w:rPr>
              <w:t>$</w:t>
            </w:r>
            <w:r>
              <w:rPr>
                <w:rFonts w:ascii="Calibri" w:hAnsi="Calibri" w:cs="Calibri"/>
                <w:color w:val="000000"/>
                <w:sz w:val="16"/>
                <w:szCs w:val="16"/>
                <w:lang w:eastAsia="es-CO"/>
              </w:rPr>
              <w:t>290</w:t>
            </w:r>
          </w:p>
        </w:tc>
        <w:tc>
          <w:tcPr>
            <w:tcW w:w="206" w:type="pct"/>
            <w:tcBorders>
              <w:top w:val="nil"/>
              <w:left w:val="nil"/>
              <w:bottom w:val="nil"/>
              <w:right w:val="nil"/>
            </w:tcBorders>
            <w:shd w:val="clear" w:color="auto" w:fill="auto"/>
            <w:noWrap/>
            <w:vAlign w:val="center"/>
            <w:hideMark/>
          </w:tcPr>
          <w:p w14:paraId="4B3FDD37" w14:textId="77777777" w:rsidR="00B54F4E" w:rsidRPr="00235633" w:rsidRDefault="00B54F4E" w:rsidP="006504C4">
            <w:pPr>
              <w:spacing w:before="0" w:after="0"/>
              <w:jc w:val="center"/>
              <w:rPr>
                <w:rFonts w:ascii="Calibri" w:hAnsi="Calibri" w:cs="Calibri"/>
                <w:color w:val="000000"/>
                <w:sz w:val="16"/>
                <w:szCs w:val="16"/>
                <w:lang w:eastAsia="es-CO"/>
              </w:rPr>
            </w:pPr>
          </w:p>
        </w:tc>
        <w:tc>
          <w:tcPr>
            <w:tcW w:w="206" w:type="pct"/>
            <w:gridSpan w:val="2"/>
            <w:tcBorders>
              <w:top w:val="nil"/>
              <w:left w:val="nil"/>
              <w:bottom w:val="nil"/>
              <w:right w:val="nil"/>
            </w:tcBorders>
            <w:shd w:val="clear" w:color="auto" w:fill="auto"/>
            <w:noWrap/>
            <w:vAlign w:val="bottom"/>
            <w:hideMark/>
          </w:tcPr>
          <w:p w14:paraId="6C166670"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3264C043" w14:textId="77777777" w:rsidR="00B54F4E" w:rsidRPr="00235633" w:rsidRDefault="00B54F4E" w:rsidP="006504C4">
            <w:pPr>
              <w:spacing w:before="0" w:after="0"/>
              <w:jc w:val="left"/>
              <w:rPr>
                <w:rFonts w:ascii="Times New Roman" w:hAnsi="Times New Roman"/>
                <w:sz w:val="14"/>
                <w:szCs w:val="14"/>
                <w:lang w:eastAsia="es-CO"/>
              </w:rPr>
            </w:pPr>
          </w:p>
        </w:tc>
        <w:tc>
          <w:tcPr>
            <w:tcW w:w="222" w:type="pct"/>
            <w:gridSpan w:val="2"/>
            <w:tcBorders>
              <w:top w:val="nil"/>
              <w:left w:val="nil"/>
              <w:bottom w:val="nil"/>
              <w:right w:val="nil"/>
            </w:tcBorders>
            <w:shd w:val="clear" w:color="auto" w:fill="auto"/>
            <w:noWrap/>
            <w:vAlign w:val="bottom"/>
            <w:hideMark/>
          </w:tcPr>
          <w:p w14:paraId="5E30A1A1"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0AB58EC9"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72335AB5"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372BB99B" w14:textId="77777777" w:rsidR="00B54F4E" w:rsidRPr="00235633" w:rsidRDefault="00B54F4E" w:rsidP="006504C4">
            <w:pPr>
              <w:spacing w:before="0" w:after="0"/>
              <w:jc w:val="left"/>
              <w:rPr>
                <w:rFonts w:ascii="Times New Roman" w:hAnsi="Times New Roman"/>
                <w:sz w:val="14"/>
                <w:szCs w:val="14"/>
                <w:lang w:eastAsia="es-CO"/>
              </w:rPr>
            </w:pPr>
          </w:p>
        </w:tc>
        <w:tc>
          <w:tcPr>
            <w:tcW w:w="241" w:type="pct"/>
            <w:gridSpan w:val="2"/>
            <w:tcBorders>
              <w:top w:val="nil"/>
              <w:left w:val="nil"/>
              <w:bottom w:val="nil"/>
              <w:right w:val="nil"/>
            </w:tcBorders>
            <w:shd w:val="clear" w:color="auto" w:fill="auto"/>
            <w:noWrap/>
            <w:vAlign w:val="bottom"/>
            <w:hideMark/>
          </w:tcPr>
          <w:p w14:paraId="237C3FDC"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70AA9883"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tcBorders>
              <w:top w:val="nil"/>
              <w:left w:val="nil"/>
              <w:bottom w:val="nil"/>
              <w:right w:val="nil"/>
            </w:tcBorders>
            <w:shd w:val="clear" w:color="auto" w:fill="auto"/>
            <w:noWrap/>
            <w:vAlign w:val="bottom"/>
            <w:hideMark/>
          </w:tcPr>
          <w:p w14:paraId="5BA9BF44"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1A1B8047"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2C14DED7" w14:textId="77777777" w:rsidR="00B54F4E" w:rsidRPr="00235633" w:rsidRDefault="00B54F4E" w:rsidP="006504C4">
            <w:pPr>
              <w:spacing w:before="0" w:after="0"/>
              <w:jc w:val="left"/>
              <w:rPr>
                <w:rFonts w:ascii="Times New Roman" w:hAnsi="Times New Roman"/>
                <w:sz w:val="14"/>
                <w:szCs w:val="14"/>
                <w:lang w:eastAsia="es-CO"/>
              </w:rPr>
            </w:pPr>
          </w:p>
        </w:tc>
        <w:tc>
          <w:tcPr>
            <w:tcW w:w="206" w:type="pct"/>
            <w:gridSpan w:val="2"/>
            <w:tcBorders>
              <w:top w:val="nil"/>
              <w:left w:val="nil"/>
              <w:bottom w:val="nil"/>
              <w:right w:val="nil"/>
            </w:tcBorders>
            <w:shd w:val="clear" w:color="auto" w:fill="auto"/>
            <w:noWrap/>
            <w:vAlign w:val="bottom"/>
            <w:hideMark/>
          </w:tcPr>
          <w:p w14:paraId="37B596AD" w14:textId="77777777" w:rsidR="00B54F4E" w:rsidRPr="00235633" w:rsidRDefault="00B54F4E" w:rsidP="006504C4">
            <w:pPr>
              <w:spacing w:before="0" w:after="0"/>
              <w:jc w:val="left"/>
              <w:rPr>
                <w:rFonts w:ascii="Times New Roman" w:hAnsi="Times New Roman"/>
                <w:sz w:val="14"/>
                <w:szCs w:val="14"/>
                <w:lang w:eastAsia="es-CO"/>
              </w:rPr>
            </w:pPr>
          </w:p>
        </w:tc>
        <w:tc>
          <w:tcPr>
            <w:tcW w:w="205" w:type="pct"/>
            <w:tcBorders>
              <w:top w:val="nil"/>
              <w:left w:val="nil"/>
              <w:bottom w:val="nil"/>
              <w:right w:val="nil"/>
            </w:tcBorders>
            <w:shd w:val="clear" w:color="auto" w:fill="auto"/>
            <w:noWrap/>
            <w:vAlign w:val="bottom"/>
            <w:hideMark/>
          </w:tcPr>
          <w:p w14:paraId="4C624A02" w14:textId="77777777" w:rsidR="00B54F4E" w:rsidRPr="00235633" w:rsidRDefault="00B54F4E" w:rsidP="006504C4">
            <w:pPr>
              <w:spacing w:before="0" w:after="0"/>
              <w:jc w:val="left"/>
              <w:rPr>
                <w:rFonts w:ascii="Times New Roman" w:hAnsi="Times New Roman"/>
                <w:sz w:val="14"/>
                <w:szCs w:val="14"/>
                <w:lang w:eastAsia="es-CO"/>
              </w:rPr>
            </w:pPr>
          </w:p>
        </w:tc>
      </w:tr>
    </w:tbl>
    <w:p w14:paraId="2089C94D" w14:textId="77777777" w:rsidR="00B54F4E" w:rsidRDefault="00B54F4E" w:rsidP="00B54F4E">
      <w:pPr>
        <w:rPr>
          <w:lang w:eastAsia="es-CO"/>
        </w:rPr>
      </w:pPr>
      <w:r>
        <w:rPr>
          <w:lang w:eastAsia="es-CO"/>
        </w:rPr>
        <w:t xml:space="preserve">El valor presente neto considerando los menores costos de generación, la reducción de emisiones y la inversión incremental originada por la instalación de nueva capacidad de generación con ER es de US$ 81,71 millones, y una TIR del 19,2%. El flujo proyectado de beneficios e inversión incremental se resume en la </w:t>
      </w:r>
      <w:r>
        <w:rPr>
          <w:lang w:eastAsia="es-CO"/>
        </w:rPr>
        <w:fldChar w:fldCharType="begin"/>
      </w:r>
      <w:r>
        <w:rPr>
          <w:lang w:eastAsia="es-CO"/>
        </w:rPr>
        <w:instrText xml:space="preserve"> REF _Ref476133601 \h </w:instrText>
      </w:r>
      <w:r>
        <w:rPr>
          <w:lang w:eastAsia="es-CO"/>
        </w:rPr>
      </w:r>
      <w:r>
        <w:rPr>
          <w:lang w:eastAsia="es-CO"/>
        </w:rPr>
        <w:fldChar w:fldCharType="separate"/>
      </w:r>
      <w:r w:rsidRPr="008C12BC">
        <w:rPr>
          <w:b/>
        </w:rPr>
        <w:t xml:space="preserve">Tabla </w:t>
      </w:r>
      <w:r>
        <w:rPr>
          <w:b/>
          <w:noProof/>
        </w:rPr>
        <w:t>6</w:t>
      </w:r>
      <w:r>
        <w:rPr>
          <w:lang w:eastAsia="es-CO"/>
        </w:rPr>
        <w:fldChar w:fldCharType="end"/>
      </w:r>
      <w:r>
        <w:rPr>
          <w:lang w:eastAsia="es-CO"/>
        </w:rPr>
        <w:t xml:space="preserve">. El resumen de costos totales por escenario valorados a precios del 2016, y desagregado según componente (CAPEX, OPEX y Costo Ambiental) se resume en la </w:t>
      </w:r>
      <w:r>
        <w:rPr>
          <w:lang w:eastAsia="es-CO"/>
        </w:rPr>
        <w:fldChar w:fldCharType="begin"/>
      </w:r>
      <w:r>
        <w:rPr>
          <w:lang w:eastAsia="es-CO"/>
        </w:rPr>
        <w:instrText xml:space="preserve"> REF _Ref481162993 \h </w:instrText>
      </w:r>
      <w:r>
        <w:rPr>
          <w:lang w:eastAsia="es-CO"/>
        </w:rPr>
      </w:r>
      <w:r>
        <w:rPr>
          <w:lang w:eastAsia="es-CO"/>
        </w:rPr>
        <w:fldChar w:fldCharType="separate"/>
      </w:r>
      <w:r w:rsidRPr="008C12BC">
        <w:rPr>
          <w:b/>
        </w:rPr>
        <w:t xml:space="preserve">Tabla </w:t>
      </w:r>
      <w:r>
        <w:rPr>
          <w:b/>
          <w:noProof/>
        </w:rPr>
        <w:t>7</w:t>
      </w:r>
      <w:r>
        <w:rPr>
          <w:lang w:eastAsia="es-CO"/>
        </w:rPr>
        <w:fldChar w:fldCharType="end"/>
      </w:r>
      <w:r>
        <w:rPr>
          <w:lang w:eastAsia="es-CO"/>
        </w:rPr>
        <w:t>.</w:t>
      </w:r>
    </w:p>
    <w:p w14:paraId="60FC516F" w14:textId="77777777" w:rsidR="00B54F4E" w:rsidRPr="008C12BC" w:rsidRDefault="00B54F4E" w:rsidP="00B54F4E">
      <w:pPr>
        <w:ind w:left="720"/>
        <w:jc w:val="center"/>
        <w:rPr>
          <w:b/>
        </w:rPr>
      </w:pPr>
      <w:bookmarkStart w:id="50" w:name="_Ref476133601"/>
      <w:bookmarkStart w:id="51" w:name="_Toc476136971"/>
      <w:bookmarkStart w:id="52" w:name="_Toc484097046"/>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6</w:t>
      </w:r>
      <w:r w:rsidRPr="008C12BC">
        <w:rPr>
          <w:b/>
        </w:rPr>
        <w:fldChar w:fldCharType="end"/>
      </w:r>
      <w:bookmarkEnd w:id="50"/>
      <w:r w:rsidRPr="008C12BC">
        <w:rPr>
          <w:b/>
        </w:rPr>
        <w:t xml:space="preserve"> – </w:t>
      </w:r>
      <w:r w:rsidRPr="009158AB">
        <w:rPr>
          <w:b/>
        </w:rPr>
        <w:t xml:space="preserve">Resumen de </w:t>
      </w:r>
      <w:r>
        <w:rPr>
          <w:b/>
        </w:rPr>
        <w:t>flujos diferenciales entre escenarios (</w:t>
      </w:r>
      <w:r w:rsidRPr="009158AB">
        <w:rPr>
          <w:b/>
        </w:rPr>
        <w:t>USD</w:t>
      </w:r>
      <w:r>
        <w:rPr>
          <w:b/>
        </w:rPr>
        <w:t>$</w:t>
      </w:r>
      <w:r w:rsidRPr="009158AB">
        <w:rPr>
          <w:b/>
        </w:rPr>
        <w:t xml:space="preserve"> Millones)</w:t>
      </w:r>
      <w:bookmarkEnd w:id="51"/>
      <w:bookmarkEnd w:id="52"/>
    </w:p>
    <w:tbl>
      <w:tblPr>
        <w:tblW w:w="5000" w:type="pct"/>
        <w:tblCellMar>
          <w:left w:w="70" w:type="dxa"/>
          <w:right w:w="70" w:type="dxa"/>
        </w:tblCellMar>
        <w:tblLook w:val="04A0" w:firstRow="1" w:lastRow="0" w:firstColumn="1" w:lastColumn="0" w:noHBand="0" w:noVBand="1"/>
      </w:tblPr>
      <w:tblGrid>
        <w:gridCol w:w="3215"/>
        <w:gridCol w:w="581"/>
        <w:gridCol w:w="560"/>
        <w:gridCol w:w="560"/>
        <w:gridCol w:w="560"/>
        <w:gridCol w:w="560"/>
        <w:gridCol w:w="560"/>
        <w:gridCol w:w="560"/>
        <w:gridCol w:w="560"/>
        <w:gridCol w:w="608"/>
        <w:gridCol w:w="509"/>
      </w:tblGrid>
      <w:tr w:rsidR="00B54F4E" w:rsidRPr="008B2A03" w14:paraId="7B64D257" w14:textId="77777777" w:rsidTr="006504C4">
        <w:trPr>
          <w:trHeight w:val="300"/>
        </w:trPr>
        <w:tc>
          <w:tcPr>
            <w:tcW w:w="1820" w:type="pct"/>
            <w:tcBorders>
              <w:top w:val="nil"/>
              <w:left w:val="nil"/>
              <w:bottom w:val="single" w:sz="4" w:space="0" w:color="auto"/>
              <w:right w:val="nil"/>
            </w:tcBorders>
            <w:shd w:val="clear" w:color="auto" w:fill="auto"/>
            <w:noWrap/>
            <w:vAlign w:val="bottom"/>
            <w:hideMark/>
          </w:tcPr>
          <w:p w14:paraId="4ACCED95" w14:textId="77777777" w:rsidR="00B54F4E" w:rsidRPr="008B2A03" w:rsidRDefault="00B54F4E" w:rsidP="006504C4">
            <w:pPr>
              <w:spacing w:before="0" w:after="0"/>
              <w:jc w:val="left"/>
              <w:rPr>
                <w:rFonts w:ascii="Calibri" w:hAnsi="Calibri" w:cs="Calibri"/>
                <w:color w:val="000000"/>
                <w:sz w:val="14"/>
                <w:szCs w:val="14"/>
                <w:lang w:eastAsia="es-CO"/>
              </w:rPr>
            </w:pPr>
            <w:r w:rsidRPr="008B2A03">
              <w:rPr>
                <w:rFonts w:ascii="Calibri" w:hAnsi="Calibri" w:cs="Calibri"/>
                <w:color w:val="000000"/>
                <w:sz w:val="14"/>
                <w:szCs w:val="14"/>
                <w:lang w:eastAsia="es-CO"/>
              </w:rPr>
              <w:t> </w:t>
            </w:r>
          </w:p>
        </w:tc>
        <w:tc>
          <w:tcPr>
            <w:tcW w:w="329" w:type="pct"/>
            <w:tcBorders>
              <w:top w:val="single" w:sz="4" w:space="0" w:color="FFFFFF"/>
              <w:left w:val="nil"/>
              <w:bottom w:val="single" w:sz="4" w:space="0" w:color="auto"/>
              <w:right w:val="single" w:sz="4" w:space="0" w:color="FFFFFF"/>
            </w:tcBorders>
            <w:shd w:val="clear" w:color="000000" w:fill="203764"/>
            <w:noWrap/>
            <w:vAlign w:val="bottom"/>
            <w:hideMark/>
          </w:tcPr>
          <w:p w14:paraId="32C35A4D"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2016</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0B6C0867"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2017</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4A8B1562"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2018</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54C032C2"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2019</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6C68145D"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2020</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6FE23675"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2021</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54501E50"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2022</w:t>
            </w:r>
          </w:p>
        </w:tc>
        <w:tc>
          <w:tcPr>
            <w:tcW w:w="317" w:type="pct"/>
            <w:tcBorders>
              <w:top w:val="single" w:sz="4" w:space="0" w:color="FFFFFF"/>
              <w:left w:val="nil"/>
              <w:bottom w:val="single" w:sz="4" w:space="0" w:color="auto"/>
              <w:right w:val="single" w:sz="4" w:space="0" w:color="FFFFFF"/>
            </w:tcBorders>
            <w:shd w:val="clear" w:color="000000" w:fill="203764"/>
            <w:noWrap/>
            <w:vAlign w:val="bottom"/>
            <w:hideMark/>
          </w:tcPr>
          <w:p w14:paraId="20A7CDFD"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2023</w:t>
            </w:r>
          </w:p>
        </w:tc>
        <w:tc>
          <w:tcPr>
            <w:tcW w:w="344" w:type="pct"/>
            <w:tcBorders>
              <w:top w:val="single" w:sz="4" w:space="0" w:color="FFFFFF"/>
              <w:left w:val="nil"/>
              <w:bottom w:val="single" w:sz="4" w:space="0" w:color="auto"/>
              <w:right w:val="single" w:sz="4" w:space="0" w:color="FFFFFF"/>
            </w:tcBorders>
            <w:shd w:val="clear" w:color="000000" w:fill="203764"/>
            <w:noWrap/>
            <w:vAlign w:val="bottom"/>
            <w:hideMark/>
          </w:tcPr>
          <w:p w14:paraId="60961E1A"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2024</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7A0DB850" w14:textId="77777777" w:rsidR="00B54F4E" w:rsidRPr="008B2A03" w:rsidRDefault="00B54F4E" w:rsidP="006504C4">
            <w:pPr>
              <w:spacing w:before="0" w:after="0"/>
              <w:jc w:val="center"/>
              <w:rPr>
                <w:rFonts w:ascii="Calibri" w:hAnsi="Calibri" w:cs="Calibri"/>
                <w:color w:val="FFFFFF"/>
                <w:sz w:val="14"/>
                <w:szCs w:val="14"/>
                <w:lang w:eastAsia="es-CO"/>
              </w:rPr>
            </w:pPr>
            <w:r w:rsidRPr="008B2A03">
              <w:rPr>
                <w:rFonts w:ascii="Calibri" w:hAnsi="Calibri" w:cs="Calibri"/>
                <w:color w:val="FFFFFF"/>
                <w:sz w:val="14"/>
                <w:szCs w:val="14"/>
                <w:lang w:eastAsia="es-CO"/>
              </w:rPr>
              <w:t>2025</w:t>
            </w:r>
          </w:p>
        </w:tc>
      </w:tr>
      <w:tr w:rsidR="00B54F4E" w:rsidRPr="008B2A03" w14:paraId="7B631AF8" w14:textId="77777777" w:rsidTr="006504C4">
        <w:trPr>
          <w:trHeight w:val="300"/>
        </w:trPr>
        <w:tc>
          <w:tcPr>
            <w:tcW w:w="1820" w:type="pct"/>
            <w:tcBorders>
              <w:top w:val="nil"/>
              <w:left w:val="nil"/>
              <w:bottom w:val="nil"/>
              <w:right w:val="nil"/>
            </w:tcBorders>
            <w:shd w:val="clear" w:color="auto" w:fill="auto"/>
            <w:noWrap/>
            <w:vAlign w:val="bottom"/>
            <w:hideMark/>
          </w:tcPr>
          <w:p w14:paraId="65E6486B" w14:textId="77777777" w:rsidR="00B54F4E" w:rsidRPr="008B2A03" w:rsidRDefault="00B54F4E" w:rsidP="006504C4">
            <w:pPr>
              <w:spacing w:before="0" w:after="0"/>
              <w:jc w:val="left"/>
              <w:rPr>
                <w:rFonts w:ascii="Calibri" w:hAnsi="Calibri" w:cs="Calibri"/>
                <w:color w:val="000000"/>
                <w:sz w:val="14"/>
                <w:szCs w:val="14"/>
                <w:lang w:eastAsia="es-CO"/>
              </w:rPr>
            </w:pPr>
            <w:r w:rsidRPr="008B2A03">
              <w:rPr>
                <w:rFonts w:ascii="Calibri" w:hAnsi="Calibri" w:cs="Calibri"/>
                <w:color w:val="000000"/>
                <w:sz w:val="14"/>
                <w:szCs w:val="14"/>
                <w:lang w:eastAsia="es-CO"/>
              </w:rPr>
              <w:t>+ Beneficios por menores precios de la energía en MO</w:t>
            </w:r>
          </w:p>
        </w:tc>
        <w:tc>
          <w:tcPr>
            <w:tcW w:w="329" w:type="pct"/>
            <w:tcBorders>
              <w:top w:val="nil"/>
              <w:left w:val="nil"/>
              <w:bottom w:val="nil"/>
              <w:right w:val="nil"/>
            </w:tcBorders>
            <w:shd w:val="clear" w:color="auto" w:fill="auto"/>
            <w:noWrap/>
            <w:vAlign w:val="bottom"/>
            <w:hideMark/>
          </w:tcPr>
          <w:p w14:paraId="4E75119A" w14:textId="77777777" w:rsidR="00B54F4E" w:rsidRPr="008B2A03" w:rsidRDefault="00B54F4E" w:rsidP="006504C4">
            <w:pPr>
              <w:spacing w:before="0" w:after="0"/>
              <w:jc w:val="left"/>
              <w:rPr>
                <w:rFonts w:ascii="Calibri" w:hAnsi="Calibri" w:cs="Calibri"/>
                <w:color w:val="000000"/>
                <w:sz w:val="14"/>
                <w:szCs w:val="14"/>
                <w:lang w:eastAsia="es-CO"/>
              </w:rPr>
            </w:pPr>
          </w:p>
        </w:tc>
        <w:tc>
          <w:tcPr>
            <w:tcW w:w="317" w:type="pct"/>
            <w:tcBorders>
              <w:top w:val="nil"/>
              <w:left w:val="nil"/>
              <w:bottom w:val="nil"/>
              <w:right w:val="nil"/>
            </w:tcBorders>
            <w:shd w:val="clear" w:color="auto" w:fill="auto"/>
            <w:noWrap/>
            <w:vAlign w:val="bottom"/>
            <w:hideMark/>
          </w:tcPr>
          <w:p w14:paraId="7C312DE3"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05BA61B8"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5A4373E2"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68C18D1A"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644EFCC7"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4544526F"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691B34A1"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44" w:type="pct"/>
            <w:tcBorders>
              <w:top w:val="nil"/>
              <w:left w:val="nil"/>
              <w:bottom w:val="nil"/>
              <w:right w:val="nil"/>
            </w:tcBorders>
            <w:shd w:val="clear" w:color="auto" w:fill="auto"/>
            <w:noWrap/>
            <w:vAlign w:val="bottom"/>
            <w:hideMark/>
          </w:tcPr>
          <w:p w14:paraId="53BEE931"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288" w:type="pct"/>
            <w:tcBorders>
              <w:top w:val="nil"/>
              <w:left w:val="nil"/>
              <w:bottom w:val="nil"/>
              <w:right w:val="nil"/>
            </w:tcBorders>
            <w:shd w:val="clear" w:color="auto" w:fill="auto"/>
            <w:noWrap/>
            <w:vAlign w:val="bottom"/>
            <w:hideMark/>
          </w:tcPr>
          <w:p w14:paraId="5E04DB6F"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r>
      <w:tr w:rsidR="00B54F4E" w:rsidRPr="008B2A03" w14:paraId="0AF6E3F3" w14:textId="77777777" w:rsidTr="006504C4">
        <w:trPr>
          <w:trHeight w:val="300"/>
        </w:trPr>
        <w:tc>
          <w:tcPr>
            <w:tcW w:w="1820" w:type="pct"/>
            <w:tcBorders>
              <w:top w:val="nil"/>
              <w:left w:val="nil"/>
              <w:bottom w:val="nil"/>
              <w:right w:val="nil"/>
            </w:tcBorders>
            <w:shd w:val="clear" w:color="auto" w:fill="auto"/>
            <w:noWrap/>
            <w:vAlign w:val="bottom"/>
            <w:hideMark/>
          </w:tcPr>
          <w:p w14:paraId="240EA0A5" w14:textId="77777777" w:rsidR="00B54F4E" w:rsidRPr="008B2A03" w:rsidRDefault="00B54F4E" w:rsidP="006504C4">
            <w:pPr>
              <w:spacing w:before="0" w:after="0"/>
              <w:jc w:val="left"/>
              <w:rPr>
                <w:rFonts w:ascii="Calibri" w:hAnsi="Calibri" w:cs="Calibri"/>
                <w:color w:val="000000"/>
                <w:sz w:val="14"/>
                <w:szCs w:val="14"/>
                <w:lang w:eastAsia="es-CO"/>
              </w:rPr>
            </w:pPr>
            <w:r w:rsidRPr="008B2A03">
              <w:rPr>
                <w:rFonts w:ascii="Calibri" w:hAnsi="Calibri" w:cs="Calibri"/>
                <w:color w:val="000000"/>
                <w:sz w:val="14"/>
                <w:szCs w:val="14"/>
                <w:lang w:eastAsia="es-CO"/>
              </w:rPr>
              <w:t>+ Beneficios por menor OPEX de generación</w:t>
            </w:r>
          </w:p>
        </w:tc>
        <w:tc>
          <w:tcPr>
            <w:tcW w:w="329" w:type="pct"/>
            <w:tcBorders>
              <w:top w:val="nil"/>
              <w:left w:val="nil"/>
              <w:bottom w:val="nil"/>
              <w:right w:val="nil"/>
            </w:tcBorders>
            <w:shd w:val="clear" w:color="auto" w:fill="auto"/>
            <w:noWrap/>
            <w:vAlign w:val="bottom"/>
            <w:hideMark/>
          </w:tcPr>
          <w:p w14:paraId="603599DB" w14:textId="77777777" w:rsidR="00B54F4E" w:rsidRPr="008B2A03" w:rsidRDefault="00B54F4E" w:rsidP="006504C4">
            <w:pPr>
              <w:spacing w:before="0" w:after="0"/>
              <w:jc w:val="left"/>
              <w:rPr>
                <w:rFonts w:ascii="Calibri" w:hAnsi="Calibri" w:cs="Calibri"/>
                <w:color w:val="000000"/>
                <w:sz w:val="14"/>
                <w:szCs w:val="14"/>
                <w:lang w:eastAsia="es-CO"/>
              </w:rPr>
            </w:pPr>
          </w:p>
        </w:tc>
        <w:tc>
          <w:tcPr>
            <w:tcW w:w="317" w:type="pct"/>
            <w:tcBorders>
              <w:top w:val="nil"/>
              <w:left w:val="nil"/>
              <w:bottom w:val="nil"/>
              <w:right w:val="nil"/>
            </w:tcBorders>
            <w:shd w:val="clear" w:color="auto" w:fill="auto"/>
            <w:noWrap/>
            <w:vAlign w:val="bottom"/>
            <w:hideMark/>
          </w:tcPr>
          <w:p w14:paraId="035C3E14"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-0,8</w:t>
            </w:r>
          </w:p>
        </w:tc>
        <w:tc>
          <w:tcPr>
            <w:tcW w:w="317" w:type="pct"/>
            <w:tcBorders>
              <w:top w:val="nil"/>
              <w:left w:val="nil"/>
              <w:bottom w:val="nil"/>
              <w:right w:val="nil"/>
            </w:tcBorders>
            <w:shd w:val="clear" w:color="auto" w:fill="auto"/>
            <w:noWrap/>
            <w:vAlign w:val="bottom"/>
            <w:hideMark/>
          </w:tcPr>
          <w:p w14:paraId="04C63EBD"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0,7</w:t>
            </w:r>
          </w:p>
        </w:tc>
        <w:tc>
          <w:tcPr>
            <w:tcW w:w="317" w:type="pct"/>
            <w:tcBorders>
              <w:top w:val="nil"/>
              <w:left w:val="nil"/>
              <w:bottom w:val="nil"/>
              <w:right w:val="nil"/>
            </w:tcBorders>
            <w:shd w:val="clear" w:color="auto" w:fill="auto"/>
            <w:noWrap/>
            <w:vAlign w:val="bottom"/>
            <w:hideMark/>
          </w:tcPr>
          <w:p w14:paraId="44619859"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0,5</w:t>
            </w:r>
          </w:p>
        </w:tc>
        <w:tc>
          <w:tcPr>
            <w:tcW w:w="317" w:type="pct"/>
            <w:tcBorders>
              <w:top w:val="nil"/>
              <w:left w:val="nil"/>
              <w:bottom w:val="nil"/>
              <w:right w:val="nil"/>
            </w:tcBorders>
            <w:shd w:val="clear" w:color="auto" w:fill="auto"/>
            <w:noWrap/>
            <w:vAlign w:val="bottom"/>
            <w:hideMark/>
          </w:tcPr>
          <w:p w14:paraId="6F1E774E"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12,3</w:t>
            </w:r>
          </w:p>
        </w:tc>
        <w:tc>
          <w:tcPr>
            <w:tcW w:w="317" w:type="pct"/>
            <w:tcBorders>
              <w:top w:val="nil"/>
              <w:left w:val="nil"/>
              <w:bottom w:val="nil"/>
              <w:right w:val="nil"/>
            </w:tcBorders>
            <w:shd w:val="clear" w:color="auto" w:fill="auto"/>
            <w:noWrap/>
            <w:vAlign w:val="bottom"/>
            <w:hideMark/>
          </w:tcPr>
          <w:p w14:paraId="7ED3D787"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15,6</w:t>
            </w:r>
          </w:p>
        </w:tc>
        <w:tc>
          <w:tcPr>
            <w:tcW w:w="317" w:type="pct"/>
            <w:tcBorders>
              <w:top w:val="nil"/>
              <w:left w:val="nil"/>
              <w:bottom w:val="nil"/>
              <w:right w:val="nil"/>
            </w:tcBorders>
            <w:shd w:val="clear" w:color="auto" w:fill="auto"/>
            <w:noWrap/>
            <w:vAlign w:val="bottom"/>
            <w:hideMark/>
          </w:tcPr>
          <w:p w14:paraId="20006156"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35,6</w:t>
            </w:r>
          </w:p>
        </w:tc>
        <w:tc>
          <w:tcPr>
            <w:tcW w:w="317" w:type="pct"/>
            <w:tcBorders>
              <w:top w:val="nil"/>
              <w:left w:val="nil"/>
              <w:bottom w:val="nil"/>
              <w:right w:val="nil"/>
            </w:tcBorders>
            <w:shd w:val="clear" w:color="auto" w:fill="auto"/>
            <w:noWrap/>
            <w:vAlign w:val="bottom"/>
            <w:hideMark/>
          </w:tcPr>
          <w:p w14:paraId="49A2ED7E"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47,1</w:t>
            </w:r>
          </w:p>
        </w:tc>
        <w:tc>
          <w:tcPr>
            <w:tcW w:w="344" w:type="pct"/>
            <w:tcBorders>
              <w:top w:val="nil"/>
              <w:left w:val="nil"/>
              <w:bottom w:val="nil"/>
              <w:right w:val="nil"/>
            </w:tcBorders>
            <w:shd w:val="clear" w:color="auto" w:fill="auto"/>
            <w:noWrap/>
            <w:vAlign w:val="bottom"/>
            <w:hideMark/>
          </w:tcPr>
          <w:p w14:paraId="0A7DDF08"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107,1</w:t>
            </w:r>
          </w:p>
        </w:tc>
        <w:tc>
          <w:tcPr>
            <w:tcW w:w="288" w:type="pct"/>
            <w:tcBorders>
              <w:top w:val="nil"/>
              <w:left w:val="nil"/>
              <w:bottom w:val="nil"/>
              <w:right w:val="nil"/>
            </w:tcBorders>
            <w:shd w:val="clear" w:color="auto" w:fill="auto"/>
            <w:noWrap/>
            <w:vAlign w:val="bottom"/>
            <w:hideMark/>
          </w:tcPr>
          <w:p w14:paraId="19E1EABC"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107,6</w:t>
            </w:r>
          </w:p>
        </w:tc>
      </w:tr>
      <w:tr w:rsidR="00B54F4E" w:rsidRPr="008B2A03" w14:paraId="77FB7B20" w14:textId="77777777" w:rsidTr="006504C4">
        <w:trPr>
          <w:trHeight w:val="300"/>
        </w:trPr>
        <w:tc>
          <w:tcPr>
            <w:tcW w:w="1820" w:type="pct"/>
            <w:tcBorders>
              <w:top w:val="nil"/>
              <w:left w:val="nil"/>
              <w:bottom w:val="nil"/>
              <w:right w:val="nil"/>
            </w:tcBorders>
            <w:shd w:val="clear" w:color="auto" w:fill="auto"/>
            <w:noWrap/>
            <w:vAlign w:val="bottom"/>
            <w:hideMark/>
          </w:tcPr>
          <w:p w14:paraId="3C9396DA" w14:textId="77777777" w:rsidR="00B54F4E" w:rsidRPr="008B2A03" w:rsidRDefault="00B54F4E" w:rsidP="006504C4">
            <w:pPr>
              <w:spacing w:before="0" w:after="0"/>
              <w:jc w:val="left"/>
              <w:rPr>
                <w:rFonts w:ascii="Calibri" w:hAnsi="Calibri" w:cs="Calibri"/>
                <w:color w:val="000000"/>
                <w:sz w:val="14"/>
                <w:szCs w:val="14"/>
                <w:lang w:eastAsia="es-CO"/>
              </w:rPr>
            </w:pPr>
            <w:r w:rsidRPr="008B2A03">
              <w:rPr>
                <w:rFonts w:ascii="Calibri" w:hAnsi="Calibri" w:cs="Calibri"/>
                <w:color w:val="000000"/>
                <w:sz w:val="14"/>
                <w:szCs w:val="14"/>
                <w:lang w:eastAsia="es-CO"/>
              </w:rPr>
              <w:t>+ Beneficios por reducción de emisiones de CO2</w:t>
            </w:r>
          </w:p>
        </w:tc>
        <w:tc>
          <w:tcPr>
            <w:tcW w:w="329" w:type="pct"/>
            <w:tcBorders>
              <w:top w:val="nil"/>
              <w:left w:val="nil"/>
              <w:bottom w:val="nil"/>
              <w:right w:val="nil"/>
            </w:tcBorders>
            <w:shd w:val="clear" w:color="auto" w:fill="auto"/>
            <w:noWrap/>
            <w:vAlign w:val="bottom"/>
            <w:hideMark/>
          </w:tcPr>
          <w:p w14:paraId="050EFE2B" w14:textId="77777777" w:rsidR="00B54F4E" w:rsidRPr="008B2A03" w:rsidRDefault="00B54F4E" w:rsidP="006504C4">
            <w:pPr>
              <w:spacing w:before="0" w:after="0"/>
              <w:jc w:val="left"/>
              <w:rPr>
                <w:rFonts w:ascii="Calibri" w:hAnsi="Calibri" w:cs="Calibri"/>
                <w:color w:val="000000"/>
                <w:sz w:val="14"/>
                <w:szCs w:val="14"/>
                <w:lang w:eastAsia="es-CO"/>
              </w:rPr>
            </w:pPr>
          </w:p>
        </w:tc>
        <w:tc>
          <w:tcPr>
            <w:tcW w:w="317" w:type="pct"/>
            <w:tcBorders>
              <w:top w:val="nil"/>
              <w:left w:val="nil"/>
              <w:bottom w:val="nil"/>
              <w:right w:val="nil"/>
            </w:tcBorders>
            <w:shd w:val="clear" w:color="auto" w:fill="auto"/>
            <w:noWrap/>
            <w:vAlign w:val="bottom"/>
            <w:hideMark/>
          </w:tcPr>
          <w:p w14:paraId="2B396A59"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-0,1</w:t>
            </w:r>
          </w:p>
        </w:tc>
        <w:tc>
          <w:tcPr>
            <w:tcW w:w="317" w:type="pct"/>
            <w:tcBorders>
              <w:top w:val="nil"/>
              <w:left w:val="nil"/>
              <w:bottom w:val="nil"/>
              <w:right w:val="nil"/>
            </w:tcBorders>
            <w:shd w:val="clear" w:color="auto" w:fill="auto"/>
            <w:noWrap/>
            <w:vAlign w:val="bottom"/>
            <w:hideMark/>
          </w:tcPr>
          <w:p w14:paraId="54B1B10C"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3FE1F599"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5A97B90F"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0,8</w:t>
            </w:r>
          </w:p>
        </w:tc>
        <w:tc>
          <w:tcPr>
            <w:tcW w:w="317" w:type="pct"/>
            <w:tcBorders>
              <w:top w:val="nil"/>
              <w:left w:val="nil"/>
              <w:bottom w:val="nil"/>
              <w:right w:val="nil"/>
            </w:tcBorders>
            <w:shd w:val="clear" w:color="auto" w:fill="auto"/>
            <w:noWrap/>
            <w:vAlign w:val="bottom"/>
            <w:hideMark/>
          </w:tcPr>
          <w:p w14:paraId="09A3636C"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1,0</w:t>
            </w:r>
          </w:p>
        </w:tc>
        <w:tc>
          <w:tcPr>
            <w:tcW w:w="317" w:type="pct"/>
            <w:tcBorders>
              <w:top w:val="nil"/>
              <w:left w:val="nil"/>
              <w:bottom w:val="nil"/>
              <w:right w:val="nil"/>
            </w:tcBorders>
            <w:shd w:val="clear" w:color="auto" w:fill="auto"/>
            <w:noWrap/>
            <w:vAlign w:val="bottom"/>
            <w:hideMark/>
          </w:tcPr>
          <w:p w14:paraId="5C29DA15"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2,3</w:t>
            </w:r>
          </w:p>
        </w:tc>
        <w:tc>
          <w:tcPr>
            <w:tcW w:w="317" w:type="pct"/>
            <w:tcBorders>
              <w:top w:val="nil"/>
              <w:left w:val="nil"/>
              <w:bottom w:val="nil"/>
              <w:right w:val="nil"/>
            </w:tcBorders>
            <w:shd w:val="clear" w:color="auto" w:fill="auto"/>
            <w:noWrap/>
            <w:vAlign w:val="bottom"/>
            <w:hideMark/>
          </w:tcPr>
          <w:p w14:paraId="4CA04C24"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3,0</w:t>
            </w:r>
          </w:p>
        </w:tc>
        <w:tc>
          <w:tcPr>
            <w:tcW w:w="344" w:type="pct"/>
            <w:tcBorders>
              <w:top w:val="nil"/>
              <w:left w:val="nil"/>
              <w:bottom w:val="nil"/>
              <w:right w:val="nil"/>
            </w:tcBorders>
            <w:shd w:val="clear" w:color="auto" w:fill="auto"/>
            <w:noWrap/>
            <w:vAlign w:val="bottom"/>
            <w:hideMark/>
          </w:tcPr>
          <w:p w14:paraId="3C95EC3A"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11,4</w:t>
            </w:r>
          </w:p>
        </w:tc>
        <w:tc>
          <w:tcPr>
            <w:tcW w:w="288" w:type="pct"/>
            <w:tcBorders>
              <w:top w:val="nil"/>
              <w:left w:val="nil"/>
              <w:bottom w:val="nil"/>
              <w:right w:val="nil"/>
            </w:tcBorders>
            <w:shd w:val="clear" w:color="auto" w:fill="auto"/>
            <w:noWrap/>
            <w:vAlign w:val="bottom"/>
            <w:hideMark/>
          </w:tcPr>
          <w:p w14:paraId="5E943D2B"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11,9</w:t>
            </w:r>
          </w:p>
        </w:tc>
      </w:tr>
      <w:tr w:rsidR="00B54F4E" w:rsidRPr="008B2A03" w14:paraId="3220A954" w14:textId="77777777" w:rsidTr="006504C4">
        <w:trPr>
          <w:trHeight w:val="300"/>
        </w:trPr>
        <w:tc>
          <w:tcPr>
            <w:tcW w:w="1820" w:type="pct"/>
            <w:tcBorders>
              <w:top w:val="nil"/>
              <w:left w:val="nil"/>
              <w:bottom w:val="single" w:sz="4" w:space="0" w:color="auto"/>
              <w:right w:val="nil"/>
            </w:tcBorders>
            <w:shd w:val="clear" w:color="auto" w:fill="auto"/>
            <w:noWrap/>
            <w:vAlign w:val="bottom"/>
            <w:hideMark/>
          </w:tcPr>
          <w:p w14:paraId="05AF7908" w14:textId="77777777" w:rsidR="00B54F4E" w:rsidRPr="008B2A03" w:rsidRDefault="00B54F4E" w:rsidP="006504C4">
            <w:pPr>
              <w:spacing w:before="0" w:after="0"/>
              <w:jc w:val="left"/>
              <w:rPr>
                <w:rFonts w:ascii="Calibri" w:hAnsi="Calibri" w:cs="Calibri"/>
                <w:color w:val="000000"/>
                <w:sz w:val="14"/>
                <w:szCs w:val="14"/>
                <w:lang w:eastAsia="es-CO"/>
              </w:rPr>
            </w:pPr>
            <w:r w:rsidRPr="008B2A03">
              <w:rPr>
                <w:rFonts w:ascii="Calibri" w:hAnsi="Calibri" w:cs="Calibri"/>
                <w:color w:val="000000"/>
                <w:sz w:val="14"/>
                <w:szCs w:val="14"/>
                <w:lang w:eastAsia="es-CO"/>
              </w:rPr>
              <w:t>- Mayor CAPEX asociado con renovables</w:t>
            </w:r>
          </w:p>
        </w:tc>
        <w:tc>
          <w:tcPr>
            <w:tcW w:w="329" w:type="pct"/>
            <w:tcBorders>
              <w:top w:val="nil"/>
              <w:left w:val="nil"/>
              <w:bottom w:val="nil"/>
              <w:right w:val="nil"/>
            </w:tcBorders>
            <w:shd w:val="clear" w:color="auto" w:fill="auto"/>
            <w:noWrap/>
            <w:vAlign w:val="bottom"/>
            <w:hideMark/>
          </w:tcPr>
          <w:p w14:paraId="37C2EBDE" w14:textId="77777777" w:rsidR="00B54F4E" w:rsidRPr="008B2A03" w:rsidRDefault="00B54F4E" w:rsidP="006504C4">
            <w:pPr>
              <w:spacing w:before="0" w:after="0"/>
              <w:jc w:val="left"/>
              <w:rPr>
                <w:rFonts w:ascii="Calibri" w:hAnsi="Calibri" w:cs="Calibri"/>
                <w:color w:val="000000"/>
                <w:sz w:val="14"/>
                <w:szCs w:val="14"/>
                <w:lang w:eastAsia="es-CO"/>
              </w:rPr>
            </w:pPr>
          </w:p>
        </w:tc>
        <w:tc>
          <w:tcPr>
            <w:tcW w:w="317" w:type="pct"/>
            <w:tcBorders>
              <w:top w:val="nil"/>
              <w:left w:val="nil"/>
              <w:bottom w:val="nil"/>
              <w:right w:val="nil"/>
            </w:tcBorders>
            <w:shd w:val="clear" w:color="auto" w:fill="auto"/>
            <w:noWrap/>
            <w:vAlign w:val="bottom"/>
            <w:hideMark/>
          </w:tcPr>
          <w:p w14:paraId="4BDF73D2"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566B26C4"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67BB011F"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0,0</w:t>
            </w:r>
          </w:p>
        </w:tc>
        <w:tc>
          <w:tcPr>
            <w:tcW w:w="317" w:type="pct"/>
            <w:tcBorders>
              <w:top w:val="nil"/>
              <w:left w:val="nil"/>
              <w:bottom w:val="nil"/>
              <w:right w:val="nil"/>
            </w:tcBorders>
            <w:shd w:val="clear" w:color="auto" w:fill="auto"/>
            <w:noWrap/>
            <w:vAlign w:val="bottom"/>
            <w:hideMark/>
          </w:tcPr>
          <w:p w14:paraId="0C26ECE3"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184,6</w:t>
            </w:r>
          </w:p>
        </w:tc>
        <w:tc>
          <w:tcPr>
            <w:tcW w:w="317" w:type="pct"/>
            <w:tcBorders>
              <w:top w:val="nil"/>
              <w:left w:val="nil"/>
              <w:bottom w:val="nil"/>
              <w:right w:val="nil"/>
            </w:tcBorders>
            <w:shd w:val="clear" w:color="auto" w:fill="auto"/>
            <w:noWrap/>
            <w:vAlign w:val="bottom"/>
            <w:hideMark/>
          </w:tcPr>
          <w:p w14:paraId="4C5A8626"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125,2</w:t>
            </w:r>
          </w:p>
        </w:tc>
        <w:tc>
          <w:tcPr>
            <w:tcW w:w="317" w:type="pct"/>
            <w:tcBorders>
              <w:top w:val="nil"/>
              <w:left w:val="nil"/>
              <w:bottom w:val="nil"/>
              <w:right w:val="nil"/>
            </w:tcBorders>
            <w:shd w:val="clear" w:color="auto" w:fill="auto"/>
            <w:noWrap/>
            <w:vAlign w:val="bottom"/>
            <w:hideMark/>
          </w:tcPr>
          <w:p w14:paraId="47D936CC"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256,8</w:t>
            </w:r>
          </w:p>
        </w:tc>
        <w:tc>
          <w:tcPr>
            <w:tcW w:w="317" w:type="pct"/>
            <w:tcBorders>
              <w:top w:val="nil"/>
              <w:left w:val="nil"/>
              <w:bottom w:val="nil"/>
              <w:right w:val="nil"/>
            </w:tcBorders>
            <w:shd w:val="clear" w:color="auto" w:fill="auto"/>
            <w:noWrap/>
            <w:vAlign w:val="bottom"/>
            <w:hideMark/>
          </w:tcPr>
          <w:p w14:paraId="73180586"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369,9</w:t>
            </w:r>
          </w:p>
        </w:tc>
        <w:tc>
          <w:tcPr>
            <w:tcW w:w="344" w:type="pct"/>
            <w:tcBorders>
              <w:top w:val="nil"/>
              <w:left w:val="nil"/>
              <w:bottom w:val="nil"/>
              <w:right w:val="nil"/>
            </w:tcBorders>
            <w:shd w:val="clear" w:color="auto" w:fill="auto"/>
            <w:noWrap/>
            <w:vAlign w:val="bottom"/>
            <w:hideMark/>
          </w:tcPr>
          <w:p w14:paraId="7B98E893"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-1.175,2</w:t>
            </w:r>
          </w:p>
        </w:tc>
        <w:tc>
          <w:tcPr>
            <w:tcW w:w="288" w:type="pct"/>
            <w:tcBorders>
              <w:top w:val="nil"/>
              <w:left w:val="nil"/>
              <w:bottom w:val="nil"/>
              <w:right w:val="nil"/>
            </w:tcBorders>
            <w:shd w:val="clear" w:color="auto" w:fill="auto"/>
            <w:noWrap/>
            <w:vAlign w:val="bottom"/>
            <w:hideMark/>
          </w:tcPr>
          <w:p w14:paraId="341F5C32"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231,2</w:t>
            </w:r>
          </w:p>
        </w:tc>
      </w:tr>
      <w:tr w:rsidR="00B54F4E" w:rsidRPr="008B2A03" w14:paraId="68FB742C" w14:textId="77777777" w:rsidTr="006504C4">
        <w:trPr>
          <w:trHeight w:val="300"/>
        </w:trPr>
        <w:tc>
          <w:tcPr>
            <w:tcW w:w="1820" w:type="pct"/>
            <w:tcBorders>
              <w:top w:val="nil"/>
              <w:left w:val="nil"/>
              <w:bottom w:val="single" w:sz="4" w:space="0" w:color="auto"/>
              <w:right w:val="nil"/>
            </w:tcBorders>
            <w:shd w:val="clear" w:color="auto" w:fill="auto"/>
            <w:noWrap/>
            <w:vAlign w:val="bottom"/>
            <w:hideMark/>
          </w:tcPr>
          <w:p w14:paraId="2A0CDA14" w14:textId="77777777" w:rsidR="00B54F4E" w:rsidRPr="008B2A03" w:rsidRDefault="00B54F4E" w:rsidP="006504C4">
            <w:pPr>
              <w:spacing w:before="0" w:after="0"/>
              <w:jc w:val="left"/>
              <w:rPr>
                <w:rFonts w:ascii="Calibri" w:hAnsi="Calibri" w:cs="Calibri"/>
                <w:color w:val="000000"/>
                <w:sz w:val="14"/>
                <w:szCs w:val="14"/>
                <w:lang w:eastAsia="es-CO"/>
              </w:rPr>
            </w:pPr>
            <w:r w:rsidRPr="008B2A03">
              <w:rPr>
                <w:rFonts w:ascii="Calibri" w:hAnsi="Calibri" w:cs="Calibri"/>
                <w:color w:val="000000"/>
                <w:sz w:val="14"/>
                <w:szCs w:val="14"/>
                <w:lang w:eastAsia="es-CO"/>
              </w:rPr>
              <w:t>Flujo Neto</w:t>
            </w:r>
          </w:p>
        </w:tc>
        <w:tc>
          <w:tcPr>
            <w:tcW w:w="329" w:type="pct"/>
            <w:tcBorders>
              <w:top w:val="single" w:sz="4" w:space="0" w:color="auto"/>
              <w:left w:val="nil"/>
              <w:bottom w:val="single" w:sz="4" w:space="0" w:color="auto"/>
              <w:right w:val="nil"/>
            </w:tcBorders>
            <w:shd w:val="clear" w:color="auto" w:fill="auto"/>
            <w:noWrap/>
            <w:vAlign w:val="bottom"/>
            <w:hideMark/>
          </w:tcPr>
          <w:p w14:paraId="4A16ED95" w14:textId="77777777" w:rsidR="00B54F4E" w:rsidRPr="008B2A03" w:rsidRDefault="00B54F4E" w:rsidP="006504C4">
            <w:pPr>
              <w:spacing w:before="0" w:after="0"/>
              <w:jc w:val="left"/>
              <w:rPr>
                <w:rFonts w:ascii="Calibri" w:hAnsi="Calibri" w:cs="Calibri"/>
                <w:color w:val="000000"/>
                <w:sz w:val="14"/>
                <w:szCs w:val="14"/>
                <w:lang w:eastAsia="es-CO"/>
              </w:rPr>
            </w:pPr>
            <w:r w:rsidRPr="008B2A03">
              <w:rPr>
                <w:rFonts w:ascii="Calibri" w:hAnsi="Calibri" w:cs="Calibri"/>
                <w:color w:val="000000"/>
                <w:sz w:val="14"/>
                <w:szCs w:val="14"/>
                <w:lang w:eastAsia="es-CO"/>
              </w:rPr>
              <w:t> </w:t>
            </w:r>
          </w:p>
        </w:tc>
        <w:tc>
          <w:tcPr>
            <w:tcW w:w="317" w:type="pct"/>
            <w:tcBorders>
              <w:top w:val="single" w:sz="4" w:space="0" w:color="auto"/>
              <w:left w:val="nil"/>
              <w:bottom w:val="single" w:sz="4" w:space="0" w:color="auto"/>
              <w:right w:val="nil"/>
            </w:tcBorders>
            <w:shd w:val="clear" w:color="auto" w:fill="auto"/>
            <w:noWrap/>
            <w:vAlign w:val="bottom"/>
            <w:hideMark/>
          </w:tcPr>
          <w:p w14:paraId="6CA54F6F"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-0,8</w:t>
            </w:r>
          </w:p>
        </w:tc>
        <w:tc>
          <w:tcPr>
            <w:tcW w:w="317" w:type="pct"/>
            <w:tcBorders>
              <w:top w:val="single" w:sz="4" w:space="0" w:color="auto"/>
              <w:left w:val="nil"/>
              <w:bottom w:val="single" w:sz="4" w:space="0" w:color="auto"/>
              <w:right w:val="nil"/>
            </w:tcBorders>
            <w:shd w:val="clear" w:color="auto" w:fill="auto"/>
            <w:noWrap/>
            <w:vAlign w:val="bottom"/>
            <w:hideMark/>
          </w:tcPr>
          <w:p w14:paraId="1CE53B27"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0,7</w:t>
            </w:r>
          </w:p>
        </w:tc>
        <w:tc>
          <w:tcPr>
            <w:tcW w:w="317" w:type="pct"/>
            <w:tcBorders>
              <w:top w:val="single" w:sz="4" w:space="0" w:color="auto"/>
              <w:left w:val="nil"/>
              <w:bottom w:val="single" w:sz="4" w:space="0" w:color="auto"/>
              <w:right w:val="nil"/>
            </w:tcBorders>
            <w:shd w:val="clear" w:color="auto" w:fill="auto"/>
            <w:noWrap/>
            <w:vAlign w:val="bottom"/>
            <w:hideMark/>
          </w:tcPr>
          <w:p w14:paraId="211B1B51"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0,5</w:t>
            </w:r>
          </w:p>
        </w:tc>
        <w:tc>
          <w:tcPr>
            <w:tcW w:w="317" w:type="pct"/>
            <w:tcBorders>
              <w:top w:val="single" w:sz="4" w:space="0" w:color="auto"/>
              <w:left w:val="nil"/>
              <w:bottom w:val="single" w:sz="4" w:space="0" w:color="auto"/>
              <w:right w:val="nil"/>
            </w:tcBorders>
            <w:shd w:val="clear" w:color="auto" w:fill="auto"/>
            <w:noWrap/>
            <w:vAlign w:val="bottom"/>
            <w:hideMark/>
          </w:tcPr>
          <w:p w14:paraId="27F3A53B"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-171,5</w:t>
            </w:r>
          </w:p>
        </w:tc>
        <w:tc>
          <w:tcPr>
            <w:tcW w:w="317" w:type="pct"/>
            <w:tcBorders>
              <w:top w:val="single" w:sz="4" w:space="0" w:color="auto"/>
              <w:left w:val="nil"/>
              <w:bottom w:val="single" w:sz="4" w:space="0" w:color="auto"/>
              <w:right w:val="nil"/>
            </w:tcBorders>
            <w:shd w:val="clear" w:color="auto" w:fill="auto"/>
            <w:noWrap/>
            <w:vAlign w:val="bottom"/>
            <w:hideMark/>
          </w:tcPr>
          <w:p w14:paraId="491681C1"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-108,6</w:t>
            </w:r>
          </w:p>
        </w:tc>
        <w:tc>
          <w:tcPr>
            <w:tcW w:w="317" w:type="pct"/>
            <w:tcBorders>
              <w:top w:val="single" w:sz="4" w:space="0" w:color="auto"/>
              <w:left w:val="nil"/>
              <w:bottom w:val="single" w:sz="4" w:space="0" w:color="auto"/>
              <w:right w:val="nil"/>
            </w:tcBorders>
            <w:shd w:val="clear" w:color="auto" w:fill="auto"/>
            <w:noWrap/>
            <w:vAlign w:val="bottom"/>
            <w:hideMark/>
          </w:tcPr>
          <w:p w14:paraId="7F7CA13A"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-219,0</w:t>
            </w:r>
          </w:p>
        </w:tc>
        <w:tc>
          <w:tcPr>
            <w:tcW w:w="317" w:type="pct"/>
            <w:tcBorders>
              <w:top w:val="single" w:sz="4" w:space="0" w:color="auto"/>
              <w:left w:val="nil"/>
              <w:bottom w:val="single" w:sz="4" w:space="0" w:color="auto"/>
              <w:right w:val="nil"/>
            </w:tcBorders>
            <w:shd w:val="clear" w:color="auto" w:fill="auto"/>
            <w:noWrap/>
            <w:vAlign w:val="bottom"/>
            <w:hideMark/>
          </w:tcPr>
          <w:p w14:paraId="6B421F49"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-319,7</w:t>
            </w:r>
          </w:p>
        </w:tc>
        <w:tc>
          <w:tcPr>
            <w:tcW w:w="344" w:type="pct"/>
            <w:tcBorders>
              <w:top w:val="single" w:sz="4" w:space="0" w:color="auto"/>
              <w:left w:val="nil"/>
              <w:bottom w:val="single" w:sz="4" w:space="0" w:color="auto"/>
              <w:right w:val="nil"/>
            </w:tcBorders>
            <w:shd w:val="clear" w:color="auto" w:fill="auto"/>
            <w:noWrap/>
            <w:vAlign w:val="bottom"/>
            <w:hideMark/>
          </w:tcPr>
          <w:p w14:paraId="62B71F0A"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1.293,7</w:t>
            </w:r>
          </w:p>
        </w:tc>
        <w:tc>
          <w:tcPr>
            <w:tcW w:w="288" w:type="pct"/>
            <w:tcBorders>
              <w:top w:val="single" w:sz="4" w:space="0" w:color="auto"/>
              <w:left w:val="nil"/>
              <w:bottom w:val="single" w:sz="4" w:space="0" w:color="auto"/>
              <w:right w:val="nil"/>
            </w:tcBorders>
            <w:shd w:val="clear" w:color="auto" w:fill="auto"/>
            <w:noWrap/>
            <w:vAlign w:val="bottom"/>
            <w:hideMark/>
          </w:tcPr>
          <w:p w14:paraId="262EB5A6" w14:textId="77777777" w:rsidR="00B54F4E" w:rsidRPr="00E529B9" w:rsidRDefault="00B54F4E" w:rsidP="006504C4">
            <w:pPr>
              <w:spacing w:before="0" w:after="0"/>
              <w:jc w:val="right"/>
              <w:rPr>
                <w:rFonts w:ascii="Calibri" w:hAnsi="Calibri" w:cs="Calibri"/>
                <w:color w:val="000000"/>
                <w:sz w:val="14"/>
                <w:szCs w:val="14"/>
                <w:lang w:eastAsia="es-CO"/>
              </w:rPr>
            </w:pPr>
            <w:r w:rsidRPr="00E529B9">
              <w:rPr>
                <w:rFonts w:ascii="Calibri" w:hAnsi="Calibri" w:cs="Calibri"/>
                <w:color w:val="000000"/>
                <w:sz w:val="14"/>
                <w:szCs w:val="14"/>
              </w:rPr>
              <w:t>-111,7</w:t>
            </w:r>
          </w:p>
        </w:tc>
      </w:tr>
      <w:tr w:rsidR="00B54F4E" w:rsidRPr="008B2A03" w14:paraId="757ED4F3" w14:textId="77777777" w:rsidTr="006504C4">
        <w:trPr>
          <w:trHeight w:val="300"/>
        </w:trPr>
        <w:tc>
          <w:tcPr>
            <w:tcW w:w="1820" w:type="pct"/>
            <w:tcBorders>
              <w:top w:val="single" w:sz="4" w:space="0" w:color="auto"/>
              <w:left w:val="single" w:sz="4" w:space="0" w:color="auto"/>
              <w:bottom w:val="single" w:sz="4" w:space="0" w:color="auto"/>
              <w:right w:val="nil"/>
            </w:tcBorders>
            <w:shd w:val="clear" w:color="000000" w:fill="E2EFDA"/>
            <w:noWrap/>
            <w:vAlign w:val="center"/>
            <w:hideMark/>
          </w:tcPr>
          <w:p w14:paraId="11A4B825" w14:textId="77777777" w:rsidR="00B54F4E" w:rsidRPr="008B2A03" w:rsidRDefault="00B54F4E" w:rsidP="006504C4">
            <w:pPr>
              <w:spacing w:before="0" w:after="0"/>
              <w:jc w:val="center"/>
              <w:rPr>
                <w:rFonts w:ascii="Calibri" w:hAnsi="Calibri" w:cs="Calibri"/>
                <w:b/>
                <w:color w:val="000000"/>
                <w:sz w:val="14"/>
                <w:szCs w:val="14"/>
                <w:lang w:eastAsia="es-CO"/>
              </w:rPr>
            </w:pPr>
            <w:r w:rsidRPr="008B2A03">
              <w:rPr>
                <w:rFonts w:ascii="Calibri" w:hAnsi="Calibri" w:cs="Calibri"/>
                <w:b/>
                <w:color w:val="000000"/>
                <w:sz w:val="14"/>
                <w:szCs w:val="14"/>
                <w:lang w:eastAsia="es-CO"/>
              </w:rPr>
              <w:t>TIR</w:t>
            </w:r>
          </w:p>
        </w:tc>
        <w:tc>
          <w:tcPr>
            <w:tcW w:w="329" w:type="pct"/>
            <w:tcBorders>
              <w:top w:val="single" w:sz="4" w:space="0" w:color="auto"/>
              <w:left w:val="nil"/>
              <w:bottom w:val="single" w:sz="4" w:space="0" w:color="auto"/>
              <w:right w:val="single" w:sz="4" w:space="0" w:color="auto"/>
            </w:tcBorders>
            <w:shd w:val="clear" w:color="000000" w:fill="E2EFDA"/>
            <w:noWrap/>
            <w:vAlign w:val="center"/>
            <w:hideMark/>
          </w:tcPr>
          <w:p w14:paraId="77391617" w14:textId="77777777" w:rsidR="00B54F4E" w:rsidRPr="008B2A03" w:rsidRDefault="00B54F4E" w:rsidP="006504C4">
            <w:pPr>
              <w:spacing w:before="0" w:after="0"/>
              <w:jc w:val="center"/>
              <w:rPr>
                <w:rFonts w:ascii="Calibri" w:hAnsi="Calibri" w:cs="Calibri"/>
                <w:b/>
                <w:color w:val="000000"/>
                <w:sz w:val="14"/>
                <w:szCs w:val="14"/>
                <w:lang w:eastAsia="es-CO"/>
              </w:rPr>
            </w:pPr>
            <w:r w:rsidRPr="008B2A03">
              <w:rPr>
                <w:rFonts w:ascii="Calibri" w:hAnsi="Calibri" w:cs="Calibri"/>
                <w:b/>
                <w:color w:val="000000"/>
                <w:sz w:val="14"/>
                <w:szCs w:val="14"/>
                <w:lang w:eastAsia="es-CO"/>
              </w:rPr>
              <w:t>1</w:t>
            </w:r>
            <w:r>
              <w:rPr>
                <w:rFonts w:ascii="Calibri" w:hAnsi="Calibri" w:cs="Calibri"/>
                <w:b/>
                <w:color w:val="000000"/>
                <w:sz w:val="14"/>
                <w:szCs w:val="14"/>
                <w:lang w:eastAsia="es-CO"/>
              </w:rPr>
              <w:t>9</w:t>
            </w:r>
            <w:r w:rsidRPr="008B2A03">
              <w:rPr>
                <w:rFonts w:ascii="Calibri" w:hAnsi="Calibri" w:cs="Calibri"/>
                <w:b/>
                <w:color w:val="000000"/>
                <w:sz w:val="14"/>
                <w:szCs w:val="14"/>
                <w:lang w:eastAsia="es-CO"/>
              </w:rPr>
              <w:t>,</w:t>
            </w:r>
            <w:r>
              <w:rPr>
                <w:rFonts w:ascii="Calibri" w:hAnsi="Calibri" w:cs="Calibri"/>
                <w:b/>
                <w:color w:val="000000"/>
                <w:sz w:val="14"/>
                <w:szCs w:val="14"/>
                <w:lang w:eastAsia="es-CO"/>
              </w:rPr>
              <w:t>2</w:t>
            </w:r>
            <w:r w:rsidRPr="008B2A03">
              <w:rPr>
                <w:rFonts w:ascii="Calibri" w:hAnsi="Calibri" w:cs="Calibri"/>
                <w:b/>
                <w:color w:val="000000"/>
                <w:sz w:val="14"/>
                <w:szCs w:val="14"/>
                <w:lang w:eastAsia="es-CO"/>
              </w:rPr>
              <w:t>%</w:t>
            </w:r>
          </w:p>
        </w:tc>
        <w:tc>
          <w:tcPr>
            <w:tcW w:w="317" w:type="pct"/>
            <w:tcBorders>
              <w:top w:val="nil"/>
              <w:left w:val="nil"/>
              <w:bottom w:val="nil"/>
              <w:right w:val="nil"/>
            </w:tcBorders>
            <w:shd w:val="clear" w:color="auto" w:fill="auto"/>
            <w:noWrap/>
            <w:vAlign w:val="bottom"/>
            <w:hideMark/>
          </w:tcPr>
          <w:p w14:paraId="64116877" w14:textId="77777777" w:rsidR="00B54F4E" w:rsidRPr="008B2A03" w:rsidRDefault="00B54F4E" w:rsidP="006504C4">
            <w:pPr>
              <w:spacing w:before="0" w:after="0"/>
              <w:jc w:val="right"/>
              <w:rPr>
                <w:rFonts w:ascii="Calibri" w:hAnsi="Calibri" w:cs="Calibri"/>
                <w:color w:val="000000"/>
                <w:sz w:val="14"/>
                <w:szCs w:val="14"/>
                <w:lang w:eastAsia="es-CO"/>
              </w:rPr>
            </w:pPr>
          </w:p>
        </w:tc>
        <w:tc>
          <w:tcPr>
            <w:tcW w:w="317" w:type="pct"/>
            <w:tcBorders>
              <w:top w:val="nil"/>
              <w:left w:val="nil"/>
              <w:bottom w:val="nil"/>
              <w:right w:val="nil"/>
            </w:tcBorders>
            <w:shd w:val="clear" w:color="auto" w:fill="auto"/>
            <w:noWrap/>
            <w:vAlign w:val="bottom"/>
            <w:hideMark/>
          </w:tcPr>
          <w:p w14:paraId="0AE17DAB"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079EB3D6"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6E65BA62"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4FAC30CB"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1BD8CADE"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66EB686F" w14:textId="77777777" w:rsidR="00B54F4E" w:rsidRPr="008B2A03" w:rsidRDefault="00B54F4E" w:rsidP="006504C4">
            <w:pPr>
              <w:spacing w:before="0" w:after="0"/>
              <w:jc w:val="left"/>
              <w:rPr>
                <w:rFonts w:ascii="Times New Roman" w:hAnsi="Times New Roman"/>
                <w:sz w:val="14"/>
                <w:szCs w:val="14"/>
                <w:lang w:eastAsia="es-CO"/>
              </w:rPr>
            </w:pPr>
          </w:p>
        </w:tc>
        <w:tc>
          <w:tcPr>
            <w:tcW w:w="344" w:type="pct"/>
            <w:tcBorders>
              <w:top w:val="nil"/>
              <w:left w:val="nil"/>
              <w:bottom w:val="nil"/>
              <w:right w:val="nil"/>
            </w:tcBorders>
            <w:shd w:val="clear" w:color="auto" w:fill="auto"/>
            <w:noWrap/>
            <w:vAlign w:val="bottom"/>
            <w:hideMark/>
          </w:tcPr>
          <w:p w14:paraId="70125698" w14:textId="77777777" w:rsidR="00B54F4E" w:rsidRPr="008B2A03" w:rsidRDefault="00B54F4E" w:rsidP="006504C4">
            <w:pPr>
              <w:spacing w:before="0" w:after="0"/>
              <w:jc w:val="left"/>
              <w:rPr>
                <w:rFonts w:ascii="Times New Roman" w:hAnsi="Times New Roman"/>
                <w:sz w:val="14"/>
                <w:szCs w:val="14"/>
                <w:lang w:eastAsia="es-CO"/>
              </w:rPr>
            </w:pPr>
          </w:p>
        </w:tc>
        <w:tc>
          <w:tcPr>
            <w:tcW w:w="288" w:type="pct"/>
            <w:tcBorders>
              <w:top w:val="nil"/>
              <w:left w:val="nil"/>
              <w:bottom w:val="nil"/>
              <w:right w:val="nil"/>
            </w:tcBorders>
            <w:shd w:val="clear" w:color="auto" w:fill="auto"/>
            <w:noWrap/>
            <w:vAlign w:val="bottom"/>
            <w:hideMark/>
          </w:tcPr>
          <w:p w14:paraId="0A90F11E" w14:textId="77777777" w:rsidR="00B54F4E" w:rsidRPr="008B2A03" w:rsidRDefault="00B54F4E" w:rsidP="006504C4">
            <w:pPr>
              <w:spacing w:before="0" w:after="0"/>
              <w:jc w:val="left"/>
              <w:rPr>
                <w:rFonts w:ascii="Times New Roman" w:hAnsi="Times New Roman"/>
                <w:sz w:val="14"/>
                <w:szCs w:val="14"/>
                <w:lang w:eastAsia="es-CO"/>
              </w:rPr>
            </w:pPr>
          </w:p>
        </w:tc>
      </w:tr>
      <w:tr w:rsidR="00B54F4E" w:rsidRPr="008B2A03" w14:paraId="2312E153" w14:textId="77777777" w:rsidTr="006504C4">
        <w:trPr>
          <w:trHeight w:val="300"/>
        </w:trPr>
        <w:tc>
          <w:tcPr>
            <w:tcW w:w="1820" w:type="pct"/>
            <w:tcBorders>
              <w:top w:val="nil"/>
              <w:left w:val="single" w:sz="4" w:space="0" w:color="auto"/>
              <w:bottom w:val="single" w:sz="4" w:space="0" w:color="auto"/>
              <w:right w:val="nil"/>
            </w:tcBorders>
            <w:shd w:val="clear" w:color="000000" w:fill="E2EFDA"/>
            <w:noWrap/>
            <w:vAlign w:val="center"/>
            <w:hideMark/>
          </w:tcPr>
          <w:p w14:paraId="1DBC724E" w14:textId="77777777" w:rsidR="00B54F4E" w:rsidRPr="008B2A03" w:rsidRDefault="00B54F4E" w:rsidP="006504C4">
            <w:pPr>
              <w:spacing w:before="0" w:after="0"/>
              <w:jc w:val="center"/>
              <w:rPr>
                <w:rFonts w:ascii="Calibri" w:hAnsi="Calibri" w:cs="Calibri"/>
                <w:b/>
                <w:color w:val="000000"/>
                <w:sz w:val="14"/>
                <w:szCs w:val="14"/>
                <w:lang w:eastAsia="es-CO"/>
              </w:rPr>
            </w:pPr>
            <w:r w:rsidRPr="008B2A03">
              <w:rPr>
                <w:rFonts w:ascii="Calibri" w:hAnsi="Calibri" w:cs="Calibri"/>
                <w:b/>
                <w:color w:val="000000"/>
                <w:sz w:val="14"/>
                <w:szCs w:val="14"/>
                <w:lang w:eastAsia="es-CO"/>
              </w:rPr>
              <w:t>VPN dic 2016 (Millones $USD)</w:t>
            </w:r>
          </w:p>
        </w:tc>
        <w:tc>
          <w:tcPr>
            <w:tcW w:w="329" w:type="pct"/>
            <w:tcBorders>
              <w:top w:val="nil"/>
              <w:left w:val="nil"/>
              <w:bottom w:val="single" w:sz="4" w:space="0" w:color="auto"/>
              <w:right w:val="single" w:sz="4" w:space="0" w:color="auto"/>
            </w:tcBorders>
            <w:shd w:val="clear" w:color="000000" w:fill="E2EFDA"/>
            <w:noWrap/>
            <w:vAlign w:val="center"/>
            <w:hideMark/>
          </w:tcPr>
          <w:p w14:paraId="6179CFE8" w14:textId="77777777" w:rsidR="00B54F4E" w:rsidRPr="008B2A03" w:rsidRDefault="00B54F4E" w:rsidP="006504C4">
            <w:pPr>
              <w:spacing w:before="0" w:after="0"/>
              <w:jc w:val="center"/>
              <w:rPr>
                <w:rFonts w:ascii="Calibri" w:hAnsi="Calibri" w:cs="Calibri"/>
                <w:b/>
                <w:color w:val="000000"/>
                <w:sz w:val="14"/>
                <w:szCs w:val="14"/>
                <w:lang w:eastAsia="es-CO"/>
              </w:rPr>
            </w:pPr>
            <w:r w:rsidRPr="008B2A03">
              <w:rPr>
                <w:rFonts w:ascii="Calibri" w:hAnsi="Calibri" w:cs="Calibri"/>
                <w:b/>
                <w:color w:val="000000"/>
                <w:sz w:val="14"/>
                <w:szCs w:val="14"/>
                <w:lang w:eastAsia="es-CO"/>
              </w:rPr>
              <w:t>$</w:t>
            </w:r>
            <w:r>
              <w:rPr>
                <w:rFonts w:ascii="Calibri" w:hAnsi="Calibri" w:cs="Calibri"/>
                <w:b/>
                <w:color w:val="000000"/>
                <w:sz w:val="14"/>
                <w:szCs w:val="14"/>
                <w:lang w:eastAsia="es-CO"/>
              </w:rPr>
              <w:t>81</w:t>
            </w:r>
            <w:r w:rsidRPr="008B2A03">
              <w:rPr>
                <w:rFonts w:ascii="Calibri" w:hAnsi="Calibri" w:cs="Calibri"/>
                <w:b/>
                <w:color w:val="000000"/>
                <w:sz w:val="14"/>
                <w:szCs w:val="14"/>
                <w:lang w:eastAsia="es-CO"/>
              </w:rPr>
              <w:t>,</w:t>
            </w:r>
            <w:r>
              <w:rPr>
                <w:rFonts w:ascii="Calibri" w:hAnsi="Calibri" w:cs="Calibri"/>
                <w:b/>
                <w:color w:val="000000"/>
                <w:sz w:val="14"/>
                <w:szCs w:val="14"/>
                <w:lang w:eastAsia="es-CO"/>
              </w:rPr>
              <w:t>71</w:t>
            </w:r>
          </w:p>
        </w:tc>
        <w:tc>
          <w:tcPr>
            <w:tcW w:w="317" w:type="pct"/>
            <w:tcBorders>
              <w:top w:val="nil"/>
              <w:left w:val="nil"/>
              <w:bottom w:val="nil"/>
              <w:right w:val="nil"/>
            </w:tcBorders>
            <w:shd w:val="clear" w:color="auto" w:fill="auto"/>
            <w:noWrap/>
            <w:vAlign w:val="bottom"/>
            <w:hideMark/>
          </w:tcPr>
          <w:p w14:paraId="1929F29E" w14:textId="77777777" w:rsidR="00B54F4E" w:rsidRPr="008B2A03" w:rsidRDefault="00B54F4E" w:rsidP="006504C4">
            <w:pPr>
              <w:spacing w:before="0" w:after="0"/>
              <w:jc w:val="right"/>
              <w:rPr>
                <w:rFonts w:ascii="Calibri" w:hAnsi="Calibri" w:cs="Calibri"/>
                <w:color w:val="000000"/>
                <w:sz w:val="14"/>
                <w:szCs w:val="14"/>
                <w:lang w:eastAsia="es-CO"/>
              </w:rPr>
            </w:pPr>
          </w:p>
        </w:tc>
        <w:tc>
          <w:tcPr>
            <w:tcW w:w="317" w:type="pct"/>
            <w:tcBorders>
              <w:top w:val="nil"/>
              <w:left w:val="nil"/>
              <w:bottom w:val="nil"/>
              <w:right w:val="nil"/>
            </w:tcBorders>
            <w:shd w:val="clear" w:color="auto" w:fill="auto"/>
            <w:noWrap/>
            <w:vAlign w:val="bottom"/>
            <w:hideMark/>
          </w:tcPr>
          <w:p w14:paraId="794D4A1F"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25218658"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122B93D8"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2CD38FF3"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4B4625E2" w14:textId="77777777" w:rsidR="00B54F4E" w:rsidRPr="008B2A03" w:rsidRDefault="00B54F4E" w:rsidP="006504C4">
            <w:pPr>
              <w:spacing w:before="0" w:after="0"/>
              <w:jc w:val="left"/>
              <w:rPr>
                <w:rFonts w:ascii="Times New Roman" w:hAnsi="Times New Roman"/>
                <w:sz w:val="14"/>
                <w:szCs w:val="14"/>
                <w:lang w:eastAsia="es-CO"/>
              </w:rPr>
            </w:pPr>
          </w:p>
        </w:tc>
        <w:tc>
          <w:tcPr>
            <w:tcW w:w="317" w:type="pct"/>
            <w:tcBorders>
              <w:top w:val="nil"/>
              <w:left w:val="nil"/>
              <w:bottom w:val="nil"/>
              <w:right w:val="nil"/>
            </w:tcBorders>
            <w:shd w:val="clear" w:color="auto" w:fill="auto"/>
            <w:noWrap/>
            <w:vAlign w:val="bottom"/>
            <w:hideMark/>
          </w:tcPr>
          <w:p w14:paraId="5D282950" w14:textId="77777777" w:rsidR="00B54F4E" w:rsidRPr="008B2A03" w:rsidRDefault="00B54F4E" w:rsidP="006504C4">
            <w:pPr>
              <w:spacing w:before="0" w:after="0"/>
              <w:jc w:val="left"/>
              <w:rPr>
                <w:rFonts w:ascii="Times New Roman" w:hAnsi="Times New Roman"/>
                <w:sz w:val="14"/>
                <w:szCs w:val="14"/>
                <w:lang w:eastAsia="es-CO"/>
              </w:rPr>
            </w:pPr>
          </w:p>
        </w:tc>
        <w:tc>
          <w:tcPr>
            <w:tcW w:w="344" w:type="pct"/>
            <w:tcBorders>
              <w:top w:val="nil"/>
              <w:left w:val="nil"/>
              <w:bottom w:val="nil"/>
              <w:right w:val="nil"/>
            </w:tcBorders>
            <w:shd w:val="clear" w:color="auto" w:fill="auto"/>
            <w:noWrap/>
            <w:vAlign w:val="bottom"/>
            <w:hideMark/>
          </w:tcPr>
          <w:p w14:paraId="68C5D693" w14:textId="77777777" w:rsidR="00B54F4E" w:rsidRPr="008B2A03" w:rsidRDefault="00B54F4E" w:rsidP="006504C4">
            <w:pPr>
              <w:spacing w:before="0" w:after="0"/>
              <w:jc w:val="left"/>
              <w:rPr>
                <w:rFonts w:ascii="Times New Roman" w:hAnsi="Times New Roman"/>
                <w:sz w:val="14"/>
                <w:szCs w:val="14"/>
                <w:lang w:eastAsia="es-CO"/>
              </w:rPr>
            </w:pPr>
          </w:p>
        </w:tc>
        <w:tc>
          <w:tcPr>
            <w:tcW w:w="288" w:type="pct"/>
            <w:tcBorders>
              <w:top w:val="nil"/>
              <w:left w:val="nil"/>
              <w:bottom w:val="nil"/>
              <w:right w:val="nil"/>
            </w:tcBorders>
            <w:shd w:val="clear" w:color="auto" w:fill="auto"/>
            <w:noWrap/>
            <w:vAlign w:val="bottom"/>
            <w:hideMark/>
          </w:tcPr>
          <w:p w14:paraId="08C5B08E" w14:textId="77777777" w:rsidR="00B54F4E" w:rsidRPr="008B2A03" w:rsidRDefault="00B54F4E" w:rsidP="006504C4">
            <w:pPr>
              <w:spacing w:before="0" w:after="0"/>
              <w:jc w:val="left"/>
              <w:rPr>
                <w:rFonts w:ascii="Times New Roman" w:hAnsi="Times New Roman"/>
                <w:sz w:val="14"/>
                <w:szCs w:val="14"/>
                <w:lang w:eastAsia="es-CO"/>
              </w:rPr>
            </w:pPr>
          </w:p>
        </w:tc>
      </w:tr>
    </w:tbl>
    <w:p w14:paraId="265AE74C" w14:textId="77777777" w:rsidR="00B54F4E" w:rsidRDefault="00B54F4E" w:rsidP="00B54F4E">
      <w:pPr>
        <w:spacing w:before="0" w:after="0"/>
        <w:jc w:val="center"/>
        <w:rPr>
          <w:sz w:val="18"/>
          <w:szCs w:val="18"/>
          <w:lang w:val="es-ES"/>
        </w:rPr>
      </w:pPr>
    </w:p>
    <w:p w14:paraId="086826A7" w14:textId="77777777" w:rsidR="00B54F4E" w:rsidRDefault="00B54F4E" w:rsidP="00B54F4E">
      <w:pPr>
        <w:spacing w:before="0" w:after="0"/>
        <w:jc w:val="center"/>
        <w:rPr>
          <w:sz w:val="18"/>
          <w:szCs w:val="18"/>
          <w:lang w:val="es-ES"/>
        </w:rPr>
      </w:pPr>
      <w:r>
        <w:rPr>
          <w:sz w:val="18"/>
          <w:szCs w:val="18"/>
          <w:lang w:val="es-ES"/>
        </w:rPr>
        <w:t>Nota: se incluyen únicamente valores a 2025 para efectos de presentación del documento. Proyecciones completas realizadas a 2030</w:t>
      </w:r>
    </w:p>
    <w:p w14:paraId="1E9F988E" w14:textId="77777777" w:rsidR="00B54F4E" w:rsidRPr="007C0F1F" w:rsidRDefault="00B54F4E" w:rsidP="00B54F4E">
      <w:pPr>
        <w:spacing w:before="0" w:after="0"/>
        <w:jc w:val="center"/>
        <w:rPr>
          <w:sz w:val="18"/>
          <w:szCs w:val="18"/>
          <w:lang w:val="es-ES"/>
        </w:rPr>
      </w:pPr>
    </w:p>
    <w:p w14:paraId="6BAC48CA" w14:textId="77777777" w:rsidR="00B54F4E" w:rsidRPr="00694A63" w:rsidRDefault="00B54F4E" w:rsidP="00B54F4E">
      <w:pPr>
        <w:ind w:left="720"/>
        <w:jc w:val="center"/>
        <w:rPr>
          <w:lang w:eastAsia="es-CO"/>
        </w:rPr>
      </w:pPr>
      <w:bookmarkStart w:id="53" w:name="_Ref481162993"/>
      <w:bookmarkStart w:id="54" w:name="_Toc484097047"/>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7</w:t>
      </w:r>
      <w:r w:rsidRPr="008C12BC">
        <w:rPr>
          <w:b/>
        </w:rPr>
        <w:fldChar w:fldCharType="end"/>
      </w:r>
      <w:bookmarkEnd w:id="53"/>
      <w:r w:rsidRPr="008C12BC">
        <w:rPr>
          <w:b/>
        </w:rPr>
        <w:t xml:space="preserve"> – </w:t>
      </w:r>
      <w:r w:rsidRPr="009158AB">
        <w:rPr>
          <w:b/>
        </w:rPr>
        <w:t xml:space="preserve">Resumen </w:t>
      </w:r>
      <w:r>
        <w:rPr>
          <w:b/>
        </w:rPr>
        <w:t xml:space="preserve">de </w:t>
      </w:r>
      <w:r w:rsidRPr="009158AB">
        <w:rPr>
          <w:b/>
        </w:rPr>
        <w:t xml:space="preserve">costos </w:t>
      </w:r>
      <w:r>
        <w:rPr>
          <w:b/>
        </w:rPr>
        <w:t>totales asociados con los escenarios</w:t>
      </w:r>
      <w:bookmarkEnd w:id="54"/>
    </w:p>
    <w:tbl>
      <w:tblPr>
        <w:tblW w:w="5000" w:type="pct"/>
        <w:tblCellMar>
          <w:left w:w="70" w:type="dxa"/>
          <w:right w:w="70" w:type="dxa"/>
        </w:tblCellMar>
        <w:tblLook w:val="04A0" w:firstRow="1" w:lastRow="0" w:firstColumn="1" w:lastColumn="0" w:noHBand="0" w:noVBand="1"/>
      </w:tblPr>
      <w:tblGrid>
        <w:gridCol w:w="4809"/>
        <w:gridCol w:w="1376"/>
        <w:gridCol w:w="1325"/>
        <w:gridCol w:w="1323"/>
      </w:tblGrid>
      <w:tr w:rsidR="00B54F4E" w:rsidRPr="00694A63" w14:paraId="49FEC5AF" w14:textId="77777777" w:rsidTr="006504C4">
        <w:trPr>
          <w:trHeight w:val="315"/>
        </w:trPr>
        <w:tc>
          <w:tcPr>
            <w:tcW w:w="2722" w:type="pct"/>
            <w:tcBorders>
              <w:top w:val="nil"/>
              <w:left w:val="nil"/>
              <w:bottom w:val="single" w:sz="8" w:space="0" w:color="000000"/>
              <w:right w:val="nil"/>
            </w:tcBorders>
            <w:shd w:val="clear" w:color="auto" w:fill="auto"/>
            <w:noWrap/>
            <w:vAlign w:val="bottom"/>
            <w:hideMark/>
          </w:tcPr>
          <w:p w14:paraId="4B7158FB" w14:textId="77777777" w:rsidR="00B54F4E" w:rsidRPr="00694A63" w:rsidRDefault="00B54F4E" w:rsidP="006504C4">
            <w:pPr>
              <w:spacing w:before="0" w:after="0"/>
              <w:jc w:val="left"/>
              <w:rPr>
                <w:rFonts w:ascii="Calibri" w:hAnsi="Calibri" w:cs="Calibri"/>
                <w:color w:val="000000"/>
                <w:szCs w:val="22"/>
                <w:lang w:eastAsia="es-CO"/>
              </w:rPr>
            </w:pPr>
            <w:r w:rsidRPr="00694A63">
              <w:rPr>
                <w:rFonts w:ascii="Calibri" w:hAnsi="Calibri" w:cs="Calibri"/>
                <w:color w:val="000000"/>
                <w:szCs w:val="22"/>
                <w:lang w:eastAsia="es-CO"/>
              </w:rPr>
              <w:t>(Millones $USD 2016)</w:t>
            </w:r>
          </w:p>
        </w:tc>
        <w:tc>
          <w:tcPr>
            <w:tcW w:w="779" w:type="pct"/>
            <w:tcBorders>
              <w:top w:val="single" w:sz="4" w:space="0" w:color="FFFFFF"/>
              <w:left w:val="nil"/>
              <w:bottom w:val="single" w:sz="4" w:space="0" w:color="auto"/>
              <w:right w:val="single" w:sz="4" w:space="0" w:color="FFFFFF"/>
            </w:tcBorders>
            <w:shd w:val="clear" w:color="000000" w:fill="203764"/>
            <w:noWrap/>
            <w:vAlign w:val="bottom"/>
            <w:hideMark/>
          </w:tcPr>
          <w:p w14:paraId="566F68BA" w14:textId="77777777" w:rsidR="00B54F4E" w:rsidRPr="00694A63" w:rsidRDefault="00B54F4E" w:rsidP="006504C4">
            <w:pPr>
              <w:spacing w:before="0" w:after="0"/>
              <w:jc w:val="center"/>
              <w:rPr>
                <w:rFonts w:ascii="Calibri" w:hAnsi="Calibri" w:cs="Calibri"/>
                <w:color w:val="FFFFFF"/>
                <w:szCs w:val="22"/>
                <w:lang w:eastAsia="es-CO"/>
              </w:rPr>
            </w:pPr>
            <w:r w:rsidRPr="00694A63">
              <w:rPr>
                <w:rFonts w:ascii="Calibri" w:hAnsi="Calibri" w:cs="Calibri"/>
                <w:color w:val="FFFFFF"/>
                <w:szCs w:val="22"/>
                <w:lang w:eastAsia="es-CO"/>
              </w:rPr>
              <w:t>Referencia</w:t>
            </w:r>
          </w:p>
        </w:tc>
        <w:tc>
          <w:tcPr>
            <w:tcW w:w="750" w:type="pct"/>
            <w:tcBorders>
              <w:top w:val="single" w:sz="4" w:space="0" w:color="FFFFFF"/>
              <w:left w:val="nil"/>
              <w:bottom w:val="single" w:sz="4" w:space="0" w:color="auto"/>
              <w:right w:val="single" w:sz="4" w:space="0" w:color="FFFFFF"/>
            </w:tcBorders>
            <w:shd w:val="clear" w:color="000000" w:fill="203764"/>
            <w:noWrap/>
            <w:vAlign w:val="bottom"/>
            <w:hideMark/>
          </w:tcPr>
          <w:p w14:paraId="0B1195B8" w14:textId="77777777" w:rsidR="00B54F4E" w:rsidRPr="00694A63" w:rsidRDefault="00B54F4E" w:rsidP="006504C4">
            <w:pPr>
              <w:spacing w:before="0" w:after="0"/>
              <w:jc w:val="center"/>
              <w:rPr>
                <w:rFonts w:ascii="Calibri" w:hAnsi="Calibri" w:cs="Calibri"/>
                <w:color w:val="FFFFFF"/>
                <w:szCs w:val="22"/>
                <w:lang w:eastAsia="es-CO"/>
              </w:rPr>
            </w:pPr>
            <w:r w:rsidRPr="00694A63">
              <w:rPr>
                <w:rFonts w:ascii="Calibri" w:hAnsi="Calibri" w:cs="Calibri"/>
                <w:color w:val="FFFFFF"/>
                <w:szCs w:val="22"/>
                <w:lang w:eastAsia="es-CO"/>
              </w:rPr>
              <w:t>Renovable</w:t>
            </w:r>
          </w:p>
        </w:tc>
        <w:tc>
          <w:tcPr>
            <w:tcW w:w="749" w:type="pct"/>
            <w:tcBorders>
              <w:top w:val="single" w:sz="4" w:space="0" w:color="FFFFFF"/>
              <w:left w:val="nil"/>
              <w:bottom w:val="single" w:sz="4" w:space="0" w:color="auto"/>
              <w:right w:val="single" w:sz="4" w:space="0" w:color="FFFFFF"/>
            </w:tcBorders>
            <w:shd w:val="clear" w:color="000000" w:fill="203764"/>
            <w:noWrap/>
            <w:vAlign w:val="bottom"/>
            <w:hideMark/>
          </w:tcPr>
          <w:p w14:paraId="3CA967C5" w14:textId="77777777" w:rsidR="00B54F4E" w:rsidRPr="00694A63" w:rsidRDefault="00B54F4E" w:rsidP="006504C4">
            <w:pPr>
              <w:spacing w:before="0" w:after="0"/>
              <w:jc w:val="center"/>
              <w:rPr>
                <w:rFonts w:ascii="Calibri" w:hAnsi="Calibri" w:cs="Calibri"/>
                <w:color w:val="FFFFFF"/>
                <w:szCs w:val="22"/>
                <w:lang w:eastAsia="es-CO"/>
              </w:rPr>
            </w:pPr>
            <w:r w:rsidRPr="00694A63">
              <w:rPr>
                <w:rFonts w:ascii="Calibri" w:hAnsi="Calibri" w:cs="Calibri"/>
                <w:color w:val="FFFFFF"/>
                <w:szCs w:val="22"/>
                <w:lang w:eastAsia="es-CO"/>
              </w:rPr>
              <w:t>Diferencia</w:t>
            </w:r>
          </w:p>
        </w:tc>
      </w:tr>
      <w:tr w:rsidR="00B54F4E" w:rsidRPr="00694A63" w14:paraId="246A200E" w14:textId="77777777" w:rsidTr="006504C4">
        <w:trPr>
          <w:trHeight w:val="300"/>
        </w:trPr>
        <w:tc>
          <w:tcPr>
            <w:tcW w:w="2722" w:type="pct"/>
            <w:tcBorders>
              <w:top w:val="nil"/>
              <w:left w:val="nil"/>
              <w:bottom w:val="nil"/>
              <w:right w:val="nil"/>
            </w:tcBorders>
            <w:shd w:val="clear" w:color="auto" w:fill="auto"/>
            <w:noWrap/>
            <w:vAlign w:val="bottom"/>
            <w:hideMark/>
          </w:tcPr>
          <w:p w14:paraId="4DF2B19A" w14:textId="77777777" w:rsidR="00B54F4E" w:rsidRPr="00694A63" w:rsidRDefault="00B54F4E" w:rsidP="006504C4">
            <w:pPr>
              <w:spacing w:before="0" w:after="0"/>
              <w:jc w:val="left"/>
              <w:rPr>
                <w:rFonts w:ascii="Calibri" w:hAnsi="Calibri" w:cs="Calibri"/>
                <w:color w:val="000000"/>
                <w:szCs w:val="22"/>
                <w:lang w:eastAsia="es-CO"/>
              </w:rPr>
            </w:pPr>
            <w:r w:rsidRPr="00694A63">
              <w:rPr>
                <w:rFonts w:ascii="Calibri" w:hAnsi="Calibri" w:cs="Calibri"/>
                <w:color w:val="000000"/>
                <w:szCs w:val="22"/>
                <w:lang w:eastAsia="es-CO"/>
              </w:rPr>
              <w:t>Inversión (CAPEX)</w:t>
            </w:r>
          </w:p>
        </w:tc>
        <w:tc>
          <w:tcPr>
            <w:tcW w:w="779" w:type="pct"/>
            <w:tcBorders>
              <w:top w:val="nil"/>
              <w:left w:val="nil"/>
              <w:bottom w:val="nil"/>
              <w:right w:val="nil"/>
            </w:tcBorders>
            <w:shd w:val="clear" w:color="auto" w:fill="auto"/>
            <w:noWrap/>
            <w:vAlign w:val="bottom"/>
            <w:hideMark/>
          </w:tcPr>
          <w:p w14:paraId="7294316A"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3.988</w:t>
            </w:r>
          </w:p>
        </w:tc>
        <w:tc>
          <w:tcPr>
            <w:tcW w:w="750" w:type="pct"/>
            <w:tcBorders>
              <w:top w:val="nil"/>
              <w:left w:val="nil"/>
              <w:bottom w:val="nil"/>
              <w:right w:val="nil"/>
            </w:tcBorders>
            <w:shd w:val="clear" w:color="auto" w:fill="auto"/>
            <w:noWrap/>
            <w:vAlign w:val="bottom"/>
            <w:hideMark/>
          </w:tcPr>
          <w:p w14:paraId="3A38B2DC"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4.278</w:t>
            </w:r>
          </w:p>
        </w:tc>
        <w:tc>
          <w:tcPr>
            <w:tcW w:w="749" w:type="pct"/>
            <w:tcBorders>
              <w:top w:val="nil"/>
              <w:left w:val="nil"/>
              <w:bottom w:val="nil"/>
              <w:right w:val="nil"/>
            </w:tcBorders>
            <w:shd w:val="clear" w:color="auto" w:fill="auto"/>
            <w:noWrap/>
            <w:vAlign w:val="bottom"/>
            <w:hideMark/>
          </w:tcPr>
          <w:p w14:paraId="2C32656F"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290</w:t>
            </w:r>
          </w:p>
        </w:tc>
      </w:tr>
      <w:tr w:rsidR="00B54F4E" w:rsidRPr="00694A63" w14:paraId="6B79C034" w14:textId="77777777" w:rsidTr="006504C4">
        <w:trPr>
          <w:trHeight w:val="300"/>
        </w:trPr>
        <w:tc>
          <w:tcPr>
            <w:tcW w:w="2722" w:type="pct"/>
            <w:tcBorders>
              <w:top w:val="nil"/>
              <w:left w:val="nil"/>
              <w:bottom w:val="nil"/>
              <w:right w:val="nil"/>
            </w:tcBorders>
            <w:shd w:val="clear" w:color="auto" w:fill="auto"/>
            <w:noWrap/>
            <w:vAlign w:val="bottom"/>
            <w:hideMark/>
          </w:tcPr>
          <w:p w14:paraId="165C6C91" w14:textId="77777777" w:rsidR="00B54F4E" w:rsidRPr="00694A63" w:rsidRDefault="00B54F4E" w:rsidP="006504C4">
            <w:pPr>
              <w:spacing w:before="0" w:after="0"/>
              <w:jc w:val="left"/>
              <w:rPr>
                <w:rFonts w:ascii="Calibri" w:hAnsi="Calibri" w:cs="Calibri"/>
                <w:color w:val="000000"/>
                <w:szCs w:val="22"/>
                <w:lang w:eastAsia="es-CO"/>
              </w:rPr>
            </w:pPr>
            <w:r w:rsidRPr="00694A63">
              <w:rPr>
                <w:rFonts w:ascii="Calibri" w:hAnsi="Calibri" w:cs="Calibri"/>
                <w:color w:val="000000"/>
                <w:szCs w:val="22"/>
                <w:lang w:eastAsia="es-CO"/>
              </w:rPr>
              <w:t>Costo de operación (OPEX)</w:t>
            </w:r>
          </w:p>
        </w:tc>
        <w:tc>
          <w:tcPr>
            <w:tcW w:w="779" w:type="pct"/>
            <w:tcBorders>
              <w:top w:val="nil"/>
              <w:left w:val="nil"/>
              <w:bottom w:val="nil"/>
              <w:right w:val="nil"/>
            </w:tcBorders>
            <w:shd w:val="clear" w:color="auto" w:fill="auto"/>
            <w:noWrap/>
            <w:vAlign w:val="bottom"/>
            <w:hideMark/>
          </w:tcPr>
          <w:p w14:paraId="72BDA1FB"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5.197</w:t>
            </w:r>
          </w:p>
        </w:tc>
        <w:tc>
          <w:tcPr>
            <w:tcW w:w="750" w:type="pct"/>
            <w:tcBorders>
              <w:top w:val="nil"/>
              <w:left w:val="nil"/>
              <w:bottom w:val="nil"/>
              <w:right w:val="nil"/>
            </w:tcBorders>
            <w:shd w:val="clear" w:color="auto" w:fill="auto"/>
            <w:noWrap/>
            <w:vAlign w:val="bottom"/>
            <w:hideMark/>
          </w:tcPr>
          <w:p w14:paraId="6FFC19EF"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4.855</w:t>
            </w:r>
          </w:p>
        </w:tc>
        <w:tc>
          <w:tcPr>
            <w:tcW w:w="749" w:type="pct"/>
            <w:tcBorders>
              <w:top w:val="nil"/>
              <w:left w:val="nil"/>
              <w:bottom w:val="nil"/>
              <w:right w:val="nil"/>
            </w:tcBorders>
            <w:shd w:val="clear" w:color="auto" w:fill="auto"/>
            <w:noWrap/>
            <w:vAlign w:val="bottom"/>
            <w:hideMark/>
          </w:tcPr>
          <w:p w14:paraId="357BDA7D"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-342</w:t>
            </w:r>
          </w:p>
        </w:tc>
      </w:tr>
      <w:tr w:rsidR="00B54F4E" w:rsidRPr="00694A63" w14:paraId="635FDA0C" w14:textId="77777777" w:rsidTr="006504C4">
        <w:trPr>
          <w:trHeight w:val="315"/>
        </w:trPr>
        <w:tc>
          <w:tcPr>
            <w:tcW w:w="2722" w:type="pct"/>
            <w:tcBorders>
              <w:top w:val="nil"/>
              <w:left w:val="nil"/>
              <w:bottom w:val="single" w:sz="8" w:space="0" w:color="000000"/>
              <w:right w:val="nil"/>
            </w:tcBorders>
            <w:shd w:val="clear" w:color="auto" w:fill="auto"/>
            <w:noWrap/>
            <w:vAlign w:val="bottom"/>
            <w:hideMark/>
          </w:tcPr>
          <w:p w14:paraId="38CF8014" w14:textId="77777777" w:rsidR="00B54F4E" w:rsidRPr="00694A63" w:rsidRDefault="00B54F4E" w:rsidP="006504C4">
            <w:pPr>
              <w:spacing w:before="0" w:after="0"/>
              <w:jc w:val="left"/>
              <w:rPr>
                <w:rFonts w:ascii="Calibri" w:hAnsi="Calibri" w:cs="Calibri"/>
                <w:color w:val="000000"/>
                <w:szCs w:val="22"/>
                <w:lang w:eastAsia="es-CO"/>
              </w:rPr>
            </w:pPr>
            <w:r w:rsidRPr="00694A63">
              <w:rPr>
                <w:rFonts w:ascii="Calibri" w:hAnsi="Calibri" w:cs="Calibri"/>
                <w:color w:val="000000"/>
                <w:szCs w:val="22"/>
                <w:lang w:eastAsia="es-CO"/>
              </w:rPr>
              <w:t>Costo ambiental</w:t>
            </w:r>
          </w:p>
        </w:tc>
        <w:tc>
          <w:tcPr>
            <w:tcW w:w="779" w:type="pct"/>
            <w:tcBorders>
              <w:top w:val="nil"/>
              <w:left w:val="nil"/>
              <w:bottom w:val="single" w:sz="8" w:space="0" w:color="000000"/>
              <w:right w:val="nil"/>
            </w:tcBorders>
            <w:shd w:val="clear" w:color="auto" w:fill="auto"/>
            <w:noWrap/>
            <w:vAlign w:val="bottom"/>
            <w:hideMark/>
          </w:tcPr>
          <w:p w14:paraId="0B715C68"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163</w:t>
            </w:r>
          </w:p>
        </w:tc>
        <w:tc>
          <w:tcPr>
            <w:tcW w:w="750" w:type="pct"/>
            <w:tcBorders>
              <w:top w:val="nil"/>
              <w:left w:val="nil"/>
              <w:bottom w:val="single" w:sz="8" w:space="0" w:color="000000"/>
              <w:right w:val="nil"/>
            </w:tcBorders>
            <w:shd w:val="clear" w:color="auto" w:fill="auto"/>
            <w:noWrap/>
            <w:vAlign w:val="bottom"/>
            <w:hideMark/>
          </w:tcPr>
          <w:p w14:paraId="16F2ACCB"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133</w:t>
            </w:r>
          </w:p>
        </w:tc>
        <w:tc>
          <w:tcPr>
            <w:tcW w:w="749" w:type="pct"/>
            <w:tcBorders>
              <w:top w:val="nil"/>
              <w:left w:val="nil"/>
              <w:bottom w:val="single" w:sz="8" w:space="0" w:color="000000"/>
              <w:right w:val="nil"/>
            </w:tcBorders>
            <w:shd w:val="clear" w:color="auto" w:fill="auto"/>
            <w:noWrap/>
            <w:vAlign w:val="bottom"/>
            <w:hideMark/>
          </w:tcPr>
          <w:p w14:paraId="76DBA542"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-30</w:t>
            </w:r>
          </w:p>
        </w:tc>
      </w:tr>
      <w:tr w:rsidR="00B54F4E" w:rsidRPr="00694A63" w14:paraId="0F69E94B" w14:textId="77777777" w:rsidTr="006504C4">
        <w:trPr>
          <w:trHeight w:val="315"/>
        </w:trPr>
        <w:tc>
          <w:tcPr>
            <w:tcW w:w="2722" w:type="pct"/>
            <w:tcBorders>
              <w:top w:val="nil"/>
              <w:left w:val="nil"/>
              <w:bottom w:val="single" w:sz="8" w:space="0" w:color="000000"/>
              <w:right w:val="nil"/>
            </w:tcBorders>
            <w:shd w:val="clear" w:color="auto" w:fill="auto"/>
            <w:noWrap/>
            <w:vAlign w:val="bottom"/>
            <w:hideMark/>
          </w:tcPr>
          <w:p w14:paraId="6F3CEEF9" w14:textId="77777777" w:rsidR="00B54F4E" w:rsidRPr="00694A63" w:rsidRDefault="00B54F4E" w:rsidP="006504C4">
            <w:pPr>
              <w:spacing w:before="0" w:after="0"/>
              <w:jc w:val="left"/>
              <w:rPr>
                <w:rFonts w:ascii="Calibri" w:hAnsi="Calibri" w:cs="Calibri"/>
                <w:color w:val="000000"/>
                <w:szCs w:val="22"/>
                <w:lang w:eastAsia="es-CO"/>
              </w:rPr>
            </w:pPr>
            <w:r w:rsidRPr="00694A63">
              <w:rPr>
                <w:rFonts w:ascii="Calibri" w:hAnsi="Calibri" w:cs="Calibri"/>
                <w:color w:val="000000"/>
                <w:szCs w:val="22"/>
                <w:lang w:eastAsia="es-CO"/>
              </w:rPr>
              <w:t>Total</w:t>
            </w:r>
          </w:p>
        </w:tc>
        <w:tc>
          <w:tcPr>
            <w:tcW w:w="779" w:type="pct"/>
            <w:tcBorders>
              <w:top w:val="nil"/>
              <w:left w:val="nil"/>
              <w:bottom w:val="single" w:sz="8" w:space="0" w:color="000000"/>
              <w:right w:val="nil"/>
            </w:tcBorders>
            <w:shd w:val="clear" w:color="auto" w:fill="auto"/>
            <w:noWrap/>
            <w:vAlign w:val="bottom"/>
            <w:hideMark/>
          </w:tcPr>
          <w:p w14:paraId="0FA8C6E3"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9.348</w:t>
            </w:r>
          </w:p>
        </w:tc>
        <w:tc>
          <w:tcPr>
            <w:tcW w:w="750" w:type="pct"/>
            <w:tcBorders>
              <w:top w:val="nil"/>
              <w:left w:val="nil"/>
              <w:bottom w:val="single" w:sz="8" w:space="0" w:color="000000"/>
              <w:right w:val="nil"/>
            </w:tcBorders>
            <w:shd w:val="clear" w:color="auto" w:fill="auto"/>
            <w:noWrap/>
            <w:vAlign w:val="bottom"/>
            <w:hideMark/>
          </w:tcPr>
          <w:p w14:paraId="58E2B2D4"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9.266</w:t>
            </w:r>
          </w:p>
        </w:tc>
        <w:tc>
          <w:tcPr>
            <w:tcW w:w="749" w:type="pct"/>
            <w:tcBorders>
              <w:top w:val="nil"/>
              <w:left w:val="nil"/>
              <w:bottom w:val="single" w:sz="8" w:space="0" w:color="000000"/>
              <w:right w:val="nil"/>
            </w:tcBorders>
            <w:shd w:val="clear" w:color="auto" w:fill="auto"/>
            <w:noWrap/>
            <w:vAlign w:val="bottom"/>
            <w:hideMark/>
          </w:tcPr>
          <w:p w14:paraId="0BF349FB" w14:textId="77777777" w:rsidR="00B54F4E" w:rsidRPr="00694A63" w:rsidRDefault="00B54F4E" w:rsidP="006504C4">
            <w:pPr>
              <w:spacing w:before="0" w:after="0"/>
              <w:jc w:val="right"/>
              <w:rPr>
                <w:rFonts w:ascii="Calibri" w:hAnsi="Calibri" w:cs="Calibri"/>
                <w:color w:val="000000"/>
                <w:szCs w:val="22"/>
                <w:lang w:eastAsia="es-CO"/>
              </w:rPr>
            </w:pPr>
            <w:r>
              <w:rPr>
                <w:rFonts w:ascii="Calibri" w:hAnsi="Calibri" w:cs="Calibri"/>
                <w:color w:val="000000"/>
                <w:szCs w:val="22"/>
              </w:rPr>
              <w:t>-82</w:t>
            </w:r>
          </w:p>
        </w:tc>
      </w:tr>
      <w:tr w:rsidR="00B54F4E" w:rsidRPr="00694A63" w14:paraId="040BC1D8" w14:textId="77777777" w:rsidTr="006504C4">
        <w:trPr>
          <w:trHeight w:val="315"/>
        </w:trPr>
        <w:tc>
          <w:tcPr>
            <w:tcW w:w="2722" w:type="pct"/>
            <w:tcBorders>
              <w:top w:val="nil"/>
              <w:left w:val="nil"/>
              <w:bottom w:val="single" w:sz="8" w:space="0" w:color="000000"/>
              <w:right w:val="nil"/>
            </w:tcBorders>
            <w:shd w:val="clear" w:color="auto" w:fill="auto"/>
            <w:noWrap/>
            <w:vAlign w:val="center"/>
            <w:hideMark/>
          </w:tcPr>
          <w:p w14:paraId="6D27A42E" w14:textId="77777777" w:rsidR="00B54F4E" w:rsidRPr="00694A63" w:rsidRDefault="00B54F4E" w:rsidP="006504C4">
            <w:pPr>
              <w:spacing w:before="0" w:after="0"/>
              <w:jc w:val="left"/>
              <w:rPr>
                <w:rFonts w:ascii="Calibri" w:hAnsi="Calibri" w:cs="Calibri"/>
                <w:b/>
                <w:bCs/>
                <w:color w:val="000000"/>
                <w:szCs w:val="22"/>
                <w:lang w:eastAsia="es-CO"/>
              </w:rPr>
            </w:pPr>
            <w:r w:rsidRPr="00694A63">
              <w:rPr>
                <w:rFonts w:ascii="Calibri" w:hAnsi="Calibri" w:cs="Calibri"/>
                <w:b/>
                <w:bCs/>
                <w:color w:val="000000"/>
                <w:szCs w:val="22"/>
                <w:lang w:eastAsia="es-CO"/>
              </w:rPr>
              <w:t>Beneficio Neto</w:t>
            </w:r>
          </w:p>
        </w:tc>
        <w:tc>
          <w:tcPr>
            <w:tcW w:w="779" w:type="pct"/>
            <w:tcBorders>
              <w:top w:val="nil"/>
              <w:left w:val="nil"/>
              <w:bottom w:val="single" w:sz="8" w:space="0" w:color="000000"/>
              <w:right w:val="nil"/>
            </w:tcBorders>
            <w:shd w:val="clear" w:color="auto" w:fill="auto"/>
            <w:noWrap/>
            <w:vAlign w:val="center"/>
            <w:hideMark/>
          </w:tcPr>
          <w:p w14:paraId="24D272EC" w14:textId="77777777" w:rsidR="00B54F4E" w:rsidRPr="00694A63" w:rsidRDefault="00B54F4E" w:rsidP="006504C4">
            <w:pPr>
              <w:spacing w:before="0" w:after="0"/>
              <w:jc w:val="left"/>
              <w:rPr>
                <w:rFonts w:ascii="Calibri" w:hAnsi="Calibri" w:cs="Calibri"/>
                <w:color w:val="000000"/>
                <w:szCs w:val="22"/>
                <w:lang w:eastAsia="es-CO"/>
              </w:rPr>
            </w:pPr>
          </w:p>
        </w:tc>
        <w:tc>
          <w:tcPr>
            <w:tcW w:w="750" w:type="pct"/>
            <w:tcBorders>
              <w:top w:val="nil"/>
              <w:left w:val="nil"/>
              <w:bottom w:val="single" w:sz="8" w:space="0" w:color="000000"/>
              <w:right w:val="nil"/>
            </w:tcBorders>
            <w:shd w:val="clear" w:color="auto" w:fill="auto"/>
            <w:noWrap/>
            <w:vAlign w:val="center"/>
            <w:hideMark/>
          </w:tcPr>
          <w:p w14:paraId="388F851A" w14:textId="77777777" w:rsidR="00B54F4E" w:rsidRPr="00694A63" w:rsidRDefault="00B54F4E" w:rsidP="006504C4">
            <w:pPr>
              <w:spacing w:before="0" w:after="0"/>
              <w:jc w:val="left"/>
              <w:rPr>
                <w:rFonts w:ascii="Calibri" w:hAnsi="Calibri" w:cs="Calibri"/>
                <w:color w:val="000000"/>
                <w:szCs w:val="22"/>
                <w:lang w:eastAsia="es-CO"/>
              </w:rPr>
            </w:pPr>
          </w:p>
        </w:tc>
        <w:tc>
          <w:tcPr>
            <w:tcW w:w="749" w:type="pct"/>
            <w:tcBorders>
              <w:top w:val="nil"/>
              <w:left w:val="nil"/>
              <w:bottom w:val="single" w:sz="8" w:space="0" w:color="000000"/>
              <w:right w:val="nil"/>
            </w:tcBorders>
            <w:shd w:val="clear" w:color="auto" w:fill="auto"/>
            <w:noWrap/>
            <w:vAlign w:val="center"/>
            <w:hideMark/>
          </w:tcPr>
          <w:p w14:paraId="74F20737" w14:textId="77777777" w:rsidR="00B54F4E" w:rsidRPr="00694A63" w:rsidRDefault="00B54F4E" w:rsidP="006504C4">
            <w:pPr>
              <w:spacing w:before="0" w:after="0"/>
              <w:jc w:val="right"/>
              <w:rPr>
                <w:rFonts w:ascii="Calibri" w:hAnsi="Calibri" w:cs="Calibri"/>
                <w:b/>
                <w:bCs/>
                <w:color w:val="000000"/>
                <w:szCs w:val="22"/>
                <w:lang w:eastAsia="es-CO"/>
              </w:rPr>
            </w:pPr>
            <w:r>
              <w:rPr>
                <w:rFonts w:ascii="Calibri" w:hAnsi="Calibri" w:cs="Calibri"/>
                <w:b/>
                <w:bCs/>
                <w:color w:val="000000"/>
                <w:szCs w:val="22"/>
              </w:rPr>
              <w:t>81,75</w:t>
            </w:r>
          </w:p>
        </w:tc>
      </w:tr>
    </w:tbl>
    <w:p w14:paraId="52182E7F" w14:textId="77777777" w:rsidR="00B54F4E" w:rsidRPr="00DA5DEF" w:rsidRDefault="00B54F4E" w:rsidP="00B54F4E">
      <w:pPr>
        <w:rPr>
          <w:b/>
          <w:lang w:val="es-ES"/>
        </w:rPr>
      </w:pPr>
      <w:bookmarkStart w:id="55" w:name="_Toc476136939"/>
      <w:r w:rsidRPr="00DA5DEF">
        <w:rPr>
          <w:b/>
          <w:lang w:val="es-ES"/>
        </w:rPr>
        <w:t>Beneficiarios</w:t>
      </w:r>
      <w:bookmarkEnd w:id="55"/>
    </w:p>
    <w:p w14:paraId="04BC8C5E" w14:textId="77777777" w:rsidR="00B54F4E" w:rsidRDefault="00B54F4E" w:rsidP="00B54F4E">
      <w:pPr>
        <w:spacing w:before="120" w:after="0"/>
        <w:rPr>
          <w:lang w:val="es-ES"/>
        </w:rPr>
      </w:pPr>
      <w:r>
        <w:rPr>
          <w:lang w:val="es-ES"/>
        </w:rPr>
        <w:t xml:space="preserve">En general, todos los consumidores de energía eléctrica del SIN se ven beneficiados con la reducción de precios. Los consumidores residenciales tendrán un menor pago de sus </w:t>
      </w:r>
      <w:r>
        <w:rPr>
          <w:lang w:val="es-ES"/>
        </w:rPr>
        <w:lastRenderedPageBreak/>
        <w:t>facturas lo cual representa in incremento en el ingreso disponible. Las industrias y el comercio incurren en menores costos de producción lo cual contribuye a una mayor competitividad de estas.</w:t>
      </w:r>
    </w:p>
    <w:p w14:paraId="50619789" w14:textId="77777777" w:rsidR="00B54F4E" w:rsidRPr="00393045" w:rsidRDefault="00B54F4E" w:rsidP="00B54F4E">
      <w:pPr>
        <w:rPr>
          <w:lang w:val="es-ES"/>
        </w:rPr>
      </w:pPr>
      <w:r>
        <w:rPr>
          <w:lang w:val="es-ES"/>
        </w:rPr>
        <w:t>La reducción de emisiones de CO</w:t>
      </w:r>
      <w:r w:rsidRPr="00461E55">
        <w:rPr>
          <w:vertAlign w:val="subscript"/>
          <w:lang w:val="es-ES"/>
        </w:rPr>
        <w:t>2</w:t>
      </w:r>
      <w:r>
        <w:rPr>
          <w:lang w:val="es-ES"/>
        </w:rPr>
        <w:t xml:space="preserve"> beneficia a toda la población en general.</w:t>
      </w:r>
    </w:p>
    <w:p w14:paraId="4AFF551C" w14:textId="77777777" w:rsidR="00B54F4E" w:rsidRDefault="00B54F4E" w:rsidP="00B54F4E">
      <w:pPr>
        <w:pStyle w:val="Heading3"/>
      </w:pPr>
      <w:bookmarkStart w:id="56" w:name="_Toc476136940"/>
      <w:bookmarkStart w:id="57" w:name="_Toc484097024"/>
      <w:r>
        <w:t>Análisis de sensibilidad</w:t>
      </w:r>
      <w:bookmarkEnd w:id="56"/>
      <w:bookmarkEnd w:id="57"/>
    </w:p>
    <w:p w14:paraId="4070F40E" w14:textId="77777777" w:rsidR="00B54F4E" w:rsidRDefault="00B54F4E" w:rsidP="00B54F4E">
      <w:pPr>
        <w:spacing w:before="120" w:after="0"/>
        <w:rPr>
          <w:lang w:val="es-ES"/>
        </w:rPr>
      </w:pPr>
      <w:r>
        <w:rPr>
          <w:lang w:val="es-ES"/>
        </w:rPr>
        <w:t xml:space="preserve">El análisis realizado sensibiliza los resultados del VPN de beneficios por variaciones en los costos de inversión de energía solar y eólica, y de los beneficios por reducción de emisiones de </w:t>
      </w:r>
      <w:r w:rsidRPr="00216465">
        <w:rPr>
          <w:lang w:val="es-ES"/>
        </w:rPr>
        <w:t>CO</w:t>
      </w:r>
      <w:r w:rsidRPr="00216465">
        <w:rPr>
          <w:vertAlign w:val="subscript"/>
          <w:lang w:val="es-ES"/>
        </w:rPr>
        <w:t>2</w:t>
      </w:r>
      <w:r w:rsidRPr="00216465">
        <w:rPr>
          <w:lang w:val="es-ES"/>
        </w:rPr>
        <w:t xml:space="preserve"> a distintos precios</w:t>
      </w:r>
      <w:r>
        <w:rPr>
          <w:lang w:val="es-ES"/>
        </w:rPr>
        <w:t>.</w:t>
      </w:r>
    </w:p>
    <w:p w14:paraId="484F919B" w14:textId="77777777" w:rsidR="00B54F4E" w:rsidRDefault="00B54F4E" w:rsidP="00B54F4E">
      <w:pPr>
        <w:spacing w:before="120" w:after="0"/>
        <w:rPr>
          <w:lang w:val="es-ES"/>
        </w:rPr>
      </w:pPr>
      <w:r>
        <w:rPr>
          <w:lang w:val="es-ES"/>
        </w:rPr>
        <w:t xml:space="preserve">La </w:t>
      </w:r>
      <w:r>
        <w:rPr>
          <w:lang w:val="es-ES"/>
        </w:rPr>
        <w:fldChar w:fldCharType="begin"/>
      </w:r>
      <w:r>
        <w:rPr>
          <w:lang w:val="es-ES"/>
        </w:rPr>
        <w:instrText xml:space="preserve"> REF _Ref481515201 \h </w:instrText>
      </w:r>
      <w:r>
        <w:rPr>
          <w:lang w:val="es-ES"/>
        </w:rPr>
      </w:r>
      <w:r>
        <w:rPr>
          <w:lang w:val="es-ES"/>
        </w:rPr>
        <w:fldChar w:fldCharType="separate"/>
      </w:r>
      <w:r w:rsidRPr="008C12BC">
        <w:rPr>
          <w:b/>
        </w:rPr>
        <w:t xml:space="preserve">Tabla </w:t>
      </w:r>
      <w:r>
        <w:rPr>
          <w:b/>
          <w:noProof/>
        </w:rPr>
        <w:t>8</w:t>
      </w:r>
      <w:r>
        <w:rPr>
          <w:lang w:val="es-ES"/>
        </w:rPr>
        <w:fldChar w:fldCharType="end"/>
      </w:r>
      <w:r>
        <w:rPr>
          <w:lang w:val="es-ES"/>
        </w:rPr>
        <w:t xml:space="preserve"> presenta la sensibilidad del VPN y TIR del flujo de beneficio neto ante variaciones en los costos de inversión de las tecnologías solar y eólica en el escenario renovable.</w:t>
      </w:r>
    </w:p>
    <w:p w14:paraId="2F91BCF4" w14:textId="77777777" w:rsidR="00B54F4E" w:rsidRDefault="00B54F4E" w:rsidP="00B54F4E">
      <w:pPr>
        <w:spacing w:before="120" w:after="0"/>
        <w:rPr>
          <w:lang w:val="es-ES"/>
        </w:rPr>
      </w:pPr>
    </w:p>
    <w:p w14:paraId="050AA7B9" w14:textId="77777777" w:rsidR="00B54F4E" w:rsidRPr="00C90F2C" w:rsidRDefault="00B54F4E" w:rsidP="00B54F4E">
      <w:pPr>
        <w:jc w:val="center"/>
        <w:rPr>
          <w:rFonts w:cs="Arial"/>
          <w:bCs/>
          <w:color w:val="FF0000"/>
          <w:szCs w:val="22"/>
          <w:lang w:val="es-ES"/>
        </w:rPr>
      </w:pPr>
      <w:bookmarkStart w:id="58" w:name="_Ref481515201"/>
      <w:bookmarkStart w:id="59" w:name="_Toc481515168"/>
      <w:bookmarkStart w:id="60" w:name="_Toc484097048"/>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8</w:t>
      </w:r>
      <w:r w:rsidRPr="008C12BC">
        <w:rPr>
          <w:b/>
        </w:rPr>
        <w:fldChar w:fldCharType="end"/>
      </w:r>
      <w:bookmarkEnd w:id="58"/>
      <w:r>
        <w:rPr>
          <w:b/>
        </w:rPr>
        <w:t xml:space="preserve"> – VPN y TIR del beneficio neto por introducción de ER ante variaciones en los costos de inversión de la tecnología solar y eólica</w:t>
      </w:r>
      <w:bookmarkEnd w:id="59"/>
      <w:bookmarkEnd w:id="60"/>
    </w:p>
    <w:tbl>
      <w:tblPr>
        <w:tblW w:w="5000" w:type="pct"/>
        <w:tblLayout w:type="fixed"/>
        <w:tblCellMar>
          <w:left w:w="70" w:type="dxa"/>
          <w:right w:w="70" w:type="dxa"/>
        </w:tblCellMar>
        <w:tblLook w:val="04A0" w:firstRow="1" w:lastRow="0" w:firstColumn="1" w:lastColumn="0" w:noHBand="0" w:noVBand="1"/>
      </w:tblPr>
      <w:tblGrid>
        <w:gridCol w:w="3544"/>
        <w:gridCol w:w="754"/>
        <w:gridCol w:w="754"/>
        <w:gridCol w:w="756"/>
        <w:gridCol w:w="754"/>
        <w:gridCol w:w="756"/>
        <w:gridCol w:w="754"/>
        <w:gridCol w:w="756"/>
      </w:tblGrid>
      <w:tr w:rsidR="00B54F4E" w:rsidRPr="00E2666F" w14:paraId="68E87F77" w14:textId="77777777" w:rsidTr="006504C4">
        <w:trPr>
          <w:trHeight w:val="300"/>
        </w:trPr>
        <w:tc>
          <w:tcPr>
            <w:tcW w:w="2007" w:type="pct"/>
            <w:tcBorders>
              <w:top w:val="single" w:sz="4" w:space="0" w:color="000000" w:themeColor="text1"/>
              <w:left w:val="single" w:sz="4" w:space="0" w:color="000000" w:themeColor="text1"/>
              <w:bottom w:val="single" w:sz="4" w:space="0" w:color="auto"/>
              <w:right w:val="nil"/>
            </w:tcBorders>
            <w:shd w:val="clear" w:color="auto" w:fill="auto"/>
            <w:noWrap/>
            <w:vAlign w:val="center"/>
            <w:hideMark/>
          </w:tcPr>
          <w:p w14:paraId="04D117D6"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Porcentaje de Mayor / Menor valor esperado de costo inversión en FNCER</w:t>
            </w:r>
          </w:p>
        </w:tc>
        <w:tc>
          <w:tcPr>
            <w:tcW w:w="427" w:type="pct"/>
            <w:tcBorders>
              <w:top w:val="single" w:sz="4" w:space="0" w:color="000000" w:themeColor="text1"/>
              <w:left w:val="single" w:sz="4" w:space="0" w:color="auto"/>
              <w:bottom w:val="single" w:sz="4" w:space="0" w:color="auto"/>
              <w:right w:val="nil"/>
            </w:tcBorders>
            <w:shd w:val="clear" w:color="auto" w:fill="auto"/>
            <w:noWrap/>
            <w:vAlign w:val="center"/>
            <w:hideMark/>
          </w:tcPr>
          <w:p w14:paraId="648C25FC"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-15%</w:t>
            </w:r>
          </w:p>
        </w:tc>
        <w:tc>
          <w:tcPr>
            <w:tcW w:w="427" w:type="pct"/>
            <w:tcBorders>
              <w:top w:val="single" w:sz="4" w:space="0" w:color="000000" w:themeColor="text1"/>
              <w:left w:val="nil"/>
              <w:bottom w:val="single" w:sz="4" w:space="0" w:color="auto"/>
              <w:right w:val="nil"/>
            </w:tcBorders>
            <w:shd w:val="clear" w:color="auto" w:fill="auto"/>
            <w:noWrap/>
            <w:vAlign w:val="center"/>
            <w:hideMark/>
          </w:tcPr>
          <w:p w14:paraId="6F9A2C0E"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-10%</w:t>
            </w:r>
          </w:p>
        </w:tc>
        <w:tc>
          <w:tcPr>
            <w:tcW w:w="428" w:type="pct"/>
            <w:tcBorders>
              <w:top w:val="single" w:sz="4" w:space="0" w:color="000000" w:themeColor="text1"/>
              <w:left w:val="nil"/>
              <w:bottom w:val="single" w:sz="4" w:space="0" w:color="auto"/>
              <w:right w:val="nil"/>
            </w:tcBorders>
            <w:shd w:val="clear" w:color="auto" w:fill="auto"/>
            <w:noWrap/>
            <w:vAlign w:val="center"/>
            <w:hideMark/>
          </w:tcPr>
          <w:p w14:paraId="08990A6D"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-5%</w:t>
            </w:r>
          </w:p>
        </w:tc>
        <w:tc>
          <w:tcPr>
            <w:tcW w:w="427" w:type="pct"/>
            <w:tcBorders>
              <w:top w:val="single" w:sz="4" w:space="0" w:color="000000" w:themeColor="text1"/>
              <w:left w:val="nil"/>
              <w:bottom w:val="single" w:sz="4" w:space="0" w:color="auto"/>
              <w:right w:val="nil"/>
            </w:tcBorders>
            <w:shd w:val="clear" w:color="000000" w:fill="E7E6E6"/>
            <w:noWrap/>
            <w:vAlign w:val="center"/>
            <w:hideMark/>
          </w:tcPr>
          <w:p w14:paraId="7231BC74"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0%</w:t>
            </w:r>
          </w:p>
        </w:tc>
        <w:tc>
          <w:tcPr>
            <w:tcW w:w="428" w:type="pct"/>
            <w:tcBorders>
              <w:top w:val="single" w:sz="4" w:space="0" w:color="000000" w:themeColor="text1"/>
              <w:left w:val="nil"/>
              <w:bottom w:val="single" w:sz="4" w:space="0" w:color="auto"/>
              <w:right w:val="nil"/>
            </w:tcBorders>
            <w:shd w:val="clear" w:color="auto" w:fill="auto"/>
            <w:noWrap/>
            <w:vAlign w:val="center"/>
            <w:hideMark/>
          </w:tcPr>
          <w:p w14:paraId="7917AB91"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5%</w:t>
            </w:r>
          </w:p>
        </w:tc>
        <w:tc>
          <w:tcPr>
            <w:tcW w:w="427" w:type="pct"/>
            <w:tcBorders>
              <w:top w:val="single" w:sz="4" w:space="0" w:color="000000" w:themeColor="text1"/>
              <w:left w:val="nil"/>
              <w:bottom w:val="single" w:sz="4" w:space="0" w:color="auto"/>
              <w:right w:val="nil"/>
            </w:tcBorders>
            <w:shd w:val="clear" w:color="auto" w:fill="auto"/>
            <w:noWrap/>
            <w:vAlign w:val="center"/>
            <w:hideMark/>
          </w:tcPr>
          <w:p w14:paraId="1C1DDC94"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10%</w:t>
            </w:r>
          </w:p>
        </w:tc>
        <w:tc>
          <w:tcPr>
            <w:tcW w:w="428" w:type="pct"/>
            <w:tcBorders>
              <w:top w:val="single" w:sz="4" w:space="0" w:color="000000" w:themeColor="text1"/>
              <w:left w:val="nil"/>
              <w:bottom w:val="single" w:sz="4" w:space="0" w:color="auto"/>
              <w:right w:val="single" w:sz="4" w:space="0" w:color="auto"/>
            </w:tcBorders>
            <w:shd w:val="clear" w:color="auto" w:fill="auto"/>
            <w:noWrap/>
            <w:vAlign w:val="center"/>
            <w:hideMark/>
          </w:tcPr>
          <w:p w14:paraId="40A3D9D4" w14:textId="77777777" w:rsidR="00B54F4E" w:rsidRPr="00E2666F" w:rsidRDefault="00B54F4E" w:rsidP="006504C4">
            <w:pPr>
              <w:spacing w:before="0" w:after="0"/>
              <w:jc w:val="center"/>
              <w:rPr>
                <w:rFonts w:ascii="Calibri" w:hAnsi="Calibri" w:cs="Calibri"/>
                <w:b/>
                <w:color w:val="000000"/>
                <w:sz w:val="20"/>
                <w:szCs w:val="22"/>
                <w:lang w:eastAsia="es-CO"/>
              </w:rPr>
            </w:pPr>
            <w:r w:rsidRPr="00E2666F">
              <w:rPr>
                <w:rFonts w:ascii="Calibri" w:hAnsi="Calibri" w:cs="Calibri"/>
                <w:b/>
                <w:color w:val="000000"/>
                <w:sz w:val="20"/>
                <w:szCs w:val="22"/>
                <w:lang w:eastAsia="es-CO"/>
              </w:rPr>
              <w:t>15%</w:t>
            </w:r>
          </w:p>
        </w:tc>
      </w:tr>
      <w:tr w:rsidR="00B54F4E" w:rsidRPr="00E2666F" w14:paraId="4426D34D" w14:textId="77777777" w:rsidTr="006504C4">
        <w:trPr>
          <w:trHeight w:val="300"/>
        </w:trPr>
        <w:tc>
          <w:tcPr>
            <w:tcW w:w="2007" w:type="pct"/>
            <w:tcBorders>
              <w:top w:val="single" w:sz="4" w:space="0" w:color="auto"/>
              <w:left w:val="single" w:sz="4" w:space="0" w:color="auto"/>
              <w:bottom w:val="single" w:sz="4" w:space="0" w:color="auto"/>
              <w:right w:val="nil"/>
            </w:tcBorders>
            <w:shd w:val="clear" w:color="auto" w:fill="auto"/>
            <w:noWrap/>
            <w:vAlign w:val="center"/>
            <w:hideMark/>
          </w:tcPr>
          <w:p w14:paraId="3A6EF630" w14:textId="77777777" w:rsidR="00B54F4E" w:rsidRPr="00E2666F" w:rsidRDefault="00B54F4E" w:rsidP="006504C4">
            <w:pPr>
              <w:spacing w:before="0" w:after="0"/>
              <w:jc w:val="center"/>
              <w:rPr>
                <w:rFonts w:ascii="Calibri" w:hAnsi="Calibri" w:cs="Calibri"/>
                <w:color w:val="FFFFFF"/>
                <w:sz w:val="20"/>
                <w:szCs w:val="22"/>
                <w:lang w:eastAsia="es-CO"/>
              </w:rPr>
            </w:pPr>
            <w:r>
              <w:rPr>
                <w:rFonts w:ascii="Calibri" w:hAnsi="Calibri" w:cs="Calibri"/>
                <w:color w:val="000000" w:themeColor="text1"/>
                <w:sz w:val="20"/>
                <w:szCs w:val="22"/>
                <w:lang w:eastAsia="es-CO"/>
              </w:rPr>
              <w:t>VPN (USD$ MM)</w:t>
            </w:r>
          </w:p>
        </w:tc>
        <w:tc>
          <w:tcPr>
            <w:tcW w:w="427" w:type="pct"/>
            <w:tcBorders>
              <w:top w:val="single" w:sz="4" w:space="0" w:color="auto"/>
              <w:left w:val="single" w:sz="4" w:space="0" w:color="auto"/>
              <w:bottom w:val="single" w:sz="4" w:space="0" w:color="auto"/>
              <w:right w:val="nil"/>
            </w:tcBorders>
            <w:shd w:val="clear" w:color="auto" w:fill="auto"/>
            <w:noWrap/>
            <w:vAlign w:val="bottom"/>
            <w:hideMark/>
          </w:tcPr>
          <w:p w14:paraId="4DE74FE0"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330</w:t>
            </w:r>
          </w:p>
        </w:tc>
        <w:tc>
          <w:tcPr>
            <w:tcW w:w="427" w:type="pct"/>
            <w:tcBorders>
              <w:top w:val="single" w:sz="4" w:space="0" w:color="auto"/>
              <w:left w:val="nil"/>
              <w:bottom w:val="single" w:sz="4" w:space="0" w:color="auto"/>
              <w:right w:val="nil"/>
            </w:tcBorders>
            <w:shd w:val="clear" w:color="auto" w:fill="auto"/>
            <w:noWrap/>
            <w:vAlign w:val="bottom"/>
            <w:hideMark/>
          </w:tcPr>
          <w:p w14:paraId="3DF0264F"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247</w:t>
            </w:r>
          </w:p>
        </w:tc>
        <w:tc>
          <w:tcPr>
            <w:tcW w:w="428" w:type="pct"/>
            <w:tcBorders>
              <w:top w:val="single" w:sz="4" w:space="0" w:color="auto"/>
              <w:left w:val="nil"/>
              <w:bottom w:val="single" w:sz="4" w:space="0" w:color="auto"/>
              <w:right w:val="nil"/>
            </w:tcBorders>
            <w:shd w:val="clear" w:color="auto" w:fill="auto"/>
            <w:noWrap/>
            <w:vAlign w:val="bottom"/>
            <w:hideMark/>
          </w:tcPr>
          <w:p w14:paraId="40FA67AF"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165</w:t>
            </w:r>
          </w:p>
        </w:tc>
        <w:tc>
          <w:tcPr>
            <w:tcW w:w="427" w:type="pct"/>
            <w:tcBorders>
              <w:top w:val="single" w:sz="4" w:space="0" w:color="auto"/>
              <w:left w:val="nil"/>
              <w:bottom w:val="single" w:sz="4" w:space="0" w:color="auto"/>
              <w:right w:val="nil"/>
            </w:tcBorders>
            <w:shd w:val="clear" w:color="000000" w:fill="E7E6E6"/>
            <w:noWrap/>
            <w:vAlign w:val="bottom"/>
            <w:hideMark/>
          </w:tcPr>
          <w:p w14:paraId="61688D3F"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82</w:t>
            </w:r>
          </w:p>
        </w:tc>
        <w:tc>
          <w:tcPr>
            <w:tcW w:w="428" w:type="pct"/>
            <w:tcBorders>
              <w:top w:val="single" w:sz="4" w:space="0" w:color="auto"/>
              <w:left w:val="nil"/>
              <w:bottom w:val="single" w:sz="4" w:space="0" w:color="auto"/>
              <w:right w:val="nil"/>
            </w:tcBorders>
            <w:shd w:val="clear" w:color="auto" w:fill="auto"/>
            <w:noWrap/>
            <w:vAlign w:val="bottom"/>
            <w:hideMark/>
          </w:tcPr>
          <w:p w14:paraId="02FFA094"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-1</w:t>
            </w:r>
          </w:p>
        </w:tc>
        <w:tc>
          <w:tcPr>
            <w:tcW w:w="427" w:type="pct"/>
            <w:tcBorders>
              <w:top w:val="single" w:sz="4" w:space="0" w:color="auto"/>
              <w:left w:val="nil"/>
              <w:bottom w:val="single" w:sz="4" w:space="0" w:color="auto"/>
              <w:right w:val="nil"/>
            </w:tcBorders>
            <w:shd w:val="clear" w:color="auto" w:fill="auto"/>
            <w:noWrap/>
            <w:vAlign w:val="bottom"/>
            <w:hideMark/>
          </w:tcPr>
          <w:p w14:paraId="23BFF674"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-84</w:t>
            </w:r>
          </w:p>
        </w:tc>
        <w:tc>
          <w:tcPr>
            <w:tcW w:w="428" w:type="pct"/>
            <w:tcBorders>
              <w:top w:val="single" w:sz="4" w:space="0" w:color="auto"/>
              <w:left w:val="nil"/>
              <w:bottom w:val="single" w:sz="4" w:space="0" w:color="auto"/>
              <w:right w:val="single" w:sz="4" w:space="0" w:color="auto"/>
            </w:tcBorders>
            <w:shd w:val="clear" w:color="auto" w:fill="auto"/>
            <w:noWrap/>
            <w:vAlign w:val="bottom"/>
            <w:hideMark/>
          </w:tcPr>
          <w:p w14:paraId="165E8BD3"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-167</w:t>
            </w:r>
          </w:p>
        </w:tc>
      </w:tr>
      <w:tr w:rsidR="00B54F4E" w:rsidRPr="00E2666F" w14:paraId="429B83C7" w14:textId="77777777" w:rsidTr="006504C4">
        <w:trPr>
          <w:trHeight w:val="300"/>
        </w:trPr>
        <w:tc>
          <w:tcPr>
            <w:tcW w:w="2007" w:type="pct"/>
            <w:tcBorders>
              <w:top w:val="single" w:sz="4" w:space="0" w:color="auto"/>
              <w:left w:val="single" w:sz="4" w:space="0" w:color="auto"/>
              <w:bottom w:val="single" w:sz="4" w:space="0" w:color="auto"/>
              <w:right w:val="nil"/>
            </w:tcBorders>
            <w:shd w:val="clear" w:color="auto" w:fill="auto"/>
            <w:noWrap/>
            <w:vAlign w:val="center"/>
            <w:hideMark/>
          </w:tcPr>
          <w:p w14:paraId="20850CE9" w14:textId="77777777" w:rsidR="00B54F4E" w:rsidRPr="00E2666F" w:rsidRDefault="00B54F4E" w:rsidP="006504C4">
            <w:pPr>
              <w:spacing w:before="0" w:after="0"/>
              <w:jc w:val="center"/>
              <w:rPr>
                <w:rFonts w:ascii="Calibri" w:hAnsi="Calibri" w:cs="Calibri"/>
                <w:color w:val="000000" w:themeColor="text1"/>
                <w:sz w:val="20"/>
                <w:szCs w:val="22"/>
                <w:lang w:eastAsia="es-CO"/>
              </w:rPr>
            </w:pPr>
            <w:r w:rsidRPr="00E2666F">
              <w:rPr>
                <w:rFonts w:ascii="Calibri" w:hAnsi="Calibri" w:cs="Calibri"/>
                <w:color w:val="000000" w:themeColor="text1"/>
                <w:sz w:val="20"/>
                <w:szCs w:val="22"/>
                <w:lang w:eastAsia="es-CO"/>
              </w:rPr>
              <w:t>TIR</w:t>
            </w:r>
          </w:p>
        </w:tc>
        <w:tc>
          <w:tcPr>
            <w:tcW w:w="427" w:type="pct"/>
            <w:tcBorders>
              <w:top w:val="nil"/>
              <w:left w:val="single" w:sz="4" w:space="0" w:color="auto"/>
              <w:bottom w:val="single" w:sz="4" w:space="0" w:color="auto"/>
              <w:right w:val="nil"/>
            </w:tcBorders>
            <w:shd w:val="clear" w:color="auto" w:fill="auto"/>
            <w:noWrap/>
            <w:vAlign w:val="center"/>
          </w:tcPr>
          <w:p w14:paraId="2B4D1B9D" w14:textId="77777777" w:rsidR="00B54F4E" w:rsidRPr="00E2666F" w:rsidRDefault="00B54F4E" w:rsidP="006504C4">
            <w:pPr>
              <w:spacing w:before="0" w:after="0"/>
              <w:jc w:val="center"/>
              <w:rPr>
                <w:rFonts w:ascii="Calibri" w:hAnsi="Calibri" w:cs="Calibri"/>
                <w:color w:val="000000" w:themeColor="text1"/>
                <w:sz w:val="20"/>
                <w:szCs w:val="22"/>
                <w:lang w:eastAsia="es-CO"/>
              </w:rPr>
            </w:pPr>
            <w:r>
              <w:rPr>
                <w:rFonts w:ascii="Calibri" w:hAnsi="Calibri" w:cs="Calibri"/>
                <w:color w:val="000000" w:themeColor="text1"/>
                <w:sz w:val="20"/>
                <w:szCs w:val="22"/>
                <w:lang w:eastAsia="es-CO"/>
              </w:rPr>
              <w:t>-</w:t>
            </w:r>
          </w:p>
        </w:tc>
        <w:tc>
          <w:tcPr>
            <w:tcW w:w="427" w:type="pct"/>
            <w:tcBorders>
              <w:top w:val="nil"/>
              <w:left w:val="nil"/>
              <w:bottom w:val="single" w:sz="4" w:space="0" w:color="auto"/>
              <w:right w:val="nil"/>
            </w:tcBorders>
            <w:shd w:val="clear" w:color="auto" w:fill="auto"/>
            <w:noWrap/>
            <w:vAlign w:val="center"/>
          </w:tcPr>
          <w:p w14:paraId="48292F20" w14:textId="77777777" w:rsidR="00B54F4E" w:rsidRPr="00E2666F" w:rsidRDefault="00B54F4E" w:rsidP="006504C4">
            <w:pPr>
              <w:spacing w:before="0" w:after="0"/>
              <w:jc w:val="center"/>
              <w:rPr>
                <w:rFonts w:ascii="Calibri" w:hAnsi="Calibri" w:cs="Calibri"/>
                <w:color w:val="000000"/>
                <w:sz w:val="20"/>
                <w:szCs w:val="22"/>
                <w:lang w:eastAsia="es-CO"/>
              </w:rPr>
            </w:pPr>
            <w:r>
              <w:rPr>
                <w:rFonts w:ascii="Calibri" w:hAnsi="Calibri" w:cs="Calibri"/>
                <w:color w:val="000000"/>
                <w:sz w:val="20"/>
                <w:szCs w:val="22"/>
                <w:lang w:eastAsia="es-CO"/>
              </w:rPr>
              <w:t>-</w:t>
            </w:r>
          </w:p>
        </w:tc>
        <w:tc>
          <w:tcPr>
            <w:tcW w:w="428" w:type="pct"/>
            <w:tcBorders>
              <w:top w:val="nil"/>
              <w:left w:val="nil"/>
              <w:bottom w:val="single" w:sz="4" w:space="0" w:color="auto"/>
              <w:right w:val="nil"/>
            </w:tcBorders>
            <w:shd w:val="clear" w:color="auto" w:fill="auto"/>
            <w:noWrap/>
            <w:vAlign w:val="bottom"/>
            <w:hideMark/>
          </w:tcPr>
          <w:p w14:paraId="6F01B756"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34,0%</w:t>
            </w:r>
          </w:p>
        </w:tc>
        <w:tc>
          <w:tcPr>
            <w:tcW w:w="427" w:type="pct"/>
            <w:tcBorders>
              <w:top w:val="nil"/>
              <w:left w:val="nil"/>
              <w:bottom w:val="single" w:sz="4" w:space="0" w:color="auto"/>
              <w:right w:val="nil"/>
            </w:tcBorders>
            <w:shd w:val="clear" w:color="000000" w:fill="E7E6E6"/>
            <w:noWrap/>
            <w:vAlign w:val="bottom"/>
            <w:hideMark/>
          </w:tcPr>
          <w:p w14:paraId="2FE360D8"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19,2%</w:t>
            </w:r>
          </w:p>
        </w:tc>
        <w:tc>
          <w:tcPr>
            <w:tcW w:w="428" w:type="pct"/>
            <w:tcBorders>
              <w:top w:val="nil"/>
              <w:left w:val="nil"/>
              <w:bottom w:val="single" w:sz="4" w:space="0" w:color="auto"/>
              <w:right w:val="nil"/>
            </w:tcBorders>
            <w:shd w:val="clear" w:color="auto" w:fill="auto"/>
            <w:noWrap/>
            <w:vAlign w:val="bottom"/>
            <w:hideMark/>
          </w:tcPr>
          <w:p w14:paraId="41070906"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11,9%</w:t>
            </w:r>
          </w:p>
        </w:tc>
        <w:tc>
          <w:tcPr>
            <w:tcW w:w="427" w:type="pct"/>
            <w:tcBorders>
              <w:top w:val="nil"/>
              <w:left w:val="nil"/>
              <w:bottom w:val="single" w:sz="4" w:space="0" w:color="auto"/>
              <w:right w:val="nil"/>
            </w:tcBorders>
            <w:shd w:val="clear" w:color="auto" w:fill="auto"/>
            <w:noWrap/>
            <w:vAlign w:val="bottom"/>
            <w:hideMark/>
          </w:tcPr>
          <w:p w14:paraId="45F1FAC1"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6,6%</w:t>
            </w:r>
          </w:p>
        </w:tc>
        <w:tc>
          <w:tcPr>
            <w:tcW w:w="428" w:type="pct"/>
            <w:tcBorders>
              <w:top w:val="nil"/>
              <w:left w:val="nil"/>
              <w:bottom w:val="single" w:sz="4" w:space="0" w:color="auto"/>
              <w:right w:val="single" w:sz="4" w:space="0" w:color="auto"/>
            </w:tcBorders>
            <w:shd w:val="clear" w:color="auto" w:fill="auto"/>
            <w:noWrap/>
            <w:vAlign w:val="bottom"/>
            <w:hideMark/>
          </w:tcPr>
          <w:p w14:paraId="6F2D9434" w14:textId="77777777" w:rsidR="00B54F4E" w:rsidRPr="006B530A" w:rsidRDefault="00B54F4E" w:rsidP="006504C4">
            <w:pPr>
              <w:spacing w:before="0" w:after="0"/>
              <w:jc w:val="center"/>
              <w:rPr>
                <w:rFonts w:ascii="Calibri" w:hAnsi="Calibri" w:cs="Calibri"/>
                <w:color w:val="000000"/>
                <w:sz w:val="20"/>
                <w:szCs w:val="22"/>
                <w:lang w:eastAsia="es-CO"/>
              </w:rPr>
            </w:pPr>
            <w:r w:rsidRPr="006B530A">
              <w:rPr>
                <w:rFonts w:ascii="Calibri" w:hAnsi="Calibri" w:cs="Calibri"/>
                <w:color w:val="000000"/>
                <w:sz w:val="20"/>
                <w:szCs w:val="22"/>
              </w:rPr>
              <w:t>2,1%</w:t>
            </w:r>
          </w:p>
        </w:tc>
      </w:tr>
    </w:tbl>
    <w:p w14:paraId="631B50EB" w14:textId="77777777" w:rsidR="00B54F4E" w:rsidRDefault="00B54F4E" w:rsidP="00B54F4E">
      <w:pPr>
        <w:rPr>
          <w:lang w:val="es-ES"/>
        </w:rPr>
      </w:pPr>
      <w:r>
        <w:rPr>
          <w:lang w:val="es-ES"/>
        </w:rPr>
        <w:t xml:space="preserve">La </w:t>
      </w:r>
      <w:r>
        <w:rPr>
          <w:lang w:val="es-ES"/>
        </w:rPr>
        <w:fldChar w:fldCharType="begin"/>
      </w:r>
      <w:r>
        <w:rPr>
          <w:lang w:val="es-ES"/>
        </w:rPr>
        <w:instrText xml:space="preserve"> REF _Ref481402987 \h </w:instrText>
      </w:r>
      <w:r>
        <w:rPr>
          <w:lang w:val="es-ES"/>
        </w:rPr>
      </w:r>
      <w:r>
        <w:rPr>
          <w:lang w:val="es-ES"/>
        </w:rPr>
        <w:fldChar w:fldCharType="separate"/>
      </w:r>
      <w:r>
        <w:rPr>
          <w:lang w:val="es-ES"/>
        </w:rPr>
        <w:t xml:space="preserve">De las tablas anteriores se aprecia que el VPN del beneficio neto, y en consecuencia también la </w:t>
      </w:r>
      <w:r w:rsidRPr="00CC3AD5">
        <w:rPr>
          <w:lang w:val="es-ES"/>
        </w:rPr>
        <w:t>TIR, son muy sensibles ante incrementos en los costos de inversión. Sin</w:t>
      </w:r>
      <w:r>
        <w:rPr>
          <w:lang w:val="es-ES"/>
        </w:rPr>
        <w:t xml:space="preserve"> embargo, debe tomarse en cuenta lo siguiente:</w:t>
      </w:r>
    </w:p>
    <w:p w14:paraId="29FC293B" w14:textId="77777777" w:rsidR="00B54F4E" w:rsidRDefault="00B54F4E" w:rsidP="00B54F4E">
      <w:pPr>
        <w:pStyle w:val="ListParagraph"/>
        <w:numPr>
          <w:ilvl w:val="0"/>
          <w:numId w:val="11"/>
        </w:numPr>
        <w:rPr>
          <w:lang w:val="es-ES"/>
        </w:rPr>
      </w:pPr>
      <w:r>
        <w:rPr>
          <w:lang w:val="es-ES"/>
        </w:rPr>
        <w:t>La tendencia en los costos de inversión de FNCER como solar y eólica tienden a bajar en lugar de subir. En este sentido, tal como lo muestran las sensibilidades, los beneficios también deben tender a ser mayores.</w:t>
      </w:r>
    </w:p>
    <w:p w14:paraId="49C67873" w14:textId="77777777" w:rsidR="00B54F4E" w:rsidRDefault="00B54F4E" w:rsidP="00B54F4E">
      <w:pPr>
        <w:pStyle w:val="ListParagraph"/>
        <w:numPr>
          <w:ilvl w:val="0"/>
          <w:numId w:val="11"/>
        </w:numPr>
        <w:rPr>
          <w:lang w:val="es-ES"/>
        </w:rPr>
      </w:pPr>
      <w:r w:rsidRPr="00CC3AD5">
        <w:rPr>
          <w:lang w:val="es-ES"/>
        </w:rPr>
        <w:t>El escenario de referencia ya considera una penetración significativa de energías renovables; de contar con un escenario de referencia con expansión netamente hidrotérmica, el resultado del análisis sería mucho más favorable a las ER ante variaciones en los costos.</w:t>
      </w:r>
    </w:p>
    <w:p w14:paraId="5E07C092" w14:textId="77777777" w:rsidR="00B54F4E" w:rsidRDefault="00B54F4E" w:rsidP="00B54F4E">
      <w:pPr>
        <w:rPr>
          <w:lang w:val="es-ES" w:eastAsia="es-CO"/>
        </w:rPr>
      </w:pPr>
      <w:r w:rsidRPr="008C12BC">
        <w:rPr>
          <w:b/>
        </w:rPr>
        <w:t xml:space="preserve">Tabla </w:t>
      </w:r>
      <w:r>
        <w:rPr>
          <w:b/>
          <w:noProof/>
        </w:rPr>
        <w:t>9</w:t>
      </w:r>
      <w:r>
        <w:rPr>
          <w:lang w:val="es-ES"/>
        </w:rPr>
        <w:fldChar w:fldCharType="end"/>
      </w:r>
      <w:r>
        <w:rPr>
          <w:lang w:val="es-ES"/>
        </w:rPr>
        <w:t xml:space="preserve"> resume los resultados de las sensibilidades asociadas con las emisiones y valoración del CO</w:t>
      </w:r>
      <w:r w:rsidRPr="000B550E">
        <w:rPr>
          <w:vertAlign w:val="subscript"/>
          <w:lang w:val="es-ES"/>
        </w:rPr>
        <w:t>2</w:t>
      </w:r>
      <w:r>
        <w:rPr>
          <w:lang w:val="es-ES"/>
        </w:rPr>
        <w:t>. Los porcentajes de sensibilización fueron aplicados de manera uniforme a todos los periodos anuales en el horizonte de proyección. El rango de precios de la tonelada del CO</w:t>
      </w:r>
      <w:r w:rsidRPr="000B550E">
        <w:rPr>
          <w:vertAlign w:val="subscript"/>
          <w:lang w:val="es-ES"/>
        </w:rPr>
        <w:t>2</w:t>
      </w:r>
      <w:r>
        <w:rPr>
          <w:lang w:val="es-ES"/>
        </w:rPr>
        <w:t xml:space="preserve"> considera valores observados en el pasado (hasta </w:t>
      </w:r>
      <w:r>
        <w:rPr>
          <w:lang w:val="es-ES" w:eastAsia="es-CO"/>
        </w:rPr>
        <w:t>8,75</w:t>
      </w:r>
      <w:r w:rsidRPr="00B54011">
        <w:rPr>
          <w:lang w:val="es-ES" w:eastAsia="es-CO"/>
        </w:rPr>
        <w:t xml:space="preserve"> €/TonC</w:t>
      </w:r>
      <w:r>
        <w:rPr>
          <w:lang w:val="es-ES" w:eastAsia="es-CO"/>
        </w:rPr>
        <w:t>O</w:t>
      </w:r>
      <w:r w:rsidRPr="00B54011">
        <w:rPr>
          <w:vertAlign w:val="subscript"/>
          <w:lang w:val="es-ES" w:eastAsia="es-CO"/>
        </w:rPr>
        <w:t>2</w:t>
      </w:r>
      <w:r>
        <w:rPr>
          <w:lang w:val="es-ES" w:eastAsia="es-CO"/>
        </w:rPr>
        <w:t xml:space="preserve"> o aproximadamente 9,22</w:t>
      </w:r>
      <w:r w:rsidRPr="00B54011">
        <w:rPr>
          <w:lang w:val="es-ES" w:eastAsia="es-CO"/>
        </w:rPr>
        <w:t xml:space="preserve"> $USD/TonCO</w:t>
      </w:r>
      <w:r w:rsidRPr="00B54011">
        <w:rPr>
          <w:vertAlign w:val="subscript"/>
          <w:lang w:val="es-ES" w:eastAsia="es-CO"/>
        </w:rPr>
        <w:t>2</w:t>
      </w:r>
      <w:r>
        <w:rPr>
          <w:vertAlign w:val="subscript"/>
          <w:lang w:val="es-ES" w:eastAsia="es-CO"/>
        </w:rPr>
        <w:t xml:space="preserve">, </w:t>
      </w:r>
      <w:r>
        <w:rPr>
          <w:lang w:val="es-ES" w:eastAsia="es-CO"/>
        </w:rPr>
        <w:t>que se dieron a finales de 2015 en el mercado europeo y de aproximadamente 13</w:t>
      </w:r>
      <w:r w:rsidRPr="00B54011">
        <w:rPr>
          <w:lang w:val="es-ES" w:eastAsia="es-CO"/>
        </w:rPr>
        <w:t xml:space="preserve"> $USD/TonCO</w:t>
      </w:r>
      <w:r w:rsidRPr="00B54011">
        <w:rPr>
          <w:vertAlign w:val="subscript"/>
          <w:lang w:val="es-ES" w:eastAsia="es-CO"/>
        </w:rPr>
        <w:t>2</w:t>
      </w:r>
      <w:r>
        <w:rPr>
          <w:vertAlign w:val="subscript"/>
          <w:lang w:val="es-ES" w:eastAsia="es-CO"/>
        </w:rPr>
        <w:t xml:space="preserve"> </w:t>
      </w:r>
      <w:r>
        <w:rPr>
          <w:lang w:val="es-ES" w:eastAsia="es-CO"/>
        </w:rPr>
        <w:t>en el mercado de California</w:t>
      </w:r>
      <w:r>
        <w:rPr>
          <w:rStyle w:val="FootnoteReference"/>
          <w:lang w:val="es-ES" w:eastAsia="es-CO"/>
        </w:rPr>
        <w:footnoteReference w:id="12"/>
      </w:r>
      <w:r>
        <w:rPr>
          <w:lang w:val="es-ES" w:eastAsia="es-CO"/>
        </w:rPr>
        <w:t xml:space="preserve"> durante 2016).</w:t>
      </w:r>
    </w:p>
    <w:p w14:paraId="6A739759" w14:textId="77777777" w:rsidR="00B54F4E" w:rsidRDefault="00B54F4E" w:rsidP="00B54F4E">
      <w:pPr>
        <w:rPr>
          <w:lang w:val="es-ES"/>
        </w:rPr>
      </w:pPr>
      <w:bookmarkStart w:id="61" w:name="_Ref481402987"/>
      <w:bookmarkStart w:id="62" w:name="_Toc476136973"/>
      <w:bookmarkStart w:id="63" w:name="_Toc484097049"/>
      <w:r>
        <w:rPr>
          <w:lang w:val="es-ES"/>
        </w:rPr>
        <w:lastRenderedPageBreak/>
        <w:t xml:space="preserve">De las tablas anteriores se aprecia que el VPN del beneficio neto, y en consecuencia también la </w:t>
      </w:r>
      <w:r w:rsidRPr="00CC3AD5">
        <w:rPr>
          <w:lang w:val="es-ES"/>
        </w:rPr>
        <w:t>TIR, son muy sensibles ante incrementos en los costos de inversión. Sin</w:t>
      </w:r>
      <w:r>
        <w:rPr>
          <w:lang w:val="es-ES"/>
        </w:rPr>
        <w:t xml:space="preserve"> embargo, debe tomarse en cuenta lo siguiente:</w:t>
      </w:r>
    </w:p>
    <w:p w14:paraId="6F822A44" w14:textId="77777777" w:rsidR="00B54F4E" w:rsidRDefault="00B54F4E" w:rsidP="00B54F4E">
      <w:pPr>
        <w:pStyle w:val="ListParagraph"/>
        <w:numPr>
          <w:ilvl w:val="0"/>
          <w:numId w:val="11"/>
        </w:numPr>
        <w:rPr>
          <w:lang w:val="es-ES"/>
        </w:rPr>
      </w:pPr>
      <w:r>
        <w:rPr>
          <w:lang w:val="es-ES"/>
        </w:rPr>
        <w:t>La tendencia en los costos de inversión de FNCER como solar y eólica tienden a bajar en lugar de subir. En este sentido, tal como lo muestran las sensibilidades, los beneficios también deben tender a ser mayores.</w:t>
      </w:r>
    </w:p>
    <w:p w14:paraId="6F9C52FC" w14:textId="77777777" w:rsidR="00B54F4E" w:rsidRDefault="00B54F4E" w:rsidP="00B54F4E">
      <w:pPr>
        <w:pStyle w:val="ListParagraph"/>
        <w:numPr>
          <w:ilvl w:val="0"/>
          <w:numId w:val="11"/>
        </w:numPr>
        <w:rPr>
          <w:lang w:val="es-ES"/>
        </w:rPr>
      </w:pPr>
      <w:r w:rsidRPr="00CC3AD5">
        <w:rPr>
          <w:lang w:val="es-ES"/>
        </w:rPr>
        <w:t>El escenario de referencia ya considera una penetración significativa de energías renovables; de contar con un escenario de referencia con expansión netamente hidrotérmica, el resultado del análisis sería mucho más favorable a las ER ante variaciones en los costos.</w:t>
      </w:r>
    </w:p>
    <w:p w14:paraId="5B28771F" w14:textId="77777777" w:rsidR="00B54F4E" w:rsidRPr="00C90F2C" w:rsidRDefault="00B54F4E" w:rsidP="00B54F4E">
      <w:pPr>
        <w:jc w:val="center"/>
        <w:rPr>
          <w:rFonts w:cs="Arial"/>
          <w:bCs/>
          <w:color w:val="FF0000"/>
          <w:szCs w:val="22"/>
          <w:lang w:val="es-ES"/>
        </w:rPr>
      </w:pPr>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9</w:t>
      </w:r>
      <w:r w:rsidRPr="008C12BC">
        <w:rPr>
          <w:b/>
        </w:rPr>
        <w:fldChar w:fldCharType="end"/>
      </w:r>
      <w:bookmarkEnd w:id="61"/>
      <w:r>
        <w:rPr>
          <w:b/>
        </w:rPr>
        <w:t xml:space="preserve"> – VPN del beneficio por introducción de ER ante variaciones en las emisiones y valoración del CO</w:t>
      </w:r>
      <w:r w:rsidRPr="000B550E">
        <w:rPr>
          <w:b/>
          <w:vertAlign w:val="subscript"/>
        </w:rPr>
        <w:t>2</w:t>
      </w:r>
      <w:r>
        <w:rPr>
          <w:b/>
        </w:rPr>
        <w:t xml:space="preserve"> (Millones $USD)</w:t>
      </w:r>
      <w:bookmarkEnd w:id="62"/>
      <w:bookmarkEnd w:id="63"/>
    </w:p>
    <w:tbl>
      <w:tblPr>
        <w:tblW w:w="5000" w:type="pct"/>
        <w:tblCellMar>
          <w:left w:w="70" w:type="dxa"/>
          <w:right w:w="70" w:type="dxa"/>
        </w:tblCellMar>
        <w:tblLook w:val="04A0" w:firstRow="1" w:lastRow="0" w:firstColumn="1" w:lastColumn="0" w:noHBand="0" w:noVBand="1"/>
      </w:tblPr>
      <w:tblGrid>
        <w:gridCol w:w="815"/>
        <w:gridCol w:w="642"/>
        <w:gridCol w:w="1103"/>
        <w:gridCol w:w="1086"/>
        <w:gridCol w:w="1086"/>
        <w:gridCol w:w="1086"/>
        <w:gridCol w:w="1086"/>
        <w:gridCol w:w="1086"/>
        <w:gridCol w:w="843"/>
      </w:tblGrid>
      <w:tr w:rsidR="00B54F4E" w:rsidRPr="006C7758" w14:paraId="27068737" w14:textId="77777777" w:rsidTr="006504C4">
        <w:trPr>
          <w:trHeight w:val="233"/>
        </w:trPr>
        <w:tc>
          <w:tcPr>
            <w:tcW w:w="461" w:type="pct"/>
            <w:tcBorders>
              <w:top w:val="nil"/>
              <w:left w:val="nil"/>
              <w:bottom w:val="nil"/>
              <w:right w:val="nil"/>
            </w:tcBorders>
            <w:shd w:val="clear" w:color="auto" w:fill="auto"/>
            <w:noWrap/>
            <w:vAlign w:val="bottom"/>
            <w:hideMark/>
          </w:tcPr>
          <w:p w14:paraId="3A6EB78E" w14:textId="77777777" w:rsidR="00B54F4E" w:rsidRPr="006C7758" w:rsidRDefault="00B54F4E" w:rsidP="006504C4">
            <w:pPr>
              <w:spacing w:before="0" w:after="0"/>
              <w:jc w:val="left"/>
              <w:rPr>
                <w:rFonts w:ascii="Times New Roman" w:hAnsi="Times New Roman"/>
                <w:sz w:val="18"/>
                <w:szCs w:val="24"/>
                <w:lang w:eastAsia="es-CO"/>
              </w:rPr>
            </w:pPr>
          </w:p>
        </w:tc>
        <w:tc>
          <w:tcPr>
            <w:tcW w:w="363" w:type="pct"/>
            <w:tcBorders>
              <w:top w:val="nil"/>
              <w:left w:val="nil"/>
              <w:bottom w:val="nil"/>
              <w:right w:val="nil"/>
            </w:tcBorders>
            <w:shd w:val="clear" w:color="auto" w:fill="auto"/>
            <w:noWrap/>
            <w:vAlign w:val="bottom"/>
            <w:hideMark/>
          </w:tcPr>
          <w:p w14:paraId="44848D84" w14:textId="77777777" w:rsidR="00B54F4E" w:rsidRPr="006C7758" w:rsidRDefault="00B54F4E" w:rsidP="006504C4">
            <w:pPr>
              <w:spacing w:before="0" w:after="0"/>
              <w:jc w:val="left"/>
              <w:rPr>
                <w:rFonts w:ascii="Times New Roman" w:hAnsi="Times New Roman"/>
                <w:sz w:val="18"/>
                <w:lang w:eastAsia="es-CO"/>
              </w:rPr>
            </w:pPr>
          </w:p>
        </w:tc>
        <w:tc>
          <w:tcPr>
            <w:tcW w:w="4175"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35CD02" w14:textId="77777777" w:rsidR="00B54F4E" w:rsidRPr="006C7758" w:rsidRDefault="00B54F4E" w:rsidP="006504C4">
            <w:pPr>
              <w:spacing w:before="0" w:after="0"/>
              <w:jc w:val="left"/>
              <w:rPr>
                <w:rFonts w:ascii="Calibri" w:hAnsi="Calibri" w:cs="Calibri"/>
                <w:color w:val="000000"/>
                <w:sz w:val="18"/>
                <w:szCs w:val="22"/>
                <w:lang w:eastAsia="es-CO"/>
              </w:rPr>
            </w:pPr>
            <w:r>
              <w:rPr>
                <w:rFonts w:ascii="Calibri" w:hAnsi="Calibri" w:cs="Calibri"/>
                <w:color w:val="000000"/>
                <w:sz w:val="18"/>
                <w:szCs w:val="22"/>
                <w:lang w:eastAsia="es-CO"/>
              </w:rPr>
              <w:t>Porcentaje de mayores / menores emisiones respecto del escenario de FNCER</w:t>
            </w:r>
          </w:p>
        </w:tc>
      </w:tr>
      <w:tr w:rsidR="00B54F4E" w:rsidRPr="006C7758" w14:paraId="48B96150" w14:textId="77777777" w:rsidTr="006504C4">
        <w:trPr>
          <w:trHeight w:val="233"/>
        </w:trPr>
        <w:tc>
          <w:tcPr>
            <w:tcW w:w="461" w:type="pct"/>
            <w:tcBorders>
              <w:top w:val="nil"/>
              <w:left w:val="nil"/>
              <w:bottom w:val="single" w:sz="4" w:space="0" w:color="000000" w:themeColor="text1"/>
              <w:right w:val="nil"/>
            </w:tcBorders>
            <w:shd w:val="clear" w:color="auto" w:fill="auto"/>
            <w:noWrap/>
            <w:vAlign w:val="bottom"/>
            <w:hideMark/>
          </w:tcPr>
          <w:p w14:paraId="407E1961" w14:textId="77777777" w:rsidR="00B54F4E" w:rsidRPr="006C7758" w:rsidRDefault="00B54F4E" w:rsidP="006504C4">
            <w:pPr>
              <w:spacing w:before="0" w:after="0"/>
              <w:ind w:firstLineChars="400" w:firstLine="720"/>
              <w:jc w:val="left"/>
              <w:rPr>
                <w:rFonts w:ascii="Calibri" w:hAnsi="Calibri" w:cs="Calibri"/>
                <w:color w:val="000000"/>
                <w:sz w:val="18"/>
                <w:szCs w:val="22"/>
                <w:lang w:eastAsia="es-CO"/>
              </w:rPr>
            </w:pPr>
          </w:p>
        </w:tc>
        <w:tc>
          <w:tcPr>
            <w:tcW w:w="3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A07442" w14:textId="77777777" w:rsidR="00B54F4E" w:rsidRPr="006C7758" w:rsidRDefault="00B54F4E" w:rsidP="006504C4">
            <w:pPr>
              <w:spacing w:before="0" w:after="0"/>
              <w:jc w:val="center"/>
              <w:rPr>
                <w:rFonts w:asciiTheme="minorHAnsi" w:hAnsiTheme="minorHAnsi" w:cstheme="minorHAnsi"/>
                <w:color w:val="FFFFFF"/>
                <w:sz w:val="18"/>
                <w:szCs w:val="18"/>
                <w:lang w:eastAsia="es-CO"/>
              </w:rPr>
            </w:pPr>
            <w:r w:rsidRPr="003F7F66">
              <w:rPr>
                <w:rFonts w:asciiTheme="minorHAnsi" w:hAnsiTheme="minorHAnsi" w:cstheme="minorHAnsi"/>
                <w:color w:val="FFFFFF"/>
                <w:sz w:val="18"/>
                <w:szCs w:val="18"/>
              </w:rPr>
              <w:t>$276</w:t>
            </w:r>
          </w:p>
        </w:tc>
        <w:tc>
          <w:tcPr>
            <w:tcW w:w="624" w:type="pct"/>
            <w:tcBorders>
              <w:top w:val="nil"/>
              <w:left w:val="nil"/>
              <w:bottom w:val="single" w:sz="4" w:space="0" w:color="auto"/>
              <w:right w:val="nil"/>
            </w:tcBorders>
            <w:shd w:val="clear" w:color="auto" w:fill="auto"/>
            <w:noWrap/>
            <w:vAlign w:val="bottom"/>
            <w:hideMark/>
          </w:tcPr>
          <w:p w14:paraId="6698CF88"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-5%</w:t>
            </w:r>
          </w:p>
        </w:tc>
        <w:tc>
          <w:tcPr>
            <w:tcW w:w="615" w:type="pct"/>
            <w:tcBorders>
              <w:top w:val="nil"/>
              <w:left w:val="nil"/>
              <w:bottom w:val="single" w:sz="4" w:space="0" w:color="auto"/>
              <w:right w:val="nil"/>
            </w:tcBorders>
            <w:shd w:val="clear" w:color="auto" w:fill="E7E6E6" w:themeFill="background2"/>
            <w:noWrap/>
            <w:vAlign w:val="bottom"/>
            <w:hideMark/>
          </w:tcPr>
          <w:p w14:paraId="0F5E8028"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0%</w:t>
            </w:r>
          </w:p>
        </w:tc>
        <w:tc>
          <w:tcPr>
            <w:tcW w:w="615" w:type="pct"/>
            <w:tcBorders>
              <w:top w:val="nil"/>
              <w:left w:val="nil"/>
              <w:bottom w:val="single" w:sz="4" w:space="0" w:color="auto"/>
              <w:right w:val="nil"/>
            </w:tcBorders>
            <w:shd w:val="clear" w:color="auto" w:fill="auto"/>
            <w:noWrap/>
            <w:vAlign w:val="bottom"/>
            <w:hideMark/>
          </w:tcPr>
          <w:p w14:paraId="376739A7"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10%</w:t>
            </w:r>
          </w:p>
        </w:tc>
        <w:tc>
          <w:tcPr>
            <w:tcW w:w="615" w:type="pct"/>
            <w:tcBorders>
              <w:top w:val="nil"/>
              <w:left w:val="nil"/>
              <w:bottom w:val="single" w:sz="4" w:space="0" w:color="auto"/>
              <w:right w:val="nil"/>
            </w:tcBorders>
            <w:shd w:val="clear" w:color="auto" w:fill="auto"/>
            <w:noWrap/>
            <w:vAlign w:val="bottom"/>
            <w:hideMark/>
          </w:tcPr>
          <w:p w14:paraId="0E1B7B36"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20%</w:t>
            </w:r>
          </w:p>
        </w:tc>
        <w:tc>
          <w:tcPr>
            <w:tcW w:w="615" w:type="pct"/>
            <w:tcBorders>
              <w:top w:val="nil"/>
              <w:left w:val="nil"/>
              <w:bottom w:val="single" w:sz="4" w:space="0" w:color="auto"/>
              <w:right w:val="nil"/>
            </w:tcBorders>
            <w:shd w:val="clear" w:color="auto" w:fill="auto"/>
            <w:noWrap/>
            <w:vAlign w:val="bottom"/>
            <w:hideMark/>
          </w:tcPr>
          <w:p w14:paraId="4F527B4B"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30%</w:t>
            </w:r>
          </w:p>
        </w:tc>
        <w:tc>
          <w:tcPr>
            <w:tcW w:w="615" w:type="pct"/>
            <w:tcBorders>
              <w:top w:val="nil"/>
              <w:left w:val="nil"/>
              <w:bottom w:val="single" w:sz="4" w:space="0" w:color="auto"/>
              <w:right w:val="nil"/>
            </w:tcBorders>
            <w:shd w:val="clear" w:color="auto" w:fill="auto"/>
            <w:noWrap/>
            <w:vAlign w:val="bottom"/>
            <w:hideMark/>
          </w:tcPr>
          <w:p w14:paraId="2A50BA53"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40%</w:t>
            </w:r>
          </w:p>
        </w:tc>
        <w:tc>
          <w:tcPr>
            <w:tcW w:w="477" w:type="pct"/>
            <w:tcBorders>
              <w:top w:val="nil"/>
              <w:left w:val="nil"/>
              <w:bottom w:val="single" w:sz="4" w:space="0" w:color="auto"/>
              <w:right w:val="single" w:sz="4" w:space="0" w:color="auto"/>
            </w:tcBorders>
            <w:shd w:val="clear" w:color="auto" w:fill="auto"/>
            <w:noWrap/>
            <w:vAlign w:val="bottom"/>
            <w:hideMark/>
          </w:tcPr>
          <w:p w14:paraId="7608BFF7"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50%</w:t>
            </w:r>
          </w:p>
        </w:tc>
      </w:tr>
      <w:tr w:rsidR="00B54F4E" w:rsidRPr="006C7758" w14:paraId="10CF9B06" w14:textId="77777777" w:rsidTr="006504C4">
        <w:trPr>
          <w:trHeight w:hRule="exact" w:val="308"/>
        </w:trPr>
        <w:tc>
          <w:tcPr>
            <w:tcW w:w="461" w:type="pct"/>
            <w:tcBorders>
              <w:top w:val="single" w:sz="4" w:space="0" w:color="000000" w:themeColor="text1"/>
              <w:left w:val="single" w:sz="4" w:space="0" w:color="000000" w:themeColor="text1"/>
              <w:bottom w:val="nil"/>
              <w:right w:val="single" w:sz="4" w:space="0" w:color="000000" w:themeColor="text1"/>
            </w:tcBorders>
            <w:shd w:val="clear" w:color="auto" w:fill="auto"/>
            <w:noWrap/>
            <w:vAlign w:val="bottom"/>
            <w:hideMark/>
          </w:tcPr>
          <w:p w14:paraId="0AD71A33" w14:textId="77777777" w:rsidR="00B54F4E" w:rsidRPr="006C7758" w:rsidRDefault="00B54F4E" w:rsidP="006504C4">
            <w:pPr>
              <w:spacing w:before="0" w:after="0"/>
              <w:jc w:val="left"/>
              <w:rPr>
                <w:rFonts w:ascii="Calibri" w:hAnsi="Calibri" w:cs="Calibri"/>
                <w:color w:val="000000"/>
                <w:sz w:val="18"/>
                <w:szCs w:val="22"/>
                <w:lang w:eastAsia="es-CO"/>
              </w:rPr>
            </w:pPr>
          </w:p>
          <w:p w14:paraId="7914CBB9" w14:textId="77777777" w:rsidR="00B54F4E" w:rsidRPr="006C7758" w:rsidRDefault="00B54F4E" w:rsidP="006504C4">
            <w:pPr>
              <w:spacing w:before="0" w:after="0"/>
              <w:jc w:val="left"/>
              <w:rPr>
                <w:rFonts w:ascii="Calibri" w:hAnsi="Calibri" w:cs="Calibri"/>
                <w:color w:val="000000"/>
                <w:sz w:val="18"/>
                <w:szCs w:val="22"/>
                <w:lang w:eastAsia="es-CO"/>
              </w:rPr>
            </w:pPr>
          </w:p>
        </w:tc>
        <w:tc>
          <w:tcPr>
            <w:tcW w:w="363" w:type="pct"/>
            <w:tcBorders>
              <w:top w:val="nil"/>
              <w:left w:val="single" w:sz="4" w:space="0" w:color="000000" w:themeColor="text1"/>
              <w:bottom w:val="nil"/>
              <w:right w:val="single" w:sz="4" w:space="0" w:color="auto"/>
            </w:tcBorders>
            <w:shd w:val="clear" w:color="auto" w:fill="auto"/>
            <w:noWrap/>
            <w:vAlign w:val="bottom"/>
            <w:hideMark/>
          </w:tcPr>
          <w:p w14:paraId="2DD87710"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2</w:t>
            </w:r>
          </w:p>
        </w:tc>
        <w:tc>
          <w:tcPr>
            <w:tcW w:w="624" w:type="pct"/>
            <w:tcBorders>
              <w:top w:val="nil"/>
              <w:left w:val="nil"/>
              <w:bottom w:val="nil"/>
              <w:right w:val="nil"/>
            </w:tcBorders>
            <w:shd w:val="clear" w:color="auto" w:fill="auto"/>
            <w:noWrap/>
            <w:vAlign w:val="center"/>
            <w:hideMark/>
          </w:tcPr>
          <w:p w14:paraId="645C6838" w14:textId="77777777" w:rsidR="00B54F4E" w:rsidRPr="000364A2" w:rsidRDefault="00B54F4E" w:rsidP="006504C4">
            <w:pPr>
              <w:spacing w:before="0" w:after="0" w:line="240" w:lineRule="atLeast"/>
              <w:jc w:val="center"/>
              <w:rPr>
                <w:rFonts w:ascii="Calibri" w:hAnsi="Calibri"/>
                <w:color w:val="000000"/>
                <w:sz w:val="18"/>
                <w:szCs w:val="18"/>
              </w:rPr>
            </w:pPr>
            <w:r>
              <w:rPr>
                <w:rFonts w:ascii="Calibri" w:hAnsi="Calibri"/>
                <w:color w:val="000000"/>
                <w:sz w:val="18"/>
                <w:szCs w:val="18"/>
              </w:rPr>
              <w:t>12</w:t>
            </w:r>
          </w:p>
        </w:tc>
        <w:tc>
          <w:tcPr>
            <w:tcW w:w="615" w:type="pct"/>
            <w:tcBorders>
              <w:top w:val="nil"/>
              <w:left w:val="nil"/>
              <w:bottom w:val="nil"/>
              <w:right w:val="nil"/>
            </w:tcBorders>
            <w:shd w:val="clear" w:color="auto" w:fill="E7E6E6" w:themeFill="background2"/>
            <w:noWrap/>
            <w:vAlign w:val="center"/>
            <w:hideMark/>
          </w:tcPr>
          <w:p w14:paraId="48170A27" w14:textId="77777777" w:rsidR="00B54F4E" w:rsidRPr="000364A2" w:rsidRDefault="00B54F4E" w:rsidP="006504C4">
            <w:pPr>
              <w:spacing w:before="0" w:after="0" w:line="240" w:lineRule="atLeast"/>
              <w:jc w:val="center"/>
              <w:rPr>
                <w:rFonts w:ascii="Calibri" w:hAnsi="Calibri"/>
                <w:color w:val="000000"/>
                <w:sz w:val="18"/>
                <w:szCs w:val="18"/>
              </w:rPr>
            </w:pPr>
            <w:r>
              <w:rPr>
                <w:rFonts w:ascii="Calibri" w:hAnsi="Calibri"/>
                <w:color w:val="000000"/>
                <w:sz w:val="18"/>
                <w:szCs w:val="18"/>
              </w:rPr>
              <w:t>10</w:t>
            </w:r>
          </w:p>
        </w:tc>
        <w:tc>
          <w:tcPr>
            <w:tcW w:w="615" w:type="pct"/>
            <w:tcBorders>
              <w:top w:val="nil"/>
              <w:left w:val="nil"/>
              <w:bottom w:val="nil"/>
              <w:right w:val="nil"/>
            </w:tcBorders>
            <w:shd w:val="clear" w:color="auto" w:fill="auto"/>
            <w:noWrap/>
            <w:vAlign w:val="center"/>
            <w:hideMark/>
          </w:tcPr>
          <w:p w14:paraId="36ED63E5" w14:textId="77777777" w:rsidR="00B54F4E" w:rsidRPr="000364A2" w:rsidRDefault="00B54F4E" w:rsidP="006504C4">
            <w:pPr>
              <w:spacing w:before="0" w:after="0" w:line="240" w:lineRule="atLeast"/>
              <w:jc w:val="center"/>
              <w:rPr>
                <w:rFonts w:ascii="Calibri" w:hAnsi="Calibri"/>
                <w:color w:val="000000"/>
                <w:sz w:val="18"/>
                <w:szCs w:val="18"/>
              </w:rPr>
            </w:pPr>
            <w:r>
              <w:rPr>
                <w:rFonts w:ascii="Calibri" w:hAnsi="Calibri"/>
                <w:color w:val="000000"/>
                <w:sz w:val="18"/>
                <w:szCs w:val="18"/>
              </w:rPr>
              <w:t>6</w:t>
            </w:r>
          </w:p>
        </w:tc>
        <w:tc>
          <w:tcPr>
            <w:tcW w:w="615" w:type="pct"/>
            <w:tcBorders>
              <w:top w:val="nil"/>
              <w:left w:val="nil"/>
              <w:bottom w:val="nil"/>
              <w:right w:val="nil"/>
            </w:tcBorders>
            <w:shd w:val="clear" w:color="auto" w:fill="auto"/>
            <w:noWrap/>
            <w:vAlign w:val="center"/>
            <w:hideMark/>
          </w:tcPr>
          <w:p w14:paraId="4C1E06FB" w14:textId="77777777" w:rsidR="00B54F4E" w:rsidRPr="000364A2" w:rsidRDefault="00B54F4E" w:rsidP="006504C4">
            <w:pPr>
              <w:spacing w:before="0" w:after="0" w:line="240" w:lineRule="atLeast"/>
              <w:jc w:val="center"/>
              <w:rPr>
                <w:rFonts w:ascii="Calibri" w:hAnsi="Calibri"/>
                <w:color w:val="000000"/>
                <w:sz w:val="18"/>
                <w:szCs w:val="18"/>
              </w:rPr>
            </w:pPr>
            <w:r>
              <w:rPr>
                <w:rFonts w:ascii="Calibri" w:hAnsi="Calibri"/>
                <w:color w:val="000000"/>
                <w:sz w:val="18"/>
                <w:szCs w:val="18"/>
              </w:rPr>
              <w:t>2</w:t>
            </w:r>
          </w:p>
        </w:tc>
        <w:tc>
          <w:tcPr>
            <w:tcW w:w="615" w:type="pct"/>
            <w:tcBorders>
              <w:top w:val="nil"/>
              <w:left w:val="nil"/>
              <w:bottom w:val="nil"/>
              <w:right w:val="nil"/>
            </w:tcBorders>
            <w:shd w:val="clear" w:color="auto" w:fill="auto"/>
            <w:noWrap/>
            <w:vAlign w:val="center"/>
            <w:hideMark/>
          </w:tcPr>
          <w:p w14:paraId="36FEAD44" w14:textId="77777777" w:rsidR="00B54F4E" w:rsidRPr="000364A2" w:rsidRDefault="00B54F4E" w:rsidP="006504C4">
            <w:pPr>
              <w:spacing w:before="0" w:after="0" w:line="240" w:lineRule="atLeast"/>
              <w:jc w:val="center"/>
              <w:rPr>
                <w:rFonts w:ascii="Calibri" w:hAnsi="Calibri"/>
                <w:color w:val="000000"/>
                <w:sz w:val="18"/>
                <w:szCs w:val="18"/>
              </w:rPr>
            </w:pPr>
            <w:r>
              <w:rPr>
                <w:rFonts w:ascii="Calibri" w:hAnsi="Calibri"/>
                <w:color w:val="000000"/>
                <w:sz w:val="18"/>
                <w:szCs w:val="18"/>
              </w:rPr>
              <w:t>-2</w:t>
            </w:r>
          </w:p>
        </w:tc>
        <w:tc>
          <w:tcPr>
            <w:tcW w:w="615" w:type="pct"/>
            <w:tcBorders>
              <w:top w:val="nil"/>
              <w:left w:val="nil"/>
              <w:bottom w:val="nil"/>
              <w:right w:val="nil"/>
            </w:tcBorders>
            <w:shd w:val="clear" w:color="auto" w:fill="auto"/>
            <w:noWrap/>
            <w:vAlign w:val="center"/>
            <w:hideMark/>
          </w:tcPr>
          <w:p w14:paraId="6349DAA0" w14:textId="77777777" w:rsidR="00B54F4E" w:rsidRPr="000364A2" w:rsidRDefault="00B54F4E" w:rsidP="006504C4">
            <w:pPr>
              <w:spacing w:before="0" w:after="0" w:line="240" w:lineRule="atLeast"/>
              <w:jc w:val="center"/>
              <w:rPr>
                <w:rFonts w:ascii="Calibri" w:hAnsi="Calibri"/>
                <w:color w:val="000000"/>
                <w:sz w:val="18"/>
                <w:szCs w:val="18"/>
              </w:rPr>
            </w:pPr>
            <w:r w:rsidRPr="000364A2">
              <w:rPr>
                <w:rFonts w:ascii="Calibri" w:hAnsi="Calibri"/>
                <w:color w:val="000000"/>
                <w:sz w:val="18"/>
                <w:szCs w:val="18"/>
              </w:rPr>
              <w:t>-6</w:t>
            </w:r>
          </w:p>
        </w:tc>
        <w:tc>
          <w:tcPr>
            <w:tcW w:w="477" w:type="pct"/>
            <w:tcBorders>
              <w:top w:val="nil"/>
              <w:left w:val="nil"/>
              <w:bottom w:val="nil"/>
              <w:right w:val="single" w:sz="4" w:space="0" w:color="auto"/>
            </w:tcBorders>
            <w:shd w:val="clear" w:color="auto" w:fill="auto"/>
            <w:noWrap/>
            <w:vAlign w:val="center"/>
            <w:hideMark/>
          </w:tcPr>
          <w:p w14:paraId="23550C8F" w14:textId="77777777" w:rsidR="00B54F4E" w:rsidRPr="000364A2" w:rsidRDefault="00B54F4E" w:rsidP="006504C4">
            <w:pPr>
              <w:spacing w:before="0" w:after="0" w:line="240" w:lineRule="atLeast"/>
              <w:jc w:val="center"/>
              <w:rPr>
                <w:rFonts w:ascii="Calibri" w:hAnsi="Calibri"/>
                <w:color w:val="000000"/>
                <w:sz w:val="18"/>
                <w:szCs w:val="18"/>
              </w:rPr>
            </w:pPr>
            <w:r w:rsidRPr="000364A2">
              <w:rPr>
                <w:rFonts w:ascii="Calibri" w:hAnsi="Calibri"/>
                <w:color w:val="000000"/>
                <w:sz w:val="18"/>
                <w:szCs w:val="18"/>
              </w:rPr>
              <w:t>-10</w:t>
            </w:r>
          </w:p>
        </w:tc>
      </w:tr>
      <w:tr w:rsidR="00B54F4E" w:rsidRPr="006C7758" w14:paraId="15BE890C" w14:textId="77777777" w:rsidTr="006504C4">
        <w:trPr>
          <w:trHeight w:val="227"/>
        </w:trPr>
        <w:tc>
          <w:tcPr>
            <w:tcW w:w="461" w:type="pct"/>
            <w:tcBorders>
              <w:top w:val="nil"/>
              <w:left w:val="single" w:sz="4" w:space="0" w:color="auto"/>
              <w:bottom w:val="nil"/>
              <w:right w:val="single" w:sz="4" w:space="0" w:color="auto"/>
            </w:tcBorders>
            <w:shd w:val="clear" w:color="auto" w:fill="auto"/>
            <w:noWrap/>
            <w:vAlign w:val="bottom"/>
            <w:hideMark/>
          </w:tcPr>
          <w:p w14:paraId="077AFD31"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noProof/>
                <w:color w:val="000000"/>
                <w:sz w:val="18"/>
                <w:szCs w:val="22"/>
                <w:lang w:val="en-US"/>
              </w:rPr>
              <mc:AlternateContent>
                <mc:Choice Requires="wps">
                  <w:drawing>
                    <wp:anchor distT="0" distB="0" distL="114300" distR="114300" simplePos="0" relativeHeight="251659264" behindDoc="0" locked="0" layoutInCell="1" allowOverlap="1" wp14:anchorId="537B060B" wp14:editId="31A3A48C">
                      <wp:simplePos x="0" y="0"/>
                      <wp:positionH relativeFrom="column">
                        <wp:posOffset>-367665</wp:posOffset>
                      </wp:positionH>
                      <wp:positionV relativeFrom="paragraph">
                        <wp:posOffset>447675</wp:posOffset>
                      </wp:positionV>
                      <wp:extent cx="1167765" cy="460375"/>
                      <wp:effectExtent l="0" t="0" r="0" b="0"/>
                      <wp:wrapNone/>
                      <wp:docPr id="17" name="Rectángulo 17">
                        <a:extLst xmlns:a="http://schemas.openxmlformats.org/drawingml/2006/main"/>
                      </wp:docPr>
                      <wp:cNvGraphicFramePr/>
                      <a:graphic xmlns:a="http://schemas.openxmlformats.org/drawingml/2006/main">
                        <a:graphicData uri="http://schemas.microsoft.com/office/word/2010/wordprocessingShape">
                          <wps:wsp>
                            <wps:cNvSpPr/>
                            <wps:spPr>
                              <a:xfrm rot="16200000">
                                <a:off x="0" y="0"/>
                                <a:ext cx="1167765" cy="460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36F8200" w14:textId="77777777" w:rsidR="00B54F4E" w:rsidRPr="006C7758" w:rsidRDefault="00B54F4E" w:rsidP="00B54F4E">
                                  <w:pPr>
                                    <w:pStyle w:val="NormalWeb"/>
                                    <w:spacing w:before="0" w:beforeAutospacing="0" w:after="0" w:afterAutospacing="0"/>
                                    <w:jc w:val="center"/>
                                    <w:rPr>
                                      <w:sz w:val="18"/>
                                    </w:rPr>
                                  </w:pPr>
                                  <w:r>
                                    <w:rPr>
                                      <w:rFonts w:asciiTheme="minorHAnsi" w:hAnsi="Calibri" w:cstheme="minorBidi"/>
                                      <w:color w:val="000000" w:themeColor="text1"/>
                                      <w:sz w:val="16"/>
                                      <w:szCs w:val="22"/>
                                    </w:rPr>
                                    <w:t>Valoración tonelada de CO2 ($USD/Ton)</w:t>
                                  </w:r>
                                </w:p>
                              </w:txbxContent>
                            </wps:txbx>
                            <wps:bodyPr vertOverflow="clip" horzOverflow="clip" wrap="square" rtlCol="0" anchor="t">
                              <a:noAutofit/>
                            </wps:bodyPr>
                          </wps:wsp>
                        </a:graphicData>
                      </a:graphic>
                      <wp14:sizeRelH relativeFrom="page">
                        <wp14:pctWidth>0</wp14:pctWidth>
                      </wp14:sizeRelH>
                      <wp14:sizeRelV relativeFrom="page">
                        <wp14:pctHeight>0</wp14:pctHeight>
                      </wp14:sizeRelV>
                    </wp:anchor>
                  </w:drawing>
                </mc:Choice>
                <mc:Fallback>
                  <w:pict>
                    <v:rect w14:anchorId="537B060B" id="Rectángulo 17" o:spid="_x0000_s1026" style="position:absolute;margin-left:-28.95pt;margin-top:35.25pt;width:91.95pt;height:36.2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" filled="f" stroked="f" strokeweight="1pt">
                      <v:textbox>
                        <w:txbxContent>
                          <w:p w14:paraId="036F8200" w14:textId="77777777" w:rsidR="00B54F4E" w:rsidRPr="006C7758" w:rsidRDefault="00B54F4E" w:rsidP="00B54F4E">
                            <w:pPr>
                              <w:pStyle w:val="NormalWeb"/>
                              <w:spacing w:before="0" w:beforeAutospacing="0" w:after="0" w:afterAutospacing="0"/>
                              <w:jc w:val="center"/>
                              <w:rPr>
                                <w:sz w:val="18"/>
                              </w:rPr>
                            </w:pPr>
                            <w:r>
                              <w:rPr>
                                <w:rFonts w:asciiTheme="minorHAnsi" w:hAnsi="Calibri" w:cstheme="minorBidi"/>
                                <w:color w:val="000000" w:themeColor="text1"/>
                                <w:sz w:val="16"/>
                                <w:szCs w:val="22"/>
                              </w:rPr>
                              <w:t>Valoración tonelada de CO2 ($USD/Ton)</w:t>
                            </w:r>
                          </w:p>
                        </w:txbxContent>
                      </v:textbox>
                    </v:rect>
                  </w:pict>
                </mc:Fallback>
              </mc:AlternateContent>
            </w: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144FE345"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3</w:t>
            </w:r>
          </w:p>
        </w:tc>
        <w:tc>
          <w:tcPr>
            <w:tcW w:w="624" w:type="pct"/>
            <w:tcBorders>
              <w:top w:val="nil"/>
              <w:left w:val="nil"/>
              <w:bottom w:val="nil"/>
              <w:right w:val="nil"/>
            </w:tcBorders>
            <w:shd w:val="clear" w:color="auto" w:fill="auto"/>
            <w:noWrap/>
            <w:vAlign w:val="bottom"/>
            <w:hideMark/>
          </w:tcPr>
          <w:p w14:paraId="57CE96D2" w14:textId="77777777" w:rsidR="00B54F4E" w:rsidRPr="0048605D" w:rsidRDefault="00B54F4E" w:rsidP="006504C4">
            <w:pPr>
              <w:spacing w:before="0" w:after="0"/>
              <w:jc w:val="center"/>
              <w:rPr>
                <w:rFonts w:ascii="Calibri" w:hAnsi="Calibri"/>
                <w:color w:val="000000"/>
                <w:sz w:val="18"/>
                <w:szCs w:val="18"/>
              </w:rPr>
            </w:pPr>
            <w:r w:rsidRPr="0048605D">
              <w:rPr>
                <w:rFonts w:ascii="Calibri" w:hAnsi="Calibri"/>
                <w:color w:val="000000"/>
                <w:sz w:val="18"/>
                <w:szCs w:val="18"/>
              </w:rPr>
              <w:t>18</w:t>
            </w:r>
          </w:p>
        </w:tc>
        <w:tc>
          <w:tcPr>
            <w:tcW w:w="615" w:type="pct"/>
            <w:tcBorders>
              <w:top w:val="nil"/>
              <w:left w:val="nil"/>
              <w:bottom w:val="nil"/>
              <w:right w:val="nil"/>
            </w:tcBorders>
            <w:shd w:val="clear" w:color="auto" w:fill="E7E6E6" w:themeFill="background2"/>
            <w:noWrap/>
            <w:vAlign w:val="bottom"/>
            <w:hideMark/>
          </w:tcPr>
          <w:p w14:paraId="2B7CDE71" w14:textId="77777777" w:rsidR="00B54F4E" w:rsidRPr="0048605D" w:rsidRDefault="00B54F4E" w:rsidP="006504C4">
            <w:pPr>
              <w:spacing w:before="0" w:after="0"/>
              <w:jc w:val="center"/>
              <w:rPr>
                <w:rFonts w:ascii="Calibri" w:hAnsi="Calibri"/>
                <w:color w:val="000000"/>
                <w:sz w:val="18"/>
                <w:szCs w:val="18"/>
              </w:rPr>
            </w:pPr>
            <w:r w:rsidRPr="0048605D">
              <w:rPr>
                <w:rFonts w:ascii="Calibri" w:hAnsi="Calibri"/>
                <w:color w:val="000000"/>
                <w:sz w:val="18"/>
                <w:szCs w:val="18"/>
              </w:rPr>
              <w:t>15</w:t>
            </w:r>
          </w:p>
        </w:tc>
        <w:tc>
          <w:tcPr>
            <w:tcW w:w="615" w:type="pct"/>
            <w:tcBorders>
              <w:top w:val="nil"/>
              <w:left w:val="nil"/>
              <w:bottom w:val="nil"/>
              <w:right w:val="nil"/>
            </w:tcBorders>
            <w:shd w:val="clear" w:color="auto" w:fill="auto"/>
            <w:noWrap/>
            <w:vAlign w:val="bottom"/>
            <w:hideMark/>
          </w:tcPr>
          <w:p w14:paraId="706E5AF5" w14:textId="77777777" w:rsidR="00B54F4E" w:rsidRPr="0048605D" w:rsidRDefault="00B54F4E" w:rsidP="006504C4">
            <w:pPr>
              <w:spacing w:before="0" w:after="0"/>
              <w:jc w:val="center"/>
              <w:rPr>
                <w:rFonts w:ascii="Calibri" w:hAnsi="Calibri"/>
                <w:color w:val="000000"/>
                <w:sz w:val="18"/>
                <w:szCs w:val="18"/>
              </w:rPr>
            </w:pPr>
            <w:r w:rsidRPr="0048605D">
              <w:rPr>
                <w:rFonts w:ascii="Calibri" w:hAnsi="Calibri"/>
                <w:color w:val="000000"/>
                <w:sz w:val="18"/>
                <w:szCs w:val="18"/>
              </w:rPr>
              <w:t>9</w:t>
            </w:r>
          </w:p>
        </w:tc>
        <w:tc>
          <w:tcPr>
            <w:tcW w:w="615" w:type="pct"/>
            <w:tcBorders>
              <w:top w:val="nil"/>
              <w:left w:val="nil"/>
              <w:bottom w:val="nil"/>
              <w:right w:val="nil"/>
            </w:tcBorders>
            <w:shd w:val="clear" w:color="auto" w:fill="auto"/>
            <w:noWrap/>
            <w:vAlign w:val="bottom"/>
            <w:hideMark/>
          </w:tcPr>
          <w:p w14:paraId="54A454E6" w14:textId="77777777" w:rsidR="00B54F4E" w:rsidRPr="0048605D" w:rsidRDefault="00B54F4E" w:rsidP="006504C4">
            <w:pPr>
              <w:spacing w:before="0" w:after="0"/>
              <w:jc w:val="center"/>
              <w:rPr>
                <w:rFonts w:ascii="Calibri" w:hAnsi="Calibri"/>
                <w:color w:val="000000"/>
                <w:sz w:val="18"/>
                <w:szCs w:val="18"/>
              </w:rPr>
            </w:pPr>
            <w:r w:rsidRPr="0048605D">
              <w:rPr>
                <w:rFonts w:ascii="Calibri" w:hAnsi="Calibri"/>
                <w:color w:val="000000"/>
                <w:sz w:val="18"/>
                <w:szCs w:val="18"/>
              </w:rPr>
              <w:t>3</w:t>
            </w:r>
          </w:p>
        </w:tc>
        <w:tc>
          <w:tcPr>
            <w:tcW w:w="615" w:type="pct"/>
            <w:tcBorders>
              <w:top w:val="nil"/>
              <w:left w:val="nil"/>
              <w:bottom w:val="nil"/>
              <w:right w:val="nil"/>
            </w:tcBorders>
            <w:shd w:val="clear" w:color="auto" w:fill="auto"/>
            <w:noWrap/>
            <w:vAlign w:val="bottom"/>
            <w:hideMark/>
          </w:tcPr>
          <w:p w14:paraId="3F59EAF9" w14:textId="77777777" w:rsidR="00B54F4E" w:rsidRPr="0048605D" w:rsidRDefault="00B54F4E" w:rsidP="006504C4">
            <w:pPr>
              <w:spacing w:before="0" w:after="0"/>
              <w:jc w:val="center"/>
              <w:rPr>
                <w:rFonts w:ascii="Calibri" w:hAnsi="Calibri"/>
                <w:color w:val="000000"/>
                <w:sz w:val="18"/>
                <w:szCs w:val="18"/>
              </w:rPr>
            </w:pPr>
            <w:r w:rsidRPr="0048605D">
              <w:rPr>
                <w:rFonts w:ascii="Calibri" w:hAnsi="Calibri"/>
                <w:color w:val="000000"/>
                <w:sz w:val="18"/>
                <w:szCs w:val="18"/>
              </w:rPr>
              <w:t>-3</w:t>
            </w:r>
          </w:p>
        </w:tc>
        <w:tc>
          <w:tcPr>
            <w:tcW w:w="615" w:type="pct"/>
            <w:tcBorders>
              <w:top w:val="nil"/>
              <w:left w:val="nil"/>
              <w:bottom w:val="nil"/>
              <w:right w:val="nil"/>
            </w:tcBorders>
            <w:shd w:val="clear" w:color="auto" w:fill="auto"/>
            <w:noWrap/>
            <w:vAlign w:val="bottom"/>
            <w:hideMark/>
          </w:tcPr>
          <w:p w14:paraId="7798301D" w14:textId="77777777" w:rsidR="00B54F4E" w:rsidRPr="0048605D" w:rsidRDefault="00B54F4E" w:rsidP="006504C4">
            <w:pPr>
              <w:spacing w:before="0" w:after="0"/>
              <w:jc w:val="center"/>
              <w:rPr>
                <w:rFonts w:ascii="Calibri" w:hAnsi="Calibri"/>
                <w:color w:val="000000"/>
                <w:sz w:val="18"/>
                <w:szCs w:val="18"/>
              </w:rPr>
            </w:pPr>
            <w:r w:rsidRPr="0048605D">
              <w:rPr>
                <w:rFonts w:ascii="Calibri" w:hAnsi="Calibri"/>
                <w:color w:val="000000"/>
                <w:sz w:val="18"/>
                <w:szCs w:val="18"/>
              </w:rPr>
              <w:t>-10</w:t>
            </w:r>
          </w:p>
        </w:tc>
        <w:tc>
          <w:tcPr>
            <w:tcW w:w="477" w:type="pct"/>
            <w:tcBorders>
              <w:top w:val="nil"/>
              <w:left w:val="nil"/>
              <w:bottom w:val="nil"/>
              <w:right w:val="single" w:sz="4" w:space="0" w:color="auto"/>
            </w:tcBorders>
            <w:shd w:val="clear" w:color="auto" w:fill="auto"/>
            <w:noWrap/>
            <w:vAlign w:val="bottom"/>
            <w:hideMark/>
          </w:tcPr>
          <w:p w14:paraId="247ACAB0" w14:textId="77777777" w:rsidR="00B54F4E" w:rsidRPr="0048605D" w:rsidRDefault="00B54F4E" w:rsidP="006504C4">
            <w:pPr>
              <w:spacing w:before="0" w:after="0"/>
              <w:jc w:val="center"/>
              <w:rPr>
                <w:rFonts w:ascii="Calibri" w:hAnsi="Calibri"/>
                <w:color w:val="000000"/>
                <w:sz w:val="18"/>
                <w:szCs w:val="18"/>
              </w:rPr>
            </w:pPr>
            <w:r w:rsidRPr="0048605D">
              <w:rPr>
                <w:rFonts w:ascii="Calibri" w:hAnsi="Calibri"/>
                <w:color w:val="000000"/>
                <w:sz w:val="18"/>
                <w:szCs w:val="18"/>
              </w:rPr>
              <w:t>-16</w:t>
            </w:r>
          </w:p>
        </w:tc>
      </w:tr>
      <w:tr w:rsidR="00B54F4E" w:rsidRPr="006C7758" w14:paraId="093EFCB5"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499C534C"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0D345E75"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4</w:t>
            </w:r>
          </w:p>
        </w:tc>
        <w:tc>
          <w:tcPr>
            <w:tcW w:w="624" w:type="pct"/>
            <w:tcBorders>
              <w:top w:val="nil"/>
              <w:left w:val="nil"/>
              <w:bottom w:val="nil"/>
              <w:right w:val="nil"/>
            </w:tcBorders>
            <w:shd w:val="clear" w:color="auto" w:fill="auto"/>
            <w:noWrap/>
            <w:vAlign w:val="bottom"/>
            <w:hideMark/>
          </w:tcPr>
          <w:p w14:paraId="2D186BCC"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24</w:t>
            </w:r>
          </w:p>
        </w:tc>
        <w:tc>
          <w:tcPr>
            <w:tcW w:w="615" w:type="pct"/>
            <w:tcBorders>
              <w:top w:val="nil"/>
              <w:left w:val="nil"/>
              <w:bottom w:val="nil"/>
              <w:right w:val="nil"/>
            </w:tcBorders>
            <w:shd w:val="clear" w:color="auto" w:fill="E7E6E6" w:themeFill="background2"/>
            <w:noWrap/>
            <w:vAlign w:val="bottom"/>
            <w:hideMark/>
          </w:tcPr>
          <w:p w14:paraId="1CEC3AEB"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20</w:t>
            </w:r>
          </w:p>
        </w:tc>
        <w:tc>
          <w:tcPr>
            <w:tcW w:w="615" w:type="pct"/>
            <w:tcBorders>
              <w:top w:val="nil"/>
              <w:left w:val="nil"/>
              <w:bottom w:val="nil"/>
              <w:right w:val="nil"/>
            </w:tcBorders>
            <w:shd w:val="clear" w:color="auto" w:fill="auto"/>
            <w:noWrap/>
            <w:vAlign w:val="bottom"/>
            <w:hideMark/>
          </w:tcPr>
          <w:p w14:paraId="2D9CF9A0"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12</w:t>
            </w:r>
          </w:p>
        </w:tc>
        <w:tc>
          <w:tcPr>
            <w:tcW w:w="615" w:type="pct"/>
            <w:tcBorders>
              <w:top w:val="nil"/>
              <w:left w:val="nil"/>
              <w:bottom w:val="nil"/>
              <w:right w:val="nil"/>
            </w:tcBorders>
            <w:shd w:val="clear" w:color="auto" w:fill="auto"/>
            <w:noWrap/>
            <w:vAlign w:val="bottom"/>
            <w:hideMark/>
          </w:tcPr>
          <w:p w14:paraId="7A214810"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4</w:t>
            </w:r>
          </w:p>
        </w:tc>
        <w:tc>
          <w:tcPr>
            <w:tcW w:w="615" w:type="pct"/>
            <w:tcBorders>
              <w:top w:val="nil"/>
              <w:left w:val="nil"/>
              <w:bottom w:val="nil"/>
              <w:right w:val="nil"/>
            </w:tcBorders>
            <w:shd w:val="clear" w:color="auto" w:fill="auto"/>
            <w:noWrap/>
            <w:vAlign w:val="bottom"/>
            <w:hideMark/>
          </w:tcPr>
          <w:p w14:paraId="69D67EF4"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-5</w:t>
            </w:r>
          </w:p>
        </w:tc>
        <w:tc>
          <w:tcPr>
            <w:tcW w:w="615" w:type="pct"/>
            <w:tcBorders>
              <w:top w:val="nil"/>
              <w:left w:val="nil"/>
              <w:bottom w:val="nil"/>
              <w:right w:val="nil"/>
            </w:tcBorders>
            <w:shd w:val="clear" w:color="auto" w:fill="auto"/>
            <w:noWrap/>
            <w:vAlign w:val="bottom"/>
            <w:hideMark/>
          </w:tcPr>
          <w:p w14:paraId="64D13B44"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-13</w:t>
            </w:r>
          </w:p>
        </w:tc>
        <w:tc>
          <w:tcPr>
            <w:tcW w:w="477" w:type="pct"/>
            <w:tcBorders>
              <w:top w:val="nil"/>
              <w:left w:val="nil"/>
              <w:bottom w:val="nil"/>
              <w:right w:val="single" w:sz="4" w:space="0" w:color="auto"/>
            </w:tcBorders>
            <w:shd w:val="clear" w:color="auto" w:fill="auto"/>
            <w:noWrap/>
            <w:vAlign w:val="bottom"/>
            <w:hideMark/>
          </w:tcPr>
          <w:p w14:paraId="49DB9DBB"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-21</w:t>
            </w:r>
          </w:p>
        </w:tc>
      </w:tr>
      <w:tr w:rsidR="00B54F4E" w:rsidRPr="006C7758" w14:paraId="594F31AE"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50716333"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28F78541"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5</w:t>
            </w:r>
          </w:p>
        </w:tc>
        <w:tc>
          <w:tcPr>
            <w:tcW w:w="624" w:type="pct"/>
            <w:tcBorders>
              <w:top w:val="nil"/>
              <w:left w:val="nil"/>
              <w:bottom w:val="nil"/>
              <w:right w:val="nil"/>
            </w:tcBorders>
            <w:shd w:val="clear" w:color="auto" w:fill="auto"/>
            <w:noWrap/>
            <w:vAlign w:val="bottom"/>
            <w:hideMark/>
          </w:tcPr>
          <w:p w14:paraId="3ABFCD67"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30</w:t>
            </w:r>
          </w:p>
        </w:tc>
        <w:tc>
          <w:tcPr>
            <w:tcW w:w="615" w:type="pct"/>
            <w:tcBorders>
              <w:top w:val="nil"/>
              <w:left w:val="nil"/>
              <w:bottom w:val="nil"/>
              <w:right w:val="nil"/>
            </w:tcBorders>
            <w:shd w:val="clear" w:color="auto" w:fill="E7E6E6" w:themeFill="background2"/>
            <w:noWrap/>
            <w:vAlign w:val="bottom"/>
            <w:hideMark/>
          </w:tcPr>
          <w:p w14:paraId="6B37CA7F"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25</w:t>
            </w:r>
          </w:p>
        </w:tc>
        <w:tc>
          <w:tcPr>
            <w:tcW w:w="615" w:type="pct"/>
            <w:tcBorders>
              <w:top w:val="nil"/>
              <w:left w:val="nil"/>
              <w:bottom w:val="nil"/>
              <w:right w:val="nil"/>
            </w:tcBorders>
            <w:shd w:val="clear" w:color="auto" w:fill="auto"/>
            <w:noWrap/>
            <w:vAlign w:val="bottom"/>
            <w:hideMark/>
          </w:tcPr>
          <w:p w14:paraId="5660616C"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15</w:t>
            </w:r>
          </w:p>
        </w:tc>
        <w:tc>
          <w:tcPr>
            <w:tcW w:w="615" w:type="pct"/>
            <w:tcBorders>
              <w:top w:val="nil"/>
              <w:left w:val="nil"/>
              <w:bottom w:val="nil"/>
              <w:right w:val="nil"/>
            </w:tcBorders>
            <w:shd w:val="clear" w:color="auto" w:fill="auto"/>
            <w:noWrap/>
            <w:vAlign w:val="bottom"/>
            <w:hideMark/>
          </w:tcPr>
          <w:p w14:paraId="4A864CAB"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5</w:t>
            </w:r>
          </w:p>
        </w:tc>
        <w:tc>
          <w:tcPr>
            <w:tcW w:w="615" w:type="pct"/>
            <w:tcBorders>
              <w:top w:val="nil"/>
              <w:left w:val="nil"/>
              <w:bottom w:val="nil"/>
              <w:right w:val="nil"/>
            </w:tcBorders>
            <w:shd w:val="clear" w:color="auto" w:fill="auto"/>
            <w:noWrap/>
            <w:vAlign w:val="bottom"/>
            <w:hideMark/>
          </w:tcPr>
          <w:p w14:paraId="1D380D32"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-6</w:t>
            </w:r>
          </w:p>
        </w:tc>
        <w:tc>
          <w:tcPr>
            <w:tcW w:w="615" w:type="pct"/>
            <w:tcBorders>
              <w:top w:val="nil"/>
              <w:left w:val="nil"/>
              <w:bottom w:val="nil"/>
              <w:right w:val="nil"/>
            </w:tcBorders>
            <w:shd w:val="clear" w:color="auto" w:fill="auto"/>
            <w:noWrap/>
            <w:vAlign w:val="bottom"/>
            <w:hideMark/>
          </w:tcPr>
          <w:p w14:paraId="0A5EFF2C"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-16</w:t>
            </w:r>
          </w:p>
        </w:tc>
        <w:tc>
          <w:tcPr>
            <w:tcW w:w="477" w:type="pct"/>
            <w:tcBorders>
              <w:top w:val="nil"/>
              <w:left w:val="nil"/>
              <w:bottom w:val="nil"/>
              <w:right w:val="single" w:sz="4" w:space="0" w:color="auto"/>
            </w:tcBorders>
            <w:shd w:val="clear" w:color="auto" w:fill="auto"/>
            <w:noWrap/>
            <w:vAlign w:val="bottom"/>
            <w:hideMark/>
          </w:tcPr>
          <w:p w14:paraId="797003D0"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-26</w:t>
            </w:r>
          </w:p>
        </w:tc>
      </w:tr>
      <w:tr w:rsidR="00B54F4E" w:rsidRPr="006C7758" w14:paraId="3B9EE0B5"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4E31C870"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E7E6E6" w:themeFill="background2"/>
            <w:noWrap/>
            <w:vAlign w:val="bottom"/>
            <w:hideMark/>
          </w:tcPr>
          <w:p w14:paraId="66E33D90"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6</w:t>
            </w:r>
          </w:p>
        </w:tc>
        <w:tc>
          <w:tcPr>
            <w:tcW w:w="624" w:type="pct"/>
            <w:tcBorders>
              <w:top w:val="nil"/>
              <w:left w:val="nil"/>
              <w:bottom w:val="nil"/>
              <w:right w:val="nil"/>
            </w:tcBorders>
            <w:shd w:val="clear" w:color="auto" w:fill="E7E6E6" w:themeFill="background2"/>
            <w:noWrap/>
            <w:vAlign w:val="bottom"/>
            <w:hideMark/>
          </w:tcPr>
          <w:p w14:paraId="36BDA517"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36</w:t>
            </w:r>
          </w:p>
        </w:tc>
        <w:tc>
          <w:tcPr>
            <w:tcW w:w="615" w:type="pct"/>
            <w:tcBorders>
              <w:top w:val="nil"/>
              <w:left w:val="nil"/>
              <w:bottom w:val="nil"/>
              <w:right w:val="nil"/>
            </w:tcBorders>
            <w:shd w:val="clear" w:color="auto" w:fill="E7E6E6" w:themeFill="background2"/>
            <w:noWrap/>
            <w:vAlign w:val="bottom"/>
            <w:hideMark/>
          </w:tcPr>
          <w:p w14:paraId="24732CCA" w14:textId="77777777" w:rsidR="00B54F4E" w:rsidRPr="005D6FB1" w:rsidRDefault="00B54F4E" w:rsidP="006504C4">
            <w:pPr>
              <w:spacing w:before="0" w:after="0" w:line="240" w:lineRule="atLeast"/>
              <w:jc w:val="center"/>
              <w:rPr>
                <w:rFonts w:ascii="Calibri" w:hAnsi="Calibri"/>
                <w:b/>
                <w:color w:val="000000"/>
                <w:sz w:val="18"/>
                <w:szCs w:val="18"/>
              </w:rPr>
            </w:pPr>
            <w:r w:rsidRPr="005D6FB1">
              <w:rPr>
                <w:rFonts w:ascii="Calibri" w:hAnsi="Calibri"/>
                <w:b/>
                <w:color w:val="000000"/>
                <w:sz w:val="18"/>
                <w:szCs w:val="18"/>
              </w:rPr>
              <w:t>30</w:t>
            </w:r>
          </w:p>
        </w:tc>
        <w:tc>
          <w:tcPr>
            <w:tcW w:w="615" w:type="pct"/>
            <w:tcBorders>
              <w:top w:val="nil"/>
              <w:left w:val="nil"/>
              <w:bottom w:val="nil"/>
              <w:right w:val="nil"/>
            </w:tcBorders>
            <w:shd w:val="clear" w:color="auto" w:fill="E7E6E6" w:themeFill="background2"/>
            <w:noWrap/>
            <w:vAlign w:val="bottom"/>
            <w:hideMark/>
          </w:tcPr>
          <w:p w14:paraId="7189F528"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18</w:t>
            </w:r>
          </w:p>
        </w:tc>
        <w:tc>
          <w:tcPr>
            <w:tcW w:w="615" w:type="pct"/>
            <w:tcBorders>
              <w:top w:val="nil"/>
              <w:left w:val="nil"/>
              <w:bottom w:val="nil"/>
              <w:right w:val="nil"/>
            </w:tcBorders>
            <w:shd w:val="clear" w:color="auto" w:fill="E7E6E6" w:themeFill="background2"/>
            <w:noWrap/>
            <w:vAlign w:val="bottom"/>
            <w:hideMark/>
          </w:tcPr>
          <w:p w14:paraId="548EED13"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5</w:t>
            </w:r>
          </w:p>
        </w:tc>
        <w:tc>
          <w:tcPr>
            <w:tcW w:w="615" w:type="pct"/>
            <w:tcBorders>
              <w:top w:val="nil"/>
              <w:left w:val="nil"/>
              <w:bottom w:val="nil"/>
              <w:right w:val="nil"/>
            </w:tcBorders>
            <w:shd w:val="clear" w:color="auto" w:fill="E7E6E6" w:themeFill="background2"/>
            <w:noWrap/>
            <w:vAlign w:val="bottom"/>
            <w:hideMark/>
          </w:tcPr>
          <w:p w14:paraId="0A29E153"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-7</w:t>
            </w:r>
          </w:p>
        </w:tc>
        <w:tc>
          <w:tcPr>
            <w:tcW w:w="615" w:type="pct"/>
            <w:tcBorders>
              <w:top w:val="nil"/>
              <w:left w:val="nil"/>
              <w:bottom w:val="nil"/>
              <w:right w:val="nil"/>
            </w:tcBorders>
            <w:shd w:val="clear" w:color="auto" w:fill="E7E6E6" w:themeFill="background2"/>
            <w:noWrap/>
            <w:vAlign w:val="bottom"/>
            <w:hideMark/>
          </w:tcPr>
          <w:p w14:paraId="03B5E474"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-19</w:t>
            </w:r>
          </w:p>
        </w:tc>
        <w:tc>
          <w:tcPr>
            <w:tcW w:w="477" w:type="pct"/>
            <w:tcBorders>
              <w:top w:val="nil"/>
              <w:left w:val="nil"/>
              <w:bottom w:val="nil"/>
              <w:right w:val="single" w:sz="4" w:space="0" w:color="auto"/>
            </w:tcBorders>
            <w:shd w:val="clear" w:color="auto" w:fill="E7E6E6" w:themeFill="background2"/>
            <w:noWrap/>
            <w:vAlign w:val="bottom"/>
            <w:hideMark/>
          </w:tcPr>
          <w:p w14:paraId="7409EB90"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-31</w:t>
            </w:r>
          </w:p>
        </w:tc>
      </w:tr>
      <w:tr w:rsidR="00B54F4E" w:rsidRPr="006C7758" w14:paraId="35033370"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591F6116"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23DC60F6"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7</w:t>
            </w:r>
          </w:p>
        </w:tc>
        <w:tc>
          <w:tcPr>
            <w:tcW w:w="624" w:type="pct"/>
            <w:tcBorders>
              <w:top w:val="nil"/>
              <w:left w:val="nil"/>
              <w:bottom w:val="nil"/>
              <w:right w:val="nil"/>
            </w:tcBorders>
            <w:shd w:val="clear" w:color="auto" w:fill="auto"/>
            <w:noWrap/>
            <w:vAlign w:val="bottom"/>
            <w:hideMark/>
          </w:tcPr>
          <w:p w14:paraId="58807A48"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42</w:t>
            </w:r>
          </w:p>
        </w:tc>
        <w:tc>
          <w:tcPr>
            <w:tcW w:w="615" w:type="pct"/>
            <w:tcBorders>
              <w:top w:val="nil"/>
              <w:left w:val="nil"/>
              <w:bottom w:val="nil"/>
              <w:right w:val="nil"/>
            </w:tcBorders>
            <w:shd w:val="clear" w:color="auto" w:fill="E7E6E6" w:themeFill="background2"/>
            <w:noWrap/>
            <w:vAlign w:val="bottom"/>
            <w:hideMark/>
          </w:tcPr>
          <w:p w14:paraId="53E00FD8"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35</w:t>
            </w:r>
          </w:p>
        </w:tc>
        <w:tc>
          <w:tcPr>
            <w:tcW w:w="615" w:type="pct"/>
            <w:tcBorders>
              <w:top w:val="nil"/>
              <w:left w:val="nil"/>
              <w:bottom w:val="nil"/>
              <w:right w:val="nil"/>
            </w:tcBorders>
            <w:shd w:val="clear" w:color="auto" w:fill="auto"/>
            <w:noWrap/>
            <w:vAlign w:val="bottom"/>
            <w:hideMark/>
          </w:tcPr>
          <w:p w14:paraId="55CCBCB1"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21</w:t>
            </w:r>
          </w:p>
        </w:tc>
        <w:tc>
          <w:tcPr>
            <w:tcW w:w="615" w:type="pct"/>
            <w:tcBorders>
              <w:top w:val="nil"/>
              <w:left w:val="nil"/>
              <w:bottom w:val="nil"/>
              <w:right w:val="nil"/>
            </w:tcBorders>
            <w:shd w:val="clear" w:color="auto" w:fill="auto"/>
            <w:noWrap/>
            <w:vAlign w:val="bottom"/>
            <w:hideMark/>
          </w:tcPr>
          <w:p w14:paraId="2A6FA95E"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6</w:t>
            </w:r>
          </w:p>
        </w:tc>
        <w:tc>
          <w:tcPr>
            <w:tcW w:w="615" w:type="pct"/>
            <w:tcBorders>
              <w:top w:val="nil"/>
              <w:left w:val="nil"/>
              <w:bottom w:val="nil"/>
              <w:right w:val="nil"/>
            </w:tcBorders>
            <w:shd w:val="clear" w:color="auto" w:fill="auto"/>
            <w:noWrap/>
            <w:vAlign w:val="bottom"/>
            <w:hideMark/>
          </w:tcPr>
          <w:p w14:paraId="18C1578A"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-8</w:t>
            </w:r>
          </w:p>
        </w:tc>
        <w:tc>
          <w:tcPr>
            <w:tcW w:w="615" w:type="pct"/>
            <w:tcBorders>
              <w:top w:val="nil"/>
              <w:left w:val="nil"/>
              <w:bottom w:val="nil"/>
              <w:right w:val="nil"/>
            </w:tcBorders>
            <w:shd w:val="clear" w:color="auto" w:fill="auto"/>
            <w:noWrap/>
            <w:vAlign w:val="bottom"/>
            <w:hideMark/>
          </w:tcPr>
          <w:p w14:paraId="4C47FB2F"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-22</w:t>
            </w:r>
          </w:p>
        </w:tc>
        <w:tc>
          <w:tcPr>
            <w:tcW w:w="477" w:type="pct"/>
            <w:tcBorders>
              <w:top w:val="nil"/>
              <w:left w:val="nil"/>
              <w:bottom w:val="nil"/>
              <w:right w:val="single" w:sz="4" w:space="0" w:color="auto"/>
            </w:tcBorders>
            <w:shd w:val="clear" w:color="auto" w:fill="auto"/>
            <w:noWrap/>
            <w:vAlign w:val="bottom"/>
            <w:hideMark/>
          </w:tcPr>
          <w:p w14:paraId="007C20CE"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-37</w:t>
            </w:r>
          </w:p>
        </w:tc>
      </w:tr>
      <w:tr w:rsidR="00B54F4E" w:rsidRPr="006C7758" w14:paraId="3565E81E"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56D916CB"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614C5D8C"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8</w:t>
            </w:r>
          </w:p>
        </w:tc>
        <w:tc>
          <w:tcPr>
            <w:tcW w:w="624" w:type="pct"/>
            <w:tcBorders>
              <w:top w:val="nil"/>
              <w:left w:val="nil"/>
              <w:bottom w:val="nil"/>
              <w:right w:val="nil"/>
            </w:tcBorders>
            <w:shd w:val="clear" w:color="auto" w:fill="auto"/>
            <w:noWrap/>
            <w:vAlign w:val="bottom"/>
            <w:hideMark/>
          </w:tcPr>
          <w:p w14:paraId="49ADA651"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48</w:t>
            </w:r>
          </w:p>
        </w:tc>
        <w:tc>
          <w:tcPr>
            <w:tcW w:w="615" w:type="pct"/>
            <w:tcBorders>
              <w:top w:val="nil"/>
              <w:left w:val="nil"/>
              <w:bottom w:val="nil"/>
              <w:right w:val="nil"/>
            </w:tcBorders>
            <w:shd w:val="clear" w:color="auto" w:fill="E7E6E6" w:themeFill="background2"/>
            <w:noWrap/>
            <w:vAlign w:val="bottom"/>
            <w:hideMark/>
          </w:tcPr>
          <w:p w14:paraId="25D23ED4"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40</w:t>
            </w:r>
          </w:p>
        </w:tc>
        <w:tc>
          <w:tcPr>
            <w:tcW w:w="615" w:type="pct"/>
            <w:tcBorders>
              <w:top w:val="nil"/>
              <w:left w:val="nil"/>
              <w:bottom w:val="nil"/>
              <w:right w:val="nil"/>
            </w:tcBorders>
            <w:shd w:val="clear" w:color="auto" w:fill="auto"/>
            <w:noWrap/>
            <w:vAlign w:val="bottom"/>
            <w:hideMark/>
          </w:tcPr>
          <w:p w14:paraId="0DC116D9"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24</w:t>
            </w:r>
          </w:p>
        </w:tc>
        <w:tc>
          <w:tcPr>
            <w:tcW w:w="615" w:type="pct"/>
            <w:tcBorders>
              <w:top w:val="nil"/>
              <w:left w:val="nil"/>
              <w:bottom w:val="nil"/>
              <w:right w:val="nil"/>
            </w:tcBorders>
            <w:shd w:val="clear" w:color="auto" w:fill="auto"/>
            <w:noWrap/>
            <w:vAlign w:val="bottom"/>
            <w:hideMark/>
          </w:tcPr>
          <w:p w14:paraId="43962F6A"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7</w:t>
            </w:r>
          </w:p>
        </w:tc>
        <w:tc>
          <w:tcPr>
            <w:tcW w:w="615" w:type="pct"/>
            <w:tcBorders>
              <w:top w:val="nil"/>
              <w:left w:val="nil"/>
              <w:bottom w:val="nil"/>
              <w:right w:val="nil"/>
            </w:tcBorders>
            <w:shd w:val="clear" w:color="auto" w:fill="auto"/>
            <w:noWrap/>
            <w:vAlign w:val="bottom"/>
            <w:hideMark/>
          </w:tcPr>
          <w:p w14:paraId="73A5D244"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-9</w:t>
            </w:r>
          </w:p>
        </w:tc>
        <w:tc>
          <w:tcPr>
            <w:tcW w:w="615" w:type="pct"/>
            <w:tcBorders>
              <w:top w:val="nil"/>
              <w:left w:val="nil"/>
              <w:bottom w:val="nil"/>
              <w:right w:val="nil"/>
            </w:tcBorders>
            <w:shd w:val="clear" w:color="auto" w:fill="auto"/>
            <w:noWrap/>
            <w:vAlign w:val="bottom"/>
            <w:hideMark/>
          </w:tcPr>
          <w:p w14:paraId="3B8075F6"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-25</w:t>
            </w:r>
          </w:p>
        </w:tc>
        <w:tc>
          <w:tcPr>
            <w:tcW w:w="477" w:type="pct"/>
            <w:tcBorders>
              <w:top w:val="nil"/>
              <w:left w:val="nil"/>
              <w:bottom w:val="nil"/>
              <w:right w:val="single" w:sz="4" w:space="0" w:color="auto"/>
            </w:tcBorders>
            <w:shd w:val="clear" w:color="auto" w:fill="auto"/>
            <w:noWrap/>
            <w:vAlign w:val="bottom"/>
            <w:hideMark/>
          </w:tcPr>
          <w:p w14:paraId="4A3A3090" w14:textId="77777777" w:rsidR="00B54F4E" w:rsidRPr="0048605D" w:rsidRDefault="00B54F4E" w:rsidP="006504C4">
            <w:pPr>
              <w:spacing w:before="0" w:after="0" w:line="240" w:lineRule="atLeast"/>
              <w:jc w:val="center"/>
              <w:rPr>
                <w:rFonts w:ascii="Calibri" w:hAnsi="Calibri"/>
                <w:color w:val="000000"/>
                <w:sz w:val="18"/>
                <w:szCs w:val="18"/>
              </w:rPr>
            </w:pPr>
            <w:r w:rsidRPr="0048605D">
              <w:rPr>
                <w:rFonts w:ascii="Calibri" w:hAnsi="Calibri"/>
                <w:color w:val="000000"/>
                <w:sz w:val="18"/>
                <w:szCs w:val="18"/>
              </w:rPr>
              <w:t>-42</w:t>
            </w:r>
          </w:p>
        </w:tc>
      </w:tr>
      <w:tr w:rsidR="00B54F4E" w:rsidRPr="006C7758" w14:paraId="1B1FABA7"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1869EA4"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4480C7F4"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9</w:t>
            </w:r>
          </w:p>
        </w:tc>
        <w:tc>
          <w:tcPr>
            <w:tcW w:w="624" w:type="pct"/>
            <w:tcBorders>
              <w:top w:val="nil"/>
              <w:left w:val="nil"/>
              <w:bottom w:val="nil"/>
              <w:right w:val="nil"/>
            </w:tcBorders>
            <w:shd w:val="clear" w:color="auto" w:fill="auto"/>
            <w:noWrap/>
            <w:vAlign w:val="bottom"/>
            <w:hideMark/>
          </w:tcPr>
          <w:p w14:paraId="1B83B555"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54</w:t>
            </w:r>
          </w:p>
        </w:tc>
        <w:tc>
          <w:tcPr>
            <w:tcW w:w="615" w:type="pct"/>
            <w:tcBorders>
              <w:top w:val="nil"/>
              <w:left w:val="nil"/>
              <w:bottom w:val="nil"/>
              <w:right w:val="nil"/>
            </w:tcBorders>
            <w:shd w:val="clear" w:color="auto" w:fill="E7E6E6" w:themeFill="background2"/>
            <w:noWrap/>
            <w:vAlign w:val="bottom"/>
            <w:hideMark/>
          </w:tcPr>
          <w:p w14:paraId="26D0419E"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45</w:t>
            </w:r>
          </w:p>
        </w:tc>
        <w:tc>
          <w:tcPr>
            <w:tcW w:w="615" w:type="pct"/>
            <w:tcBorders>
              <w:top w:val="nil"/>
              <w:left w:val="nil"/>
              <w:bottom w:val="nil"/>
              <w:right w:val="nil"/>
            </w:tcBorders>
            <w:shd w:val="clear" w:color="auto" w:fill="auto"/>
            <w:noWrap/>
            <w:vAlign w:val="bottom"/>
            <w:hideMark/>
          </w:tcPr>
          <w:p w14:paraId="1E7205AB"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26</w:t>
            </w:r>
          </w:p>
        </w:tc>
        <w:tc>
          <w:tcPr>
            <w:tcW w:w="615" w:type="pct"/>
            <w:tcBorders>
              <w:top w:val="nil"/>
              <w:left w:val="nil"/>
              <w:bottom w:val="nil"/>
              <w:right w:val="nil"/>
            </w:tcBorders>
            <w:shd w:val="clear" w:color="auto" w:fill="auto"/>
            <w:noWrap/>
            <w:vAlign w:val="bottom"/>
            <w:hideMark/>
          </w:tcPr>
          <w:p w14:paraId="17503E9A"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8</w:t>
            </w:r>
          </w:p>
        </w:tc>
        <w:tc>
          <w:tcPr>
            <w:tcW w:w="615" w:type="pct"/>
            <w:tcBorders>
              <w:top w:val="nil"/>
              <w:left w:val="nil"/>
              <w:bottom w:val="nil"/>
              <w:right w:val="nil"/>
            </w:tcBorders>
            <w:shd w:val="clear" w:color="auto" w:fill="auto"/>
            <w:noWrap/>
            <w:vAlign w:val="bottom"/>
            <w:hideMark/>
          </w:tcPr>
          <w:p w14:paraId="7C7E4660"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-10</w:t>
            </w:r>
          </w:p>
        </w:tc>
        <w:tc>
          <w:tcPr>
            <w:tcW w:w="615" w:type="pct"/>
            <w:tcBorders>
              <w:top w:val="nil"/>
              <w:left w:val="nil"/>
              <w:bottom w:val="nil"/>
              <w:right w:val="nil"/>
            </w:tcBorders>
            <w:shd w:val="clear" w:color="auto" w:fill="auto"/>
            <w:noWrap/>
            <w:vAlign w:val="bottom"/>
            <w:hideMark/>
          </w:tcPr>
          <w:p w14:paraId="135EC611"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-29</w:t>
            </w:r>
          </w:p>
        </w:tc>
        <w:tc>
          <w:tcPr>
            <w:tcW w:w="477" w:type="pct"/>
            <w:tcBorders>
              <w:top w:val="nil"/>
              <w:left w:val="nil"/>
              <w:bottom w:val="nil"/>
              <w:right w:val="single" w:sz="4" w:space="0" w:color="auto"/>
            </w:tcBorders>
            <w:shd w:val="clear" w:color="auto" w:fill="auto"/>
            <w:noWrap/>
            <w:vAlign w:val="bottom"/>
            <w:hideMark/>
          </w:tcPr>
          <w:p w14:paraId="35E130F3"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-47</w:t>
            </w:r>
          </w:p>
        </w:tc>
      </w:tr>
      <w:tr w:rsidR="00B54F4E" w:rsidRPr="006C7758" w14:paraId="316332D1"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2908E330"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550060C8"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10</w:t>
            </w:r>
          </w:p>
        </w:tc>
        <w:tc>
          <w:tcPr>
            <w:tcW w:w="624" w:type="pct"/>
            <w:tcBorders>
              <w:top w:val="nil"/>
              <w:left w:val="nil"/>
              <w:bottom w:val="nil"/>
              <w:right w:val="nil"/>
            </w:tcBorders>
            <w:shd w:val="clear" w:color="auto" w:fill="auto"/>
            <w:noWrap/>
            <w:vAlign w:val="bottom"/>
            <w:hideMark/>
          </w:tcPr>
          <w:p w14:paraId="0A8DC947"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60</w:t>
            </w:r>
          </w:p>
        </w:tc>
        <w:tc>
          <w:tcPr>
            <w:tcW w:w="615" w:type="pct"/>
            <w:tcBorders>
              <w:top w:val="nil"/>
              <w:left w:val="nil"/>
              <w:bottom w:val="nil"/>
              <w:right w:val="nil"/>
            </w:tcBorders>
            <w:shd w:val="clear" w:color="auto" w:fill="E7E6E6" w:themeFill="background2"/>
            <w:noWrap/>
            <w:vAlign w:val="bottom"/>
            <w:hideMark/>
          </w:tcPr>
          <w:p w14:paraId="7C6F5C7D"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50</w:t>
            </w:r>
          </w:p>
        </w:tc>
        <w:tc>
          <w:tcPr>
            <w:tcW w:w="615" w:type="pct"/>
            <w:tcBorders>
              <w:top w:val="nil"/>
              <w:left w:val="nil"/>
              <w:bottom w:val="nil"/>
              <w:right w:val="nil"/>
            </w:tcBorders>
            <w:shd w:val="clear" w:color="auto" w:fill="auto"/>
            <w:noWrap/>
            <w:vAlign w:val="bottom"/>
            <w:hideMark/>
          </w:tcPr>
          <w:p w14:paraId="573C3459"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29</w:t>
            </w:r>
          </w:p>
        </w:tc>
        <w:tc>
          <w:tcPr>
            <w:tcW w:w="615" w:type="pct"/>
            <w:tcBorders>
              <w:top w:val="nil"/>
              <w:left w:val="nil"/>
              <w:bottom w:val="nil"/>
              <w:right w:val="nil"/>
            </w:tcBorders>
            <w:shd w:val="clear" w:color="auto" w:fill="auto"/>
            <w:noWrap/>
            <w:vAlign w:val="bottom"/>
            <w:hideMark/>
          </w:tcPr>
          <w:p w14:paraId="3BB12DCC"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9</w:t>
            </w:r>
          </w:p>
        </w:tc>
        <w:tc>
          <w:tcPr>
            <w:tcW w:w="615" w:type="pct"/>
            <w:tcBorders>
              <w:top w:val="nil"/>
              <w:left w:val="nil"/>
              <w:bottom w:val="nil"/>
              <w:right w:val="nil"/>
            </w:tcBorders>
            <w:shd w:val="clear" w:color="auto" w:fill="auto"/>
            <w:noWrap/>
            <w:vAlign w:val="bottom"/>
            <w:hideMark/>
          </w:tcPr>
          <w:p w14:paraId="1736C16E"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-11</w:t>
            </w:r>
          </w:p>
        </w:tc>
        <w:tc>
          <w:tcPr>
            <w:tcW w:w="615" w:type="pct"/>
            <w:tcBorders>
              <w:top w:val="nil"/>
              <w:left w:val="nil"/>
              <w:bottom w:val="nil"/>
              <w:right w:val="nil"/>
            </w:tcBorders>
            <w:shd w:val="clear" w:color="auto" w:fill="auto"/>
            <w:noWrap/>
            <w:vAlign w:val="bottom"/>
            <w:hideMark/>
          </w:tcPr>
          <w:p w14:paraId="2AA75607"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-32</w:t>
            </w:r>
          </w:p>
        </w:tc>
        <w:tc>
          <w:tcPr>
            <w:tcW w:w="477" w:type="pct"/>
            <w:tcBorders>
              <w:top w:val="nil"/>
              <w:left w:val="nil"/>
              <w:bottom w:val="nil"/>
              <w:right w:val="single" w:sz="4" w:space="0" w:color="auto"/>
            </w:tcBorders>
            <w:shd w:val="clear" w:color="auto" w:fill="auto"/>
            <w:noWrap/>
            <w:vAlign w:val="bottom"/>
            <w:hideMark/>
          </w:tcPr>
          <w:p w14:paraId="709C25CE"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-52</w:t>
            </w:r>
          </w:p>
        </w:tc>
      </w:tr>
      <w:tr w:rsidR="00B54F4E" w:rsidRPr="006C7758" w14:paraId="7AEAD104"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tcPr>
          <w:p w14:paraId="45A153D1" w14:textId="77777777" w:rsidR="00B54F4E" w:rsidRPr="006C7758" w:rsidRDefault="00B54F4E" w:rsidP="006504C4">
            <w:pPr>
              <w:spacing w:before="0" w:after="0"/>
              <w:jc w:val="left"/>
              <w:rPr>
                <w:rFonts w:ascii="Calibri" w:hAnsi="Calibri" w:cs="Calibri"/>
                <w:color w:val="000000"/>
                <w:sz w:val="18"/>
                <w:szCs w:val="22"/>
                <w:lang w:eastAsia="es-CO"/>
              </w:rPr>
            </w:pPr>
          </w:p>
        </w:tc>
        <w:tc>
          <w:tcPr>
            <w:tcW w:w="363" w:type="pct"/>
            <w:tcBorders>
              <w:top w:val="nil"/>
              <w:left w:val="nil"/>
              <w:bottom w:val="nil"/>
              <w:right w:val="single" w:sz="4" w:space="0" w:color="auto"/>
            </w:tcBorders>
            <w:shd w:val="clear" w:color="auto" w:fill="auto"/>
            <w:noWrap/>
            <w:vAlign w:val="bottom"/>
          </w:tcPr>
          <w:p w14:paraId="5919553C" w14:textId="77777777" w:rsidR="00B54F4E" w:rsidRPr="003F7F66"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11</w:t>
            </w:r>
          </w:p>
        </w:tc>
        <w:tc>
          <w:tcPr>
            <w:tcW w:w="624" w:type="pct"/>
            <w:tcBorders>
              <w:top w:val="nil"/>
              <w:left w:val="nil"/>
              <w:bottom w:val="nil"/>
              <w:right w:val="nil"/>
            </w:tcBorders>
            <w:shd w:val="clear" w:color="auto" w:fill="auto"/>
            <w:noWrap/>
            <w:vAlign w:val="bottom"/>
          </w:tcPr>
          <w:p w14:paraId="3BE7D69C"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66</w:t>
            </w:r>
          </w:p>
        </w:tc>
        <w:tc>
          <w:tcPr>
            <w:tcW w:w="615" w:type="pct"/>
            <w:tcBorders>
              <w:top w:val="nil"/>
              <w:left w:val="nil"/>
              <w:bottom w:val="nil"/>
              <w:right w:val="nil"/>
            </w:tcBorders>
            <w:shd w:val="clear" w:color="auto" w:fill="E7E6E6" w:themeFill="background2"/>
            <w:noWrap/>
            <w:vAlign w:val="bottom"/>
          </w:tcPr>
          <w:p w14:paraId="4820E328"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55</w:t>
            </w:r>
          </w:p>
        </w:tc>
        <w:tc>
          <w:tcPr>
            <w:tcW w:w="615" w:type="pct"/>
            <w:tcBorders>
              <w:top w:val="nil"/>
              <w:left w:val="nil"/>
              <w:bottom w:val="nil"/>
              <w:right w:val="nil"/>
            </w:tcBorders>
            <w:shd w:val="clear" w:color="auto" w:fill="auto"/>
            <w:noWrap/>
            <w:vAlign w:val="bottom"/>
          </w:tcPr>
          <w:p w14:paraId="30B7501F"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32</w:t>
            </w:r>
          </w:p>
        </w:tc>
        <w:tc>
          <w:tcPr>
            <w:tcW w:w="615" w:type="pct"/>
            <w:tcBorders>
              <w:top w:val="nil"/>
              <w:left w:val="nil"/>
              <w:bottom w:val="nil"/>
              <w:right w:val="nil"/>
            </w:tcBorders>
            <w:shd w:val="clear" w:color="auto" w:fill="auto"/>
            <w:noWrap/>
            <w:vAlign w:val="bottom"/>
          </w:tcPr>
          <w:p w14:paraId="03897FE5"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10</w:t>
            </w:r>
          </w:p>
        </w:tc>
        <w:tc>
          <w:tcPr>
            <w:tcW w:w="615" w:type="pct"/>
            <w:tcBorders>
              <w:top w:val="nil"/>
              <w:left w:val="nil"/>
              <w:bottom w:val="nil"/>
              <w:right w:val="nil"/>
            </w:tcBorders>
            <w:shd w:val="clear" w:color="auto" w:fill="auto"/>
            <w:noWrap/>
            <w:vAlign w:val="bottom"/>
          </w:tcPr>
          <w:p w14:paraId="4CFC245F"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-13</w:t>
            </w:r>
          </w:p>
        </w:tc>
        <w:tc>
          <w:tcPr>
            <w:tcW w:w="615" w:type="pct"/>
            <w:tcBorders>
              <w:top w:val="nil"/>
              <w:left w:val="nil"/>
              <w:bottom w:val="nil"/>
              <w:right w:val="nil"/>
            </w:tcBorders>
            <w:shd w:val="clear" w:color="auto" w:fill="auto"/>
            <w:noWrap/>
            <w:vAlign w:val="bottom"/>
          </w:tcPr>
          <w:p w14:paraId="000C227D"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-35</w:t>
            </w:r>
          </w:p>
        </w:tc>
        <w:tc>
          <w:tcPr>
            <w:tcW w:w="477" w:type="pct"/>
            <w:tcBorders>
              <w:top w:val="nil"/>
              <w:left w:val="nil"/>
              <w:bottom w:val="nil"/>
              <w:right w:val="single" w:sz="4" w:space="0" w:color="auto"/>
            </w:tcBorders>
            <w:shd w:val="clear" w:color="auto" w:fill="auto"/>
            <w:noWrap/>
            <w:vAlign w:val="bottom"/>
          </w:tcPr>
          <w:p w14:paraId="6C93BDF2"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-57</w:t>
            </w:r>
          </w:p>
        </w:tc>
      </w:tr>
      <w:tr w:rsidR="00B54F4E" w:rsidRPr="006C7758" w14:paraId="7402821C" w14:textId="77777777" w:rsidTr="006504C4">
        <w:trPr>
          <w:trHeight w:val="233"/>
        </w:trPr>
        <w:tc>
          <w:tcPr>
            <w:tcW w:w="461" w:type="pct"/>
            <w:tcBorders>
              <w:top w:val="nil"/>
              <w:left w:val="single" w:sz="4" w:space="0" w:color="auto"/>
              <w:bottom w:val="nil"/>
              <w:right w:val="single" w:sz="4" w:space="0" w:color="auto"/>
            </w:tcBorders>
            <w:shd w:val="clear" w:color="auto" w:fill="auto"/>
            <w:noWrap/>
            <w:vAlign w:val="bottom"/>
            <w:hideMark/>
          </w:tcPr>
          <w:p w14:paraId="1D6187DB"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nil"/>
              <w:right w:val="single" w:sz="4" w:space="0" w:color="auto"/>
            </w:tcBorders>
            <w:shd w:val="clear" w:color="auto" w:fill="auto"/>
            <w:noWrap/>
            <w:vAlign w:val="bottom"/>
            <w:hideMark/>
          </w:tcPr>
          <w:p w14:paraId="41A5AAB6"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12</w:t>
            </w:r>
          </w:p>
        </w:tc>
        <w:tc>
          <w:tcPr>
            <w:tcW w:w="624" w:type="pct"/>
            <w:tcBorders>
              <w:top w:val="nil"/>
              <w:left w:val="nil"/>
              <w:bottom w:val="nil"/>
              <w:right w:val="nil"/>
            </w:tcBorders>
            <w:shd w:val="clear" w:color="auto" w:fill="auto"/>
            <w:noWrap/>
            <w:vAlign w:val="bottom"/>
            <w:hideMark/>
          </w:tcPr>
          <w:p w14:paraId="0B92CCE8"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72</w:t>
            </w:r>
          </w:p>
        </w:tc>
        <w:tc>
          <w:tcPr>
            <w:tcW w:w="615" w:type="pct"/>
            <w:tcBorders>
              <w:top w:val="nil"/>
              <w:left w:val="nil"/>
              <w:bottom w:val="nil"/>
              <w:right w:val="nil"/>
            </w:tcBorders>
            <w:shd w:val="clear" w:color="auto" w:fill="E7E6E6" w:themeFill="background2"/>
            <w:noWrap/>
            <w:vAlign w:val="bottom"/>
            <w:hideMark/>
          </w:tcPr>
          <w:p w14:paraId="19CB8A05"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60</w:t>
            </w:r>
          </w:p>
        </w:tc>
        <w:tc>
          <w:tcPr>
            <w:tcW w:w="615" w:type="pct"/>
            <w:tcBorders>
              <w:top w:val="nil"/>
              <w:left w:val="nil"/>
              <w:bottom w:val="nil"/>
              <w:right w:val="nil"/>
            </w:tcBorders>
            <w:shd w:val="clear" w:color="auto" w:fill="auto"/>
            <w:noWrap/>
            <w:vAlign w:val="bottom"/>
            <w:hideMark/>
          </w:tcPr>
          <w:p w14:paraId="307A9BF6"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35</w:t>
            </w:r>
          </w:p>
        </w:tc>
        <w:tc>
          <w:tcPr>
            <w:tcW w:w="615" w:type="pct"/>
            <w:tcBorders>
              <w:top w:val="nil"/>
              <w:left w:val="nil"/>
              <w:bottom w:val="nil"/>
              <w:right w:val="nil"/>
            </w:tcBorders>
            <w:shd w:val="clear" w:color="auto" w:fill="auto"/>
            <w:noWrap/>
            <w:vAlign w:val="bottom"/>
            <w:hideMark/>
          </w:tcPr>
          <w:p w14:paraId="6ABE0468"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11</w:t>
            </w:r>
          </w:p>
        </w:tc>
        <w:tc>
          <w:tcPr>
            <w:tcW w:w="615" w:type="pct"/>
            <w:tcBorders>
              <w:top w:val="nil"/>
              <w:left w:val="nil"/>
              <w:bottom w:val="nil"/>
              <w:right w:val="nil"/>
            </w:tcBorders>
            <w:shd w:val="clear" w:color="auto" w:fill="auto"/>
            <w:noWrap/>
            <w:vAlign w:val="bottom"/>
            <w:hideMark/>
          </w:tcPr>
          <w:p w14:paraId="16BBF408"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-14</w:t>
            </w:r>
          </w:p>
        </w:tc>
        <w:tc>
          <w:tcPr>
            <w:tcW w:w="615" w:type="pct"/>
            <w:tcBorders>
              <w:top w:val="nil"/>
              <w:left w:val="nil"/>
              <w:bottom w:val="nil"/>
              <w:right w:val="nil"/>
            </w:tcBorders>
            <w:shd w:val="clear" w:color="auto" w:fill="auto"/>
            <w:noWrap/>
            <w:vAlign w:val="bottom"/>
            <w:hideMark/>
          </w:tcPr>
          <w:p w14:paraId="438DA01C"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-38</w:t>
            </w:r>
          </w:p>
        </w:tc>
        <w:tc>
          <w:tcPr>
            <w:tcW w:w="477" w:type="pct"/>
            <w:tcBorders>
              <w:top w:val="nil"/>
              <w:left w:val="nil"/>
              <w:bottom w:val="nil"/>
              <w:right w:val="single" w:sz="4" w:space="0" w:color="auto"/>
            </w:tcBorders>
            <w:shd w:val="clear" w:color="auto" w:fill="auto"/>
            <w:noWrap/>
            <w:vAlign w:val="bottom"/>
            <w:hideMark/>
          </w:tcPr>
          <w:p w14:paraId="2B443DC5"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-63</w:t>
            </w:r>
          </w:p>
        </w:tc>
      </w:tr>
      <w:tr w:rsidR="00B54F4E" w:rsidRPr="006C7758" w14:paraId="5F58403A" w14:textId="77777777" w:rsidTr="006504C4">
        <w:trPr>
          <w:trHeight w:val="233"/>
        </w:trPr>
        <w:tc>
          <w:tcPr>
            <w:tcW w:w="461" w:type="pct"/>
            <w:tcBorders>
              <w:top w:val="nil"/>
              <w:left w:val="single" w:sz="4" w:space="0" w:color="auto"/>
              <w:bottom w:val="single" w:sz="4" w:space="0" w:color="auto"/>
              <w:right w:val="single" w:sz="4" w:space="0" w:color="auto"/>
            </w:tcBorders>
            <w:shd w:val="clear" w:color="auto" w:fill="auto"/>
            <w:noWrap/>
            <w:vAlign w:val="bottom"/>
            <w:hideMark/>
          </w:tcPr>
          <w:p w14:paraId="1F465A52" w14:textId="77777777" w:rsidR="00B54F4E" w:rsidRPr="006C7758" w:rsidRDefault="00B54F4E" w:rsidP="006504C4">
            <w:pPr>
              <w:spacing w:before="0" w:after="0"/>
              <w:jc w:val="left"/>
              <w:rPr>
                <w:rFonts w:ascii="Calibri" w:hAnsi="Calibri" w:cs="Calibri"/>
                <w:color w:val="000000"/>
                <w:sz w:val="18"/>
                <w:szCs w:val="22"/>
                <w:lang w:eastAsia="es-CO"/>
              </w:rPr>
            </w:pPr>
            <w:r w:rsidRPr="006C7758">
              <w:rPr>
                <w:rFonts w:ascii="Calibri" w:hAnsi="Calibri" w:cs="Calibri"/>
                <w:color w:val="000000"/>
                <w:sz w:val="18"/>
                <w:szCs w:val="22"/>
                <w:lang w:eastAsia="es-CO"/>
              </w:rPr>
              <w:t> </w:t>
            </w:r>
          </w:p>
        </w:tc>
        <w:tc>
          <w:tcPr>
            <w:tcW w:w="363" w:type="pct"/>
            <w:tcBorders>
              <w:top w:val="nil"/>
              <w:left w:val="nil"/>
              <w:bottom w:val="single" w:sz="4" w:space="0" w:color="auto"/>
              <w:right w:val="single" w:sz="4" w:space="0" w:color="auto"/>
            </w:tcBorders>
            <w:shd w:val="clear" w:color="auto" w:fill="auto"/>
            <w:noWrap/>
            <w:vAlign w:val="bottom"/>
            <w:hideMark/>
          </w:tcPr>
          <w:p w14:paraId="6903AFDD" w14:textId="77777777" w:rsidR="00B54F4E" w:rsidRPr="006C7758" w:rsidRDefault="00B54F4E" w:rsidP="006504C4">
            <w:pPr>
              <w:spacing w:before="0" w:after="0"/>
              <w:jc w:val="center"/>
              <w:rPr>
                <w:rFonts w:asciiTheme="minorHAnsi" w:hAnsiTheme="minorHAnsi" w:cstheme="minorHAnsi"/>
                <w:color w:val="000000"/>
                <w:sz w:val="18"/>
                <w:szCs w:val="18"/>
                <w:lang w:eastAsia="es-CO"/>
              </w:rPr>
            </w:pPr>
            <w:r w:rsidRPr="003F7F66">
              <w:rPr>
                <w:rFonts w:asciiTheme="minorHAnsi" w:hAnsiTheme="minorHAnsi" w:cstheme="minorHAnsi"/>
                <w:color w:val="000000"/>
                <w:sz w:val="18"/>
                <w:szCs w:val="18"/>
              </w:rPr>
              <w:t>13</w:t>
            </w:r>
          </w:p>
        </w:tc>
        <w:tc>
          <w:tcPr>
            <w:tcW w:w="624" w:type="pct"/>
            <w:tcBorders>
              <w:top w:val="nil"/>
              <w:left w:val="nil"/>
              <w:bottom w:val="single" w:sz="4" w:space="0" w:color="auto"/>
              <w:right w:val="nil"/>
            </w:tcBorders>
            <w:shd w:val="clear" w:color="auto" w:fill="auto"/>
            <w:noWrap/>
            <w:vAlign w:val="bottom"/>
            <w:hideMark/>
          </w:tcPr>
          <w:p w14:paraId="4D7E9457"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78</w:t>
            </w:r>
          </w:p>
        </w:tc>
        <w:tc>
          <w:tcPr>
            <w:tcW w:w="615" w:type="pct"/>
            <w:tcBorders>
              <w:top w:val="nil"/>
              <w:left w:val="nil"/>
              <w:bottom w:val="single" w:sz="4" w:space="0" w:color="auto"/>
              <w:right w:val="nil"/>
            </w:tcBorders>
            <w:shd w:val="clear" w:color="auto" w:fill="E7E6E6" w:themeFill="background2"/>
            <w:noWrap/>
            <w:vAlign w:val="bottom"/>
            <w:hideMark/>
          </w:tcPr>
          <w:p w14:paraId="0C0DAC65"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65</w:t>
            </w:r>
          </w:p>
        </w:tc>
        <w:tc>
          <w:tcPr>
            <w:tcW w:w="615" w:type="pct"/>
            <w:tcBorders>
              <w:top w:val="nil"/>
              <w:left w:val="nil"/>
              <w:bottom w:val="single" w:sz="4" w:space="0" w:color="auto"/>
              <w:right w:val="nil"/>
            </w:tcBorders>
            <w:shd w:val="clear" w:color="auto" w:fill="auto"/>
            <w:noWrap/>
            <w:vAlign w:val="bottom"/>
            <w:hideMark/>
          </w:tcPr>
          <w:p w14:paraId="039B498E"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38</w:t>
            </w:r>
          </w:p>
        </w:tc>
        <w:tc>
          <w:tcPr>
            <w:tcW w:w="615" w:type="pct"/>
            <w:tcBorders>
              <w:top w:val="nil"/>
              <w:left w:val="nil"/>
              <w:bottom w:val="single" w:sz="4" w:space="0" w:color="auto"/>
              <w:right w:val="nil"/>
            </w:tcBorders>
            <w:shd w:val="clear" w:color="auto" w:fill="auto"/>
            <w:noWrap/>
            <w:vAlign w:val="bottom"/>
            <w:hideMark/>
          </w:tcPr>
          <w:p w14:paraId="77617C2A"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12</w:t>
            </w:r>
          </w:p>
        </w:tc>
        <w:tc>
          <w:tcPr>
            <w:tcW w:w="615" w:type="pct"/>
            <w:tcBorders>
              <w:top w:val="nil"/>
              <w:left w:val="nil"/>
              <w:bottom w:val="single" w:sz="4" w:space="0" w:color="auto"/>
              <w:right w:val="nil"/>
            </w:tcBorders>
            <w:shd w:val="clear" w:color="auto" w:fill="auto"/>
            <w:noWrap/>
            <w:vAlign w:val="bottom"/>
            <w:hideMark/>
          </w:tcPr>
          <w:p w14:paraId="71E53E35"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-15</w:t>
            </w:r>
          </w:p>
        </w:tc>
        <w:tc>
          <w:tcPr>
            <w:tcW w:w="615" w:type="pct"/>
            <w:tcBorders>
              <w:top w:val="nil"/>
              <w:left w:val="nil"/>
              <w:bottom w:val="single" w:sz="4" w:space="0" w:color="auto"/>
              <w:right w:val="nil"/>
            </w:tcBorders>
            <w:shd w:val="clear" w:color="auto" w:fill="auto"/>
            <w:noWrap/>
            <w:vAlign w:val="bottom"/>
            <w:hideMark/>
          </w:tcPr>
          <w:p w14:paraId="02906747"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-41</w:t>
            </w:r>
          </w:p>
        </w:tc>
        <w:tc>
          <w:tcPr>
            <w:tcW w:w="477" w:type="pct"/>
            <w:tcBorders>
              <w:top w:val="nil"/>
              <w:left w:val="nil"/>
              <w:bottom w:val="single" w:sz="4" w:space="0" w:color="auto"/>
              <w:right w:val="single" w:sz="4" w:space="0" w:color="auto"/>
            </w:tcBorders>
            <w:shd w:val="clear" w:color="auto" w:fill="auto"/>
            <w:noWrap/>
            <w:vAlign w:val="bottom"/>
            <w:hideMark/>
          </w:tcPr>
          <w:p w14:paraId="78D6B12F" w14:textId="77777777" w:rsidR="00B54F4E" w:rsidRPr="008A1663" w:rsidRDefault="00B54F4E" w:rsidP="006504C4">
            <w:pPr>
              <w:spacing w:before="0" w:after="0" w:line="240" w:lineRule="atLeast"/>
              <w:jc w:val="center"/>
              <w:rPr>
                <w:rFonts w:ascii="Calibri" w:hAnsi="Calibri"/>
                <w:color w:val="000000"/>
                <w:sz w:val="18"/>
                <w:szCs w:val="18"/>
              </w:rPr>
            </w:pPr>
            <w:r w:rsidRPr="008A1663">
              <w:rPr>
                <w:rFonts w:ascii="Calibri" w:hAnsi="Calibri"/>
                <w:color w:val="000000"/>
                <w:sz w:val="18"/>
                <w:szCs w:val="18"/>
              </w:rPr>
              <w:t>-68</w:t>
            </w:r>
          </w:p>
        </w:tc>
      </w:tr>
    </w:tbl>
    <w:p w14:paraId="57A4CE0E" w14:textId="77777777" w:rsidR="00B54F4E" w:rsidRDefault="00B54F4E" w:rsidP="00B54F4E">
      <w:pPr>
        <w:rPr>
          <w:lang w:val="es-ES_tradnl"/>
        </w:rPr>
      </w:pPr>
      <w:r w:rsidRPr="00A816D1">
        <w:rPr>
          <w:lang w:val="es-ES_tradnl"/>
        </w:rPr>
        <w:t>Se anota con respecto a las sensibilidades anteriores que no es posible sensibilizar los flujos a variaciones en la demanda, debido a que se requeriría de la corrida de modelos de optimización como el SDDP utilizado por ETESA, lo cual se encuentra por fuera del alcance de la presente evaluación económica. Por ello se ha utilizado la información disponible de los mismos escenarios de ETESA y considerada relevante para los objetivos de la evaluación.</w:t>
      </w:r>
    </w:p>
    <w:p w14:paraId="6881D8E2" w14:textId="77777777" w:rsidR="00B54F4E" w:rsidRPr="00BA1F86" w:rsidRDefault="00B54F4E" w:rsidP="00B54F4E">
      <w:pPr>
        <w:pStyle w:val="Heading2"/>
        <w:spacing w:before="240" w:after="0"/>
      </w:pPr>
      <w:bookmarkStart w:id="64" w:name="_Ref480053949"/>
      <w:bookmarkStart w:id="65" w:name="_Toc484097025"/>
      <w:r>
        <w:t>Evaluación económica de las medidas tendientes al desarrollo del gas natural (GN) para generación eléctrica</w:t>
      </w:r>
      <w:bookmarkEnd w:id="64"/>
      <w:bookmarkEnd w:id="65"/>
    </w:p>
    <w:p w14:paraId="586A4239" w14:textId="77777777" w:rsidR="00B54F4E" w:rsidRDefault="00B54F4E" w:rsidP="00B54F4E">
      <w:r>
        <w:t>Los siguientes compromisos contribuyen al logro de los objetivos.</w:t>
      </w:r>
    </w:p>
    <w:p w14:paraId="7F7B62AA" w14:textId="77777777" w:rsidR="00B54F4E" w:rsidRDefault="00B54F4E" w:rsidP="00B54F4E">
      <w:pPr>
        <w:pStyle w:val="ListParagraph"/>
        <w:numPr>
          <w:ilvl w:val="0"/>
          <w:numId w:val="4"/>
        </w:numPr>
      </w:pPr>
      <w:r w:rsidRPr="007B4FB8">
        <w:t>Que el borrador de</w:t>
      </w:r>
      <w:r>
        <w:t xml:space="preserve"> la Nueva Ley de Gas Natural </w:t>
      </w:r>
      <w:r w:rsidRPr="007B4FB8">
        <w:t>haya sido formulado por la SNE.</w:t>
      </w:r>
    </w:p>
    <w:p w14:paraId="3B850B6B" w14:textId="77777777" w:rsidR="00B54F4E" w:rsidRDefault="00B54F4E" w:rsidP="00B54F4E">
      <w:pPr>
        <w:pStyle w:val="ListParagraph"/>
        <w:numPr>
          <w:ilvl w:val="0"/>
          <w:numId w:val="4"/>
        </w:numPr>
      </w:pPr>
      <w:r>
        <w:t>Que se hayan diseñado las bases regulatorias y legales para el desarrollo de los contratos de los terminales de importación de Gas Natural.</w:t>
      </w:r>
    </w:p>
    <w:p w14:paraId="7A13E4DB" w14:textId="77777777" w:rsidR="00B54F4E" w:rsidRPr="007B4FB8" w:rsidRDefault="00B54F4E" w:rsidP="00B54F4E">
      <w:pPr>
        <w:rPr>
          <w:b/>
        </w:rPr>
      </w:pPr>
      <w:r w:rsidRPr="007B4FB8">
        <w:rPr>
          <w:b/>
        </w:rPr>
        <w:t>Beneficios</w:t>
      </w:r>
    </w:p>
    <w:p w14:paraId="683F8F5B" w14:textId="77777777" w:rsidR="00B54F4E" w:rsidRDefault="00B54F4E" w:rsidP="00B54F4E">
      <w:r>
        <w:t xml:space="preserve">Actualmente la totalidad de la capacidad de generación térmica de Panamá utiliza carbón y combustibles líquidos derivados del petróleo. La introducción del GN se traduce en la </w:t>
      </w:r>
      <w:r>
        <w:lastRenderedPageBreak/>
        <w:t>diversificación de la matriz de generación eléctrica que, por un lado, supone menores precios de la energía eléctrica a razón de los precios más competitivos del GN, y adicionalmente, un menor impacto ambiental producto del menor factor de emisión de CO2 del GN frente a los combustibles líquidos y el carbón.</w:t>
      </w:r>
    </w:p>
    <w:p w14:paraId="696B822E" w14:textId="77777777" w:rsidR="00B54F4E" w:rsidRDefault="00B54F4E" w:rsidP="00B54F4E">
      <w:r>
        <w:t xml:space="preserve">Adicionalmente, la capacidad excedentaria de regasificación de GN podría comercializarse a otros sectores como el residencial. Sin embargo, se considera que este beneficio solo será percibido en el largo plazo y solo será cuantificable en la medida que se avance con la definición del marco de política y regulación en esta materia, para lo cual se espera que el GdP </w:t>
      </w:r>
      <w:r w:rsidRPr="005F30A8">
        <w:t xml:space="preserve">haya </w:t>
      </w:r>
      <w:r>
        <w:t>adelantado la preparación</w:t>
      </w:r>
      <w:r w:rsidRPr="005F30A8">
        <w:t xml:space="preserve"> </w:t>
      </w:r>
      <w:r>
        <w:t xml:space="preserve">de un </w:t>
      </w:r>
      <w:r w:rsidRPr="005F30A8">
        <w:t xml:space="preserve">Plan Maestro de </w:t>
      </w:r>
      <w:r>
        <w:t>D</w:t>
      </w:r>
      <w:r w:rsidRPr="005F30A8">
        <w:t xml:space="preserve">esarrollo de </w:t>
      </w:r>
      <w:r>
        <w:t>L</w:t>
      </w:r>
      <w:r w:rsidRPr="005F30A8">
        <w:t xml:space="preserve">argo </w:t>
      </w:r>
      <w:r>
        <w:t>P</w:t>
      </w:r>
      <w:r w:rsidRPr="005F30A8">
        <w:t>lazo del GN</w:t>
      </w:r>
      <w:r>
        <w:t xml:space="preserve">, a partir de la </w:t>
      </w:r>
      <w:r w:rsidRPr="009A3CA4">
        <w:t>aproba</w:t>
      </w:r>
      <w:r>
        <w:t>ción</w:t>
      </w:r>
      <w:r w:rsidRPr="009A3CA4">
        <w:t xml:space="preserve"> </w:t>
      </w:r>
      <w:r>
        <w:t>d</w:t>
      </w:r>
      <w:r w:rsidRPr="009A3CA4">
        <w:t>el marco regulatorio para el transporte y distribución de GN</w:t>
      </w:r>
      <w:r>
        <w:t>.</w:t>
      </w:r>
      <w:r w:rsidRPr="009A3CA4">
        <w:t xml:space="preserve"> que facilite el desarrollo de </w:t>
      </w:r>
      <w:r>
        <w:t>este mercado.</w:t>
      </w:r>
    </w:p>
    <w:p w14:paraId="5C6DFCAB" w14:textId="77777777" w:rsidR="00B54F4E" w:rsidRPr="00DC6354" w:rsidRDefault="00B54F4E" w:rsidP="00B54F4E">
      <w:pPr>
        <w:pStyle w:val="Heading3"/>
        <w:rPr>
          <w:lang w:val="es-ES"/>
        </w:rPr>
      </w:pPr>
      <w:bookmarkStart w:id="66" w:name="_Toc484097026"/>
      <w:r>
        <w:rPr>
          <w:lang w:val="es-ES"/>
        </w:rPr>
        <w:t>Supuestos y metodología</w:t>
      </w:r>
      <w:bookmarkEnd w:id="66"/>
    </w:p>
    <w:p w14:paraId="028323C9" w14:textId="77777777" w:rsidR="00B54F4E" w:rsidRDefault="00B54F4E" w:rsidP="00B54F4E">
      <w:pPr>
        <w:rPr>
          <w:lang w:val="es-ES"/>
        </w:rPr>
      </w:pPr>
      <w:r>
        <w:rPr>
          <w:lang w:val="es-ES"/>
        </w:rPr>
        <w:t>Como supuesto principal, se parte del diseño del mercado mayorista de Panamá basado en contratos de energía y potencia a largo plazo expuesto anteriormente.</w:t>
      </w:r>
    </w:p>
    <w:p w14:paraId="7C008C90" w14:textId="77777777" w:rsidR="00B54F4E" w:rsidRDefault="00B54F4E" w:rsidP="00B54F4E">
      <w:pPr>
        <w:rPr>
          <w:lang w:val="es-ES"/>
        </w:rPr>
      </w:pPr>
      <w:r>
        <w:rPr>
          <w:lang w:val="es-ES"/>
        </w:rPr>
        <w:t xml:space="preserve">Panamá ya ha avanzado en la definición de </w:t>
      </w:r>
      <w:r w:rsidRPr="000D5F69">
        <w:rPr>
          <w:lang w:val="es-ES"/>
        </w:rPr>
        <w:t>incentivos para el fomento de la construcción y explotación de</w:t>
      </w:r>
      <w:r>
        <w:rPr>
          <w:lang w:val="es-ES"/>
        </w:rPr>
        <w:t xml:space="preserve"> </w:t>
      </w:r>
      <w:r w:rsidRPr="000D5F69">
        <w:rPr>
          <w:lang w:val="es-ES"/>
        </w:rPr>
        <w:t>centrales de generación a base de gas natural destinadas a la prestación del servicio público de</w:t>
      </w:r>
      <w:r>
        <w:rPr>
          <w:lang w:val="es-ES"/>
        </w:rPr>
        <w:t xml:space="preserve"> </w:t>
      </w:r>
      <w:r w:rsidRPr="000D5F69">
        <w:rPr>
          <w:lang w:val="es-ES"/>
        </w:rPr>
        <w:t>electricidad</w:t>
      </w:r>
      <w:r>
        <w:rPr>
          <w:lang w:val="es-ES"/>
        </w:rPr>
        <w:t xml:space="preserve"> (Ley 41 de 2012). Producto de lo anterior, dos proyectos de generación térmica con GN resultaron ganadores de los procesos de contratación de suministro de potencia firme</w:t>
      </w:r>
      <w:r w:rsidRPr="0052233D">
        <w:rPr>
          <w:lang w:val="es-ES"/>
        </w:rPr>
        <w:t xml:space="preserve"> y </w:t>
      </w:r>
      <w:r>
        <w:rPr>
          <w:lang w:val="es-ES"/>
        </w:rPr>
        <w:t>energía</w:t>
      </w:r>
      <w:r w:rsidRPr="0052233D">
        <w:rPr>
          <w:lang w:val="es-ES"/>
        </w:rPr>
        <w:t xml:space="preserve"> exclusivo para centrales de generación termoeléctricas</w:t>
      </w:r>
      <w:r>
        <w:rPr>
          <w:lang w:val="es-ES"/>
        </w:rPr>
        <w:t xml:space="preserve"> que adelantó ETESA en 2015. En estos dos procesos, el GN resultó la oferta más económica de entre todas las propuestas que incluyeron alternativas de GLP, carbón y bunker.</w:t>
      </w:r>
    </w:p>
    <w:p w14:paraId="3C1D7982" w14:textId="77777777" w:rsidR="00B54F4E" w:rsidRDefault="00B54F4E" w:rsidP="00B54F4E">
      <w:pPr>
        <w:rPr>
          <w:lang w:val="es-ES"/>
        </w:rPr>
      </w:pPr>
      <w:r>
        <w:rPr>
          <w:lang w:val="es-ES"/>
        </w:rPr>
        <w:t>Debido a que los procesos de contratación son procesos públicos, las ofertas económicas de cada uno de los oferentes es conocido, por lo cual el beneficio económico por la introducción del GN para generación eléctrica se calcula como el c</w:t>
      </w:r>
      <w:r w:rsidRPr="00F90290">
        <w:rPr>
          <w:lang w:val="es-ES"/>
        </w:rPr>
        <w:t xml:space="preserve">osto evitado entre plantas </w:t>
      </w:r>
      <w:r>
        <w:rPr>
          <w:lang w:val="es-ES"/>
        </w:rPr>
        <w:t xml:space="preserve">térmicas </w:t>
      </w:r>
      <w:r w:rsidRPr="00F90290">
        <w:rPr>
          <w:lang w:val="es-ES"/>
        </w:rPr>
        <w:t>nuevas</w:t>
      </w:r>
      <w:r>
        <w:rPr>
          <w:lang w:val="es-ES"/>
        </w:rPr>
        <w:t xml:space="preserve"> con combustibles de generación alternos </w:t>
      </w:r>
      <w:r w:rsidRPr="00F90290">
        <w:rPr>
          <w:lang w:val="es-ES"/>
        </w:rPr>
        <w:t>(Planta GN Vs. alternativas No Gas)</w:t>
      </w:r>
      <w:r>
        <w:rPr>
          <w:lang w:val="es-ES"/>
        </w:rPr>
        <w:t>. Es conveniente anotar, que hasta el presente, la política de expansión en Panamá ha estado orientada a la realización de subastas de energía y potencia por fuentes energéticas, esto es, licitaciones para térmicas, solar fotovoltaica y eólica. Es de esperar que a futuro se den licitaciones donde compitan todas las tecnologías tal como se ha dado recientemente en Chile</w:t>
      </w:r>
      <w:r>
        <w:rPr>
          <w:rStyle w:val="FootnoteReference"/>
          <w:lang w:val="es-ES"/>
        </w:rPr>
        <w:footnoteReference w:id="13"/>
      </w:r>
      <w:r>
        <w:rPr>
          <w:lang w:val="es-ES"/>
        </w:rPr>
        <w:t>.</w:t>
      </w:r>
    </w:p>
    <w:p w14:paraId="51CB511C" w14:textId="77777777" w:rsidR="00B54F4E" w:rsidRPr="00125885" w:rsidRDefault="00B54F4E" w:rsidP="00B54F4E">
      <w:pPr>
        <w:rPr>
          <w:lang w:val="es-ES"/>
        </w:rPr>
      </w:pPr>
      <w:r w:rsidRPr="00125885">
        <w:rPr>
          <w:lang w:val="es-ES"/>
        </w:rPr>
        <w:t xml:space="preserve">Adicional al beneficio económico originado por el menor precio de la energía eléctrica, se </w:t>
      </w:r>
      <w:r>
        <w:rPr>
          <w:lang w:val="es-ES"/>
        </w:rPr>
        <w:t>considera el beneficio originado por las menores emisiones del GN frente a la alternativa no gas (considerando que ya sea el carbón o el bunker poseen un mayor factor de emisión de CO2). Para el efecto, se multiplica la diferencia entre las emisiones esperadas en un horizonte de 10 años a 15 años, entre la opción de generación de GN y la segunda mejor opción económica no gas,</w:t>
      </w:r>
      <w:r w:rsidRPr="00125885">
        <w:t xml:space="preserve"> </w:t>
      </w:r>
      <w:r w:rsidRPr="00125885">
        <w:rPr>
          <w:lang w:val="es-ES"/>
        </w:rPr>
        <w:t>multiplicada por el precio promedio de los Certificados de Reducción de Carbono (CRE) transados durante 2016.</w:t>
      </w:r>
    </w:p>
    <w:p w14:paraId="7FF373B0" w14:textId="77777777" w:rsidR="00B54F4E" w:rsidRDefault="00487C7A" w:rsidP="00B54F4E">
      <w:pPr>
        <w:spacing w:before="120" w:after="0"/>
        <w:jc w:val="center"/>
        <w:rPr>
          <w:lang w:val="es-ES"/>
        </w:rPr>
      </w:pPr>
      <m:oMath>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GN</m:t>
            </m:r>
          </m:sub>
        </m:sSub>
        <m:r>
          <w:rPr>
            <w:rFonts w:ascii="Cambria Math" w:hAnsi="Cambria Math" w:cs="Arial"/>
            <w:sz w:val="24"/>
            <w:szCs w:val="28"/>
            <w:lang w:val="es-ES"/>
          </w:rPr>
          <m:t>=</m:t>
        </m:r>
        <m:d>
          <m:dPr>
            <m:ctrlPr>
              <w:rPr>
                <w:rFonts w:ascii="Cambria Math" w:hAnsi="Cambria Math" w:cs="Arial"/>
                <w:i/>
                <w:sz w:val="24"/>
                <w:szCs w:val="28"/>
                <w:lang w:val="es-ES"/>
              </w:rPr>
            </m:ctrlPr>
          </m:dPr>
          <m:e>
            <m:sSub>
              <m:sSubPr>
                <m:ctrlPr>
                  <w:rPr>
                    <w:rFonts w:ascii="Cambria Math" w:hAnsi="Cambria Math" w:cs="Arial"/>
                    <w:i/>
                    <w:sz w:val="24"/>
                    <w:szCs w:val="28"/>
                    <w:lang w:val="es-ES"/>
                  </w:rPr>
                </m:ctrlPr>
              </m:sSubPr>
              <m:e>
                <m:r>
                  <w:rPr>
                    <w:rFonts w:ascii="Cambria Math" w:hAnsi="Cambria Math" w:cs="Arial"/>
                    <w:sz w:val="24"/>
                    <w:szCs w:val="28"/>
                    <w:lang w:val="es-ES"/>
                  </w:rPr>
                  <m:t>P</m:t>
                </m:r>
              </m:e>
              <m:sub>
                <m:r>
                  <w:rPr>
                    <w:rFonts w:ascii="Cambria Math" w:hAnsi="Cambria Math" w:cs="Arial"/>
                    <w:sz w:val="24"/>
                    <w:szCs w:val="28"/>
                    <w:lang w:val="es-ES"/>
                  </w:rPr>
                  <m:t>GN</m:t>
                </m:r>
              </m:sub>
            </m:sSub>
            <m:r>
              <w:rPr>
                <w:rFonts w:ascii="Cambria Math" w:hAnsi="Cambria Math" w:cs="Arial"/>
                <w:sz w:val="24"/>
                <w:szCs w:val="28"/>
                <w:lang w:val="es-ES"/>
              </w:rPr>
              <m:t>×</m:t>
            </m:r>
            <m:sSub>
              <m:sSubPr>
                <m:ctrlPr>
                  <w:rPr>
                    <w:rFonts w:ascii="Cambria Math" w:hAnsi="Cambria Math" w:cs="Arial"/>
                    <w:i/>
                    <w:sz w:val="24"/>
                    <w:szCs w:val="28"/>
                    <w:lang w:val="es-ES"/>
                  </w:rPr>
                </m:ctrlPr>
              </m:sSubPr>
              <m:e>
                <m:r>
                  <w:rPr>
                    <w:rFonts w:ascii="Cambria Math" w:hAnsi="Cambria Math" w:cs="Arial"/>
                    <w:sz w:val="24"/>
                    <w:szCs w:val="28"/>
                    <w:lang w:val="es-ES"/>
                  </w:rPr>
                  <m:t>E</m:t>
                </m:r>
              </m:e>
              <m:sub>
                <m:r>
                  <w:rPr>
                    <w:rFonts w:ascii="Cambria Math" w:hAnsi="Cambria Math" w:cs="Arial"/>
                    <w:sz w:val="24"/>
                    <w:szCs w:val="28"/>
                    <w:lang w:val="es-ES"/>
                  </w:rPr>
                  <m:t>GN</m:t>
                </m:r>
              </m:sub>
            </m:sSub>
          </m:e>
        </m:d>
        <m:r>
          <w:rPr>
            <w:rFonts w:ascii="Cambria Math" w:hAnsi="Cambria Math" w:cs="Arial"/>
            <w:sz w:val="24"/>
            <w:szCs w:val="28"/>
            <w:lang w:val="es-ES"/>
          </w:rPr>
          <m:t>-</m:t>
        </m:r>
        <m:d>
          <m:dPr>
            <m:ctrlPr>
              <w:rPr>
                <w:rFonts w:ascii="Cambria Math" w:hAnsi="Cambria Math" w:cs="Arial"/>
                <w:i/>
                <w:sz w:val="24"/>
                <w:szCs w:val="28"/>
                <w:lang w:val="es-ES"/>
              </w:rPr>
            </m:ctrlPr>
          </m:dPr>
          <m:e>
            <m:sSub>
              <m:sSubPr>
                <m:ctrlPr>
                  <w:rPr>
                    <w:rFonts w:ascii="Cambria Math" w:hAnsi="Cambria Math" w:cs="Arial"/>
                    <w:i/>
                    <w:sz w:val="24"/>
                    <w:szCs w:val="28"/>
                    <w:lang w:val="es-ES"/>
                  </w:rPr>
                </m:ctrlPr>
              </m:sSubPr>
              <m:e>
                <m:r>
                  <w:rPr>
                    <w:rFonts w:ascii="Cambria Math" w:hAnsi="Cambria Math" w:cs="Arial"/>
                    <w:sz w:val="24"/>
                    <w:szCs w:val="28"/>
                    <w:lang w:val="es-ES"/>
                  </w:rPr>
                  <m:t>P</m:t>
                </m:r>
              </m:e>
              <m:sub>
                <m:r>
                  <w:rPr>
                    <w:rFonts w:ascii="Cambria Math" w:hAnsi="Cambria Math" w:cs="Arial"/>
                    <w:sz w:val="24"/>
                    <w:szCs w:val="28"/>
                    <w:lang w:val="es-ES"/>
                  </w:rPr>
                  <m:t>NG</m:t>
                </m:r>
              </m:sub>
            </m:sSub>
            <m:r>
              <w:rPr>
                <w:rFonts w:ascii="Cambria Math" w:hAnsi="Cambria Math" w:cs="Arial"/>
                <w:sz w:val="24"/>
                <w:szCs w:val="28"/>
                <w:lang w:val="es-ES"/>
              </w:rPr>
              <m:t>×</m:t>
            </m:r>
            <m:sSub>
              <m:sSubPr>
                <m:ctrlPr>
                  <w:rPr>
                    <w:rFonts w:ascii="Cambria Math" w:hAnsi="Cambria Math" w:cs="Arial"/>
                    <w:i/>
                    <w:sz w:val="24"/>
                    <w:szCs w:val="28"/>
                    <w:lang w:val="es-ES"/>
                  </w:rPr>
                </m:ctrlPr>
              </m:sSubPr>
              <m:e>
                <m:r>
                  <w:rPr>
                    <w:rFonts w:ascii="Cambria Math" w:hAnsi="Cambria Math" w:cs="Arial"/>
                    <w:sz w:val="24"/>
                    <w:szCs w:val="28"/>
                    <w:lang w:val="es-ES"/>
                  </w:rPr>
                  <m:t>E</m:t>
                </m:r>
              </m:e>
              <m:sub>
                <m:r>
                  <w:rPr>
                    <w:rFonts w:ascii="Cambria Math" w:hAnsi="Cambria Math" w:cs="Arial"/>
                    <w:sz w:val="24"/>
                    <w:szCs w:val="28"/>
                    <w:lang w:val="es-ES"/>
                  </w:rPr>
                  <m:t>GN</m:t>
                </m:r>
              </m:sub>
            </m:sSub>
          </m:e>
        </m:d>
      </m:oMath>
      <w:r w:rsidR="00B54F4E">
        <w:rPr>
          <w:sz w:val="24"/>
          <w:szCs w:val="28"/>
          <w:lang w:val="es-ES"/>
        </w:rPr>
        <w:t>+</w:t>
      </w:r>
      <m:oMath>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A</m:t>
            </m:r>
          </m:sub>
        </m:sSub>
      </m:oMath>
    </w:p>
    <w:p w14:paraId="39AA22F2" w14:textId="77777777" w:rsidR="00B54F4E" w:rsidRDefault="00B54F4E" w:rsidP="00B54F4E">
      <w:pPr>
        <w:spacing w:before="0" w:after="160" w:line="259" w:lineRule="auto"/>
        <w:rPr>
          <w:lang w:val="es-ES"/>
        </w:rPr>
      </w:pPr>
      <w:r>
        <w:rPr>
          <w:lang w:val="es-ES"/>
        </w:rPr>
        <w:t>Donde:</w:t>
      </w:r>
    </w:p>
    <w:p w14:paraId="4F0B6911" w14:textId="77777777" w:rsidR="00B54F4E" w:rsidRDefault="00487C7A" w:rsidP="00B54F4E">
      <w:pPr>
        <w:spacing w:before="0" w:after="160" w:line="259" w:lineRule="auto"/>
        <w:rPr>
          <w:lang w:val="es-ES"/>
        </w:rPr>
      </w:pPr>
      <m:oMath>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GN</m:t>
            </m:r>
          </m:sub>
        </m:sSub>
      </m:oMath>
      <w:r w:rsidR="00B54F4E">
        <w:rPr>
          <w:lang w:val="es-ES"/>
        </w:rPr>
        <w:tab/>
      </w:r>
      <w:r w:rsidR="00B54F4E">
        <w:rPr>
          <w:lang w:val="es-ES"/>
        </w:rPr>
        <w:tab/>
        <w:t>Es el beneficio neto asociado con la introducción de GN a la matriz eléctrica</w:t>
      </w:r>
    </w:p>
    <w:p w14:paraId="03CA9223" w14:textId="77777777" w:rsidR="00B54F4E" w:rsidRDefault="00487C7A" w:rsidP="00B54F4E">
      <w:pPr>
        <w:spacing w:before="0" w:after="160" w:line="259" w:lineRule="auto"/>
        <w:rPr>
          <w:lang w:val="es-ES"/>
        </w:rPr>
      </w:pPr>
      <m:oMath>
        <m:sSub>
          <m:sSubPr>
            <m:ctrlPr>
              <w:rPr>
                <w:rFonts w:ascii="Cambria Math" w:hAnsi="Cambria Math" w:cs="Arial"/>
                <w:i/>
                <w:sz w:val="24"/>
                <w:szCs w:val="28"/>
                <w:lang w:val="es-ES"/>
              </w:rPr>
            </m:ctrlPr>
          </m:sSubPr>
          <m:e>
            <m:r>
              <w:rPr>
                <w:rFonts w:ascii="Cambria Math" w:hAnsi="Cambria Math" w:cs="Arial"/>
                <w:sz w:val="24"/>
                <w:szCs w:val="28"/>
                <w:lang w:val="es-ES"/>
              </w:rPr>
              <m:t>P</m:t>
            </m:r>
          </m:e>
          <m:sub>
            <m:r>
              <w:rPr>
                <w:rFonts w:ascii="Cambria Math" w:hAnsi="Cambria Math" w:cs="Arial"/>
                <w:sz w:val="24"/>
                <w:szCs w:val="28"/>
                <w:lang w:val="es-ES"/>
              </w:rPr>
              <m:t>GN</m:t>
            </m:r>
          </m:sub>
        </m:sSub>
      </m:oMath>
      <w:r w:rsidR="00B54F4E">
        <w:rPr>
          <w:lang w:val="es-ES"/>
        </w:rPr>
        <w:tab/>
      </w:r>
      <w:r w:rsidR="00B54F4E">
        <w:rPr>
          <w:lang w:val="es-ES"/>
        </w:rPr>
        <w:tab/>
        <w:t>Es el precio de la energía ofertado por la opción ganadora con GN ($/MWh)</w:t>
      </w:r>
    </w:p>
    <w:p w14:paraId="0D54FDD8" w14:textId="77777777" w:rsidR="00B54F4E" w:rsidRDefault="00487C7A" w:rsidP="00B54F4E">
      <w:pPr>
        <w:spacing w:before="0" w:after="160" w:line="259" w:lineRule="auto"/>
        <w:rPr>
          <w:lang w:val="es-ES"/>
        </w:rPr>
      </w:pPr>
      <m:oMath>
        <m:sSub>
          <m:sSubPr>
            <m:ctrlPr>
              <w:rPr>
                <w:rFonts w:ascii="Cambria Math" w:hAnsi="Cambria Math" w:cs="Arial"/>
                <w:i/>
                <w:sz w:val="24"/>
                <w:szCs w:val="28"/>
                <w:lang w:val="es-ES"/>
              </w:rPr>
            </m:ctrlPr>
          </m:sSubPr>
          <m:e>
            <m:r>
              <w:rPr>
                <w:rFonts w:ascii="Cambria Math" w:hAnsi="Cambria Math" w:cs="Arial"/>
                <w:sz w:val="24"/>
                <w:szCs w:val="28"/>
                <w:lang w:val="es-ES"/>
              </w:rPr>
              <m:t>E</m:t>
            </m:r>
          </m:e>
          <m:sub>
            <m:r>
              <w:rPr>
                <w:rFonts w:ascii="Cambria Math" w:hAnsi="Cambria Math" w:cs="Arial"/>
                <w:sz w:val="24"/>
                <w:szCs w:val="28"/>
                <w:lang w:val="es-ES"/>
              </w:rPr>
              <m:t>GN</m:t>
            </m:r>
          </m:sub>
        </m:sSub>
      </m:oMath>
      <w:r w:rsidR="00B54F4E">
        <w:rPr>
          <w:lang w:val="es-ES"/>
        </w:rPr>
        <w:tab/>
      </w:r>
      <w:r w:rsidR="00B54F4E">
        <w:rPr>
          <w:lang w:val="es-ES"/>
        </w:rPr>
        <w:tab/>
        <w:t xml:space="preserve">Es la </w:t>
      </w:r>
      <w:r w:rsidR="00B54F4E" w:rsidRPr="00BD6397">
        <w:rPr>
          <w:lang w:val="es-ES"/>
        </w:rPr>
        <w:t>energía ofertada</w:t>
      </w:r>
      <w:r w:rsidR="00B54F4E">
        <w:rPr>
          <w:lang w:val="es-ES"/>
        </w:rPr>
        <w:t xml:space="preserve"> por la opción ganadora con GN durante 10 años</w:t>
      </w:r>
    </w:p>
    <w:p w14:paraId="109AF2A1" w14:textId="77777777" w:rsidR="00B54F4E" w:rsidRDefault="00487C7A" w:rsidP="00B54F4E">
      <w:pPr>
        <w:spacing w:before="0" w:after="160" w:line="259" w:lineRule="auto"/>
        <w:rPr>
          <w:lang w:val="es-ES"/>
        </w:rPr>
      </w:pPr>
      <m:oMath>
        <m:sSub>
          <m:sSubPr>
            <m:ctrlPr>
              <w:rPr>
                <w:rFonts w:ascii="Cambria Math" w:hAnsi="Cambria Math" w:cs="Arial"/>
                <w:i/>
                <w:sz w:val="24"/>
                <w:szCs w:val="28"/>
                <w:lang w:val="es-ES"/>
              </w:rPr>
            </m:ctrlPr>
          </m:sSubPr>
          <m:e>
            <m:r>
              <w:rPr>
                <w:rFonts w:ascii="Cambria Math" w:hAnsi="Cambria Math" w:cs="Arial"/>
                <w:sz w:val="24"/>
                <w:szCs w:val="28"/>
                <w:lang w:val="es-ES"/>
              </w:rPr>
              <m:t>P</m:t>
            </m:r>
          </m:e>
          <m:sub>
            <m:r>
              <w:rPr>
                <w:rFonts w:ascii="Cambria Math" w:hAnsi="Cambria Math" w:cs="Arial"/>
                <w:sz w:val="24"/>
                <w:szCs w:val="28"/>
                <w:lang w:val="es-ES"/>
              </w:rPr>
              <m:t>NG</m:t>
            </m:r>
          </m:sub>
        </m:sSub>
      </m:oMath>
      <w:r w:rsidR="00B54F4E">
        <w:rPr>
          <w:lang w:val="es-ES"/>
        </w:rPr>
        <w:tab/>
      </w:r>
      <w:r w:rsidR="00B54F4E">
        <w:rPr>
          <w:lang w:val="es-ES"/>
        </w:rPr>
        <w:tab/>
        <w:t>Es el precio de la energía ofertado por la mejor opción no gas ($/MWh)</w:t>
      </w:r>
    </w:p>
    <w:p w14:paraId="235AD5F1" w14:textId="77777777" w:rsidR="00B54F4E" w:rsidRDefault="00487C7A" w:rsidP="00B54F4E">
      <w:pPr>
        <w:spacing w:before="0" w:after="160" w:line="259" w:lineRule="auto"/>
        <w:ind w:left="1418" w:hanging="1418"/>
        <w:rPr>
          <w:lang w:val="es-ES"/>
        </w:rPr>
      </w:pPr>
      <m:oMath>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A</m:t>
            </m:r>
          </m:sub>
        </m:sSub>
      </m:oMath>
      <w:r w:rsidR="00B54F4E">
        <w:rPr>
          <w:lang w:val="es-ES"/>
        </w:rPr>
        <w:tab/>
      </w:r>
      <w:r w:rsidR="00B54F4E">
        <w:rPr>
          <w:lang w:val="es-ES"/>
        </w:rPr>
        <w:tab/>
        <w:t>Es el beneficio ambiental medido como el diferencial en el factor de emisión del combustible utilizado en la solución no gas y la solución GN, multiplicado por la energía ofertada y valorado al precio de los CRE</w:t>
      </w:r>
    </w:p>
    <w:p w14:paraId="6ECE5504" w14:textId="77777777" w:rsidR="00B54F4E" w:rsidRDefault="00B54F4E" w:rsidP="00B54F4E">
      <w:pPr>
        <w:rPr>
          <w:lang w:val="es-ES"/>
        </w:rPr>
      </w:pPr>
      <w:r>
        <w:rPr>
          <w:lang w:val="es-ES"/>
        </w:rPr>
        <w:t>La fórmula anterior es aplicada para ambas convocatorias de ETESA. Esta metodología permite realizar el análisis económico con precios de mercado.</w:t>
      </w:r>
    </w:p>
    <w:p w14:paraId="7CA06BD1" w14:textId="77777777" w:rsidR="00B54F4E" w:rsidRDefault="00B54F4E" w:rsidP="00B54F4E">
      <w:pPr>
        <w:ind w:left="720"/>
        <w:jc w:val="center"/>
        <w:rPr>
          <w:b/>
        </w:rPr>
      </w:pPr>
      <w:bookmarkStart w:id="67" w:name="_Toc484097082"/>
      <w:r>
        <w:rPr>
          <w:b/>
        </w:rPr>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7</w:t>
      </w:r>
      <w:r>
        <w:rPr>
          <w:b/>
        </w:rPr>
        <w:fldChar w:fldCharType="end"/>
      </w:r>
      <w:r>
        <w:rPr>
          <w:b/>
          <w:bCs/>
        </w:rPr>
        <w:t xml:space="preserve"> </w:t>
      </w:r>
      <w:r>
        <w:rPr>
          <w:b/>
        </w:rPr>
        <w:t xml:space="preserve">– </w:t>
      </w:r>
      <w:r w:rsidRPr="007A3577">
        <w:rPr>
          <w:b/>
        </w:rPr>
        <w:t>Ejemplo del valor ofertado por la solución de generación con GN frente a la mejor alternativa de generación No Gas</w:t>
      </w:r>
      <w:bookmarkEnd w:id="67"/>
    </w:p>
    <w:p w14:paraId="31552A63" w14:textId="77777777" w:rsidR="00B54F4E" w:rsidRDefault="00B54F4E" w:rsidP="00B54F4E">
      <w:pPr>
        <w:jc w:val="center"/>
      </w:pPr>
      <w:r>
        <w:rPr>
          <w:noProof/>
          <w:lang w:val="en-US"/>
        </w:rPr>
        <w:drawing>
          <wp:inline distT="0" distB="0" distL="0" distR="0" wp14:anchorId="6DEC4C73" wp14:editId="1D3DBD75">
            <wp:extent cx="2922519" cy="22860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947505" cy="2305544"/>
                    </a:xfrm>
                    <a:prstGeom prst="rect">
                      <a:avLst/>
                    </a:prstGeom>
                  </pic:spPr>
                </pic:pic>
              </a:graphicData>
            </a:graphic>
          </wp:inline>
        </w:drawing>
      </w:r>
    </w:p>
    <w:p w14:paraId="2B47DC60" w14:textId="77777777" w:rsidR="00B54F4E" w:rsidRPr="00795F1D" w:rsidRDefault="00B54F4E" w:rsidP="00B54F4E">
      <w:pPr>
        <w:spacing w:before="0" w:after="0"/>
        <w:jc w:val="center"/>
        <w:rPr>
          <w:sz w:val="18"/>
          <w:lang w:val="es-ES"/>
        </w:rPr>
      </w:pPr>
      <w:r w:rsidRPr="00795F1D">
        <w:rPr>
          <w:sz w:val="18"/>
          <w:lang w:val="es-ES"/>
        </w:rPr>
        <w:t xml:space="preserve">Fuente: Ilustración elaborada por el Consultor. </w:t>
      </w:r>
    </w:p>
    <w:p w14:paraId="7EDE227E" w14:textId="77777777" w:rsidR="00B54F4E" w:rsidRPr="00795F1D" w:rsidRDefault="00B54F4E" w:rsidP="00B54F4E">
      <w:pPr>
        <w:spacing w:before="0" w:after="0"/>
        <w:jc w:val="center"/>
        <w:rPr>
          <w:sz w:val="18"/>
          <w:lang w:val="es-ES"/>
        </w:rPr>
      </w:pPr>
      <w:r w:rsidRPr="00795F1D">
        <w:rPr>
          <w:sz w:val="18"/>
          <w:lang w:val="es-ES"/>
        </w:rPr>
        <w:t>Soluciones No Gas incluye carbón mineral y Bunker C</w:t>
      </w:r>
    </w:p>
    <w:p w14:paraId="2ADE30E3" w14:textId="77777777" w:rsidR="00B54F4E" w:rsidRPr="00CD70D2" w:rsidRDefault="00B54F4E" w:rsidP="00B54F4E">
      <w:pPr>
        <w:rPr>
          <w:b/>
          <w:lang w:val="es-ES"/>
        </w:rPr>
      </w:pPr>
      <w:r w:rsidRPr="00CD70D2">
        <w:rPr>
          <w:b/>
          <w:lang w:val="es-ES"/>
        </w:rPr>
        <w:t>Análisis de sensibilidad</w:t>
      </w:r>
    </w:p>
    <w:p w14:paraId="29064AB6" w14:textId="77777777" w:rsidR="00B54F4E" w:rsidRDefault="00B54F4E" w:rsidP="00B54F4E">
      <w:pPr>
        <w:rPr>
          <w:lang w:val="es-ES"/>
        </w:rPr>
      </w:pPr>
      <w:r w:rsidRPr="002E6E08">
        <w:rPr>
          <w:lang w:val="es-ES"/>
        </w:rPr>
        <w:t xml:space="preserve">Dado que no se dispone de los flujos de caja parametrizados </w:t>
      </w:r>
      <w:r>
        <w:rPr>
          <w:lang w:val="es-ES"/>
        </w:rPr>
        <w:t>(costos de inversión, precios de combustibles, etc.), no es posible</w:t>
      </w:r>
      <w:r w:rsidRPr="002E6E08">
        <w:rPr>
          <w:lang w:val="es-ES"/>
        </w:rPr>
        <w:t xml:space="preserve"> rea</w:t>
      </w:r>
      <w:r>
        <w:rPr>
          <w:lang w:val="es-ES"/>
        </w:rPr>
        <w:t>lizar un análisis de sensibilidad a estas variables.</w:t>
      </w:r>
    </w:p>
    <w:p w14:paraId="716CDE36" w14:textId="77777777" w:rsidR="00B54F4E" w:rsidRPr="00B621BC" w:rsidRDefault="00B54F4E" w:rsidP="00B54F4E">
      <w:pPr>
        <w:pStyle w:val="Heading3"/>
        <w:spacing w:before="240" w:after="120"/>
      </w:pPr>
      <w:bookmarkStart w:id="68" w:name="_Toc484097027"/>
      <w:r w:rsidRPr="00943E5E">
        <w:rPr>
          <w:lang w:val="es-ES"/>
        </w:rPr>
        <w:t>Beneficios</w:t>
      </w:r>
      <w:r w:rsidRPr="00B621BC">
        <w:t xml:space="preserve"> </w:t>
      </w:r>
      <w:r>
        <w:t xml:space="preserve">netos </w:t>
      </w:r>
      <w:r w:rsidRPr="004B1357">
        <w:t>de</w:t>
      </w:r>
      <w:r>
        <w:t>l</w:t>
      </w:r>
      <w:r w:rsidRPr="004B1357">
        <w:t xml:space="preserve"> </w:t>
      </w:r>
      <w:r>
        <w:t>desarrollo del gas natural (GN) para generación eléctrica</w:t>
      </w:r>
      <w:bookmarkEnd w:id="68"/>
    </w:p>
    <w:p w14:paraId="7895C35C" w14:textId="77777777" w:rsidR="00B54F4E" w:rsidRDefault="00B54F4E" w:rsidP="00B54F4E">
      <w:pPr>
        <w:rPr>
          <w:lang w:val="es-ES"/>
        </w:rPr>
      </w:pPr>
      <w:r>
        <w:rPr>
          <w:lang w:val="es-ES"/>
        </w:rPr>
        <w:t>Los dos procesos de contratación de suministro de potencia firme</w:t>
      </w:r>
      <w:r w:rsidRPr="0052233D">
        <w:rPr>
          <w:lang w:val="es-ES"/>
        </w:rPr>
        <w:t xml:space="preserve"> y </w:t>
      </w:r>
      <w:r>
        <w:rPr>
          <w:lang w:val="es-ES"/>
        </w:rPr>
        <w:t>energía</w:t>
      </w:r>
      <w:r w:rsidRPr="0052233D">
        <w:rPr>
          <w:lang w:val="es-ES"/>
        </w:rPr>
        <w:t xml:space="preserve"> exclusivo para centrales de generación termoeléctricas</w:t>
      </w:r>
      <w:r>
        <w:rPr>
          <w:lang w:val="es-ES"/>
        </w:rPr>
        <w:t xml:space="preserve"> que adelantó ETESA en 2015 resultaron en la contratación de capacidad de generación con GN, al ser la opción más económica de entre todas las propuestas. La Tabla 10 resume los principales resultados de ambas convocatorias, comparando el costo de la energía (US$/MWh) de los proyectos de GN ganadores contra los costos de la mejor la mejor alternativa de generación con combustible no gas (que en ambos casos resulta ser generación a base de carbón).</w:t>
      </w:r>
      <w:bookmarkStart w:id="69" w:name="_Ref481312452"/>
      <w:bookmarkStart w:id="70" w:name="_Toc484097050"/>
      <w:r>
        <w:rPr>
          <w:lang w:val="es-ES"/>
        </w:rPr>
        <w:t xml:space="preserve"> </w:t>
      </w:r>
      <w:r w:rsidRPr="00DC1B72">
        <w:rPr>
          <w:lang w:val="es-ES"/>
        </w:rPr>
        <w:t>Par</w:t>
      </w:r>
      <w:r>
        <w:rPr>
          <w:lang w:val="es-ES"/>
        </w:rPr>
        <w:t xml:space="preserve">a la evaluación del beneficio económico en VPN, se proyectó la energía contratada prorrateada durante los años de duración de cada contrato. Se asume que la alternativa de generación térmica no </w:t>
      </w:r>
      <w:r>
        <w:rPr>
          <w:lang w:val="es-ES"/>
        </w:rPr>
        <w:lastRenderedPageBreak/>
        <w:t xml:space="preserve">gas está en capacidad de suministrar la misma cantidad de energía contratada con GN. La </w:t>
      </w:r>
      <w:r>
        <w:rPr>
          <w:lang w:val="es-ES"/>
        </w:rPr>
        <w:fldChar w:fldCharType="begin"/>
      </w:r>
      <w:r>
        <w:rPr>
          <w:lang w:val="es-ES"/>
        </w:rPr>
        <w:instrText xml:space="preserve"> REF _Ref481313224 \h </w:instrText>
      </w:r>
      <w:r>
        <w:rPr>
          <w:lang w:val="es-ES"/>
        </w:rPr>
      </w:r>
      <w:r>
        <w:rPr>
          <w:lang w:val="es-ES"/>
        </w:rPr>
        <w:fldChar w:fldCharType="separate"/>
      </w:r>
      <w:r w:rsidRPr="008C12BC">
        <w:rPr>
          <w:b/>
        </w:rPr>
        <w:t xml:space="preserve">Tabla </w:t>
      </w:r>
      <w:r>
        <w:rPr>
          <w:b/>
          <w:noProof/>
        </w:rPr>
        <w:t>11</w:t>
      </w:r>
      <w:r>
        <w:rPr>
          <w:lang w:val="es-ES"/>
        </w:rPr>
        <w:fldChar w:fldCharType="end"/>
      </w:r>
      <w:r>
        <w:rPr>
          <w:lang w:val="es-ES"/>
        </w:rPr>
        <w:t xml:space="preserve"> resume los principales flujos proyectados.</w:t>
      </w:r>
    </w:p>
    <w:p w14:paraId="2474A978" w14:textId="77777777" w:rsidR="00B54F4E" w:rsidRDefault="00B54F4E" w:rsidP="00B54F4E">
      <w:pPr>
        <w:rPr>
          <w:lang w:val="es-ES"/>
        </w:rPr>
      </w:pPr>
      <w:r w:rsidRPr="002C341E">
        <w:rPr>
          <w:lang w:val="es-ES"/>
        </w:rPr>
        <w:t xml:space="preserve">La </w:t>
      </w:r>
      <w:r>
        <w:rPr>
          <w:lang w:val="es-ES"/>
        </w:rPr>
        <w:t xml:space="preserve">presenta </w:t>
      </w:r>
      <w:r>
        <w:rPr>
          <w:lang w:val="es-ES"/>
        </w:rPr>
        <w:fldChar w:fldCharType="begin"/>
      </w:r>
      <w:r>
        <w:rPr>
          <w:lang w:val="es-ES"/>
        </w:rPr>
        <w:instrText xml:space="preserve"> REF _Ref481313404 \h </w:instrText>
      </w:r>
      <w:r>
        <w:rPr>
          <w:lang w:val="es-ES"/>
        </w:rPr>
      </w:r>
      <w:r>
        <w:rPr>
          <w:lang w:val="es-ES"/>
        </w:rPr>
        <w:fldChar w:fldCharType="separate"/>
      </w:r>
      <w:r w:rsidRPr="008C12BC">
        <w:rPr>
          <w:b/>
        </w:rPr>
        <w:t xml:space="preserve">Tabla </w:t>
      </w:r>
      <w:r>
        <w:rPr>
          <w:b/>
          <w:noProof/>
        </w:rPr>
        <w:t>12</w:t>
      </w:r>
      <w:r>
        <w:rPr>
          <w:lang w:val="es-ES"/>
        </w:rPr>
        <w:fldChar w:fldCharType="end"/>
      </w:r>
      <w:r>
        <w:rPr>
          <w:lang w:val="es-ES"/>
        </w:rPr>
        <w:t xml:space="preserve"> las emisiones de CO2 proyectadas según alternativa bajo los mismos supuestos de valoración de las emisiones de carbono ya explicadas para el análisis de las energías renovables.</w:t>
      </w:r>
    </w:p>
    <w:p w14:paraId="2A961C9D" w14:textId="77777777" w:rsidR="00B54F4E" w:rsidRPr="006C4E72" w:rsidRDefault="00B54F4E" w:rsidP="00B54F4E">
      <w:pPr>
        <w:ind w:left="720"/>
        <w:jc w:val="center"/>
        <w:rPr>
          <w:b/>
        </w:rPr>
      </w:pPr>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10</w:t>
      </w:r>
      <w:r w:rsidRPr="008C12BC">
        <w:rPr>
          <w:b/>
        </w:rPr>
        <w:fldChar w:fldCharType="end"/>
      </w:r>
      <w:bookmarkEnd w:id="69"/>
      <w:r>
        <w:rPr>
          <w:b/>
        </w:rPr>
        <w:t xml:space="preserve"> – Resumen del resultado de </w:t>
      </w:r>
      <w:r w:rsidRPr="004C0CF5">
        <w:rPr>
          <w:b/>
        </w:rPr>
        <w:t>procesos de contratación de suministro exclusivo para centrales termoeléctricas</w:t>
      </w:r>
      <w:r>
        <w:rPr>
          <w:b/>
        </w:rPr>
        <w:t xml:space="preserve"> 2015</w:t>
      </w:r>
      <w:bookmarkEnd w:id="70"/>
    </w:p>
    <w:tbl>
      <w:tblPr>
        <w:tblW w:w="4992" w:type="pct"/>
        <w:tblCellMar>
          <w:left w:w="70" w:type="dxa"/>
          <w:right w:w="70" w:type="dxa"/>
        </w:tblCellMar>
        <w:tblLook w:val="04A0" w:firstRow="1" w:lastRow="0" w:firstColumn="1" w:lastColumn="0" w:noHBand="0" w:noVBand="1"/>
      </w:tblPr>
      <w:tblGrid>
        <w:gridCol w:w="7263"/>
        <w:gridCol w:w="1556"/>
      </w:tblGrid>
      <w:tr w:rsidR="00B54F4E" w:rsidRPr="006D123F" w14:paraId="459B6711" w14:textId="77777777" w:rsidTr="006504C4">
        <w:trPr>
          <w:trHeight w:val="261"/>
        </w:trPr>
        <w:tc>
          <w:tcPr>
            <w:tcW w:w="4118" w:type="pct"/>
            <w:tcBorders>
              <w:top w:val="single" w:sz="4" w:space="0" w:color="FFFFFF"/>
              <w:left w:val="nil"/>
              <w:bottom w:val="single" w:sz="4" w:space="0" w:color="auto"/>
              <w:right w:val="single" w:sz="4" w:space="0" w:color="FFFFFF"/>
            </w:tcBorders>
            <w:shd w:val="clear" w:color="000000" w:fill="203764"/>
            <w:noWrap/>
            <w:vAlign w:val="bottom"/>
            <w:hideMark/>
          </w:tcPr>
          <w:p w14:paraId="5BD47977" w14:textId="77777777" w:rsidR="00B54F4E" w:rsidRPr="006D123F" w:rsidRDefault="00B54F4E" w:rsidP="006504C4">
            <w:pPr>
              <w:spacing w:before="0" w:after="0"/>
              <w:jc w:val="left"/>
              <w:rPr>
                <w:rFonts w:ascii="Calibri" w:hAnsi="Calibri" w:cs="Calibri"/>
                <w:b/>
                <w:bCs/>
                <w:color w:val="FFFFFF"/>
                <w:szCs w:val="22"/>
                <w:lang w:eastAsia="es-CO"/>
              </w:rPr>
            </w:pPr>
            <w:r w:rsidRPr="006D123F">
              <w:rPr>
                <w:rFonts w:ascii="Calibri" w:hAnsi="Calibri" w:cs="Calibri"/>
                <w:b/>
                <w:bCs/>
                <w:color w:val="FFFFFF"/>
                <w:szCs w:val="22"/>
                <w:lang w:eastAsia="es-CO"/>
              </w:rPr>
              <w:t>Proceso LPI No. ETESA 01-15</w:t>
            </w:r>
          </w:p>
        </w:tc>
        <w:tc>
          <w:tcPr>
            <w:tcW w:w="882" w:type="pct"/>
            <w:tcBorders>
              <w:top w:val="single" w:sz="4" w:space="0" w:color="FFFFFF"/>
              <w:left w:val="nil"/>
              <w:bottom w:val="single" w:sz="4" w:space="0" w:color="auto"/>
              <w:right w:val="single" w:sz="4" w:space="0" w:color="FFFFFF"/>
            </w:tcBorders>
            <w:shd w:val="clear" w:color="000000" w:fill="203764"/>
            <w:noWrap/>
            <w:vAlign w:val="bottom"/>
            <w:hideMark/>
          </w:tcPr>
          <w:p w14:paraId="0144C08C" w14:textId="77777777" w:rsidR="00B54F4E" w:rsidRPr="006D123F" w:rsidRDefault="00B54F4E" w:rsidP="006504C4">
            <w:pPr>
              <w:spacing w:before="0" w:after="0"/>
              <w:jc w:val="center"/>
              <w:rPr>
                <w:rFonts w:ascii="Calibri" w:hAnsi="Calibri" w:cs="Calibri"/>
                <w:color w:val="FFFFFF"/>
                <w:szCs w:val="22"/>
                <w:lang w:eastAsia="es-CO"/>
              </w:rPr>
            </w:pPr>
            <w:r w:rsidRPr="006D123F">
              <w:rPr>
                <w:rFonts w:ascii="Calibri" w:hAnsi="Calibri" w:cs="Calibri"/>
                <w:color w:val="FFFFFF"/>
                <w:szCs w:val="22"/>
                <w:lang w:eastAsia="es-CO"/>
              </w:rPr>
              <w:t> </w:t>
            </w:r>
          </w:p>
        </w:tc>
      </w:tr>
      <w:tr w:rsidR="00B54F4E" w:rsidRPr="006D123F" w14:paraId="5B18FBE6" w14:textId="77777777" w:rsidTr="006504C4">
        <w:trPr>
          <w:trHeight w:val="261"/>
        </w:trPr>
        <w:tc>
          <w:tcPr>
            <w:tcW w:w="4118" w:type="pct"/>
            <w:tcBorders>
              <w:top w:val="nil"/>
              <w:left w:val="nil"/>
              <w:bottom w:val="single" w:sz="4" w:space="0" w:color="A6A6A6"/>
              <w:right w:val="nil"/>
            </w:tcBorders>
            <w:shd w:val="clear" w:color="auto" w:fill="auto"/>
            <w:noWrap/>
            <w:vAlign w:val="bottom"/>
            <w:hideMark/>
          </w:tcPr>
          <w:p w14:paraId="75CDD775"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Energía Contratada (MWh)</w:t>
            </w:r>
          </w:p>
        </w:tc>
        <w:tc>
          <w:tcPr>
            <w:tcW w:w="882" w:type="pct"/>
            <w:tcBorders>
              <w:top w:val="nil"/>
              <w:left w:val="nil"/>
              <w:bottom w:val="single" w:sz="4" w:space="0" w:color="A6A6A6"/>
              <w:right w:val="nil"/>
            </w:tcBorders>
            <w:shd w:val="clear" w:color="auto" w:fill="auto"/>
            <w:noWrap/>
            <w:vAlign w:val="bottom"/>
            <w:hideMark/>
          </w:tcPr>
          <w:p w14:paraId="74CF9877"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 xml:space="preserve">      13.698.945 </w:t>
            </w:r>
          </w:p>
        </w:tc>
      </w:tr>
      <w:tr w:rsidR="00B54F4E" w:rsidRPr="006D123F" w14:paraId="612B5136" w14:textId="77777777" w:rsidTr="006504C4">
        <w:trPr>
          <w:trHeight w:val="261"/>
        </w:trPr>
        <w:tc>
          <w:tcPr>
            <w:tcW w:w="4118" w:type="pct"/>
            <w:tcBorders>
              <w:top w:val="nil"/>
              <w:left w:val="nil"/>
              <w:bottom w:val="nil"/>
              <w:right w:val="nil"/>
            </w:tcBorders>
            <w:shd w:val="clear" w:color="auto" w:fill="auto"/>
            <w:noWrap/>
            <w:vAlign w:val="bottom"/>
            <w:hideMark/>
          </w:tcPr>
          <w:p w14:paraId="68848B55"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Costo de solución GN (US$/MWh)</w:t>
            </w:r>
          </w:p>
        </w:tc>
        <w:tc>
          <w:tcPr>
            <w:tcW w:w="882" w:type="pct"/>
            <w:tcBorders>
              <w:top w:val="nil"/>
              <w:left w:val="nil"/>
              <w:bottom w:val="nil"/>
              <w:right w:val="nil"/>
            </w:tcBorders>
            <w:shd w:val="clear" w:color="auto" w:fill="auto"/>
            <w:noWrap/>
            <w:vAlign w:val="bottom"/>
            <w:hideMark/>
          </w:tcPr>
          <w:p w14:paraId="3FE2217B" w14:textId="77777777" w:rsidR="00B54F4E" w:rsidRPr="006D123F" w:rsidRDefault="00B54F4E" w:rsidP="006504C4">
            <w:pPr>
              <w:spacing w:before="0" w:after="0"/>
              <w:jc w:val="right"/>
              <w:rPr>
                <w:rFonts w:ascii="Calibri" w:hAnsi="Calibri" w:cs="Calibri"/>
                <w:color w:val="000000"/>
                <w:szCs w:val="22"/>
                <w:lang w:eastAsia="es-CO"/>
              </w:rPr>
            </w:pPr>
            <w:r w:rsidRPr="006D123F">
              <w:rPr>
                <w:rFonts w:ascii="Calibri" w:hAnsi="Calibri" w:cs="Calibri"/>
                <w:color w:val="000000"/>
                <w:szCs w:val="22"/>
                <w:lang w:eastAsia="es-CO"/>
              </w:rPr>
              <w:t>107,8</w:t>
            </w:r>
          </w:p>
        </w:tc>
      </w:tr>
      <w:tr w:rsidR="00B54F4E" w:rsidRPr="006D123F" w14:paraId="224926DA" w14:textId="77777777" w:rsidTr="006504C4">
        <w:trPr>
          <w:trHeight w:val="261"/>
        </w:trPr>
        <w:tc>
          <w:tcPr>
            <w:tcW w:w="4118" w:type="pct"/>
            <w:tcBorders>
              <w:top w:val="nil"/>
              <w:left w:val="nil"/>
              <w:bottom w:val="nil"/>
              <w:right w:val="nil"/>
            </w:tcBorders>
            <w:shd w:val="clear" w:color="auto" w:fill="auto"/>
            <w:noWrap/>
            <w:vAlign w:val="bottom"/>
            <w:hideMark/>
          </w:tcPr>
          <w:p w14:paraId="55D7632D"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Costo segunda mejor solución no gas (US$/MWh)</w:t>
            </w:r>
          </w:p>
        </w:tc>
        <w:tc>
          <w:tcPr>
            <w:tcW w:w="882" w:type="pct"/>
            <w:tcBorders>
              <w:top w:val="nil"/>
              <w:left w:val="nil"/>
              <w:bottom w:val="nil"/>
              <w:right w:val="nil"/>
            </w:tcBorders>
            <w:shd w:val="clear" w:color="auto" w:fill="auto"/>
            <w:noWrap/>
            <w:vAlign w:val="bottom"/>
            <w:hideMark/>
          </w:tcPr>
          <w:p w14:paraId="43049807" w14:textId="77777777" w:rsidR="00B54F4E" w:rsidRPr="006D123F" w:rsidRDefault="00B54F4E" w:rsidP="006504C4">
            <w:pPr>
              <w:spacing w:before="0" w:after="0"/>
              <w:jc w:val="right"/>
              <w:rPr>
                <w:rFonts w:ascii="Calibri" w:hAnsi="Calibri" w:cs="Calibri"/>
                <w:color w:val="000000"/>
                <w:szCs w:val="22"/>
                <w:lang w:eastAsia="es-CO"/>
              </w:rPr>
            </w:pPr>
            <w:r w:rsidRPr="006D123F">
              <w:rPr>
                <w:rFonts w:ascii="Calibri" w:hAnsi="Calibri" w:cs="Calibri"/>
                <w:color w:val="000000"/>
                <w:szCs w:val="22"/>
                <w:lang w:eastAsia="es-CO"/>
              </w:rPr>
              <w:t>118,2</w:t>
            </w:r>
          </w:p>
        </w:tc>
      </w:tr>
      <w:tr w:rsidR="00B54F4E" w:rsidRPr="006D123F" w14:paraId="38CCCA94" w14:textId="77777777" w:rsidTr="006504C4">
        <w:trPr>
          <w:trHeight w:val="261"/>
        </w:trPr>
        <w:tc>
          <w:tcPr>
            <w:tcW w:w="4118" w:type="pct"/>
            <w:tcBorders>
              <w:top w:val="nil"/>
              <w:left w:val="nil"/>
              <w:bottom w:val="single" w:sz="4" w:space="0" w:color="A6A6A6"/>
              <w:right w:val="nil"/>
            </w:tcBorders>
            <w:shd w:val="clear" w:color="auto" w:fill="auto"/>
            <w:noWrap/>
            <w:vAlign w:val="bottom"/>
          </w:tcPr>
          <w:p w14:paraId="6B6438A8" w14:textId="77777777" w:rsidR="00B54F4E" w:rsidRPr="006D123F" w:rsidRDefault="00B54F4E" w:rsidP="006504C4">
            <w:pPr>
              <w:spacing w:before="0" w:after="0"/>
              <w:jc w:val="left"/>
              <w:rPr>
                <w:rFonts w:ascii="Calibri" w:hAnsi="Calibri" w:cs="Calibri"/>
                <w:color w:val="000000"/>
                <w:szCs w:val="22"/>
                <w:lang w:eastAsia="es-CO"/>
              </w:rPr>
            </w:pPr>
          </w:p>
        </w:tc>
        <w:tc>
          <w:tcPr>
            <w:tcW w:w="882" w:type="pct"/>
            <w:tcBorders>
              <w:top w:val="nil"/>
              <w:left w:val="nil"/>
              <w:bottom w:val="single" w:sz="4" w:space="0" w:color="A6A6A6"/>
              <w:right w:val="nil"/>
            </w:tcBorders>
            <w:shd w:val="clear" w:color="auto" w:fill="auto"/>
            <w:noWrap/>
            <w:vAlign w:val="bottom"/>
          </w:tcPr>
          <w:p w14:paraId="7EDE7F76" w14:textId="77777777" w:rsidR="00B54F4E" w:rsidRPr="006D123F" w:rsidRDefault="00B54F4E" w:rsidP="006504C4">
            <w:pPr>
              <w:spacing w:before="0" w:after="0"/>
              <w:jc w:val="left"/>
              <w:rPr>
                <w:rFonts w:ascii="Calibri" w:hAnsi="Calibri" w:cs="Calibri"/>
                <w:color w:val="000000"/>
                <w:szCs w:val="22"/>
                <w:lang w:eastAsia="es-CO"/>
              </w:rPr>
            </w:pPr>
          </w:p>
        </w:tc>
      </w:tr>
      <w:tr w:rsidR="00B54F4E" w:rsidRPr="006D123F" w14:paraId="17987B92" w14:textId="77777777" w:rsidTr="006504C4">
        <w:trPr>
          <w:trHeight w:val="261"/>
        </w:trPr>
        <w:tc>
          <w:tcPr>
            <w:tcW w:w="4118" w:type="pct"/>
            <w:tcBorders>
              <w:top w:val="nil"/>
              <w:left w:val="nil"/>
              <w:bottom w:val="nil"/>
              <w:right w:val="nil"/>
            </w:tcBorders>
            <w:shd w:val="clear" w:color="auto" w:fill="auto"/>
            <w:noWrap/>
            <w:vAlign w:val="bottom"/>
            <w:hideMark/>
          </w:tcPr>
          <w:p w14:paraId="23845B38"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Año de entrada en operación</w:t>
            </w:r>
          </w:p>
        </w:tc>
        <w:tc>
          <w:tcPr>
            <w:tcW w:w="882" w:type="pct"/>
            <w:tcBorders>
              <w:top w:val="nil"/>
              <w:left w:val="nil"/>
              <w:bottom w:val="nil"/>
              <w:right w:val="nil"/>
            </w:tcBorders>
            <w:shd w:val="clear" w:color="auto" w:fill="auto"/>
            <w:noWrap/>
            <w:vAlign w:val="bottom"/>
            <w:hideMark/>
          </w:tcPr>
          <w:p w14:paraId="27AC49D0" w14:textId="77777777" w:rsidR="00B54F4E" w:rsidRPr="004C0CF5" w:rsidRDefault="00B54F4E" w:rsidP="006504C4">
            <w:pPr>
              <w:spacing w:before="0" w:after="0"/>
              <w:jc w:val="right"/>
              <w:rPr>
                <w:rFonts w:ascii="Calibri" w:hAnsi="Calibri" w:cs="Calibri"/>
                <w:color w:val="000000" w:themeColor="text1"/>
                <w:szCs w:val="22"/>
                <w:lang w:eastAsia="es-CO"/>
              </w:rPr>
            </w:pPr>
            <w:r w:rsidRPr="004C0CF5">
              <w:rPr>
                <w:rFonts w:ascii="Calibri" w:hAnsi="Calibri" w:cs="Calibri"/>
                <w:color w:val="000000" w:themeColor="text1"/>
                <w:szCs w:val="22"/>
                <w:lang w:eastAsia="es-CO"/>
              </w:rPr>
              <w:t>2018</w:t>
            </w:r>
          </w:p>
        </w:tc>
      </w:tr>
      <w:tr w:rsidR="00B54F4E" w:rsidRPr="006D123F" w14:paraId="52275F77" w14:textId="77777777" w:rsidTr="006504C4">
        <w:trPr>
          <w:trHeight w:val="261"/>
        </w:trPr>
        <w:tc>
          <w:tcPr>
            <w:tcW w:w="4118" w:type="pct"/>
            <w:tcBorders>
              <w:top w:val="nil"/>
              <w:left w:val="nil"/>
              <w:bottom w:val="single" w:sz="4" w:space="0" w:color="000000"/>
              <w:right w:val="nil"/>
            </w:tcBorders>
            <w:shd w:val="clear" w:color="auto" w:fill="auto"/>
            <w:noWrap/>
            <w:vAlign w:val="bottom"/>
            <w:hideMark/>
          </w:tcPr>
          <w:p w14:paraId="4FC93CB2"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Años de contrato</w:t>
            </w:r>
          </w:p>
        </w:tc>
        <w:tc>
          <w:tcPr>
            <w:tcW w:w="882" w:type="pct"/>
            <w:tcBorders>
              <w:top w:val="nil"/>
              <w:left w:val="nil"/>
              <w:bottom w:val="single" w:sz="4" w:space="0" w:color="000000"/>
              <w:right w:val="nil"/>
            </w:tcBorders>
            <w:shd w:val="clear" w:color="auto" w:fill="auto"/>
            <w:noWrap/>
            <w:vAlign w:val="bottom"/>
            <w:hideMark/>
          </w:tcPr>
          <w:p w14:paraId="762A5C64" w14:textId="77777777" w:rsidR="00B54F4E" w:rsidRPr="004C0CF5" w:rsidRDefault="00B54F4E" w:rsidP="006504C4">
            <w:pPr>
              <w:spacing w:before="0" w:after="0"/>
              <w:jc w:val="right"/>
              <w:rPr>
                <w:rFonts w:ascii="Calibri" w:hAnsi="Calibri" w:cs="Calibri"/>
                <w:color w:val="000000" w:themeColor="text1"/>
                <w:szCs w:val="22"/>
                <w:lang w:eastAsia="es-CO"/>
              </w:rPr>
            </w:pPr>
            <w:r w:rsidRPr="004C0CF5">
              <w:rPr>
                <w:rFonts w:ascii="Calibri" w:hAnsi="Calibri" w:cs="Calibri"/>
                <w:color w:val="000000" w:themeColor="text1"/>
                <w:szCs w:val="22"/>
                <w:lang w:eastAsia="es-CO"/>
              </w:rPr>
              <w:t>10</w:t>
            </w:r>
          </w:p>
        </w:tc>
      </w:tr>
      <w:tr w:rsidR="00B54F4E" w:rsidRPr="006D123F" w14:paraId="102F7182" w14:textId="77777777" w:rsidTr="006504C4">
        <w:trPr>
          <w:trHeight w:val="261"/>
        </w:trPr>
        <w:tc>
          <w:tcPr>
            <w:tcW w:w="4118" w:type="pct"/>
            <w:tcBorders>
              <w:top w:val="nil"/>
              <w:left w:val="nil"/>
              <w:bottom w:val="nil"/>
              <w:right w:val="nil"/>
            </w:tcBorders>
            <w:shd w:val="clear" w:color="auto" w:fill="auto"/>
            <w:noWrap/>
            <w:vAlign w:val="bottom"/>
            <w:hideMark/>
          </w:tcPr>
          <w:p w14:paraId="4B862AE0" w14:textId="77777777" w:rsidR="00B54F4E" w:rsidRPr="006D123F" w:rsidRDefault="00B54F4E" w:rsidP="006504C4">
            <w:pPr>
              <w:spacing w:before="0" w:after="0"/>
              <w:jc w:val="right"/>
              <w:rPr>
                <w:rFonts w:ascii="Calibri" w:hAnsi="Calibri" w:cs="Calibri"/>
                <w:color w:val="0000FF"/>
                <w:szCs w:val="22"/>
                <w:lang w:eastAsia="es-CO"/>
              </w:rPr>
            </w:pPr>
          </w:p>
        </w:tc>
        <w:tc>
          <w:tcPr>
            <w:tcW w:w="882" w:type="pct"/>
            <w:tcBorders>
              <w:top w:val="nil"/>
              <w:left w:val="nil"/>
              <w:bottom w:val="nil"/>
              <w:right w:val="nil"/>
            </w:tcBorders>
            <w:shd w:val="clear" w:color="auto" w:fill="auto"/>
            <w:noWrap/>
            <w:vAlign w:val="bottom"/>
            <w:hideMark/>
          </w:tcPr>
          <w:p w14:paraId="7527BAA0" w14:textId="77777777" w:rsidR="00B54F4E" w:rsidRPr="006D123F" w:rsidRDefault="00B54F4E" w:rsidP="006504C4">
            <w:pPr>
              <w:spacing w:before="0" w:after="0"/>
              <w:jc w:val="left"/>
              <w:rPr>
                <w:rFonts w:ascii="Times New Roman" w:hAnsi="Times New Roman"/>
                <w:sz w:val="20"/>
                <w:lang w:eastAsia="es-CO"/>
              </w:rPr>
            </w:pPr>
          </w:p>
        </w:tc>
      </w:tr>
      <w:tr w:rsidR="00B54F4E" w:rsidRPr="006D123F" w14:paraId="3786DA8B" w14:textId="77777777" w:rsidTr="006504C4">
        <w:trPr>
          <w:trHeight w:val="261"/>
        </w:trPr>
        <w:tc>
          <w:tcPr>
            <w:tcW w:w="4118" w:type="pct"/>
            <w:tcBorders>
              <w:top w:val="single" w:sz="4" w:space="0" w:color="FFFFFF"/>
              <w:left w:val="nil"/>
              <w:bottom w:val="single" w:sz="4" w:space="0" w:color="auto"/>
              <w:right w:val="single" w:sz="4" w:space="0" w:color="FFFFFF"/>
            </w:tcBorders>
            <w:shd w:val="clear" w:color="000000" w:fill="203764"/>
            <w:noWrap/>
            <w:vAlign w:val="bottom"/>
            <w:hideMark/>
          </w:tcPr>
          <w:p w14:paraId="07223291" w14:textId="77777777" w:rsidR="00B54F4E" w:rsidRPr="006D123F" w:rsidRDefault="00B54F4E" w:rsidP="006504C4">
            <w:pPr>
              <w:spacing w:before="0" w:after="0"/>
              <w:jc w:val="left"/>
              <w:rPr>
                <w:rFonts w:ascii="Calibri" w:hAnsi="Calibri" w:cs="Calibri"/>
                <w:b/>
                <w:bCs/>
                <w:color w:val="FFFFFF"/>
                <w:szCs w:val="22"/>
                <w:lang w:eastAsia="es-CO"/>
              </w:rPr>
            </w:pPr>
            <w:r w:rsidRPr="006D123F">
              <w:rPr>
                <w:rFonts w:ascii="Calibri" w:hAnsi="Calibri" w:cs="Calibri"/>
                <w:b/>
                <w:bCs/>
                <w:color w:val="FFFFFF"/>
                <w:szCs w:val="22"/>
                <w:lang w:eastAsia="es-CO"/>
              </w:rPr>
              <w:t>Proceso LPI No. ETESA 02-15</w:t>
            </w:r>
          </w:p>
        </w:tc>
        <w:tc>
          <w:tcPr>
            <w:tcW w:w="882" w:type="pct"/>
            <w:tcBorders>
              <w:top w:val="single" w:sz="4" w:space="0" w:color="FFFFFF"/>
              <w:left w:val="nil"/>
              <w:bottom w:val="single" w:sz="4" w:space="0" w:color="auto"/>
              <w:right w:val="single" w:sz="4" w:space="0" w:color="FFFFFF"/>
            </w:tcBorders>
            <w:shd w:val="clear" w:color="000000" w:fill="203764"/>
            <w:noWrap/>
            <w:vAlign w:val="bottom"/>
            <w:hideMark/>
          </w:tcPr>
          <w:p w14:paraId="45FA89D7" w14:textId="77777777" w:rsidR="00B54F4E" w:rsidRPr="006D123F" w:rsidRDefault="00B54F4E" w:rsidP="006504C4">
            <w:pPr>
              <w:spacing w:before="0" w:after="0"/>
              <w:jc w:val="center"/>
              <w:rPr>
                <w:rFonts w:ascii="Calibri" w:hAnsi="Calibri" w:cs="Calibri"/>
                <w:color w:val="FFFFFF"/>
                <w:szCs w:val="22"/>
                <w:lang w:eastAsia="es-CO"/>
              </w:rPr>
            </w:pPr>
            <w:r w:rsidRPr="006D123F">
              <w:rPr>
                <w:rFonts w:ascii="Calibri" w:hAnsi="Calibri" w:cs="Calibri"/>
                <w:color w:val="FFFFFF"/>
                <w:szCs w:val="22"/>
                <w:lang w:eastAsia="es-CO"/>
              </w:rPr>
              <w:t> </w:t>
            </w:r>
          </w:p>
        </w:tc>
      </w:tr>
      <w:tr w:rsidR="00B54F4E" w:rsidRPr="006D123F" w14:paraId="6381880F" w14:textId="77777777" w:rsidTr="006504C4">
        <w:trPr>
          <w:trHeight w:val="261"/>
        </w:trPr>
        <w:tc>
          <w:tcPr>
            <w:tcW w:w="4118" w:type="pct"/>
            <w:tcBorders>
              <w:top w:val="nil"/>
              <w:left w:val="nil"/>
              <w:bottom w:val="single" w:sz="4" w:space="0" w:color="A6A6A6"/>
              <w:right w:val="nil"/>
            </w:tcBorders>
            <w:shd w:val="clear" w:color="auto" w:fill="auto"/>
            <w:noWrap/>
            <w:vAlign w:val="bottom"/>
            <w:hideMark/>
          </w:tcPr>
          <w:p w14:paraId="4B7ACD61"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Energía Contratada (MWh)</w:t>
            </w:r>
          </w:p>
        </w:tc>
        <w:tc>
          <w:tcPr>
            <w:tcW w:w="882" w:type="pct"/>
            <w:tcBorders>
              <w:top w:val="nil"/>
              <w:left w:val="nil"/>
              <w:bottom w:val="single" w:sz="4" w:space="0" w:color="A6A6A6"/>
              <w:right w:val="nil"/>
            </w:tcBorders>
            <w:shd w:val="clear" w:color="auto" w:fill="auto"/>
            <w:noWrap/>
            <w:vAlign w:val="bottom"/>
            <w:hideMark/>
          </w:tcPr>
          <w:p w14:paraId="4125D5A2"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 xml:space="preserve">      16.382.798 </w:t>
            </w:r>
          </w:p>
        </w:tc>
      </w:tr>
      <w:tr w:rsidR="00B54F4E" w:rsidRPr="006D123F" w14:paraId="3E40AD71" w14:textId="77777777" w:rsidTr="006504C4">
        <w:trPr>
          <w:trHeight w:val="261"/>
        </w:trPr>
        <w:tc>
          <w:tcPr>
            <w:tcW w:w="4118" w:type="pct"/>
            <w:tcBorders>
              <w:top w:val="nil"/>
              <w:left w:val="nil"/>
              <w:bottom w:val="nil"/>
              <w:right w:val="nil"/>
            </w:tcBorders>
            <w:shd w:val="clear" w:color="auto" w:fill="auto"/>
            <w:noWrap/>
            <w:vAlign w:val="bottom"/>
            <w:hideMark/>
          </w:tcPr>
          <w:p w14:paraId="7B4D89FA"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Costo de solución GN (US$/MWh)</w:t>
            </w:r>
          </w:p>
        </w:tc>
        <w:tc>
          <w:tcPr>
            <w:tcW w:w="882" w:type="pct"/>
            <w:tcBorders>
              <w:top w:val="nil"/>
              <w:left w:val="nil"/>
              <w:bottom w:val="nil"/>
              <w:right w:val="nil"/>
            </w:tcBorders>
            <w:shd w:val="clear" w:color="auto" w:fill="auto"/>
            <w:noWrap/>
            <w:vAlign w:val="bottom"/>
            <w:hideMark/>
          </w:tcPr>
          <w:p w14:paraId="68B3368D" w14:textId="77777777" w:rsidR="00B54F4E" w:rsidRPr="006D123F" w:rsidRDefault="00B54F4E" w:rsidP="006504C4">
            <w:pPr>
              <w:spacing w:before="0" w:after="0"/>
              <w:jc w:val="right"/>
              <w:rPr>
                <w:rFonts w:ascii="Calibri" w:hAnsi="Calibri" w:cs="Calibri"/>
                <w:color w:val="000000"/>
                <w:szCs w:val="22"/>
                <w:lang w:eastAsia="es-CO"/>
              </w:rPr>
            </w:pPr>
            <w:r w:rsidRPr="006D123F">
              <w:rPr>
                <w:rFonts w:ascii="Calibri" w:hAnsi="Calibri" w:cs="Calibri"/>
                <w:color w:val="000000"/>
                <w:szCs w:val="22"/>
                <w:lang w:eastAsia="es-CO"/>
              </w:rPr>
              <w:t>80,7</w:t>
            </w:r>
          </w:p>
        </w:tc>
      </w:tr>
      <w:tr w:rsidR="00B54F4E" w:rsidRPr="006D123F" w14:paraId="6E49F010" w14:textId="77777777" w:rsidTr="006504C4">
        <w:trPr>
          <w:trHeight w:val="261"/>
        </w:trPr>
        <w:tc>
          <w:tcPr>
            <w:tcW w:w="4118" w:type="pct"/>
            <w:tcBorders>
              <w:top w:val="nil"/>
              <w:left w:val="nil"/>
              <w:bottom w:val="nil"/>
              <w:right w:val="nil"/>
            </w:tcBorders>
            <w:shd w:val="clear" w:color="auto" w:fill="auto"/>
            <w:noWrap/>
            <w:vAlign w:val="bottom"/>
            <w:hideMark/>
          </w:tcPr>
          <w:p w14:paraId="524AA94F"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Costo segunda mejor solución no gas (US$/MWh)</w:t>
            </w:r>
          </w:p>
        </w:tc>
        <w:tc>
          <w:tcPr>
            <w:tcW w:w="882" w:type="pct"/>
            <w:tcBorders>
              <w:top w:val="nil"/>
              <w:left w:val="nil"/>
              <w:bottom w:val="nil"/>
              <w:right w:val="nil"/>
            </w:tcBorders>
            <w:shd w:val="clear" w:color="auto" w:fill="auto"/>
            <w:noWrap/>
            <w:vAlign w:val="bottom"/>
            <w:hideMark/>
          </w:tcPr>
          <w:p w14:paraId="154E0CB3" w14:textId="77777777" w:rsidR="00B54F4E" w:rsidRPr="006D123F" w:rsidRDefault="00B54F4E" w:rsidP="006504C4">
            <w:pPr>
              <w:spacing w:before="0" w:after="0"/>
              <w:jc w:val="right"/>
              <w:rPr>
                <w:rFonts w:ascii="Calibri" w:hAnsi="Calibri" w:cs="Calibri"/>
                <w:color w:val="000000"/>
                <w:szCs w:val="22"/>
                <w:lang w:eastAsia="es-CO"/>
              </w:rPr>
            </w:pPr>
            <w:r w:rsidRPr="006D123F">
              <w:rPr>
                <w:rFonts w:ascii="Calibri" w:hAnsi="Calibri" w:cs="Calibri"/>
                <w:color w:val="000000"/>
                <w:szCs w:val="22"/>
                <w:lang w:eastAsia="es-CO"/>
              </w:rPr>
              <w:t>92,9</w:t>
            </w:r>
          </w:p>
        </w:tc>
      </w:tr>
      <w:tr w:rsidR="00B54F4E" w:rsidRPr="006D123F" w14:paraId="47DE04B1" w14:textId="77777777" w:rsidTr="006504C4">
        <w:trPr>
          <w:trHeight w:val="261"/>
        </w:trPr>
        <w:tc>
          <w:tcPr>
            <w:tcW w:w="4118" w:type="pct"/>
            <w:tcBorders>
              <w:top w:val="nil"/>
              <w:left w:val="nil"/>
              <w:bottom w:val="single" w:sz="4" w:space="0" w:color="A6A6A6"/>
              <w:right w:val="nil"/>
            </w:tcBorders>
            <w:shd w:val="clear" w:color="auto" w:fill="auto"/>
            <w:noWrap/>
            <w:vAlign w:val="bottom"/>
          </w:tcPr>
          <w:p w14:paraId="258B8921" w14:textId="77777777" w:rsidR="00B54F4E" w:rsidRPr="006D123F" w:rsidRDefault="00B54F4E" w:rsidP="006504C4">
            <w:pPr>
              <w:spacing w:before="0" w:after="0"/>
              <w:jc w:val="left"/>
              <w:rPr>
                <w:rFonts w:ascii="Calibri" w:hAnsi="Calibri" w:cs="Calibri"/>
                <w:color w:val="000000"/>
                <w:szCs w:val="22"/>
                <w:lang w:eastAsia="es-CO"/>
              </w:rPr>
            </w:pPr>
          </w:p>
        </w:tc>
        <w:tc>
          <w:tcPr>
            <w:tcW w:w="882" w:type="pct"/>
            <w:tcBorders>
              <w:top w:val="nil"/>
              <w:left w:val="nil"/>
              <w:bottom w:val="single" w:sz="4" w:space="0" w:color="A6A6A6"/>
              <w:right w:val="nil"/>
            </w:tcBorders>
            <w:shd w:val="clear" w:color="auto" w:fill="auto"/>
            <w:noWrap/>
            <w:vAlign w:val="bottom"/>
          </w:tcPr>
          <w:p w14:paraId="75187F71" w14:textId="77777777" w:rsidR="00B54F4E" w:rsidRPr="006D123F" w:rsidRDefault="00B54F4E" w:rsidP="006504C4">
            <w:pPr>
              <w:spacing w:before="0" w:after="0"/>
              <w:jc w:val="left"/>
              <w:rPr>
                <w:rFonts w:ascii="Calibri" w:hAnsi="Calibri" w:cs="Calibri"/>
                <w:color w:val="000000"/>
                <w:szCs w:val="22"/>
                <w:lang w:eastAsia="es-CO"/>
              </w:rPr>
            </w:pPr>
          </w:p>
        </w:tc>
      </w:tr>
      <w:tr w:rsidR="00B54F4E" w:rsidRPr="006D123F" w14:paraId="5AF17DF3" w14:textId="77777777" w:rsidTr="006504C4">
        <w:trPr>
          <w:trHeight w:val="261"/>
        </w:trPr>
        <w:tc>
          <w:tcPr>
            <w:tcW w:w="4118" w:type="pct"/>
            <w:tcBorders>
              <w:top w:val="nil"/>
              <w:left w:val="nil"/>
              <w:bottom w:val="nil"/>
              <w:right w:val="nil"/>
            </w:tcBorders>
            <w:shd w:val="clear" w:color="auto" w:fill="auto"/>
            <w:noWrap/>
            <w:vAlign w:val="bottom"/>
            <w:hideMark/>
          </w:tcPr>
          <w:p w14:paraId="2B66D0D8"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Año de entrada en operación</w:t>
            </w:r>
          </w:p>
        </w:tc>
        <w:tc>
          <w:tcPr>
            <w:tcW w:w="882" w:type="pct"/>
            <w:tcBorders>
              <w:top w:val="nil"/>
              <w:left w:val="nil"/>
              <w:bottom w:val="nil"/>
              <w:right w:val="nil"/>
            </w:tcBorders>
            <w:shd w:val="clear" w:color="auto" w:fill="auto"/>
            <w:noWrap/>
            <w:vAlign w:val="bottom"/>
            <w:hideMark/>
          </w:tcPr>
          <w:p w14:paraId="2266C071" w14:textId="77777777" w:rsidR="00B54F4E" w:rsidRPr="004C0CF5" w:rsidRDefault="00B54F4E" w:rsidP="006504C4">
            <w:pPr>
              <w:spacing w:before="0" w:after="0"/>
              <w:jc w:val="right"/>
              <w:rPr>
                <w:rFonts w:ascii="Calibri" w:hAnsi="Calibri" w:cs="Calibri"/>
                <w:color w:val="000000" w:themeColor="text1"/>
                <w:szCs w:val="22"/>
                <w:lang w:eastAsia="es-CO"/>
              </w:rPr>
            </w:pPr>
            <w:r w:rsidRPr="004C0CF5">
              <w:rPr>
                <w:rFonts w:ascii="Calibri" w:hAnsi="Calibri" w:cs="Calibri"/>
                <w:color w:val="000000" w:themeColor="text1"/>
                <w:szCs w:val="22"/>
                <w:lang w:eastAsia="es-CO"/>
              </w:rPr>
              <w:t>2020</w:t>
            </w:r>
          </w:p>
        </w:tc>
      </w:tr>
      <w:tr w:rsidR="00B54F4E" w:rsidRPr="006D123F" w14:paraId="723D4A86" w14:textId="77777777" w:rsidTr="006504C4">
        <w:trPr>
          <w:trHeight w:val="261"/>
        </w:trPr>
        <w:tc>
          <w:tcPr>
            <w:tcW w:w="4118" w:type="pct"/>
            <w:tcBorders>
              <w:top w:val="nil"/>
              <w:left w:val="nil"/>
              <w:bottom w:val="single" w:sz="4" w:space="0" w:color="000000"/>
              <w:right w:val="nil"/>
            </w:tcBorders>
            <w:shd w:val="clear" w:color="auto" w:fill="auto"/>
            <w:noWrap/>
            <w:vAlign w:val="bottom"/>
            <w:hideMark/>
          </w:tcPr>
          <w:p w14:paraId="7D79B761" w14:textId="77777777" w:rsidR="00B54F4E" w:rsidRPr="006D123F" w:rsidRDefault="00B54F4E" w:rsidP="006504C4">
            <w:pPr>
              <w:spacing w:before="0" w:after="0"/>
              <w:jc w:val="left"/>
              <w:rPr>
                <w:rFonts w:ascii="Calibri" w:hAnsi="Calibri" w:cs="Calibri"/>
                <w:color w:val="000000"/>
                <w:szCs w:val="22"/>
                <w:lang w:eastAsia="es-CO"/>
              </w:rPr>
            </w:pPr>
            <w:r w:rsidRPr="006D123F">
              <w:rPr>
                <w:rFonts w:ascii="Calibri" w:hAnsi="Calibri" w:cs="Calibri"/>
                <w:color w:val="000000"/>
                <w:szCs w:val="22"/>
                <w:lang w:eastAsia="es-CO"/>
              </w:rPr>
              <w:t>Años de contrato</w:t>
            </w:r>
          </w:p>
        </w:tc>
        <w:tc>
          <w:tcPr>
            <w:tcW w:w="882" w:type="pct"/>
            <w:tcBorders>
              <w:top w:val="nil"/>
              <w:left w:val="nil"/>
              <w:bottom w:val="single" w:sz="4" w:space="0" w:color="000000"/>
              <w:right w:val="nil"/>
            </w:tcBorders>
            <w:shd w:val="clear" w:color="auto" w:fill="auto"/>
            <w:noWrap/>
            <w:vAlign w:val="bottom"/>
            <w:hideMark/>
          </w:tcPr>
          <w:p w14:paraId="417CF7DA" w14:textId="77777777" w:rsidR="00B54F4E" w:rsidRPr="004C0CF5" w:rsidRDefault="00B54F4E" w:rsidP="006504C4">
            <w:pPr>
              <w:spacing w:before="0" w:after="0"/>
              <w:jc w:val="right"/>
              <w:rPr>
                <w:rFonts w:ascii="Calibri" w:hAnsi="Calibri" w:cs="Calibri"/>
                <w:color w:val="000000" w:themeColor="text1"/>
                <w:szCs w:val="22"/>
                <w:lang w:eastAsia="es-CO"/>
              </w:rPr>
            </w:pPr>
            <w:r w:rsidRPr="004C0CF5">
              <w:rPr>
                <w:rFonts w:ascii="Calibri" w:hAnsi="Calibri" w:cs="Calibri"/>
                <w:color w:val="000000" w:themeColor="text1"/>
                <w:szCs w:val="22"/>
                <w:lang w:eastAsia="es-CO"/>
              </w:rPr>
              <w:t>15</w:t>
            </w:r>
          </w:p>
        </w:tc>
      </w:tr>
    </w:tbl>
    <w:p w14:paraId="3460D8D6" w14:textId="77777777" w:rsidR="00B54F4E" w:rsidRPr="00795F1D" w:rsidRDefault="00B54F4E" w:rsidP="00B54F4E">
      <w:pPr>
        <w:jc w:val="center"/>
        <w:rPr>
          <w:sz w:val="18"/>
          <w:lang w:val="es-ES"/>
        </w:rPr>
      </w:pPr>
      <w:r w:rsidRPr="00795F1D">
        <w:rPr>
          <w:sz w:val="18"/>
          <w:lang w:val="es-ES"/>
        </w:rPr>
        <w:t>Fuente: Elaboración del consultor con base en informes de evaluación de licitaciones LPI 01-15 y LPI 02-15 de ETESA</w:t>
      </w:r>
    </w:p>
    <w:p w14:paraId="026B61C9" w14:textId="77777777" w:rsidR="00B54F4E" w:rsidRPr="006C4E72" w:rsidRDefault="00B54F4E" w:rsidP="00B54F4E">
      <w:pPr>
        <w:spacing w:before="0" w:after="0"/>
        <w:ind w:left="720"/>
        <w:jc w:val="center"/>
        <w:rPr>
          <w:b/>
        </w:rPr>
      </w:pPr>
      <w:bookmarkStart w:id="71" w:name="_Ref481313224"/>
      <w:bookmarkStart w:id="72" w:name="_Toc484097051"/>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11</w:t>
      </w:r>
      <w:r w:rsidRPr="008C12BC">
        <w:rPr>
          <w:b/>
        </w:rPr>
        <w:fldChar w:fldCharType="end"/>
      </w:r>
      <w:bookmarkEnd w:id="71"/>
      <w:r>
        <w:rPr>
          <w:b/>
        </w:rPr>
        <w:t xml:space="preserve"> – Proyección del precio de la energía térmica según alternativa de generación</w:t>
      </w:r>
      <w:bookmarkEnd w:id="72"/>
    </w:p>
    <w:tbl>
      <w:tblPr>
        <w:tblW w:w="4959" w:type="pct"/>
        <w:tblCellMar>
          <w:left w:w="70" w:type="dxa"/>
          <w:right w:w="70" w:type="dxa"/>
        </w:tblCellMar>
        <w:tblLook w:val="04A0" w:firstRow="1" w:lastRow="0" w:firstColumn="1" w:lastColumn="0" w:noHBand="0" w:noVBand="1"/>
      </w:tblPr>
      <w:tblGrid>
        <w:gridCol w:w="4183"/>
        <w:gridCol w:w="223"/>
        <w:gridCol w:w="899"/>
        <w:gridCol w:w="686"/>
        <w:gridCol w:w="694"/>
        <w:gridCol w:w="694"/>
        <w:gridCol w:w="694"/>
        <w:gridCol w:w="693"/>
      </w:tblGrid>
      <w:tr w:rsidR="00B54F4E" w:rsidRPr="001F1529" w14:paraId="011CB071" w14:textId="77777777" w:rsidTr="006504C4">
        <w:trPr>
          <w:trHeight w:val="206"/>
        </w:trPr>
        <w:tc>
          <w:tcPr>
            <w:tcW w:w="2386" w:type="pct"/>
            <w:tcBorders>
              <w:top w:val="nil"/>
              <w:left w:val="nil"/>
              <w:bottom w:val="nil"/>
              <w:right w:val="nil"/>
            </w:tcBorders>
            <w:shd w:val="clear" w:color="auto" w:fill="auto"/>
            <w:noWrap/>
            <w:vAlign w:val="bottom"/>
            <w:hideMark/>
          </w:tcPr>
          <w:p w14:paraId="6C931FE7" w14:textId="77777777" w:rsidR="00B54F4E" w:rsidRPr="001F1529" w:rsidRDefault="00B54F4E" w:rsidP="006504C4">
            <w:pPr>
              <w:spacing w:before="0" w:after="0"/>
              <w:jc w:val="left"/>
              <w:rPr>
                <w:rFonts w:ascii="Calibri" w:hAnsi="Calibri" w:cs="Calibri"/>
                <w:b/>
                <w:bCs/>
                <w:color w:val="000000"/>
                <w:sz w:val="18"/>
                <w:szCs w:val="22"/>
                <w:lang w:eastAsia="es-CO"/>
              </w:rPr>
            </w:pPr>
            <w:r w:rsidRPr="001F1529">
              <w:rPr>
                <w:rFonts w:ascii="Calibri" w:hAnsi="Calibri" w:cs="Calibri"/>
                <w:b/>
                <w:bCs/>
                <w:color w:val="000000"/>
                <w:sz w:val="18"/>
                <w:szCs w:val="22"/>
                <w:lang w:eastAsia="es-CO"/>
              </w:rPr>
              <w:t>Valor de la energía contratada y ofertada</w:t>
            </w:r>
          </w:p>
        </w:tc>
        <w:tc>
          <w:tcPr>
            <w:tcW w:w="127" w:type="pct"/>
            <w:tcBorders>
              <w:top w:val="nil"/>
              <w:left w:val="nil"/>
              <w:bottom w:val="nil"/>
              <w:right w:val="nil"/>
            </w:tcBorders>
            <w:shd w:val="clear" w:color="auto" w:fill="auto"/>
            <w:noWrap/>
            <w:vAlign w:val="bottom"/>
            <w:hideMark/>
          </w:tcPr>
          <w:p w14:paraId="633BD07D"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08BA27A7" w14:textId="77777777" w:rsidR="00B54F4E" w:rsidRPr="001F1529" w:rsidRDefault="00B54F4E" w:rsidP="006504C4">
            <w:pPr>
              <w:spacing w:before="0" w:after="0"/>
              <w:jc w:val="left"/>
              <w:rPr>
                <w:rFonts w:ascii="Times New Roman" w:hAnsi="Times New Roman"/>
                <w:sz w:val="18"/>
                <w:lang w:eastAsia="es-CO"/>
              </w:rPr>
            </w:pPr>
          </w:p>
        </w:tc>
        <w:tc>
          <w:tcPr>
            <w:tcW w:w="391" w:type="pct"/>
            <w:tcBorders>
              <w:top w:val="nil"/>
              <w:left w:val="nil"/>
              <w:bottom w:val="nil"/>
              <w:right w:val="nil"/>
            </w:tcBorders>
            <w:shd w:val="clear" w:color="auto" w:fill="auto"/>
            <w:noWrap/>
            <w:vAlign w:val="bottom"/>
            <w:hideMark/>
          </w:tcPr>
          <w:p w14:paraId="688FD5C8"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7109489F"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0C33FC58"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416463C2" w14:textId="77777777" w:rsidR="00B54F4E" w:rsidRPr="001F1529" w:rsidRDefault="00B54F4E" w:rsidP="006504C4">
            <w:pPr>
              <w:spacing w:before="0" w:after="0"/>
              <w:jc w:val="left"/>
              <w:rPr>
                <w:rFonts w:ascii="Times New Roman" w:hAnsi="Times New Roman"/>
                <w:sz w:val="18"/>
                <w:lang w:eastAsia="es-CO"/>
              </w:rPr>
            </w:pPr>
          </w:p>
        </w:tc>
        <w:tc>
          <w:tcPr>
            <w:tcW w:w="395" w:type="pct"/>
            <w:tcBorders>
              <w:top w:val="nil"/>
              <w:left w:val="nil"/>
              <w:bottom w:val="nil"/>
              <w:right w:val="nil"/>
            </w:tcBorders>
            <w:shd w:val="clear" w:color="auto" w:fill="auto"/>
            <w:noWrap/>
            <w:vAlign w:val="bottom"/>
            <w:hideMark/>
          </w:tcPr>
          <w:p w14:paraId="4353CE43" w14:textId="77777777" w:rsidR="00B54F4E" w:rsidRPr="001F1529" w:rsidRDefault="00B54F4E" w:rsidP="006504C4">
            <w:pPr>
              <w:spacing w:before="0" w:after="0"/>
              <w:jc w:val="left"/>
              <w:rPr>
                <w:rFonts w:ascii="Times New Roman" w:hAnsi="Times New Roman"/>
                <w:sz w:val="18"/>
                <w:lang w:eastAsia="es-CO"/>
              </w:rPr>
            </w:pPr>
          </w:p>
        </w:tc>
      </w:tr>
      <w:tr w:rsidR="00B54F4E" w:rsidRPr="001F1529" w14:paraId="01F66ED7" w14:textId="77777777" w:rsidTr="006504C4">
        <w:trPr>
          <w:trHeight w:val="206"/>
        </w:trPr>
        <w:tc>
          <w:tcPr>
            <w:tcW w:w="2386" w:type="pct"/>
            <w:tcBorders>
              <w:top w:val="nil"/>
              <w:left w:val="nil"/>
              <w:bottom w:val="single" w:sz="4" w:space="0" w:color="auto"/>
              <w:right w:val="nil"/>
            </w:tcBorders>
            <w:shd w:val="clear" w:color="auto" w:fill="auto"/>
            <w:noWrap/>
            <w:vAlign w:val="bottom"/>
            <w:hideMark/>
          </w:tcPr>
          <w:p w14:paraId="44A99932" w14:textId="77777777" w:rsidR="00B54F4E" w:rsidRPr="001F1529" w:rsidRDefault="00B54F4E" w:rsidP="006504C4">
            <w:pPr>
              <w:spacing w:before="0" w:after="0"/>
              <w:jc w:val="left"/>
              <w:rPr>
                <w:rFonts w:ascii="Calibri" w:hAnsi="Calibri" w:cs="Calibri"/>
                <w:b/>
                <w:bCs/>
                <w:color w:val="000000"/>
                <w:sz w:val="18"/>
                <w:szCs w:val="22"/>
                <w:lang w:eastAsia="es-CO"/>
              </w:rPr>
            </w:pPr>
            <w:r w:rsidRPr="001F1529">
              <w:rPr>
                <w:rFonts w:ascii="Calibri" w:hAnsi="Calibri" w:cs="Calibri"/>
                <w:b/>
                <w:bCs/>
                <w:color w:val="000000"/>
                <w:sz w:val="18"/>
                <w:szCs w:val="22"/>
                <w:lang w:eastAsia="es-CO"/>
              </w:rPr>
              <w:t xml:space="preserve"> $USD/MWh 2016</w:t>
            </w:r>
          </w:p>
        </w:tc>
        <w:tc>
          <w:tcPr>
            <w:tcW w:w="127" w:type="pct"/>
            <w:tcBorders>
              <w:top w:val="nil"/>
              <w:left w:val="nil"/>
              <w:bottom w:val="single" w:sz="4" w:space="0" w:color="auto"/>
              <w:right w:val="nil"/>
            </w:tcBorders>
            <w:shd w:val="clear" w:color="auto" w:fill="auto"/>
            <w:noWrap/>
            <w:vAlign w:val="bottom"/>
            <w:hideMark/>
          </w:tcPr>
          <w:p w14:paraId="3966EB35"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single" w:sz="4" w:space="0" w:color="FFFFFF"/>
              <w:left w:val="nil"/>
              <w:bottom w:val="single" w:sz="4" w:space="0" w:color="auto"/>
              <w:right w:val="single" w:sz="4" w:space="0" w:color="FFFFFF"/>
            </w:tcBorders>
            <w:shd w:val="clear" w:color="000000" w:fill="203764"/>
            <w:noWrap/>
            <w:vAlign w:val="bottom"/>
            <w:hideMark/>
          </w:tcPr>
          <w:p w14:paraId="3C5A1F9B"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2017</w:t>
            </w:r>
          </w:p>
        </w:tc>
        <w:tc>
          <w:tcPr>
            <w:tcW w:w="391" w:type="pct"/>
            <w:tcBorders>
              <w:top w:val="single" w:sz="4" w:space="0" w:color="FFFFFF"/>
              <w:left w:val="nil"/>
              <w:bottom w:val="single" w:sz="4" w:space="0" w:color="auto"/>
              <w:right w:val="single" w:sz="4" w:space="0" w:color="FFFFFF"/>
            </w:tcBorders>
            <w:shd w:val="clear" w:color="000000" w:fill="203764"/>
            <w:noWrap/>
            <w:vAlign w:val="bottom"/>
            <w:hideMark/>
          </w:tcPr>
          <w:p w14:paraId="687B3E7E"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2018</w:t>
            </w:r>
          </w:p>
        </w:tc>
        <w:tc>
          <w:tcPr>
            <w:tcW w:w="396" w:type="pct"/>
            <w:tcBorders>
              <w:top w:val="single" w:sz="4" w:space="0" w:color="FFFFFF"/>
              <w:left w:val="nil"/>
              <w:bottom w:val="single" w:sz="4" w:space="0" w:color="auto"/>
              <w:right w:val="single" w:sz="4" w:space="0" w:color="FFFFFF"/>
            </w:tcBorders>
            <w:shd w:val="clear" w:color="000000" w:fill="203764"/>
            <w:noWrap/>
            <w:vAlign w:val="bottom"/>
            <w:hideMark/>
          </w:tcPr>
          <w:p w14:paraId="5B196906"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2019</w:t>
            </w:r>
          </w:p>
        </w:tc>
        <w:tc>
          <w:tcPr>
            <w:tcW w:w="396" w:type="pct"/>
            <w:tcBorders>
              <w:top w:val="single" w:sz="4" w:space="0" w:color="FFFFFF"/>
              <w:left w:val="nil"/>
              <w:bottom w:val="single" w:sz="4" w:space="0" w:color="auto"/>
              <w:right w:val="single" w:sz="4" w:space="0" w:color="FFFFFF"/>
            </w:tcBorders>
            <w:shd w:val="clear" w:color="000000" w:fill="203764"/>
            <w:noWrap/>
            <w:vAlign w:val="bottom"/>
            <w:hideMark/>
          </w:tcPr>
          <w:p w14:paraId="78DEF1AE"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2020</w:t>
            </w:r>
          </w:p>
        </w:tc>
        <w:tc>
          <w:tcPr>
            <w:tcW w:w="396" w:type="pct"/>
            <w:tcBorders>
              <w:top w:val="single" w:sz="4" w:space="0" w:color="FFFFFF"/>
              <w:left w:val="nil"/>
              <w:bottom w:val="single" w:sz="4" w:space="0" w:color="auto"/>
              <w:right w:val="single" w:sz="4" w:space="0" w:color="FFFFFF"/>
            </w:tcBorders>
            <w:shd w:val="clear" w:color="000000" w:fill="203764"/>
            <w:noWrap/>
            <w:vAlign w:val="bottom"/>
            <w:hideMark/>
          </w:tcPr>
          <w:p w14:paraId="1BEA8CA2"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2021</w:t>
            </w:r>
          </w:p>
        </w:tc>
        <w:tc>
          <w:tcPr>
            <w:tcW w:w="395" w:type="pct"/>
            <w:tcBorders>
              <w:top w:val="single" w:sz="4" w:space="0" w:color="FFFFFF"/>
              <w:left w:val="nil"/>
              <w:bottom w:val="single" w:sz="4" w:space="0" w:color="auto"/>
              <w:right w:val="single" w:sz="4" w:space="0" w:color="FFFFFF"/>
            </w:tcBorders>
            <w:shd w:val="clear" w:color="000000" w:fill="203764"/>
            <w:noWrap/>
            <w:vAlign w:val="bottom"/>
            <w:hideMark/>
          </w:tcPr>
          <w:p w14:paraId="1021F666"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2022</w:t>
            </w:r>
          </w:p>
        </w:tc>
      </w:tr>
      <w:tr w:rsidR="00B54F4E" w:rsidRPr="001F1529" w14:paraId="0A912D6A" w14:textId="77777777" w:rsidTr="006504C4">
        <w:trPr>
          <w:trHeight w:val="206"/>
        </w:trPr>
        <w:tc>
          <w:tcPr>
            <w:tcW w:w="2386" w:type="pct"/>
            <w:tcBorders>
              <w:top w:val="nil"/>
              <w:left w:val="nil"/>
              <w:bottom w:val="nil"/>
              <w:right w:val="nil"/>
            </w:tcBorders>
            <w:shd w:val="clear" w:color="auto" w:fill="auto"/>
            <w:noWrap/>
            <w:vAlign w:val="bottom"/>
            <w:hideMark/>
          </w:tcPr>
          <w:p w14:paraId="6606E207"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GNL LPI 01 - 15</w:t>
            </w:r>
          </w:p>
        </w:tc>
        <w:tc>
          <w:tcPr>
            <w:tcW w:w="127" w:type="pct"/>
            <w:tcBorders>
              <w:top w:val="nil"/>
              <w:left w:val="nil"/>
              <w:bottom w:val="nil"/>
              <w:right w:val="nil"/>
            </w:tcBorders>
            <w:shd w:val="clear" w:color="auto" w:fill="auto"/>
            <w:noWrap/>
            <w:vAlign w:val="bottom"/>
            <w:hideMark/>
          </w:tcPr>
          <w:p w14:paraId="311A2207"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52983E35" w14:textId="77777777" w:rsidR="00B54F4E" w:rsidRPr="00E17C87" w:rsidRDefault="00B54F4E" w:rsidP="006504C4">
            <w:pPr>
              <w:spacing w:before="0" w:after="0"/>
              <w:jc w:val="right"/>
              <w:rPr>
                <w:rFonts w:ascii="Calibri" w:hAnsi="Calibri" w:cs="Calibri"/>
                <w:color w:val="000000"/>
                <w:sz w:val="18"/>
                <w:szCs w:val="22"/>
                <w:lang w:eastAsia="es-CO"/>
              </w:rPr>
            </w:pPr>
            <w:r w:rsidRPr="00E17C87">
              <w:rPr>
                <w:rFonts w:ascii="Calibri" w:hAnsi="Calibri" w:cs="Calibri"/>
                <w:color w:val="000000"/>
                <w:sz w:val="18"/>
                <w:szCs w:val="22"/>
                <w:lang w:eastAsia="es-CO"/>
              </w:rPr>
              <w:t>0</w:t>
            </w:r>
          </w:p>
        </w:tc>
        <w:tc>
          <w:tcPr>
            <w:tcW w:w="391" w:type="pct"/>
            <w:tcBorders>
              <w:top w:val="nil"/>
              <w:left w:val="nil"/>
              <w:bottom w:val="nil"/>
              <w:right w:val="nil"/>
            </w:tcBorders>
            <w:shd w:val="clear" w:color="auto" w:fill="auto"/>
            <w:noWrap/>
            <w:vAlign w:val="bottom"/>
            <w:hideMark/>
          </w:tcPr>
          <w:p w14:paraId="35976506"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108,5</w:t>
            </w:r>
          </w:p>
        </w:tc>
        <w:tc>
          <w:tcPr>
            <w:tcW w:w="396" w:type="pct"/>
            <w:tcBorders>
              <w:top w:val="nil"/>
              <w:left w:val="nil"/>
              <w:bottom w:val="nil"/>
              <w:right w:val="nil"/>
            </w:tcBorders>
            <w:shd w:val="clear" w:color="auto" w:fill="auto"/>
            <w:noWrap/>
            <w:vAlign w:val="bottom"/>
            <w:hideMark/>
          </w:tcPr>
          <w:p w14:paraId="0C0B74FE"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108,5</w:t>
            </w:r>
          </w:p>
        </w:tc>
        <w:tc>
          <w:tcPr>
            <w:tcW w:w="396" w:type="pct"/>
            <w:tcBorders>
              <w:top w:val="nil"/>
              <w:left w:val="nil"/>
              <w:bottom w:val="nil"/>
              <w:right w:val="nil"/>
            </w:tcBorders>
            <w:shd w:val="clear" w:color="auto" w:fill="auto"/>
            <w:noWrap/>
            <w:vAlign w:val="bottom"/>
            <w:hideMark/>
          </w:tcPr>
          <w:p w14:paraId="2E93F7A3"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108,5</w:t>
            </w:r>
          </w:p>
        </w:tc>
        <w:tc>
          <w:tcPr>
            <w:tcW w:w="396" w:type="pct"/>
            <w:tcBorders>
              <w:top w:val="nil"/>
              <w:left w:val="nil"/>
              <w:bottom w:val="nil"/>
              <w:right w:val="nil"/>
            </w:tcBorders>
            <w:shd w:val="clear" w:color="auto" w:fill="auto"/>
            <w:noWrap/>
            <w:vAlign w:val="bottom"/>
            <w:hideMark/>
          </w:tcPr>
          <w:p w14:paraId="7D8FE70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108,5</w:t>
            </w:r>
          </w:p>
        </w:tc>
        <w:tc>
          <w:tcPr>
            <w:tcW w:w="395" w:type="pct"/>
            <w:tcBorders>
              <w:top w:val="nil"/>
              <w:left w:val="nil"/>
              <w:bottom w:val="nil"/>
              <w:right w:val="nil"/>
            </w:tcBorders>
            <w:shd w:val="clear" w:color="auto" w:fill="auto"/>
            <w:noWrap/>
            <w:vAlign w:val="bottom"/>
            <w:hideMark/>
          </w:tcPr>
          <w:p w14:paraId="149DF373"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108,5</w:t>
            </w:r>
          </w:p>
        </w:tc>
      </w:tr>
      <w:tr w:rsidR="00B54F4E" w:rsidRPr="001F1529" w14:paraId="018ECA6B" w14:textId="77777777" w:rsidTr="006504C4">
        <w:trPr>
          <w:trHeight w:val="206"/>
        </w:trPr>
        <w:tc>
          <w:tcPr>
            <w:tcW w:w="2386" w:type="pct"/>
            <w:tcBorders>
              <w:top w:val="nil"/>
              <w:left w:val="nil"/>
              <w:bottom w:val="single" w:sz="4" w:space="0" w:color="A6A6A6"/>
              <w:right w:val="nil"/>
            </w:tcBorders>
            <w:shd w:val="clear" w:color="auto" w:fill="auto"/>
            <w:noWrap/>
            <w:vAlign w:val="bottom"/>
            <w:hideMark/>
          </w:tcPr>
          <w:p w14:paraId="7E87FC8B"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GNL LPI 02 - 15</w:t>
            </w:r>
          </w:p>
        </w:tc>
        <w:tc>
          <w:tcPr>
            <w:tcW w:w="127" w:type="pct"/>
            <w:tcBorders>
              <w:top w:val="nil"/>
              <w:left w:val="nil"/>
              <w:bottom w:val="single" w:sz="4" w:space="0" w:color="A6A6A6"/>
              <w:right w:val="nil"/>
            </w:tcBorders>
            <w:shd w:val="clear" w:color="auto" w:fill="auto"/>
            <w:noWrap/>
            <w:vAlign w:val="bottom"/>
            <w:hideMark/>
          </w:tcPr>
          <w:p w14:paraId="41F053D0"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nil"/>
              <w:left w:val="nil"/>
              <w:bottom w:val="single" w:sz="4" w:space="0" w:color="A6A6A6"/>
              <w:right w:val="nil"/>
            </w:tcBorders>
            <w:shd w:val="clear" w:color="auto" w:fill="auto"/>
            <w:noWrap/>
            <w:vAlign w:val="bottom"/>
            <w:hideMark/>
          </w:tcPr>
          <w:p w14:paraId="3BCC1B05"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1" w:type="pct"/>
            <w:tcBorders>
              <w:top w:val="nil"/>
              <w:left w:val="nil"/>
              <w:bottom w:val="single" w:sz="4" w:space="0" w:color="A6A6A6"/>
              <w:right w:val="nil"/>
            </w:tcBorders>
            <w:shd w:val="clear" w:color="auto" w:fill="auto"/>
            <w:noWrap/>
            <w:vAlign w:val="bottom"/>
            <w:hideMark/>
          </w:tcPr>
          <w:p w14:paraId="20355B18"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A6A6A6"/>
              <w:right w:val="nil"/>
            </w:tcBorders>
            <w:shd w:val="clear" w:color="auto" w:fill="auto"/>
            <w:noWrap/>
            <w:vAlign w:val="bottom"/>
            <w:hideMark/>
          </w:tcPr>
          <w:p w14:paraId="39F47E1D"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A6A6A6"/>
              <w:right w:val="nil"/>
            </w:tcBorders>
            <w:shd w:val="clear" w:color="auto" w:fill="auto"/>
            <w:noWrap/>
            <w:vAlign w:val="bottom"/>
            <w:hideMark/>
          </w:tcPr>
          <w:p w14:paraId="7396E291"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81,2</w:t>
            </w:r>
          </w:p>
        </w:tc>
        <w:tc>
          <w:tcPr>
            <w:tcW w:w="396" w:type="pct"/>
            <w:tcBorders>
              <w:top w:val="nil"/>
              <w:left w:val="nil"/>
              <w:bottom w:val="single" w:sz="4" w:space="0" w:color="A6A6A6"/>
              <w:right w:val="nil"/>
            </w:tcBorders>
            <w:shd w:val="clear" w:color="auto" w:fill="auto"/>
            <w:noWrap/>
            <w:vAlign w:val="bottom"/>
            <w:hideMark/>
          </w:tcPr>
          <w:p w14:paraId="7E7ED22D"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81,2</w:t>
            </w:r>
          </w:p>
        </w:tc>
        <w:tc>
          <w:tcPr>
            <w:tcW w:w="395" w:type="pct"/>
            <w:tcBorders>
              <w:top w:val="nil"/>
              <w:left w:val="nil"/>
              <w:bottom w:val="single" w:sz="4" w:space="0" w:color="A6A6A6"/>
              <w:right w:val="nil"/>
            </w:tcBorders>
            <w:shd w:val="clear" w:color="auto" w:fill="auto"/>
            <w:noWrap/>
            <w:vAlign w:val="bottom"/>
            <w:hideMark/>
          </w:tcPr>
          <w:p w14:paraId="62521224"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81,2</w:t>
            </w:r>
          </w:p>
        </w:tc>
      </w:tr>
      <w:tr w:rsidR="00B54F4E" w:rsidRPr="001F1529" w14:paraId="2BA082CF" w14:textId="77777777" w:rsidTr="006504C4">
        <w:trPr>
          <w:trHeight w:val="206"/>
        </w:trPr>
        <w:tc>
          <w:tcPr>
            <w:tcW w:w="2386" w:type="pct"/>
            <w:tcBorders>
              <w:top w:val="nil"/>
              <w:left w:val="nil"/>
              <w:bottom w:val="nil"/>
              <w:right w:val="nil"/>
            </w:tcBorders>
            <w:shd w:val="clear" w:color="auto" w:fill="auto"/>
            <w:noWrap/>
            <w:vAlign w:val="bottom"/>
            <w:hideMark/>
          </w:tcPr>
          <w:p w14:paraId="5DF82E74"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Carbon LPI 01 - 15</w:t>
            </w:r>
          </w:p>
        </w:tc>
        <w:tc>
          <w:tcPr>
            <w:tcW w:w="127" w:type="pct"/>
            <w:tcBorders>
              <w:top w:val="nil"/>
              <w:left w:val="nil"/>
              <w:bottom w:val="nil"/>
              <w:right w:val="nil"/>
            </w:tcBorders>
            <w:shd w:val="clear" w:color="auto" w:fill="auto"/>
            <w:noWrap/>
            <w:vAlign w:val="bottom"/>
            <w:hideMark/>
          </w:tcPr>
          <w:p w14:paraId="151B1234"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4A960FB6" w14:textId="77777777" w:rsidR="00B54F4E" w:rsidRPr="00E17C87" w:rsidRDefault="00B54F4E" w:rsidP="006504C4">
            <w:pPr>
              <w:spacing w:before="0" w:after="0"/>
              <w:jc w:val="right"/>
              <w:rPr>
                <w:rFonts w:ascii="Calibri" w:hAnsi="Calibri" w:cs="Calibri"/>
                <w:color w:val="000000"/>
                <w:sz w:val="18"/>
                <w:szCs w:val="22"/>
                <w:lang w:eastAsia="es-CO"/>
              </w:rPr>
            </w:pPr>
            <w:r w:rsidRPr="00E17C87">
              <w:rPr>
                <w:rFonts w:ascii="Calibri" w:hAnsi="Calibri" w:cs="Calibri"/>
                <w:color w:val="000000"/>
                <w:sz w:val="18"/>
                <w:szCs w:val="22"/>
                <w:lang w:eastAsia="es-CO"/>
              </w:rPr>
              <w:t>0</w:t>
            </w:r>
          </w:p>
        </w:tc>
        <w:tc>
          <w:tcPr>
            <w:tcW w:w="391" w:type="pct"/>
            <w:tcBorders>
              <w:top w:val="nil"/>
              <w:left w:val="nil"/>
              <w:bottom w:val="nil"/>
              <w:right w:val="nil"/>
            </w:tcBorders>
            <w:shd w:val="clear" w:color="auto" w:fill="auto"/>
            <w:noWrap/>
            <w:vAlign w:val="bottom"/>
            <w:hideMark/>
          </w:tcPr>
          <w:p w14:paraId="79E58325"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119,0</w:t>
            </w:r>
          </w:p>
        </w:tc>
        <w:tc>
          <w:tcPr>
            <w:tcW w:w="396" w:type="pct"/>
            <w:tcBorders>
              <w:top w:val="nil"/>
              <w:left w:val="nil"/>
              <w:bottom w:val="nil"/>
              <w:right w:val="nil"/>
            </w:tcBorders>
            <w:shd w:val="clear" w:color="auto" w:fill="auto"/>
            <w:noWrap/>
            <w:vAlign w:val="bottom"/>
            <w:hideMark/>
          </w:tcPr>
          <w:p w14:paraId="74E50DF6"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119,0</w:t>
            </w:r>
          </w:p>
        </w:tc>
        <w:tc>
          <w:tcPr>
            <w:tcW w:w="396" w:type="pct"/>
            <w:tcBorders>
              <w:top w:val="nil"/>
              <w:left w:val="nil"/>
              <w:bottom w:val="nil"/>
              <w:right w:val="nil"/>
            </w:tcBorders>
            <w:shd w:val="clear" w:color="auto" w:fill="auto"/>
            <w:noWrap/>
            <w:vAlign w:val="bottom"/>
            <w:hideMark/>
          </w:tcPr>
          <w:p w14:paraId="12558963"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119,0</w:t>
            </w:r>
          </w:p>
        </w:tc>
        <w:tc>
          <w:tcPr>
            <w:tcW w:w="396" w:type="pct"/>
            <w:tcBorders>
              <w:top w:val="nil"/>
              <w:left w:val="nil"/>
              <w:bottom w:val="nil"/>
              <w:right w:val="nil"/>
            </w:tcBorders>
            <w:shd w:val="clear" w:color="auto" w:fill="auto"/>
            <w:noWrap/>
            <w:vAlign w:val="bottom"/>
            <w:hideMark/>
          </w:tcPr>
          <w:p w14:paraId="7684478B"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119,0</w:t>
            </w:r>
          </w:p>
        </w:tc>
        <w:tc>
          <w:tcPr>
            <w:tcW w:w="395" w:type="pct"/>
            <w:tcBorders>
              <w:top w:val="nil"/>
              <w:left w:val="nil"/>
              <w:bottom w:val="nil"/>
              <w:right w:val="nil"/>
            </w:tcBorders>
            <w:shd w:val="clear" w:color="auto" w:fill="auto"/>
            <w:noWrap/>
            <w:vAlign w:val="bottom"/>
            <w:hideMark/>
          </w:tcPr>
          <w:p w14:paraId="4BB9A29F"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119,0</w:t>
            </w:r>
          </w:p>
        </w:tc>
      </w:tr>
      <w:tr w:rsidR="00B54F4E" w:rsidRPr="001F1529" w14:paraId="262EDC72" w14:textId="77777777" w:rsidTr="006504C4">
        <w:trPr>
          <w:trHeight w:val="206"/>
        </w:trPr>
        <w:tc>
          <w:tcPr>
            <w:tcW w:w="2386" w:type="pct"/>
            <w:tcBorders>
              <w:top w:val="nil"/>
              <w:left w:val="nil"/>
              <w:bottom w:val="single" w:sz="4" w:space="0" w:color="000000"/>
              <w:right w:val="nil"/>
            </w:tcBorders>
            <w:shd w:val="clear" w:color="auto" w:fill="auto"/>
            <w:noWrap/>
            <w:vAlign w:val="bottom"/>
            <w:hideMark/>
          </w:tcPr>
          <w:p w14:paraId="47C6F8E5"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Carbon LPI 02 - 15</w:t>
            </w:r>
          </w:p>
        </w:tc>
        <w:tc>
          <w:tcPr>
            <w:tcW w:w="127" w:type="pct"/>
            <w:tcBorders>
              <w:top w:val="nil"/>
              <w:left w:val="nil"/>
              <w:bottom w:val="single" w:sz="4" w:space="0" w:color="000000"/>
              <w:right w:val="nil"/>
            </w:tcBorders>
            <w:shd w:val="clear" w:color="auto" w:fill="auto"/>
            <w:noWrap/>
            <w:vAlign w:val="bottom"/>
            <w:hideMark/>
          </w:tcPr>
          <w:p w14:paraId="37473DC9"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nil"/>
              <w:left w:val="nil"/>
              <w:bottom w:val="single" w:sz="4" w:space="0" w:color="000000"/>
              <w:right w:val="nil"/>
            </w:tcBorders>
            <w:shd w:val="clear" w:color="auto" w:fill="auto"/>
            <w:noWrap/>
            <w:vAlign w:val="bottom"/>
            <w:hideMark/>
          </w:tcPr>
          <w:p w14:paraId="431A24A2"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1" w:type="pct"/>
            <w:tcBorders>
              <w:top w:val="nil"/>
              <w:left w:val="nil"/>
              <w:bottom w:val="single" w:sz="4" w:space="0" w:color="000000"/>
              <w:right w:val="nil"/>
            </w:tcBorders>
            <w:shd w:val="clear" w:color="auto" w:fill="auto"/>
            <w:noWrap/>
            <w:vAlign w:val="bottom"/>
            <w:hideMark/>
          </w:tcPr>
          <w:p w14:paraId="5CFC21CF"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000000"/>
              <w:right w:val="nil"/>
            </w:tcBorders>
            <w:shd w:val="clear" w:color="auto" w:fill="auto"/>
            <w:noWrap/>
            <w:vAlign w:val="bottom"/>
            <w:hideMark/>
          </w:tcPr>
          <w:p w14:paraId="4FA9DC90"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000000"/>
              <w:right w:val="nil"/>
            </w:tcBorders>
            <w:shd w:val="clear" w:color="auto" w:fill="auto"/>
            <w:noWrap/>
            <w:vAlign w:val="bottom"/>
            <w:hideMark/>
          </w:tcPr>
          <w:p w14:paraId="427F5C66"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93,5</w:t>
            </w:r>
          </w:p>
        </w:tc>
        <w:tc>
          <w:tcPr>
            <w:tcW w:w="396" w:type="pct"/>
            <w:tcBorders>
              <w:top w:val="nil"/>
              <w:left w:val="nil"/>
              <w:bottom w:val="single" w:sz="4" w:space="0" w:color="000000"/>
              <w:right w:val="nil"/>
            </w:tcBorders>
            <w:shd w:val="clear" w:color="auto" w:fill="auto"/>
            <w:noWrap/>
            <w:vAlign w:val="bottom"/>
            <w:hideMark/>
          </w:tcPr>
          <w:p w14:paraId="2B0897F6"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93,5</w:t>
            </w:r>
          </w:p>
        </w:tc>
        <w:tc>
          <w:tcPr>
            <w:tcW w:w="395" w:type="pct"/>
            <w:tcBorders>
              <w:top w:val="nil"/>
              <w:left w:val="nil"/>
              <w:bottom w:val="single" w:sz="4" w:space="0" w:color="000000"/>
              <w:right w:val="nil"/>
            </w:tcBorders>
            <w:shd w:val="clear" w:color="auto" w:fill="auto"/>
            <w:noWrap/>
            <w:vAlign w:val="bottom"/>
            <w:hideMark/>
          </w:tcPr>
          <w:p w14:paraId="03BA8938"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93,5</w:t>
            </w:r>
          </w:p>
        </w:tc>
      </w:tr>
      <w:tr w:rsidR="00B54F4E" w:rsidRPr="001F1529" w14:paraId="5C998793" w14:textId="77777777" w:rsidTr="006504C4">
        <w:trPr>
          <w:trHeight w:val="206"/>
        </w:trPr>
        <w:tc>
          <w:tcPr>
            <w:tcW w:w="2386" w:type="pct"/>
            <w:tcBorders>
              <w:top w:val="nil"/>
              <w:left w:val="nil"/>
              <w:bottom w:val="nil"/>
              <w:right w:val="nil"/>
            </w:tcBorders>
            <w:shd w:val="clear" w:color="auto" w:fill="auto"/>
            <w:noWrap/>
            <w:vAlign w:val="bottom"/>
            <w:hideMark/>
          </w:tcPr>
          <w:p w14:paraId="6ECBD69B" w14:textId="77777777" w:rsidR="00B54F4E" w:rsidRPr="001F1529" w:rsidRDefault="00B54F4E" w:rsidP="006504C4">
            <w:pPr>
              <w:spacing w:before="0" w:after="0"/>
              <w:jc w:val="right"/>
              <w:rPr>
                <w:rFonts w:ascii="Calibri" w:hAnsi="Calibri" w:cs="Calibri"/>
                <w:color w:val="000000"/>
                <w:sz w:val="18"/>
                <w:szCs w:val="22"/>
                <w:lang w:eastAsia="es-CO"/>
              </w:rPr>
            </w:pPr>
          </w:p>
        </w:tc>
        <w:tc>
          <w:tcPr>
            <w:tcW w:w="127" w:type="pct"/>
            <w:tcBorders>
              <w:top w:val="nil"/>
              <w:left w:val="nil"/>
              <w:bottom w:val="nil"/>
              <w:right w:val="nil"/>
            </w:tcBorders>
            <w:shd w:val="clear" w:color="auto" w:fill="auto"/>
            <w:noWrap/>
            <w:vAlign w:val="bottom"/>
            <w:hideMark/>
          </w:tcPr>
          <w:p w14:paraId="1CF4E64E"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7A340AAF" w14:textId="77777777" w:rsidR="00B54F4E" w:rsidRPr="001F1529" w:rsidRDefault="00B54F4E" w:rsidP="006504C4">
            <w:pPr>
              <w:spacing w:before="0" w:after="0"/>
              <w:jc w:val="left"/>
              <w:rPr>
                <w:rFonts w:ascii="Times New Roman" w:hAnsi="Times New Roman"/>
                <w:sz w:val="18"/>
                <w:lang w:eastAsia="es-CO"/>
              </w:rPr>
            </w:pPr>
          </w:p>
        </w:tc>
        <w:tc>
          <w:tcPr>
            <w:tcW w:w="391" w:type="pct"/>
            <w:tcBorders>
              <w:top w:val="nil"/>
              <w:left w:val="nil"/>
              <w:bottom w:val="nil"/>
              <w:right w:val="nil"/>
            </w:tcBorders>
            <w:shd w:val="clear" w:color="auto" w:fill="auto"/>
            <w:noWrap/>
            <w:vAlign w:val="bottom"/>
            <w:hideMark/>
          </w:tcPr>
          <w:p w14:paraId="398ADF4D"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1FA54D0A"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238937B9"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622B8BCC" w14:textId="77777777" w:rsidR="00B54F4E" w:rsidRPr="001F1529" w:rsidRDefault="00B54F4E" w:rsidP="006504C4">
            <w:pPr>
              <w:spacing w:before="0" w:after="0"/>
              <w:jc w:val="left"/>
              <w:rPr>
                <w:rFonts w:ascii="Times New Roman" w:hAnsi="Times New Roman"/>
                <w:sz w:val="18"/>
                <w:lang w:eastAsia="es-CO"/>
              </w:rPr>
            </w:pPr>
          </w:p>
        </w:tc>
        <w:tc>
          <w:tcPr>
            <w:tcW w:w="395" w:type="pct"/>
            <w:tcBorders>
              <w:top w:val="nil"/>
              <w:left w:val="nil"/>
              <w:bottom w:val="nil"/>
              <w:right w:val="nil"/>
            </w:tcBorders>
            <w:shd w:val="clear" w:color="auto" w:fill="auto"/>
            <w:noWrap/>
            <w:vAlign w:val="bottom"/>
            <w:hideMark/>
          </w:tcPr>
          <w:p w14:paraId="3B9EF7E9" w14:textId="77777777" w:rsidR="00B54F4E" w:rsidRPr="001F1529" w:rsidRDefault="00B54F4E" w:rsidP="006504C4">
            <w:pPr>
              <w:spacing w:before="0" w:after="0"/>
              <w:jc w:val="left"/>
              <w:rPr>
                <w:rFonts w:ascii="Times New Roman" w:hAnsi="Times New Roman"/>
                <w:sz w:val="18"/>
                <w:lang w:eastAsia="es-CO"/>
              </w:rPr>
            </w:pPr>
          </w:p>
        </w:tc>
      </w:tr>
      <w:tr w:rsidR="00B54F4E" w:rsidRPr="001F1529" w14:paraId="4B17E175" w14:textId="77777777" w:rsidTr="006504C4">
        <w:trPr>
          <w:trHeight w:val="206"/>
        </w:trPr>
        <w:tc>
          <w:tcPr>
            <w:tcW w:w="2386" w:type="pct"/>
            <w:tcBorders>
              <w:top w:val="nil"/>
              <w:left w:val="nil"/>
              <w:bottom w:val="nil"/>
              <w:right w:val="nil"/>
            </w:tcBorders>
            <w:shd w:val="clear" w:color="auto" w:fill="auto"/>
            <w:noWrap/>
            <w:vAlign w:val="bottom"/>
            <w:hideMark/>
          </w:tcPr>
          <w:p w14:paraId="08F2FBC1" w14:textId="77777777" w:rsidR="00B54F4E" w:rsidRPr="001F1529" w:rsidRDefault="00B54F4E" w:rsidP="006504C4">
            <w:pPr>
              <w:spacing w:before="0" w:after="0"/>
              <w:jc w:val="left"/>
              <w:rPr>
                <w:rFonts w:ascii="Calibri" w:hAnsi="Calibri" w:cs="Calibri"/>
                <w:b/>
                <w:bCs/>
                <w:color w:val="000000"/>
                <w:sz w:val="18"/>
                <w:szCs w:val="22"/>
                <w:lang w:eastAsia="es-CO"/>
              </w:rPr>
            </w:pPr>
            <w:r w:rsidRPr="001F1529">
              <w:rPr>
                <w:rFonts w:ascii="Calibri" w:hAnsi="Calibri" w:cs="Calibri"/>
                <w:b/>
                <w:bCs/>
                <w:color w:val="000000"/>
                <w:sz w:val="18"/>
                <w:szCs w:val="22"/>
                <w:lang w:eastAsia="es-CO"/>
              </w:rPr>
              <w:t>Valor de la generación</w:t>
            </w:r>
          </w:p>
        </w:tc>
        <w:tc>
          <w:tcPr>
            <w:tcW w:w="127" w:type="pct"/>
            <w:tcBorders>
              <w:top w:val="nil"/>
              <w:left w:val="nil"/>
              <w:bottom w:val="nil"/>
              <w:right w:val="nil"/>
            </w:tcBorders>
            <w:shd w:val="clear" w:color="auto" w:fill="auto"/>
            <w:noWrap/>
            <w:vAlign w:val="bottom"/>
            <w:hideMark/>
          </w:tcPr>
          <w:p w14:paraId="6CB0DD6C"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582B6EEB" w14:textId="77777777" w:rsidR="00B54F4E" w:rsidRPr="001F1529" w:rsidRDefault="00B54F4E" w:rsidP="006504C4">
            <w:pPr>
              <w:spacing w:before="0" w:after="0"/>
              <w:jc w:val="left"/>
              <w:rPr>
                <w:rFonts w:ascii="Times New Roman" w:hAnsi="Times New Roman"/>
                <w:sz w:val="18"/>
                <w:lang w:eastAsia="es-CO"/>
              </w:rPr>
            </w:pPr>
          </w:p>
        </w:tc>
        <w:tc>
          <w:tcPr>
            <w:tcW w:w="391" w:type="pct"/>
            <w:tcBorders>
              <w:top w:val="nil"/>
              <w:left w:val="nil"/>
              <w:bottom w:val="nil"/>
              <w:right w:val="nil"/>
            </w:tcBorders>
            <w:shd w:val="clear" w:color="auto" w:fill="auto"/>
            <w:noWrap/>
            <w:vAlign w:val="bottom"/>
            <w:hideMark/>
          </w:tcPr>
          <w:p w14:paraId="154B22C9"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7E8244B2"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66924C09"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157BDA5A" w14:textId="77777777" w:rsidR="00B54F4E" w:rsidRPr="001F1529" w:rsidRDefault="00B54F4E" w:rsidP="006504C4">
            <w:pPr>
              <w:spacing w:before="0" w:after="0"/>
              <w:jc w:val="left"/>
              <w:rPr>
                <w:rFonts w:ascii="Times New Roman" w:hAnsi="Times New Roman"/>
                <w:sz w:val="18"/>
                <w:lang w:eastAsia="es-CO"/>
              </w:rPr>
            </w:pPr>
          </w:p>
        </w:tc>
        <w:tc>
          <w:tcPr>
            <w:tcW w:w="395" w:type="pct"/>
            <w:tcBorders>
              <w:top w:val="nil"/>
              <w:left w:val="nil"/>
              <w:bottom w:val="nil"/>
              <w:right w:val="nil"/>
            </w:tcBorders>
            <w:shd w:val="clear" w:color="auto" w:fill="auto"/>
            <w:noWrap/>
            <w:vAlign w:val="bottom"/>
            <w:hideMark/>
          </w:tcPr>
          <w:p w14:paraId="4B746372" w14:textId="77777777" w:rsidR="00B54F4E" w:rsidRPr="001F1529" w:rsidRDefault="00B54F4E" w:rsidP="006504C4">
            <w:pPr>
              <w:spacing w:before="0" w:after="0"/>
              <w:jc w:val="left"/>
              <w:rPr>
                <w:rFonts w:ascii="Times New Roman" w:hAnsi="Times New Roman"/>
                <w:sz w:val="18"/>
                <w:lang w:eastAsia="es-CO"/>
              </w:rPr>
            </w:pPr>
          </w:p>
        </w:tc>
      </w:tr>
      <w:tr w:rsidR="00B54F4E" w:rsidRPr="001F1529" w14:paraId="6B34166A" w14:textId="77777777" w:rsidTr="006504C4">
        <w:trPr>
          <w:trHeight w:val="206"/>
        </w:trPr>
        <w:tc>
          <w:tcPr>
            <w:tcW w:w="2386" w:type="pct"/>
            <w:tcBorders>
              <w:top w:val="nil"/>
              <w:left w:val="nil"/>
              <w:bottom w:val="single" w:sz="4" w:space="0" w:color="auto"/>
              <w:right w:val="nil"/>
            </w:tcBorders>
            <w:shd w:val="clear" w:color="auto" w:fill="auto"/>
            <w:noWrap/>
            <w:vAlign w:val="bottom"/>
            <w:hideMark/>
          </w:tcPr>
          <w:p w14:paraId="6E31258F" w14:textId="77777777" w:rsidR="00B54F4E" w:rsidRPr="001F1529" w:rsidRDefault="00B54F4E" w:rsidP="006504C4">
            <w:pPr>
              <w:spacing w:before="0" w:after="0"/>
              <w:jc w:val="left"/>
              <w:rPr>
                <w:rFonts w:ascii="Calibri" w:hAnsi="Calibri" w:cs="Calibri"/>
                <w:b/>
                <w:bCs/>
                <w:color w:val="000000"/>
                <w:sz w:val="18"/>
                <w:szCs w:val="22"/>
                <w:lang w:eastAsia="es-CO"/>
              </w:rPr>
            </w:pPr>
            <w:r w:rsidRPr="001F1529">
              <w:rPr>
                <w:rFonts w:ascii="Calibri" w:hAnsi="Calibri" w:cs="Calibri"/>
                <w:b/>
                <w:bCs/>
                <w:color w:val="000000"/>
                <w:sz w:val="18"/>
                <w:szCs w:val="22"/>
                <w:lang w:eastAsia="es-CO"/>
              </w:rPr>
              <w:t xml:space="preserve"> Millones $USD 2016</w:t>
            </w:r>
          </w:p>
        </w:tc>
        <w:tc>
          <w:tcPr>
            <w:tcW w:w="127" w:type="pct"/>
            <w:tcBorders>
              <w:top w:val="nil"/>
              <w:left w:val="nil"/>
              <w:bottom w:val="single" w:sz="4" w:space="0" w:color="auto"/>
              <w:right w:val="nil"/>
            </w:tcBorders>
            <w:shd w:val="clear" w:color="auto" w:fill="auto"/>
            <w:noWrap/>
            <w:vAlign w:val="bottom"/>
            <w:hideMark/>
          </w:tcPr>
          <w:p w14:paraId="6E7AD9E7"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single" w:sz="4" w:space="0" w:color="FFFFFF"/>
              <w:left w:val="nil"/>
              <w:bottom w:val="single" w:sz="4" w:space="0" w:color="auto"/>
              <w:right w:val="single" w:sz="4" w:space="0" w:color="FFFFFF"/>
            </w:tcBorders>
            <w:shd w:val="clear" w:color="000000" w:fill="203764"/>
            <w:noWrap/>
            <w:vAlign w:val="bottom"/>
            <w:hideMark/>
          </w:tcPr>
          <w:p w14:paraId="7A0675F7"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2017</w:t>
            </w:r>
          </w:p>
        </w:tc>
        <w:tc>
          <w:tcPr>
            <w:tcW w:w="391" w:type="pct"/>
            <w:tcBorders>
              <w:top w:val="single" w:sz="4" w:space="0" w:color="FFFFFF"/>
              <w:left w:val="nil"/>
              <w:bottom w:val="single" w:sz="4" w:space="0" w:color="auto"/>
              <w:right w:val="single" w:sz="4" w:space="0" w:color="FFFFFF"/>
            </w:tcBorders>
            <w:shd w:val="clear" w:color="000000" w:fill="203764"/>
            <w:noWrap/>
            <w:vAlign w:val="bottom"/>
            <w:hideMark/>
          </w:tcPr>
          <w:p w14:paraId="64E87918"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2018</w:t>
            </w:r>
          </w:p>
        </w:tc>
        <w:tc>
          <w:tcPr>
            <w:tcW w:w="396" w:type="pct"/>
            <w:tcBorders>
              <w:top w:val="single" w:sz="4" w:space="0" w:color="FFFFFF"/>
              <w:left w:val="nil"/>
              <w:bottom w:val="single" w:sz="4" w:space="0" w:color="auto"/>
              <w:right w:val="single" w:sz="4" w:space="0" w:color="FFFFFF"/>
            </w:tcBorders>
            <w:shd w:val="clear" w:color="000000" w:fill="203764"/>
            <w:noWrap/>
            <w:vAlign w:val="bottom"/>
            <w:hideMark/>
          </w:tcPr>
          <w:p w14:paraId="457A6B01"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2019</w:t>
            </w:r>
          </w:p>
        </w:tc>
        <w:tc>
          <w:tcPr>
            <w:tcW w:w="396" w:type="pct"/>
            <w:tcBorders>
              <w:top w:val="single" w:sz="4" w:space="0" w:color="FFFFFF"/>
              <w:left w:val="nil"/>
              <w:bottom w:val="single" w:sz="4" w:space="0" w:color="auto"/>
              <w:right w:val="single" w:sz="4" w:space="0" w:color="FFFFFF"/>
            </w:tcBorders>
            <w:shd w:val="clear" w:color="000000" w:fill="203764"/>
            <w:noWrap/>
            <w:vAlign w:val="bottom"/>
            <w:hideMark/>
          </w:tcPr>
          <w:p w14:paraId="0467E4AD"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2020</w:t>
            </w:r>
          </w:p>
        </w:tc>
        <w:tc>
          <w:tcPr>
            <w:tcW w:w="396" w:type="pct"/>
            <w:tcBorders>
              <w:top w:val="single" w:sz="4" w:space="0" w:color="FFFFFF"/>
              <w:left w:val="nil"/>
              <w:bottom w:val="single" w:sz="4" w:space="0" w:color="auto"/>
              <w:right w:val="single" w:sz="4" w:space="0" w:color="FFFFFF"/>
            </w:tcBorders>
            <w:shd w:val="clear" w:color="000000" w:fill="203764"/>
            <w:noWrap/>
            <w:vAlign w:val="bottom"/>
            <w:hideMark/>
          </w:tcPr>
          <w:p w14:paraId="20BC7620"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2021</w:t>
            </w:r>
          </w:p>
        </w:tc>
        <w:tc>
          <w:tcPr>
            <w:tcW w:w="395" w:type="pct"/>
            <w:tcBorders>
              <w:top w:val="single" w:sz="4" w:space="0" w:color="FFFFFF"/>
              <w:left w:val="nil"/>
              <w:bottom w:val="single" w:sz="4" w:space="0" w:color="auto"/>
              <w:right w:val="single" w:sz="4" w:space="0" w:color="FFFFFF"/>
            </w:tcBorders>
            <w:shd w:val="clear" w:color="000000" w:fill="203764"/>
            <w:noWrap/>
            <w:vAlign w:val="bottom"/>
            <w:hideMark/>
          </w:tcPr>
          <w:p w14:paraId="790C62B8" w14:textId="77777777" w:rsidR="00B54F4E" w:rsidRPr="001F1529" w:rsidRDefault="00B54F4E" w:rsidP="006504C4">
            <w:pPr>
              <w:spacing w:before="0" w:after="0"/>
              <w:jc w:val="center"/>
              <w:rPr>
                <w:rFonts w:ascii="Calibri" w:hAnsi="Calibri" w:cs="Calibri"/>
                <w:color w:val="FFFFFF"/>
                <w:sz w:val="18"/>
                <w:szCs w:val="22"/>
                <w:lang w:eastAsia="es-CO"/>
              </w:rPr>
            </w:pPr>
            <w:r w:rsidRPr="001F1529">
              <w:rPr>
                <w:rFonts w:ascii="Calibri" w:hAnsi="Calibri" w:cs="Calibri"/>
                <w:color w:val="FFFFFF"/>
                <w:sz w:val="18"/>
                <w:szCs w:val="22"/>
                <w:lang w:eastAsia="es-CO"/>
              </w:rPr>
              <w:t>2022</w:t>
            </w:r>
          </w:p>
        </w:tc>
      </w:tr>
      <w:tr w:rsidR="00B54F4E" w:rsidRPr="001F1529" w14:paraId="029DA60E" w14:textId="77777777" w:rsidTr="006504C4">
        <w:trPr>
          <w:trHeight w:val="206"/>
        </w:trPr>
        <w:tc>
          <w:tcPr>
            <w:tcW w:w="2386" w:type="pct"/>
            <w:tcBorders>
              <w:top w:val="nil"/>
              <w:left w:val="nil"/>
              <w:bottom w:val="nil"/>
              <w:right w:val="nil"/>
            </w:tcBorders>
            <w:shd w:val="clear" w:color="auto" w:fill="auto"/>
            <w:noWrap/>
            <w:vAlign w:val="bottom"/>
            <w:hideMark/>
          </w:tcPr>
          <w:p w14:paraId="484CDE2A"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GNL LPI 01 - 15</w:t>
            </w:r>
          </w:p>
        </w:tc>
        <w:tc>
          <w:tcPr>
            <w:tcW w:w="127" w:type="pct"/>
            <w:tcBorders>
              <w:top w:val="nil"/>
              <w:left w:val="nil"/>
              <w:bottom w:val="nil"/>
              <w:right w:val="nil"/>
            </w:tcBorders>
            <w:shd w:val="clear" w:color="auto" w:fill="auto"/>
            <w:noWrap/>
            <w:vAlign w:val="bottom"/>
            <w:hideMark/>
          </w:tcPr>
          <w:p w14:paraId="47F3BC43"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6C8A295C" w14:textId="77777777" w:rsidR="00B54F4E" w:rsidRPr="00E17C87" w:rsidRDefault="00B54F4E" w:rsidP="006504C4">
            <w:pPr>
              <w:spacing w:before="0" w:after="0"/>
              <w:jc w:val="right"/>
              <w:rPr>
                <w:rFonts w:ascii="Calibri" w:hAnsi="Calibri" w:cs="Calibri"/>
                <w:color w:val="000000"/>
                <w:sz w:val="18"/>
                <w:szCs w:val="22"/>
                <w:lang w:eastAsia="es-CO"/>
              </w:rPr>
            </w:pPr>
            <w:r w:rsidRPr="00E17C87">
              <w:rPr>
                <w:rFonts w:ascii="Calibri" w:hAnsi="Calibri" w:cs="Calibri"/>
                <w:color w:val="000000"/>
                <w:sz w:val="18"/>
                <w:szCs w:val="22"/>
                <w:lang w:eastAsia="es-CO"/>
              </w:rPr>
              <w:t>0</w:t>
            </w:r>
          </w:p>
        </w:tc>
        <w:tc>
          <w:tcPr>
            <w:tcW w:w="391" w:type="pct"/>
            <w:tcBorders>
              <w:top w:val="nil"/>
              <w:left w:val="nil"/>
              <w:bottom w:val="nil"/>
              <w:right w:val="nil"/>
            </w:tcBorders>
            <w:shd w:val="clear" w:color="auto" w:fill="auto"/>
            <w:noWrap/>
            <w:vAlign w:val="bottom"/>
            <w:hideMark/>
          </w:tcPr>
          <w:p w14:paraId="0B619228"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148,7</w:t>
            </w:r>
          </w:p>
        </w:tc>
        <w:tc>
          <w:tcPr>
            <w:tcW w:w="396" w:type="pct"/>
            <w:tcBorders>
              <w:top w:val="nil"/>
              <w:left w:val="nil"/>
              <w:bottom w:val="nil"/>
              <w:right w:val="nil"/>
            </w:tcBorders>
            <w:shd w:val="clear" w:color="auto" w:fill="auto"/>
            <w:noWrap/>
            <w:vAlign w:val="bottom"/>
            <w:hideMark/>
          </w:tcPr>
          <w:p w14:paraId="3930B304"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148,7</w:t>
            </w:r>
          </w:p>
        </w:tc>
        <w:tc>
          <w:tcPr>
            <w:tcW w:w="396" w:type="pct"/>
            <w:tcBorders>
              <w:top w:val="nil"/>
              <w:left w:val="nil"/>
              <w:bottom w:val="nil"/>
              <w:right w:val="nil"/>
            </w:tcBorders>
            <w:shd w:val="clear" w:color="auto" w:fill="auto"/>
            <w:noWrap/>
            <w:vAlign w:val="bottom"/>
            <w:hideMark/>
          </w:tcPr>
          <w:p w14:paraId="1C5079EC"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148,7</w:t>
            </w:r>
          </w:p>
        </w:tc>
        <w:tc>
          <w:tcPr>
            <w:tcW w:w="396" w:type="pct"/>
            <w:tcBorders>
              <w:top w:val="nil"/>
              <w:left w:val="nil"/>
              <w:bottom w:val="nil"/>
              <w:right w:val="nil"/>
            </w:tcBorders>
            <w:shd w:val="clear" w:color="auto" w:fill="auto"/>
            <w:noWrap/>
            <w:vAlign w:val="bottom"/>
            <w:hideMark/>
          </w:tcPr>
          <w:p w14:paraId="5662019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148,7</w:t>
            </w:r>
          </w:p>
        </w:tc>
        <w:tc>
          <w:tcPr>
            <w:tcW w:w="395" w:type="pct"/>
            <w:tcBorders>
              <w:top w:val="nil"/>
              <w:left w:val="nil"/>
              <w:bottom w:val="nil"/>
              <w:right w:val="nil"/>
            </w:tcBorders>
            <w:shd w:val="clear" w:color="auto" w:fill="auto"/>
            <w:noWrap/>
            <w:vAlign w:val="bottom"/>
            <w:hideMark/>
          </w:tcPr>
          <w:p w14:paraId="08E2DF5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148,7</w:t>
            </w:r>
          </w:p>
        </w:tc>
      </w:tr>
      <w:tr w:rsidR="00B54F4E" w:rsidRPr="001F1529" w14:paraId="5D9D17FE" w14:textId="77777777" w:rsidTr="006504C4">
        <w:trPr>
          <w:trHeight w:val="206"/>
        </w:trPr>
        <w:tc>
          <w:tcPr>
            <w:tcW w:w="2386" w:type="pct"/>
            <w:tcBorders>
              <w:top w:val="nil"/>
              <w:left w:val="nil"/>
              <w:bottom w:val="single" w:sz="4" w:space="0" w:color="A6A6A6"/>
              <w:right w:val="nil"/>
            </w:tcBorders>
            <w:shd w:val="clear" w:color="auto" w:fill="auto"/>
            <w:noWrap/>
            <w:vAlign w:val="bottom"/>
            <w:hideMark/>
          </w:tcPr>
          <w:p w14:paraId="74F81E15"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GNL LPI 02 - 15</w:t>
            </w:r>
          </w:p>
        </w:tc>
        <w:tc>
          <w:tcPr>
            <w:tcW w:w="127" w:type="pct"/>
            <w:tcBorders>
              <w:top w:val="nil"/>
              <w:left w:val="nil"/>
              <w:bottom w:val="single" w:sz="4" w:space="0" w:color="A6A6A6"/>
              <w:right w:val="nil"/>
            </w:tcBorders>
            <w:shd w:val="clear" w:color="auto" w:fill="auto"/>
            <w:noWrap/>
            <w:vAlign w:val="bottom"/>
            <w:hideMark/>
          </w:tcPr>
          <w:p w14:paraId="6DA6F1E8"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nil"/>
              <w:left w:val="nil"/>
              <w:bottom w:val="single" w:sz="4" w:space="0" w:color="A6A6A6"/>
              <w:right w:val="nil"/>
            </w:tcBorders>
            <w:shd w:val="clear" w:color="auto" w:fill="auto"/>
            <w:noWrap/>
            <w:vAlign w:val="bottom"/>
            <w:hideMark/>
          </w:tcPr>
          <w:p w14:paraId="389B3FCD"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1" w:type="pct"/>
            <w:tcBorders>
              <w:top w:val="nil"/>
              <w:left w:val="nil"/>
              <w:bottom w:val="single" w:sz="4" w:space="0" w:color="A6A6A6"/>
              <w:right w:val="nil"/>
            </w:tcBorders>
            <w:shd w:val="clear" w:color="auto" w:fill="auto"/>
            <w:noWrap/>
            <w:vAlign w:val="bottom"/>
            <w:hideMark/>
          </w:tcPr>
          <w:p w14:paraId="36EB7251"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A6A6A6"/>
              <w:right w:val="nil"/>
            </w:tcBorders>
            <w:shd w:val="clear" w:color="auto" w:fill="auto"/>
            <w:noWrap/>
            <w:vAlign w:val="bottom"/>
            <w:hideMark/>
          </w:tcPr>
          <w:p w14:paraId="018D54E9"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A6A6A6"/>
              <w:right w:val="nil"/>
            </w:tcBorders>
            <w:shd w:val="clear" w:color="auto" w:fill="auto"/>
            <w:noWrap/>
            <w:vAlign w:val="bottom"/>
            <w:hideMark/>
          </w:tcPr>
          <w:p w14:paraId="25FF2D1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88,7</w:t>
            </w:r>
          </w:p>
        </w:tc>
        <w:tc>
          <w:tcPr>
            <w:tcW w:w="396" w:type="pct"/>
            <w:tcBorders>
              <w:top w:val="nil"/>
              <w:left w:val="nil"/>
              <w:bottom w:val="single" w:sz="4" w:space="0" w:color="A6A6A6"/>
              <w:right w:val="nil"/>
            </w:tcBorders>
            <w:shd w:val="clear" w:color="auto" w:fill="auto"/>
            <w:noWrap/>
            <w:vAlign w:val="bottom"/>
            <w:hideMark/>
          </w:tcPr>
          <w:p w14:paraId="49707E0E"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88,7</w:t>
            </w:r>
          </w:p>
        </w:tc>
        <w:tc>
          <w:tcPr>
            <w:tcW w:w="395" w:type="pct"/>
            <w:tcBorders>
              <w:top w:val="nil"/>
              <w:left w:val="nil"/>
              <w:bottom w:val="single" w:sz="4" w:space="0" w:color="A6A6A6"/>
              <w:right w:val="nil"/>
            </w:tcBorders>
            <w:shd w:val="clear" w:color="auto" w:fill="auto"/>
            <w:noWrap/>
            <w:vAlign w:val="bottom"/>
            <w:hideMark/>
          </w:tcPr>
          <w:p w14:paraId="7BA0A9C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88,7</w:t>
            </w:r>
          </w:p>
        </w:tc>
      </w:tr>
      <w:tr w:rsidR="00B54F4E" w:rsidRPr="001F1529" w14:paraId="41161F89" w14:textId="77777777" w:rsidTr="006504C4">
        <w:trPr>
          <w:trHeight w:val="206"/>
        </w:trPr>
        <w:tc>
          <w:tcPr>
            <w:tcW w:w="2386" w:type="pct"/>
            <w:tcBorders>
              <w:top w:val="nil"/>
              <w:left w:val="nil"/>
              <w:bottom w:val="nil"/>
              <w:right w:val="nil"/>
            </w:tcBorders>
            <w:shd w:val="clear" w:color="auto" w:fill="auto"/>
            <w:noWrap/>
            <w:vAlign w:val="bottom"/>
            <w:hideMark/>
          </w:tcPr>
          <w:p w14:paraId="6EAE652E"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Carbon LPI 01 - 15</w:t>
            </w:r>
          </w:p>
        </w:tc>
        <w:tc>
          <w:tcPr>
            <w:tcW w:w="127" w:type="pct"/>
            <w:tcBorders>
              <w:top w:val="nil"/>
              <w:left w:val="nil"/>
              <w:bottom w:val="nil"/>
              <w:right w:val="nil"/>
            </w:tcBorders>
            <w:shd w:val="clear" w:color="auto" w:fill="auto"/>
            <w:noWrap/>
            <w:vAlign w:val="bottom"/>
            <w:hideMark/>
          </w:tcPr>
          <w:p w14:paraId="336C83DB"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650B42FF" w14:textId="77777777" w:rsidR="00B54F4E" w:rsidRPr="00E17C87" w:rsidRDefault="00B54F4E" w:rsidP="006504C4">
            <w:pPr>
              <w:spacing w:before="0" w:after="0"/>
              <w:jc w:val="right"/>
              <w:rPr>
                <w:rFonts w:ascii="Calibri" w:hAnsi="Calibri" w:cs="Calibri"/>
                <w:color w:val="000000"/>
                <w:sz w:val="18"/>
                <w:szCs w:val="22"/>
                <w:lang w:eastAsia="es-CO"/>
              </w:rPr>
            </w:pPr>
            <w:r w:rsidRPr="00E17C87">
              <w:rPr>
                <w:rFonts w:ascii="Calibri" w:hAnsi="Calibri" w:cs="Calibri"/>
                <w:color w:val="000000"/>
                <w:sz w:val="18"/>
                <w:szCs w:val="22"/>
                <w:lang w:eastAsia="es-CO"/>
              </w:rPr>
              <w:t>0</w:t>
            </w:r>
          </w:p>
        </w:tc>
        <w:tc>
          <w:tcPr>
            <w:tcW w:w="391" w:type="pct"/>
            <w:tcBorders>
              <w:top w:val="nil"/>
              <w:left w:val="nil"/>
              <w:bottom w:val="nil"/>
              <w:right w:val="nil"/>
            </w:tcBorders>
            <w:shd w:val="clear" w:color="auto" w:fill="auto"/>
            <w:noWrap/>
            <w:vAlign w:val="bottom"/>
            <w:hideMark/>
          </w:tcPr>
          <w:p w14:paraId="7C1613B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163,0</w:t>
            </w:r>
          </w:p>
        </w:tc>
        <w:tc>
          <w:tcPr>
            <w:tcW w:w="396" w:type="pct"/>
            <w:tcBorders>
              <w:top w:val="nil"/>
              <w:left w:val="nil"/>
              <w:bottom w:val="nil"/>
              <w:right w:val="nil"/>
            </w:tcBorders>
            <w:shd w:val="clear" w:color="auto" w:fill="auto"/>
            <w:noWrap/>
            <w:vAlign w:val="bottom"/>
            <w:hideMark/>
          </w:tcPr>
          <w:p w14:paraId="75FE4C15"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163,0</w:t>
            </w:r>
          </w:p>
        </w:tc>
        <w:tc>
          <w:tcPr>
            <w:tcW w:w="396" w:type="pct"/>
            <w:tcBorders>
              <w:top w:val="nil"/>
              <w:left w:val="nil"/>
              <w:bottom w:val="nil"/>
              <w:right w:val="nil"/>
            </w:tcBorders>
            <w:shd w:val="clear" w:color="auto" w:fill="auto"/>
            <w:noWrap/>
            <w:vAlign w:val="bottom"/>
            <w:hideMark/>
          </w:tcPr>
          <w:p w14:paraId="37B9B94A"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163,0</w:t>
            </w:r>
          </w:p>
        </w:tc>
        <w:tc>
          <w:tcPr>
            <w:tcW w:w="396" w:type="pct"/>
            <w:tcBorders>
              <w:top w:val="nil"/>
              <w:left w:val="nil"/>
              <w:bottom w:val="nil"/>
              <w:right w:val="nil"/>
            </w:tcBorders>
            <w:shd w:val="clear" w:color="auto" w:fill="auto"/>
            <w:noWrap/>
            <w:vAlign w:val="bottom"/>
            <w:hideMark/>
          </w:tcPr>
          <w:p w14:paraId="6B0628DE"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163,0</w:t>
            </w:r>
          </w:p>
        </w:tc>
        <w:tc>
          <w:tcPr>
            <w:tcW w:w="395" w:type="pct"/>
            <w:tcBorders>
              <w:top w:val="nil"/>
              <w:left w:val="nil"/>
              <w:bottom w:val="nil"/>
              <w:right w:val="nil"/>
            </w:tcBorders>
            <w:shd w:val="clear" w:color="auto" w:fill="auto"/>
            <w:noWrap/>
            <w:vAlign w:val="bottom"/>
            <w:hideMark/>
          </w:tcPr>
          <w:p w14:paraId="665AB672"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163,0</w:t>
            </w:r>
          </w:p>
        </w:tc>
      </w:tr>
      <w:tr w:rsidR="00B54F4E" w:rsidRPr="001F1529" w14:paraId="3D6F00A8" w14:textId="77777777" w:rsidTr="006504C4">
        <w:trPr>
          <w:trHeight w:val="206"/>
        </w:trPr>
        <w:tc>
          <w:tcPr>
            <w:tcW w:w="2386" w:type="pct"/>
            <w:tcBorders>
              <w:top w:val="nil"/>
              <w:left w:val="nil"/>
              <w:bottom w:val="single" w:sz="4" w:space="0" w:color="000000"/>
              <w:right w:val="nil"/>
            </w:tcBorders>
            <w:shd w:val="clear" w:color="auto" w:fill="auto"/>
            <w:noWrap/>
            <w:vAlign w:val="bottom"/>
            <w:hideMark/>
          </w:tcPr>
          <w:p w14:paraId="08C4A8BC"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Carbon LPI 02 - 15</w:t>
            </w:r>
          </w:p>
        </w:tc>
        <w:tc>
          <w:tcPr>
            <w:tcW w:w="127" w:type="pct"/>
            <w:tcBorders>
              <w:top w:val="nil"/>
              <w:left w:val="nil"/>
              <w:bottom w:val="single" w:sz="4" w:space="0" w:color="000000"/>
              <w:right w:val="nil"/>
            </w:tcBorders>
            <w:shd w:val="clear" w:color="auto" w:fill="auto"/>
            <w:noWrap/>
            <w:vAlign w:val="bottom"/>
            <w:hideMark/>
          </w:tcPr>
          <w:p w14:paraId="7B89DF3A"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nil"/>
              <w:left w:val="nil"/>
              <w:bottom w:val="single" w:sz="4" w:space="0" w:color="000000"/>
              <w:right w:val="nil"/>
            </w:tcBorders>
            <w:shd w:val="clear" w:color="auto" w:fill="auto"/>
            <w:noWrap/>
            <w:vAlign w:val="bottom"/>
            <w:hideMark/>
          </w:tcPr>
          <w:p w14:paraId="7345B758"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1" w:type="pct"/>
            <w:tcBorders>
              <w:top w:val="nil"/>
              <w:left w:val="nil"/>
              <w:bottom w:val="single" w:sz="4" w:space="0" w:color="000000"/>
              <w:right w:val="nil"/>
            </w:tcBorders>
            <w:shd w:val="clear" w:color="auto" w:fill="auto"/>
            <w:noWrap/>
            <w:vAlign w:val="bottom"/>
            <w:hideMark/>
          </w:tcPr>
          <w:p w14:paraId="54978DCC"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000000"/>
              <w:right w:val="nil"/>
            </w:tcBorders>
            <w:shd w:val="clear" w:color="auto" w:fill="auto"/>
            <w:noWrap/>
            <w:vAlign w:val="bottom"/>
            <w:hideMark/>
          </w:tcPr>
          <w:p w14:paraId="5527BB6D"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396" w:type="pct"/>
            <w:tcBorders>
              <w:top w:val="nil"/>
              <w:left w:val="nil"/>
              <w:bottom w:val="single" w:sz="4" w:space="0" w:color="000000"/>
              <w:right w:val="nil"/>
            </w:tcBorders>
            <w:shd w:val="clear" w:color="auto" w:fill="auto"/>
            <w:noWrap/>
            <w:vAlign w:val="bottom"/>
            <w:hideMark/>
          </w:tcPr>
          <w:p w14:paraId="704E2926"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102,1</w:t>
            </w:r>
          </w:p>
        </w:tc>
        <w:tc>
          <w:tcPr>
            <w:tcW w:w="396" w:type="pct"/>
            <w:tcBorders>
              <w:top w:val="nil"/>
              <w:left w:val="nil"/>
              <w:bottom w:val="single" w:sz="4" w:space="0" w:color="000000"/>
              <w:right w:val="nil"/>
            </w:tcBorders>
            <w:shd w:val="clear" w:color="auto" w:fill="auto"/>
            <w:noWrap/>
            <w:vAlign w:val="bottom"/>
            <w:hideMark/>
          </w:tcPr>
          <w:p w14:paraId="018D8DDF"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102,1</w:t>
            </w:r>
          </w:p>
        </w:tc>
        <w:tc>
          <w:tcPr>
            <w:tcW w:w="395" w:type="pct"/>
            <w:tcBorders>
              <w:top w:val="nil"/>
              <w:left w:val="nil"/>
              <w:bottom w:val="single" w:sz="4" w:space="0" w:color="000000"/>
              <w:right w:val="nil"/>
            </w:tcBorders>
            <w:shd w:val="clear" w:color="auto" w:fill="auto"/>
            <w:noWrap/>
            <w:vAlign w:val="bottom"/>
            <w:hideMark/>
          </w:tcPr>
          <w:p w14:paraId="2E884941"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102,1</w:t>
            </w:r>
          </w:p>
        </w:tc>
      </w:tr>
      <w:tr w:rsidR="00B54F4E" w:rsidRPr="001F1529" w14:paraId="05851F77" w14:textId="77777777" w:rsidTr="006504C4">
        <w:trPr>
          <w:trHeight w:val="206"/>
        </w:trPr>
        <w:tc>
          <w:tcPr>
            <w:tcW w:w="2386" w:type="pct"/>
            <w:tcBorders>
              <w:top w:val="nil"/>
              <w:left w:val="nil"/>
              <w:bottom w:val="nil"/>
              <w:right w:val="nil"/>
            </w:tcBorders>
            <w:shd w:val="clear" w:color="auto" w:fill="auto"/>
            <w:noWrap/>
            <w:vAlign w:val="bottom"/>
            <w:hideMark/>
          </w:tcPr>
          <w:p w14:paraId="6678FB4B"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Valor de la generación con GNL</w:t>
            </w:r>
          </w:p>
        </w:tc>
        <w:tc>
          <w:tcPr>
            <w:tcW w:w="127" w:type="pct"/>
            <w:tcBorders>
              <w:top w:val="nil"/>
              <w:left w:val="nil"/>
              <w:bottom w:val="nil"/>
              <w:right w:val="nil"/>
            </w:tcBorders>
            <w:shd w:val="clear" w:color="auto" w:fill="auto"/>
            <w:noWrap/>
            <w:vAlign w:val="bottom"/>
            <w:hideMark/>
          </w:tcPr>
          <w:p w14:paraId="4A4D4EB4"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nil"/>
              <w:right w:val="nil"/>
            </w:tcBorders>
            <w:shd w:val="clear" w:color="auto" w:fill="auto"/>
            <w:noWrap/>
            <w:vAlign w:val="bottom"/>
            <w:hideMark/>
          </w:tcPr>
          <w:p w14:paraId="12D11CCB" w14:textId="77777777" w:rsidR="00B54F4E" w:rsidRPr="00E17C87" w:rsidRDefault="00B54F4E" w:rsidP="006504C4">
            <w:pPr>
              <w:spacing w:before="0" w:after="0"/>
              <w:jc w:val="right"/>
              <w:rPr>
                <w:rFonts w:ascii="Calibri" w:hAnsi="Calibri" w:cs="Calibri"/>
                <w:color w:val="000000"/>
                <w:sz w:val="18"/>
                <w:szCs w:val="22"/>
                <w:lang w:eastAsia="es-CO"/>
              </w:rPr>
            </w:pPr>
            <w:r w:rsidRPr="00E17C87">
              <w:rPr>
                <w:rFonts w:ascii="Calibri" w:hAnsi="Calibri" w:cs="Calibri"/>
                <w:color w:val="000000"/>
                <w:sz w:val="18"/>
                <w:szCs w:val="22"/>
                <w:lang w:eastAsia="es-CO"/>
              </w:rPr>
              <w:t>0</w:t>
            </w:r>
          </w:p>
        </w:tc>
        <w:tc>
          <w:tcPr>
            <w:tcW w:w="391" w:type="pct"/>
            <w:tcBorders>
              <w:top w:val="nil"/>
              <w:left w:val="nil"/>
              <w:bottom w:val="nil"/>
              <w:right w:val="nil"/>
            </w:tcBorders>
            <w:shd w:val="clear" w:color="auto" w:fill="auto"/>
            <w:noWrap/>
            <w:vAlign w:val="bottom"/>
            <w:hideMark/>
          </w:tcPr>
          <w:p w14:paraId="7B4A6392"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148,7</w:t>
            </w:r>
          </w:p>
        </w:tc>
        <w:tc>
          <w:tcPr>
            <w:tcW w:w="396" w:type="pct"/>
            <w:tcBorders>
              <w:top w:val="nil"/>
              <w:left w:val="nil"/>
              <w:bottom w:val="nil"/>
              <w:right w:val="nil"/>
            </w:tcBorders>
            <w:shd w:val="clear" w:color="auto" w:fill="auto"/>
            <w:noWrap/>
            <w:vAlign w:val="bottom"/>
            <w:hideMark/>
          </w:tcPr>
          <w:p w14:paraId="6FDAD158"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148,7</w:t>
            </w:r>
          </w:p>
        </w:tc>
        <w:tc>
          <w:tcPr>
            <w:tcW w:w="396" w:type="pct"/>
            <w:tcBorders>
              <w:top w:val="nil"/>
              <w:left w:val="nil"/>
              <w:bottom w:val="nil"/>
              <w:right w:val="nil"/>
            </w:tcBorders>
            <w:shd w:val="clear" w:color="auto" w:fill="auto"/>
            <w:noWrap/>
            <w:vAlign w:val="bottom"/>
            <w:hideMark/>
          </w:tcPr>
          <w:p w14:paraId="389E202B"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237,4</w:t>
            </w:r>
          </w:p>
        </w:tc>
        <w:tc>
          <w:tcPr>
            <w:tcW w:w="396" w:type="pct"/>
            <w:tcBorders>
              <w:top w:val="nil"/>
              <w:left w:val="nil"/>
              <w:bottom w:val="nil"/>
              <w:right w:val="nil"/>
            </w:tcBorders>
            <w:shd w:val="clear" w:color="auto" w:fill="auto"/>
            <w:noWrap/>
            <w:vAlign w:val="bottom"/>
            <w:hideMark/>
          </w:tcPr>
          <w:p w14:paraId="2544ED8F"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237,4</w:t>
            </w:r>
          </w:p>
        </w:tc>
        <w:tc>
          <w:tcPr>
            <w:tcW w:w="395" w:type="pct"/>
            <w:tcBorders>
              <w:top w:val="nil"/>
              <w:left w:val="nil"/>
              <w:bottom w:val="nil"/>
              <w:right w:val="nil"/>
            </w:tcBorders>
            <w:shd w:val="clear" w:color="auto" w:fill="auto"/>
            <w:noWrap/>
            <w:vAlign w:val="bottom"/>
            <w:hideMark/>
          </w:tcPr>
          <w:p w14:paraId="605A5BEB"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237,4</w:t>
            </w:r>
          </w:p>
        </w:tc>
      </w:tr>
      <w:tr w:rsidR="00B54F4E" w:rsidRPr="001F1529" w14:paraId="157B224B" w14:textId="77777777" w:rsidTr="006504C4">
        <w:trPr>
          <w:trHeight w:val="206"/>
        </w:trPr>
        <w:tc>
          <w:tcPr>
            <w:tcW w:w="2386" w:type="pct"/>
            <w:tcBorders>
              <w:top w:val="nil"/>
              <w:left w:val="nil"/>
              <w:bottom w:val="single" w:sz="4" w:space="0" w:color="000000"/>
              <w:right w:val="nil"/>
            </w:tcBorders>
            <w:shd w:val="clear" w:color="auto" w:fill="auto"/>
            <w:noWrap/>
            <w:vAlign w:val="bottom"/>
            <w:hideMark/>
          </w:tcPr>
          <w:p w14:paraId="5F14CA95"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Valor de la generación con alternativa</w:t>
            </w:r>
          </w:p>
        </w:tc>
        <w:tc>
          <w:tcPr>
            <w:tcW w:w="127" w:type="pct"/>
            <w:tcBorders>
              <w:top w:val="nil"/>
              <w:left w:val="nil"/>
              <w:bottom w:val="single" w:sz="4" w:space="0" w:color="000000"/>
              <w:right w:val="nil"/>
            </w:tcBorders>
            <w:shd w:val="clear" w:color="auto" w:fill="auto"/>
            <w:noWrap/>
            <w:vAlign w:val="bottom"/>
            <w:hideMark/>
          </w:tcPr>
          <w:p w14:paraId="3BAC925E"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nil"/>
              <w:left w:val="nil"/>
              <w:bottom w:val="single" w:sz="4" w:space="0" w:color="000000"/>
              <w:right w:val="nil"/>
            </w:tcBorders>
            <w:shd w:val="clear" w:color="auto" w:fill="auto"/>
            <w:noWrap/>
            <w:vAlign w:val="bottom"/>
            <w:hideMark/>
          </w:tcPr>
          <w:p w14:paraId="6677EAA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 </w:t>
            </w:r>
            <w:r>
              <w:rPr>
                <w:rFonts w:ascii="Calibri" w:hAnsi="Calibri" w:cs="Calibri"/>
                <w:color w:val="000000"/>
                <w:sz w:val="18"/>
                <w:szCs w:val="22"/>
                <w:lang w:eastAsia="es-CO"/>
              </w:rPr>
              <w:t>0</w:t>
            </w:r>
          </w:p>
        </w:tc>
        <w:tc>
          <w:tcPr>
            <w:tcW w:w="391" w:type="pct"/>
            <w:tcBorders>
              <w:top w:val="nil"/>
              <w:left w:val="nil"/>
              <w:bottom w:val="single" w:sz="4" w:space="0" w:color="000000"/>
              <w:right w:val="nil"/>
            </w:tcBorders>
            <w:shd w:val="clear" w:color="auto" w:fill="auto"/>
            <w:noWrap/>
            <w:vAlign w:val="bottom"/>
            <w:hideMark/>
          </w:tcPr>
          <w:p w14:paraId="2170EB19"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163,0</w:t>
            </w:r>
          </w:p>
        </w:tc>
        <w:tc>
          <w:tcPr>
            <w:tcW w:w="396" w:type="pct"/>
            <w:tcBorders>
              <w:top w:val="nil"/>
              <w:left w:val="nil"/>
              <w:bottom w:val="single" w:sz="4" w:space="0" w:color="000000"/>
              <w:right w:val="nil"/>
            </w:tcBorders>
            <w:shd w:val="clear" w:color="auto" w:fill="auto"/>
            <w:noWrap/>
            <w:vAlign w:val="bottom"/>
            <w:hideMark/>
          </w:tcPr>
          <w:p w14:paraId="03F7D1F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163,0</w:t>
            </w:r>
          </w:p>
        </w:tc>
        <w:tc>
          <w:tcPr>
            <w:tcW w:w="396" w:type="pct"/>
            <w:tcBorders>
              <w:top w:val="nil"/>
              <w:left w:val="nil"/>
              <w:bottom w:val="single" w:sz="4" w:space="0" w:color="000000"/>
              <w:right w:val="nil"/>
            </w:tcBorders>
            <w:shd w:val="clear" w:color="auto" w:fill="auto"/>
            <w:noWrap/>
            <w:vAlign w:val="bottom"/>
            <w:hideMark/>
          </w:tcPr>
          <w:p w14:paraId="553D8BF9"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265,1</w:t>
            </w:r>
          </w:p>
        </w:tc>
        <w:tc>
          <w:tcPr>
            <w:tcW w:w="396" w:type="pct"/>
            <w:tcBorders>
              <w:top w:val="nil"/>
              <w:left w:val="nil"/>
              <w:bottom w:val="single" w:sz="4" w:space="0" w:color="000000"/>
              <w:right w:val="nil"/>
            </w:tcBorders>
            <w:shd w:val="clear" w:color="auto" w:fill="auto"/>
            <w:noWrap/>
            <w:vAlign w:val="bottom"/>
            <w:hideMark/>
          </w:tcPr>
          <w:p w14:paraId="352FBA9B"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265,1</w:t>
            </w:r>
          </w:p>
        </w:tc>
        <w:tc>
          <w:tcPr>
            <w:tcW w:w="395" w:type="pct"/>
            <w:tcBorders>
              <w:top w:val="nil"/>
              <w:left w:val="nil"/>
              <w:bottom w:val="single" w:sz="4" w:space="0" w:color="000000"/>
              <w:right w:val="nil"/>
            </w:tcBorders>
            <w:shd w:val="clear" w:color="auto" w:fill="auto"/>
            <w:noWrap/>
            <w:vAlign w:val="bottom"/>
            <w:hideMark/>
          </w:tcPr>
          <w:p w14:paraId="03169C69"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265,1</w:t>
            </w:r>
          </w:p>
        </w:tc>
      </w:tr>
      <w:tr w:rsidR="00B54F4E" w:rsidRPr="001F1529" w14:paraId="7B3318E7" w14:textId="77777777" w:rsidTr="006504C4">
        <w:trPr>
          <w:trHeight w:val="206"/>
        </w:trPr>
        <w:tc>
          <w:tcPr>
            <w:tcW w:w="2386" w:type="pct"/>
            <w:tcBorders>
              <w:top w:val="nil"/>
              <w:left w:val="nil"/>
              <w:bottom w:val="single" w:sz="4" w:space="0" w:color="000000"/>
              <w:right w:val="nil"/>
            </w:tcBorders>
            <w:shd w:val="clear" w:color="auto" w:fill="auto"/>
            <w:noWrap/>
            <w:vAlign w:val="bottom"/>
            <w:hideMark/>
          </w:tcPr>
          <w:p w14:paraId="2FDF48ED"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Beneficio neto de generación con GNL</w:t>
            </w:r>
          </w:p>
        </w:tc>
        <w:tc>
          <w:tcPr>
            <w:tcW w:w="127" w:type="pct"/>
            <w:tcBorders>
              <w:top w:val="nil"/>
              <w:left w:val="nil"/>
              <w:bottom w:val="single" w:sz="4" w:space="0" w:color="000000"/>
              <w:right w:val="nil"/>
            </w:tcBorders>
            <w:shd w:val="clear" w:color="auto" w:fill="auto"/>
            <w:noWrap/>
            <w:vAlign w:val="bottom"/>
            <w:hideMark/>
          </w:tcPr>
          <w:p w14:paraId="23FD86FD"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 </w:t>
            </w:r>
          </w:p>
        </w:tc>
        <w:tc>
          <w:tcPr>
            <w:tcW w:w="513" w:type="pct"/>
            <w:tcBorders>
              <w:top w:val="nil"/>
              <w:left w:val="nil"/>
              <w:bottom w:val="single" w:sz="4" w:space="0" w:color="000000"/>
              <w:right w:val="nil"/>
            </w:tcBorders>
            <w:shd w:val="clear" w:color="auto" w:fill="auto"/>
            <w:noWrap/>
            <w:vAlign w:val="bottom"/>
            <w:hideMark/>
          </w:tcPr>
          <w:p w14:paraId="5030580C"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 </w:t>
            </w:r>
            <w:r>
              <w:rPr>
                <w:rFonts w:ascii="Calibri" w:hAnsi="Calibri" w:cs="Calibri"/>
                <w:color w:val="000000"/>
                <w:sz w:val="18"/>
                <w:szCs w:val="22"/>
                <w:lang w:eastAsia="es-CO"/>
              </w:rPr>
              <w:t>0</w:t>
            </w:r>
          </w:p>
        </w:tc>
        <w:tc>
          <w:tcPr>
            <w:tcW w:w="391" w:type="pct"/>
            <w:tcBorders>
              <w:top w:val="nil"/>
              <w:left w:val="nil"/>
              <w:bottom w:val="single" w:sz="4" w:space="0" w:color="000000"/>
              <w:right w:val="nil"/>
            </w:tcBorders>
            <w:shd w:val="clear" w:color="auto" w:fill="auto"/>
            <w:noWrap/>
            <w:vAlign w:val="bottom"/>
            <w:hideMark/>
          </w:tcPr>
          <w:p w14:paraId="69AEB0C7"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14,3</w:t>
            </w:r>
          </w:p>
        </w:tc>
        <w:tc>
          <w:tcPr>
            <w:tcW w:w="396" w:type="pct"/>
            <w:tcBorders>
              <w:top w:val="nil"/>
              <w:left w:val="nil"/>
              <w:bottom w:val="single" w:sz="4" w:space="0" w:color="000000"/>
              <w:right w:val="nil"/>
            </w:tcBorders>
            <w:shd w:val="clear" w:color="auto" w:fill="auto"/>
            <w:noWrap/>
            <w:vAlign w:val="bottom"/>
            <w:hideMark/>
          </w:tcPr>
          <w:p w14:paraId="6DC0BC20"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14,3</w:t>
            </w:r>
          </w:p>
        </w:tc>
        <w:tc>
          <w:tcPr>
            <w:tcW w:w="396" w:type="pct"/>
            <w:tcBorders>
              <w:top w:val="nil"/>
              <w:left w:val="nil"/>
              <w:bottom w:val="single" w:sz="4" w:space="0" w:color="000000"/>
              <w:right w:val="nil"/>
            </w:tcBorders>
            <w:shd w:val="clear" w:color="auto" w:fill="auto"/>
            <w:noWrap/>
            <w:vAlign w:val="bottom"/>
            <w:hideMark/>
          </w:tcPr>
          <w:p w14:paraId="15FDFECE"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27,7</w:t>
            </w:r>
          </w:p>
        </w:tc>
        <w:tc>
          <w:tcPr>
            <w:tcW w:w="396" w:type="pct"/>
            <w:tcBorders>
              <w:top w:val="nil"/>
              <w:left w:val="nil"/>
              <w:bottom w:val="single" w:sz="4" w:space="0" w:color="000000"/>
              <w:right w:val="nil"/>
            </w:tcBorders>
            <w:shd w:val="clear" w:color="auto" w:fill="auto"/>
            <w:noWrap/>
            <w:vAlign w:val="bottom"/>
            <w:hideMark/>
          </w:tcPr>
          <w:p w14:paraId="4C24DCF5"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27,7</w:t>
            </w:r>
          </w:p>
        </w:tc>
        <w:tc>
          <w:tcPr>
            <w:tcW w:w="395" w:type="pct"/>
            <w:tcBorders>
              <w:top w:val="nil"/>
              <w:left w:val="nil"/>
              <w:bottom w:val="single" w:sz="4" w:space="0" w:color="000000"/>
              <w:right w:val="nil"/>
            </w:tcBorders>
            <w:shd w:val="clear" w:color="auto" w:fill="auto"/>
            <w:noWrap/>
            <w:vAlign w:val="bottom"/>
            <w:hideMark/>
          </w:tcPr>
          <w:p w14:paraId="3D3D7EB7" w14:textId="77777777" w:rsidR="00B54F4E" w:rsidRPr="001F1529" w:rsidRDefault="00B54F4E" w:rsidP="006504C4">
            <w:pPr>
              <w:spacing w:before="0" w:after="0"/>
              <w:jc w:val="right"/>
              <w:rPr>
                <w:rFonts w:ascii="Calibri" w:hAnsi="Calibri" w:cs="Calibri"/>
                <w:color w:val="000000"/>
                <w:sz w:val="18"/>
                <w:szCs w:val="22"/>
                <w:lang w:eastAsia="es-CO"/>
              </w:rPr>
            </w:pPr>
            <w:r w:rsidRPr="001F1529">
              <w:rPr>
                <w:rFonts w:ascii="Calibri" w:hAnsi="Calibri" w:cs="Calibri"/>
                <w:color w:val="000000"/>
                <w:sz w:val="18"/>
                <w:szCs w:val="22"/>
                <w:lang w:eastAsia="es-CO"/>
              </w:rPr>
              <w:t>27,7</w:t>
            </w:r>
          </w:p>
        </w:tc>
      </w:tr>
      <w:tr w:rsidR="00B54F4E" w:rsidRPr="001F1529" w14:paraId="45D45296" w14:textId="77777777" w:rsidTr="006504C4">
        <w:trPr>
          <w:trHeight w:val="206"/>
        </w:trPr>
        <w:tc>
          <w:tcPr>
            <w:tcW w:w="2386" w:type="pct"/>
            <w:tcBorders>
              <w:top w:val="nil"/>
              <w:left w:val="nil"/>
              <w:bottom w:val="single" w:sz="4" w:space="0" w:color="000000" w:themeColor="text1"/>
              <w:right w:val="nil"/>
            </w:tcBorders>
            <w:shd w:val="clear" w:color="auto" w:fill="auto"/>
            <w:noWrap/>
            <w:vAlign w:val="bottom"/>
            <w:hideMark/>
          </w:tcPr>
          <w:p w14:paraId="724F61BB" w14:textId="77777777" w:rsidR="00B54F4E" w:rsidRPr="001F1529" w:rsidRDefault="00B54F4E" w:rsidP="006504C4">
            <w:pPr>
              <w:spacing w:before="0" w:after="0"/>
              <w:jc w:val="left"/>
              <w:rPr>
                <w:rFonts w:ascii="Times New Roman" w:hAnsi="Times New Roman"/>
                <w:sz w:val="18"/>
                <w:lang w:eastAsia="es-CO"/>
              </w:rPr>
            </w:pPr>
          </w:p>
        </w:tc>
        <w:tc>
          <w:tcPr>
            <w:tcW w:w="127" w:type="pct"/>
            <w:tcBorders>
              <w:top w:val="nil"/>
              <w:left w:val="nil"/>
              <w:bottom w:val="single" w:sz="4" w:space="0" w:color="000000" w:themeColor="text1"/>
              <w:right w:val="nil"/>
            </w:tcBorders>
            <w:shd w:val="clear" w:color="auto" w:fill="auto"/>
            <w:noWrap/>
            <w:vAlign w:val="bottom"/>
            <w:hideMark/>
          </w:tcPr>
          <w:p w14:paraId="6A654109" w14:textId="77777777" w:rsidR="00B54F4E" w:rsidRPr="001F1529" w:rsidRDefault="00B54F4E" w:rsidP="006504C4">
            <w:pPr>
              <w:spacing w:before="0" w:after="0"/>
              <w:jc w:val="left"/>
              <w:rPr>
                <w:rFonts w:ascii="Times New Roman" w:hAnsi="Times New Roman"/>
                <w:sz w:val="18"/>
                <w:lang w:eastAsia="es-CO"/>
              </w:rPr>
            </w:pPr>
          </w:p>
        </w:tc>
        <w:tc>
          <w:tcPr>
            <w:tcW w:w="513" w:type="pct"/>
            <w:tcBorders>
              <w:top w:val="nil"/>
              <w:left w:val="nil"/>
              <w:bottom w:val="single" w:sz="4" w:space="0" w:color="000000" w:themeColor="text1"/>
              <w:right w:val="nil"/>
            </w:tcBorders>
            <w:shd w:val="clear" w:color="auto" w:fill="auto"/>
            <w:noWrap/>
            <w:vAlign w:val="bottom"/>
            <w:hideMark/>
          </w:tcPr>
          <w:p w14:paraId="497CEB15" w14:textId="77777777" w:rsidR="00B54F4E" w:rsidRPr="001F1529" w:rsidRDefault="00B54F4E" w:rsidP="006504C4">
            <w:pPr>
              <w:spacing w:before="0" w:after="0"/>
              <w:jc w:val="left"/>
              <w:rPr>
                <w:rFonts w:ascii="Times New Roman" w:hAnsi="Times New Roman"/>
                <w:sz w:val="18"/>
                <w:lang w:eastAsia="es-CO"/>
              </w:rPr>
            </w:pPr>
          </w:p>
        </w:tc>
        <w:tc>
          <w:tcPr>
            <w:tcW w:w="391" w:type="pct"/>
            <w:tcBorders>
              <w:top w:val="nil"/>
              <w:left w:val="nil"/>
              <w:bottom w:val="nil"/>
              <w:right w:val="nil"/>
            </w:tcBorders>
            <w:shd w:val="clear" w:color="auto" w:fill="auto"/>
            <w:noWrap/>
            <w:vAlign w:val="bottom"/>
            <w:hideMark/>
          </w:tcPr>
          <w:p w14:paraId="58536549"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12618780"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4297F525"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5AA45665" w14:textId="77777777" w:rsidR="00B54F4E" w:rsidRPr="001F1529" w:rsidRDefault="00B54F4E" w:rsidP="006504C4">
            <w:pPr>
              <w:spacing w:before="0" w:after="0"/>
              <w:jc w:val="left"/>
              <w:rPr>
                <w:rFonts w:ascii="Times New Roman" w:hAnsi="Times New Roman"/>
                <w:sz w:val="18"/>
                <w:lang w:eastAsia="es-CO"/>
              </w:rPr>
            </w:pPr>
          </w:p>
        </w:tc>
        <w:tc>
          <w:tcPr>
            <w:tcW w:w="395" w:type="pct"/>
            <w:tcBorders>
              <w:top w:val="nil"/>
              <w:left w:val="nil"/>
              <w:bottom w:val="nil"/>
              <w:right w:val="nil"/>
            </w:tcBorders>
            <w:shd w:val="clear" w:color="auto" w:fill="auto"/>
            <w:noWrap/>
            <w:vAlign w:val="bottom"/>
            <w:hideMark/>
          </w:tcPr>
          <w:p w14:paraId="6D93453E" w14:textId="77777777" w:rsidR="00B54F4E" w:rsidRPr="001F1529" w:rsidRDefault="00B54F4E" w:rsidP="006504C4">
            <w:pPr>
              <w:spacing w:before="0" w:after="0"/>
              <w:jc w:val="left"/>
              <w:rPr>
                <w:rFonts w:ascii="Times New Roman" w:hAnsi="Times New Roman"/>
                <w:sz w:val="18"/>
                <w:lang w:eastAsia="es-CO"/>
              </w:rPr>
            </w:pPr>
          </w:p>
        </w:tc>
      </w:tr>
      <w:tr w:rsidR="00B54F4E" w:rsidRPr="001F1529" w14:paraId="4DC74546" w14:textId="77777777" w:rsidTr="006504C4">
        <w:trPr>
          <w:trHeight w:val="206"/>
        </w:trPr>
        <w:tc>
          <w:tcPr>
            <w:tcW w:w="2386" w:type="pct"/>
            <w:tcBorders>
              <w:top w:val="single" w:sz="4" w:space="0" w:color="000000" w:themeColor="text1"/>
              <w:left w:val="single" w:sz="4" w:space="0" w:color="000000" w:themeColor="text1"/>
              <w:bottom w:val="single" w:sz="4" w:space="0" w:color="000000" w:themeColor="text1"/>
              <w:right w:val="nil"/>
            </w:tcBorders>
            <w:shd w:val="clear" w:color="000000" w:fill="E2EFDA"/>
            <w:noWrap/>
            <w:vAlign w:val="bottom"/>
            <w:hideMark/>
          </w:tcPr>
          <w:p w14:paraId="7D711017" w14:textId="77777777" w:rsidR="00B54F4E" w:rsidRPr="001F1529" w:rsidRDefault="00B54F4E" w:rsidP="006504C4">
            <w:pPr>
              <w:spacing w:before="0" w:after="0"/>
              <w:jc w:val="left"/>
              <w:rPr>
                <w:rFonts w:ascii="Calibri" w:hAnsi="Calibri" w:cs="Calibri"/>
                <w:color w:val="000000"/>
                <w:sz w:val="18"/>
                <w:szCs w:val="22"/>
                <w:lang w:eastAsia="es-CO"/>
              </w:rPr>
            </w:pPr>
            <w:r w:rsidRPr="001F1529">
              <w:rPr>
                <w:rFonts w:ascii="Calibri" w:hAnsi="Calibri" w:cs="Calibri"/>
                <w:color w:val="000000"/>
                <w:sz w:val="18"/>
                <w:szCs w:val="22"/>
                <w:lang w:eastAsia="es-CO"/>
              </w:rPr>
              <w:t>VPN dic 2016 (Millones $USD)</w:t>
            </w:r>
          </w:p>
        </w:tc>
        <w:tc>
          <w:tcPr>
            <w:tcW w:w="127" w:type="pct"/>
            <w:tcBorders>
              <w:top w:val="single" w:sz="4" w:space="0" w:color="000000" w:themeColor="text1"/>
              <w:left w:val="nil"/>
              <w:bottom w:val="single" w:sz="4" w:space="0" w:color="000000" w:themeColor="text1"/>
              <w:right w:val="nil"/>
            </w:tcBorders>
            <w:shd w:val="clear" w:color="auto" w:fill="auto"/>
            <w:noWrap/>
            <w:vAlign w:val="bottom"/>
            <w:hideMark/>
          </w:tcPr>
          <w:p w14:paraId="75834D1F" w14:textId="77777777" w:rsidR="00B54F4E" w:rsidRPr="001F1529" w:rsidRDefault="00B54F4E" w:rsidP="006504C4">
            <w:pPr>
              <w:spacing w:before="0" w:after="0"/>
              <w:jc w:val="right"/>
              <w:rPr>
                <w:rFonts w:ascii="Calibri" w:hAnsi="Calibri" w:cs="Calibri"/>
                <w:color w:val="000000"/>
                <w:sz w:val="18"/>
                <w:szCs w:val="22"/>
                <w:lang w:eastAsia="es-CO"/>
              </w:rPr>
            </w:pPr>
          </w:p>
        </w:tc>
        <w:tc>
          <w:tcPr>
            <w:tcW w:w="513" w:type="pct"/>
            <w:tcBorders>
              <w:top w:val="single" w:sz="4" w:space="0" w:color="000000" w:themeColor="text1"/>
              <w:left w:val="nil"/>
              <w:bottom w:val="single" w:sz="4" w:space="0" w:color="000000" w:themeColor="text1"/>
              <w:right w:val="single" w:sz="4" w:space="0" w:color="000000" w:themeColor="text1"/>
            </w:tcBorders>
            <w:shd w:val="clear" w:color="auto" w:fill="E2EFD9" w:themeFill="accent6" w:themeFillTint="33"/>
            <w:noWrap/>
            <w:vAlign w:val="bottom"/>
            <w:hideMark/>
          </w:tcPr>
          <w:p w14:paraId="49328763" w14:textId="77777777" w:rsidR="00B54F4E" w:rsidRPr="001F1529" w:rsidRDefault="00B54F4E" w:rsidP="006504C4">
            <w:pPr>
              <w:spacing w:before="0" w:after="0"/>
              <w:jc w:val="left"/>
              <w:rPr>
                <w:rFonts w:ascii="Times New Roman" w:hAnsi="Times New Roman"/>
                <w:sz w:val="18"/>
                <w:lang w:eastAsia="es-CO"/>
              </w:rPr>
            </w:pPr>
            <w:r>
              <w:rPr>
                <w:rFonts w:ascii="Times New Roman" w:hAnsi="Times New Roman"/>
                <w:sz w:val="18"/>
                <w:lang w:eastAsia="es-CO"/>
              </w:rPr>
              <w:t>$</w:t>
            </w:r>
            <w:r>
              <w:rPr>
                <w:rFonts w:ascii="Calibri" w:hAnsi="Calibri" w:cs="Calibri"/>
                <w:color w:val="000000"/>
                <w:sz w:val="18"/>
                <w:szCs w:val="22"/>
                <w:lang w:eastAsia="es-CO"/>
              </w:rPr>
              <w:t>132</w:t>
            </w:r>
            <w:r w:rsidRPr="001F1529">
              <w:rPr>
                <w:rFonts w:ascii="Calibri" w:hAnsi="Calibri" w:cs="Calibri"/>
                <w:color w:val="000000"/>
                <w:sz w:val="18"/>
                <w:szCs w:val="22"/>
                <w:lang w:eastAsia="es-CO"/>
              </w:rPr>
              <w:t>,</w:t>
            </w:r>
            <w:r>
              <w:rPr>
                <w:rFonts w:ascii="Calibri" w:hAnsi="Calibri" w:cs="Calibri"/>
                <w:color w:val="000000"/>
                <w:sz w:val="18"/>
                <w:szCs w:val="22"/>
                <w:lang w:eastAsia="es-CO"/>
              </w:rPr>
              <w:t>4</w:t>
            </w:r>
            <w:r w:rsidRPr="001F1529">
              <w:rPr>
                <w:rFonts w:ascii="Calibri" w:hAnsi="Calibri" w:cs="Calibri"/>
                <w:color w:val="000000"/>
                <w:sz w:val="18"/>
                <w:szCs w:val="22"/>
                <w:lang w:eastAsia="es-CO"/>
              </w:rPr>
              <w:t>37</w:t>
            </w:r>
          </w:p>
        </w:tc>
        <w:tc>
          <w:tcPr>
            <w:tcW w:w="391" w:type="pct"/>
            <w:tcBorders>
              <w:top w:val="nil"/>
              <w:left w:val="single" w:sz="4" w:space="0" w:color="000000" w:themeColor="text1"/>
              <w:bottom w:val="nil"/>
              <w:right w:val="nil"/>
            </w:tcBorders>
            <w:shd w:val="clear" w:color="auto" w:fill="auto"/>
            <w:noWrap/>
            <w:vAlign w:val="bottom"/>
            <w:hideMark/>
          </w:tcPr>
          <w:p w14:paraId="3280B4D0"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0EA54CDB"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7682375C" w14:textId="77777777" w:rsidR="00B54F4E" w:rsidRPr="001F1529" w:rsidRDefault="00B54F4E" w:rsidP="006504C4">
            <w:pPr>
              <w:spacing w:before="0" w:after="0"/>
              <w:jc w:val="left"/>
              <w:rPr>
                <w:rFonts w:ascii="Times New Roman" w:hAnsi="Times New Roman"/>
                <w:sz w:val="18"/>
                <w:lang w:eastAsia="es-CO"/>
              </w:rPr>
            </w:pPr>
          </w:p>
        </w:tc>
        <w:tc>
          <w:tcPr>
            <w:tcW w:w="396" w:type="pct"/>
            <w:tcBorders>
              <w:top w:val="nil"/>
              <w:left w:val="nil"/>
              <w:bottom w:val="nil"/>
              <w:right w:val="nil"/>
            </w:tcBorders>
            <w:shd w:val="clear" w:color="auto" w:fill="auto"/>
            <w:noWrap/>
            <w:vAlign w:val="bottom"/>
            <w:hideMark/>
          </w:tcPr>
          <w:p w14:paraId="7C92C166" w14:textId="77777777" w:rsidR="00B54F4E" w:rsidRPr="001F1529" w:rsidRDefault="00B54F4E" w:rsidP="006504C4">
            <w:pPr>
              <w:spacing w:before="0" w:after="0"/>
              <w:jc w:val="left"/>
              <w:rPr>
                <w:rFonts w:ascii="Times New Roman" w:hAnsi="Times New Roman"/>
                <w:sz w:val="18"/>
                <w:lang w:eastAsia="es-CO"/>
              </w:rPr>
            </w:pPr>
          </w:p>
        </w:tc>
        <w:tc>
          <w:tcPr>
            <w:tcW w:w="395" w:type="pct"/>
            <w:tcBorders>
              <w:top w:val="nil"/>
              <w:left w:val="nil"/>
              <w:bottom w:val="nil"/>
              <w:right w:val="nil"/>
            </w:tcBorders>
            <w:shd w:val="clear" w:color="auto" w:fill="auto"/>
            <w:noWrap/>
            <w:vAlign w:val="bottom"/>
            <w:hideMark/>
          </w:tcPr>
          <w:p w14:paraId="2512655C" w14:textId="77777777" w:rsidR="00B54F4E" w:rsidRPr="001F1529" w:rsidRDefault="00B54F4E" w:rsidP="006504C4">
            <w:pPr>
              <w:spacing w:before="0" w:after="0"/>
              <w:jc w:val="left"/>
              <w:rPr>
                <w:rFonts w:ascii="Times New Roman" w:hAnsi="Times New Roman"/>
                <w:sz w:val="18"/>
                <w:lang w:eastAsia="es-CO"/>
              </w:rPr>
            </w:pPr>
          </w:p>
        </w:tc>
      </w:tr>
    </w:tbl>
    <w:p w14:paraId="70B979E0" w14:textId="77777777" w:rsidR="00B54F4E" w:rsidRDefault="00B54F4E" w:rsidP="00B54F4E">
      <w:pPr>
        <w:spacing w:before="0" w:after="0"/>
        <w:jc w:val="center"/>
        <w:rPr>
          <w:sz w:val="20"/>
          <w:lang w:val="es-ES"/>
        </w:rPr>
      </w:pPr>
    </w:p>
    <w:p w14:paraId="16857259" w14:textId="77777777" w:rsidR="00B54F4E" w:rsidRPr="00795F1D" w:rsidRDefault="00B54F4E" w:rsidP="00B54F4E">
      <w:pPr>
        <w:spacing w:before="0" w:after="0"/>
        <w:jc w:val="center"/>
        <w:rPr>
          <w:sz w:val="18"/>
          <w:lang w:val="es-ES"/>
        </w:rPr>
      </w:pPr>
      <w:r w:rsidRPr="00795F1D">
        <w:rPr>
          <w:sz w:val="18"/>
          <w:lang w:val="es-ES"/>
        </w:rPr>
        <w:t>Fuente: Elaboración del consultor.</w:t>
      </w:r>
    </w:p>
    <w:p w14:paraId="1880906F" w14:textId="77777777" w:rsidR="00B54F4E" w:rsidRPr="00795F1D" w:rsidRDefault="00B54F4E" w:rsidP="00B54F4E">
      <w:pPr>
        <w:spacing w:before="0" w:after="0"/>
        <w:jc w:val="center"/>
        <w:rPr>
          <w:sz w:val="18"/>
          <w:lang w:val="es-ES"/>
        </w:rPr>
      </w:pPr>
      <w:r w:rsidRPr="00795F1D">
        <w:rPr>
          <w:sz w:val="18"/>
          <w:lang w:val="es-ES"/>
        </w:rPr>
        <w:t>Nota: la proyección completa de flujos fue realizada a 2030, para efecto de presentación de resultados solo se muestran resultados a 2022 (flujos anuales a 2030 en valores constantes son iguales para cada periodo)</w:t>
      </w:r>
    </w:p>
    <w:p w14:paraId="1731AC79" w14:textId="77777777" w:rsidR="00B54F4E" w:rsidRPr="006C4E72" w:rsidRDefault="00B54F4E" w:rsidP="00B54F4E">
      <w:pPr>
        <w:ind w:left="720"/>
        <w:jc w:val="center"/>
        <w:rPr>
          <w:b/>
        </w:rPr>
      </w:pPr>
      <w:bookmarkStart w:id="73" w:name="_Ref481313404"/>
      <w:bookmarkStart w:id="74" w:name="_Toc484097052"/>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12</w:t>
      </w:r>
      <w:r w:rsidRPr="008C12BC">
        <w:rPr>
          <w:b/>
        </w:rPr>
        <w:fldChar w:fldCharType="end"/>
      </w:r>
      <w:bookmarkEnd w:id="73"/>
      <w:r>
        <w:rPr>
          <w:b/>
        </w:rPr>
        <w:t xml:space="preserve"> – Proyección del precio de la energía térmica según alternativa de generación</w:t>
      </w:r>
      <w:bookmarkEnd w:id="74"/>
    </w:p>
    <w:tbl>
      <w:tblPr>
        <w:tblW w:w="5006" w:type="pct"/>
        <w:tblCellMar>
          <w:left w:w="70" w:type="dxa"/>
          <w:right w:w="70" w:type="dxa"/>
        </w:tblCellMar>
        <w:tblLook w:val="04A0" w:firstRow="1" w:lastRow="0" w:firstColumn="1" w:lastColumn="0" w:noHBand="0" w:noVBand="1"/>
      </w:tblPr>
      <w:tblGrid>
        <w:gridCol w:w="3445"/>
        <w:gridCol w:w="680"/>
        <w:gridCol w:w="588"/>
        <w:gridCol w:w="588"/>
        <w:gridCol w:w="710"/>
        <w:gridCol w:w="710"/>
        <w:gridCol w:w="710"/>
        <w:gridCol w:w="710"/>
        <w:gridCol w:w="708"/>
      </w:tblGrid>
      <w:tr w:rsidR="00B54F4E" w:rsidRPr="002C341E" w14:paraId="1DF3D478" w14:textId="77777777" w:rsidTr="006504C4">
        <w:trPr>
          <w:trHeight w:val="264"/>
        </w:trPr>
        <w:tc>
          <w:tcPr>
            <w:tcW w:w="1947" w:type="pct"/>
            <w:tcBorders>
              <w:top w:val="nil"/>
              <w:left w:val="nil"/>
              <w:bottom w:val="nil"/>
              <w:right w:val="nil"/>
            </w:tcBorders>
            <w:shd w:val="clear" w:color="auto" w:fill="auto"/>
            <w:noWrap/>
            <w:vAlign w:val="bottom"/>
            <w:hideMark/>
          </w:tcPr>
          <w:p w14:paraId="67B24FA2" w14:textId="77777777" w:rsidR="00B54F4E" w:rsidRPr="002C341E" w:rsidRDefault="00B54F4E" w:rsidP="006504C4">
            <w:pPr>
              <w:spacing w:before="0" w:after="0"/>
              <w:jc w:val="left"/>
              <w:rPr>
                <w:rFonts w:ascii="Calibri" w:hAnsi="Calibri" w:cs="Calibri"/>
                <w:b/>
                <w:bCs/>
                <w:color w:val="000000"/>
                <w:sz w:val="14"/>
                <w:szCs w:val="22"/>
                <w:lang w:eastAsia="es-CO"/>
              </w:rPr>
            </w:pPr>
            <w:r w:rsidRPr="002C341E">
              <w:rPr>
                <w:rFonts w:ascii="Calibri" w:hAnsi="Calibri" w:cs="Calibri"/>
                <w:b/>
                <w:bCs/>
                <w:color w:val="000000"/>
                <w:sz w:val="14"/>
                <w:szCs w:val="22"/>
                <w:lang w:eastAsia="es-CO"/>
              </w:rPr>
              <w:t>Emisiones anuales de CO2 (Ton)</w:t>
            </w:r>
          </w:p>
        </w:tc>
        <w:tc>
          <w:tcPr>
            <w:tcW w:w="384" w:type="pct"/>
            <w:tcBorders>
              <w:top w:val="nil"/>
              <w:left w:val="nil"/>
              <w:bottom w:val="nil"/>
              <w:right w:val="nil"/>
            </w:tcBorders>
            <w:shd w:val="clear" w:color="auto" w:fill="auto"/>
            <w:noWrap/>
            <w:vAlign w:val="bottom"/>
            <w:hideMark/>
          </w:tcPr>
          <w:p w14:paraId="3EA5E41A" w14:textId="77777777" w:rsidR="00B54F4E" w:rsidRPr="002C341E" w:rsidRDefault="00B54F4E" w:rsidP="006504C4">
            <w:pPr>
              <w:spacing w:before="0" w:after="0"/>
              <w:jc w:val="left"/>
              <w:rPr>
                <w:rFonts w:ascii="Calibri" w:hAnsi="Calibri" w:cs="Calibri"/>
                <w:b/>
                <w:bCs/>
                <w:color w:val="000000"/>
                <w:sz w:val="14"/>
                <w:szCs w:val="22"/>
                <w:lang w:eastAsia="es-CO"/>
              </w:rPr>
            </w:pPr>
          </w:p>
        </w:tc>
        <w:tc>
          <w:tcPr>
            <w:tcW w:w="332" w:type="pct"/>
            <w:tcBorders>
              <w:top w:val="nil"/>
              <w:left w:val="nil"/>
              <w:bottom w:val="nil"/>
              <w:right w:val="nil"/>
            </w:tcBorders>
            <w:shd w:val="clear" w:color="auto" w:fill="auto"/>
            <w:noWrap/>
            <w:vAlign w:val="bottom"/>
            <w:hideMark/>
          </w:tcPr>
          <w:p w14:paraId="7D2C82A6"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2F9D05E7"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35F84277"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101A970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67202860"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57B9E65B" w14:textId="77777777" w:rsidR="00B54F4E" w:rsidRPr="002C341E" w:rsidRDefault="00B54F4E" w:rsidP="006504C4">
            <w:pPr>
              <w:spacing w:before="0" w:after="0"/>
              <w:jc w:val="left"/>
              <w:rPr>
                <w:rFonts w:ascii="Times New Roman" w:hAnsi="Times New Roman"/>
                <w:sz w:val="14"/>
                <w:lang w:eastAsia="es-CO"/>
              </w:rPr>
            </w:pPr>
          </w:p>
        </w:tc>
        <w:tc>
          <w:tcPr>
            <w:tcW w:w="400" w:type="pct"/>
            <w:tcBorders>
              <w:top w:val="nil"/>
              <w:left w:val="nil"/>
              <w:bottom w:val="nil"/>
              <w:right w:val="nil"/>
            </w:tcBorders>
            <w:shd w:val="clear" w:color="auto" w:fill="auto"/>
            <w:noWrap/>
            <w:vAlign w:val="bottom"/>
            <w:hideMark/>
          </w:tcPr>
          <w:p w14:paraId="11C71817" w14:textId="77777777" w:rsidR="00B54F4E" w:rsidRPr="002C341E" w:rsidRDefault="00B54F4E" w:rsidP="006504C4">
            <w:pPr>
              <w:spacing w:before="0" w:after="0"/>
              <w:jc w:val="left"/>
              <w:rPr>
                <w:rFonts w:ascii="Times New Roman" w:hAnsi="Times New Roman"/>
                <w:sz w:val="14"/>
                <w:lang w:eastAsia="es-CO"/>
              </w:rPr>
            </w:pPr>
          </w:p>
        </w:tc>
      </w:tr>
      <w:tr w:rsidR="00B54F4E" w:rsidRPr="002C341E" w14:paraId="76A5C02C" w14:textId="77777777" w:rsidTr="006504C4">
        <w:trPr>
          <w:trHeight w:val="264"/>
        </w:trPr>
        <w:tc>
          <w:tcPr>
            <w:tcW w:w="1947" w:type="pct"/>
            <w:tcBorders>
              <w:top w:val="nil"/>
              <w:left w:val="nil"/>
              <w:bottom w:val="single" w:sz="4" w:space="0" w:color="auto"/>
              <w:right w:val="nil"/>
            </w:tcBorders>
            <w:shd w:val="clear" w:color="auto" w:fill="auto"/>
            <w:noWrap/>
            <w:vAlign w:val="bottom"/>
            <w:hideMark/>
          </w:tcPr>
          <w:p w14:paraId="2E2AB638"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84" w:type="pct"/>
            <w:tcBorders>
              <w:top w:val="nil"/>
              <w:left w:val="nil"/>
              <w:bottom w:val="single" w:sz="4" w:space="0" w:color="000000"/>
              <w:right w:val="nil"/>
            </w:tcBorders>
            <w:shd w:val="clear" w:color="auto" w:fill="auto"/>
            <w:noWrap/>
            <w:vAlign w:val="bottom"/>
            <w:hideMark/>
          </w:tcPr>
          <w:p w14:paraId="379D45C8"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single" w:sz="4" w:space="0" w:color="000000"/>
              <w:right w:val="nil"/>
            </w:tcBorders>
            <w:shd w:val="clear" w:color="auto" w:fill="auto"/>
            <w:noWrap/>
            <w:vAlign w:val="bottom"/>
            <w:hideMark/>
          </w:tcPr>
          <w:p w14:paraId="278ACF6B"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single" w:sz="4" w:space="0" w:color="FFFFFF"/>
              <w:left w:val="nil"/>
              <w:bottom w:val="single" w:sz="4" w:space="0" w:color="auto"/>
              <w:right w:val="single" w:sz="4" w:space="0" w:color="FFFFFF"/>
            </w:tcBorders>
            <w:shd w:val="clear" w:color="000000" w:fill="203764"/>
            <w:noWrap/>
            <w:vAlign w:val="bottom"/>
            <w:hideMark/>
          </w:tcPr>
          <w:p w14:paraId="1343F379"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2017</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30E013E4"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2018</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1F67EEBE"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2019</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713EAB7D"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2020</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0C45CAA8"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2021</w:t>
            </w:r>
          </w:p>
        </w:tc>
        <w:tc>
          <w:tcPr>
            <w:tcW w:w="400" w:type="pct"/>
            <w:tcBorders>
              <w:top w:val="single" w:sz="4" w:space="0" w:color="FFFFFF"/>
              <w:left w:val="nil"/>
              <w:bottom w:val="single" w:sz="4" w:space="0" w:color="auto"/>
              <w:right w:val="single" w:sz="4" w:space="0" w:color="FFFFFF"/>
            </w:tcBorders>
            <w:shd w:val="clear" w:color="000000" w:fill="203764"/>
            <w:noWrap/>
            <w:vAlign w:val="bottom"/>
            <w:hideMark/>
          </w:tcPr>
          <w:p w14:paraId="6C7C4667"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2022</w:t>
            </w:r>
          </w:p>
        </w:tc>
      </w:tr>
      <w:tr w:rsidR="00B54F4E" w:rsidRPr="002C341E" w14:paraId="7070C1E2" w14:textId="77777777" w:rsidTr="006504C4">
        <w:trPr>
          <w:trHeight w:val="264"/>
        </w:trPr>
        <w:tc>
          <w:tcPr>
            <w:tcW w:w="1947" w:type="pct"/>
            <w:tcBorders>
              <w:top w:val="nil"/>
              <w:left w:val="nil"/>
              <w:bottom w:val="nil"/>
              <w:right w:val="nil"/>
            </w:tcBorders>
            <w:shd w:val="clear" w:color="auto" w:fill="auto"/>
            <w:noWrap/>
            <w:vAlign w:val="bottom"/>
            <w:hideMark/>
          </w:tcPr>
          <w:p w14:paraId="4FCA4168"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Emisiones con GNL</w:t>
            </w:r>
          </w:p>
        </w:tc>
        <w:tc>
          <w:tcPr>
            <w:tcW w:w="384" w:type="pct"/>
            <w:tcBorders>
              <w:top w:val="nil"/>
              <w:left w:val="nil"/>
              <w:bottom w:val="nil"/>
              <w:right w:val="nil"/>
            </w:tcBorders>
            <w:shd w:val="clear" w:color="auto" w:fill="auto"/>
            <w:noWrap/>
            <w:vAlign w:val="bottom"/>
            <w:hideMark/>
          </w:tcPr>
          <w:p w14:paraId="1D3C2280" w14:textId="77777777" w:rsidR="00B54F4E" w:rsidRPr="002C341E" w:rsidRDefault="00B54F4E" w:rsidP="006504C4">
            <w:pPr>
              <w:spacing w:before="0" w:after="0"/>
              <w:jc w:val="left"/>
              <w:rPr>
                <w:rFonts w:ascii="Calibri" w:hAnsi="Calibri" w:cs="Calibri"/>
                <w:color w:val="000000"/>
                <w:sz w:val="14"/>
                <w:szCs w:val="22"/>
                <w:lang w:eastAsia="es-CO"/>
              </w:rPr>
            </w:pPr>
          </w:p>
        </w:tc>
        <w:tc>
          <w:tcPr>
            <w:tcW w:w="332" w:type="pct"/>
            <w:tcBorders>
              <w:top w:val="nil"/>
              <w:left w:val="nil"/>
              <w:bottom w:val="nil"/>
              <w:right w:val="nil"/>
            </w:tcBorders>
            <w:shd w:val="clear" w:color="auto" w:fill="auto"/>
            <w:noWrap/>
            <w:vAlign w:val="bottom"/>
            <w:hideMark/>
          </w:tcPr>
          <w:p w14:paraId="27045BAC"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6D3DA0C9"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0</w:t>
            </w:r>
          </w:p>
        </w:tc>
        <w:tc>
          <w:tcPr>
            <w:tcW w:w="401" w:type="pct"/>
            <w:tcBorders>
              <w:top w:val="nil"/>
              <w:left w:val="nil"/>
              <w:bottom w:val="nil"/>
              <w:right w:val="nil"/>
            </w:tcBorders>
            <w:shd w:val="clear" w:color="auto" w:fill="auto"/>
            <w:noWrap/>
            <w:vAlign w:val="bottom"/>
            <w:hideMark/>
          </w:tcPr>
          <w:p w14:paraId="704E2DE9"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485.160</w:t>
            </w:r>
          </w:p>
        </w:tc>
        <w:tc>
          <w:tcPr>
            <w:tcW w:w="401" w:type="pct"/>
            <w:tcBorders>
              <w:top w:val="nil"/>
              <w:left w:val="nil"/>
              <w:bottom w:val="nil"/>
              <w:right w:val="nil"/>
            </w:tcBorders>
            <w:shd w:val="clear" w:color="auto" w:fill="auto"/>
            <w:noWrap/>
            <w:vAlign w:val="bottom"/>
            <w:hideMark/>
          </w:tcPr>
          <w:p w14:paraId="02443D42"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485.160</w:t>
            </w:r>
          </w:p>
        </w:tc>
        <w:tc>
          <w:tcPr>
            <w:tcW w:w="401" w:type="pct"/>
            <w:tcBorders>
              <w:top w:val="nil"/>
              <w:left w:val="nil"/>
              <w:bottom w:val="nil"/>
              <w:right w:val="nil"/>
            </w:tcBorders>
            <w:shd w:val="clear" w:color="auto" w:fill="auto"/>
            <w:noWrap/>
            <w:vAlign w:val="bottom"/>
            <w:hideMark/>
          </w:tcPr>
          <w:p w14:paraId="0EEEB8F6"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871.968</w:t>
            </w:r>
          </w:p>
        </w:tc>
        <w:tc>
          <w:tcPr>
            <w:tcW w:w="401" w:type="pct"/>
            <w:tcBorders>
              <w:top w:val="nil"/>
              <w:left w:val="nil"/>
              <w:bottom w:val="nil"/>
              <w:right w:val="nil"/>
            </w:tcBorders>
            <w:shd w:val="clear" w:color="auto" w:fill="auto"/>
            <w:noWrap/>
            <w:vAlign w:val="bottom"/>
            <w:hideMark/>
          </w:tcPr>
          <w:p w14:paraId="773A80BF"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871.968</w:t>
            </w:r>
          </w:p>
        </w:tc>
        <w:tc>
          <w:tcPr>
            <w:tcW w:w="400" w:type="pct"/>
            <w:tcBorders>
              <w:top w:val="nil"/>
              <w:left w:val="nil"/>
              <w:bottom w:val="nil"/>
              <w:right w:val="nil"/>
            </w:tcBorders>
            <w:shd w:val="clear" w:color="auto" w:fill="auto"/>
            <w:noWrap/>
            <w:vAlign w:val="bottom"/>
            <w:hideMark/>
          </w:tcPr>
          <w:p w14:paraId="1A6A05E4"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871.968</w:t>
            </w:r>
          </w:p>
        </w:tc>
      </w:tr>
      <w:tr w:rsidR="00B54F4E" w:rsidRPr="002C341E" w14:paraId="77756FFE" w14:textId="77777777" w:rsidTr="006504C4">
        <w:trPr>
          <w:trHeight w:val="264"/>
        </w:trPr>
        <w:tc>
          <w:tcPr>
            <w:tcW w:w="1947" w:type="pct"/>
            <w:tcBorders>
              <w:top w:val="nil"/>
              <w:left w:val="nil"/>
              <w:bottom w:val="single" w:sz="4" w:space="0" w:color="auto"/>
              <w:right w:val="nil"/>
            </w:tcBorders>
            <w:shd w:val="clear" w:color="auto" w:fill="auto"/>
            <w:noWrap/>
            <w:vAlign w:val="bottom"/>
            <w:hideMark/>
          </w:tcPr>
          <w:p w14:paraId="30CAF4F0"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Emisiones con combustible alternativo</w:t>
            </w:r>
          </w:p>
        </w:tc>
        <w:tc>
          <w:tcPr>
            <w:tcW w:w="384" w:type="pct"/>
            <w:tcBorders>
              <w:top w:val="nil"/>
              <w:left w:val="nil"/>
              <w:bottom w:val="single" w:sz="4" w:space="0" w:color="auto"/>
              <w:right w:val="nil"/>
            </w:tcBorders>
            <w:shd w:val="clear" w:color="auto" w:fill="auto"/>
            <w:noWrap/>
            <w:vAlign w:val="bottom"/>
            <w:hideMark/>
          </w:tcPr>
          <w:p w14:paraId="75235C26"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single" w:sz="4" w:space="0" w:color="auto"/>
              <w:right w:val="nil"/>
            </w:tcBorders>
            <w:shd w:val="clear" w:color="auto" w:fill="auto"/>
            <w:noWrap/>
            <w:vAlign w:val="bottom"/>
            <w:hideMark/>
          </w:tcPr>
          <w:p w14:paraId="68930A26"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nil"/>
              <w:right w:val="nil"/>
            </w:tcBorders>
            <w:shd w:val="clear" w:color="auto" w:fill="auto"/>
            <w:noWrap/>
            <w:vAlign w:val="bottom"/>
            <w:hideMark/>
          </w:tcPr>
          <w:p w14:paraId="6BF946D1"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0</w:t>
            </w:r>
          </w:p>
        </w:tc>
        <w:tc>
          <w:tcPr>
            <w:tcW w:w="401" w:type="pct"/>
            <w:tcBorders>
              <w:top w:val="nil"/>
              <w:left w:val="nil"/>
              <w:bottom w:val="nil"/>
              <w:right w:val="nil"/>
            </w:tcBorders>
            <w:shd w:val="clear" w:color="auto" w:fill="auto"/>
            <w:noWrap/>
            <w:vAlign w:val="bottom"/>
            <w:hideMark/>
          </w:tcPr>
          <w:p w14:paraId="551EB929"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1.396.932</w:t>
            </w:r>
          </w:p>
        </w:tc>
        <w:tc>
          <w:tcPr>
            <w:tcW w:w="401" w:type="pct"/>
            <w:tcBorders>
              <w:top w:val="nil"/>
              <w:left w:val="nil"/>
              <w:bottom w:val="nil"/>
              <w:right w:val="nil"/>
            </w:tcBorders>
            <w:shd w:val="clear" w:color="auto" w:fill="auto"/>
            <w:noWrap/>
            <w:vAlign w:val="bottom"/>
            <w:hideMark/>
          </w:tcPr>
          <w:p w14:paraId="16B22FD7"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1.396.932</w:t>
            </w:r>
          </w:p>
        </w:tc>
        <w:tc>
          <w:tcPr>
            <w:tcW w:w="401" w:type="pct"/>
            <w:tcBorders>
              <w:top w:val="nil"/>
              <w:left w:val="nil"/>
              <w:bottom w:val="nil"/>
              <w:right w:val="nil"/>
            </w:tcBorders>
            <w:shd w:val="clear" w:color="auto" w:fill="auto"/>
            <w:noWrap/>
            <w:vAlign w:val="bottom"/>
            <w:hideMark/>
          </w:tcPr>
          <w:p w14:paraId="4CE20BB1"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2.510.675</w:t>
            </w:r>
          </w:p>
        </w:tc>
        <w:tc>
          <w:tcPr>
            <w:tcW w:w="401" w:type="pct"/>
            <w:tcBorders>
              <w:top w:val="nil"/>
              <w:left w:val="nil"/>
              <w:bottom w:val="nil"/>
              <w:right w:val="nil"/>
            </w:tcBorders>
            <w:shd w:val="clear" w:color="auto" w:fill="auto"/>
            <w:noWrap/>
            <w:vAlign w:val="bottom"/>
            <w:hideMark/>
          </w:tcPr>
          <w:p w14:paraId="16E7752C"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2.510.675</w:t>
            </w:r>
          </w:p>
        </w:tc>
        <w:tc>
          <w:tcPr>
            <w:tcW w:w="400" w:type="pct"/>
            <w:tcBorders>
              <w:top w:val="nil"/>
              <w:left w:val="nil"/>
              <w:bottom w:val="nil"/>
              <w:right w:val="nil"/>
            </w:tcBorders>
            <w:shd w:val="clear" w:color="auto" w:fill="auto"/>
            <w:noWrap/>
            <w:vAlign w:val="bottom"/>
            <w:hideMark/>
          </w:tcPr>
          <w:p w14:paraId="4886D3BA"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2.510.675</w:t>
            </w:r>
          </w:p>
        </w:tc>
      </w:tr>
      <w:tr w:rsidR="00B54F4E" w:rsidRPr="002C341E" w14:paraId="79F1D082" w14:textId="77777777" w:rsidTr="006504C4">
        <w:trPr>
          <w:trHeight w:val="264"/>
        </w:trPr>
        <w:tc>
          <w:tcPr>
            <w:tcW w:w="1947" w:type="pct"/>
            <w:tcBorders>
              <w:top w:val="nil"/>
              <w:left w:val="nil"/>
              <w:bottom w:val="single" w:sz="4" w:space="0" w:color="auto"/>
              <w:right w:val="nil"/>
            </w:tcBorders>
            <w:shd w:val="clear" w:color="auto" w:fill="auto"/>
            <w:noWrap/>
            <w:vAlign w:val="bottom"/>
            <w:hideMark/>
          </w:tcPr>
          <w:p w14:paraId="6F5652EA"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Diferencia (TonCo2)</w:t>
            </w:r>
          </w:p>
        </w:tc>
        <w:tc>
          <w:tcPr>
            <w:tcW w:w="384" w:type="pct"/>
            <w:tcBorders>
              <w:top w:val="nil"/>
              <w:left w:val="nil"/>
              <w:bottom w:val="single" w:sz="4" w:space="0" w:color="auto"/>
              <w:right w:val="nil"/>
            </w:tcBorders>
            <w:shd w:val="clear" w:color="auto" w:fill="auto"/>
            <w:noWrap/>
            <w:vAlign w:val="bottom"/>
            <w:hideMark/>
          </w:tcPr>
          <w:p w14:paraId="5DB7CDB9"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single" w:sz="4" w:space="0" w:color="auto"/>
              <w:right w:val="nil"/>
            </w:tcBorders>
            <w:shd w:val="clear" w:color="auto" w:fill="auto"/>
            <w:noWrap/>
            <w:vAlign w:val="bottom"/>
            <w:hideMark/>
          </w:tcPr>
          <w:p w14:paraId="6F5C0FA4"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single" w:sz="4" w:space="0" w:color="auto"/>
              <w:left w:val="nil"/>
              <w:bottom w:val="single" w:sz="4" w:space="0" w:color="auto"/>
              <w:right w:val="nil"/>
            </w:tcBorders>
            <w:shd w:val="clear" w:color="auto" w:fill="auto"/>
            <w:noWrap/>
            <w:vAlign w:val="bottom"/>
            <w:hideMark/>
          </w:tcPr>
          <w:p w14:paraId="39D0F3D3"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0</w:t>
            </w:r>
          </w:p>
        </w:tc>
        <w:tc>
          <w:tcPr>
            <w:tcW w:w="401" w:type="pct"/>
            <w:tcBorders>
              <w:top w:val="single" w:sz="4" w:space="0" w:color="auto"/>
              <w:left w:val="nil"/>
              <w:bottom w:val="single" w:sz="4" w:space="0" w:color="auto"/>
              <w:right w:val="nil"/>
            </w:tcBorders>
            <w:shd w:val="clear" w:color="auto" w:fill="auto"/>
            <w:noWrap/>
            <w:vAlign w:val="bottom"/>
            <w:hideMark/>
          </w:tcPr>
          <w:p w14:paraId="2026B933"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911.772</w:t>
            </w:r>
          </w:p>
        </w:tc>
        <w:tc>
          <w:tcPr>
            <w:tcW w:w="401" w:type="pct"/>
            <w:tcBorders>
              <w:top w:val="single" w:sz="4" w:space="0" w:color="auto"/>
              <w:left w:val="nil"/>
              <w:bottom w:val="single" w:sz="4" w:space="0" w:color="auto"/>
              <w:right w:val="nil"/>
            </w:tcBorders>
            <w:shd w:val="clear" w:color="auto" w:fill="auto"/>
            <w:noWrap/>
            <w:vAlign w:val="bottom"/>
            <w:hideMark/>
          </w:tcPr>
          <w:p w14:paraId="089BA150"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911.772</w:t>
            </w:r>
          </w:p>
        </w:tc>
        <w:tc>
          <w:tcPr>
            <w:tcW w:w="401" w:type="pct"/>
            <w:tcBorders>
              <w:top w:val="single" w:sz="4" w:space="0" w:color="auto"/>
              <w:left w:val="nil"/>
              <w:bottom w:val="single" w:sz="4" w:space="0" w:color="auto"/>
              <w:right w:val="nil"/>
            </w:tcBorders>
            <w:shd w:val="clear" w:color="auto" w:fill="auto"/>
            <w:noWrap/>
            <w:vAlign w:val="bottom"/>
            <w:hideMark/>
          </w:tcPr>
          <w:p w14:paraId="55882DFD"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1.638.707</w:t>
            </w:r>
          </w:p>
        </w:tc>
        <w:tc>
          <w:tcPr>
            <w:tcW w:w="401" w:type="pct"/>
            <w:tcBorders>
              <w:top w:val="single" w:sz="4" w:space="0" w:color="auto"/>
              <w:left w:val="nil"/>
              <w:bottom w:val="single" w:sz="4" w:space="0" w:color="auto"/>
              <w:right w:val="nil"/>
            </w:tcBorders>
            <w:shd w:val="clear" w:color="auto" w:fill="auto"/>
            <w:noWrap/>
            <w:vAlign w:val="bottom"/>
            <w:hideMark/>
          </w:tcPr>
          <w:p w14:paraId="64591807"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1.638.707</w:t>
            </w:r>
          </w:p>
        </w:tc>
        <w:tc>
          <w:tcPr>
            <w:tcW w:w="400" w:type="pct"/>
            <w:tcBorders>
              <w:top w:val="single" w:sz="4" w:space="0" w:color="auto"/>
              <w:left w:val="nil"/>
              <w:bottom w:val="single" w:sz="4" w:space="0" w:color="auto"/>
              <w:right w:val="nil"/>
            </w:tcBorders>
            <w:shd w:val="clear" w:color="auto" w:fill="auto"/>
            <w:noWrap/>
            <w:vAlign w:val="bottom"/>
            <w:hideMark/>
          </w:tcPr>
          <w:p w14:paraId="48FBAB92"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1.638.707</w:t>
            </w:r>
          </w:p>
        </w:tc>
      </w:tr>
      <w:tr w:rsidR="00B54F4E" w:rsidRPr="002C341E" w14:paraId="2A83960A" w14:textId="77777777" w:rsidTr="006504C4">
        <w:trPr>
          <w:trHeight w:val="264"/>
        </w:trPr>
        <w:tc>
          <w:tcPr>
            <w:tcW w:w="1947" w:type="pct"/>
            <w:tcBorders>
              <w:top w:val="nil"/>
              <w:left w:val="nil"/>
              <w:bottom w:val="nil"/>
              <w:right w:val="nil"/>
            </w:tcBorders>
            <w:shd w:val="clear" w:color="auto" w:fill="auto"/>
            <w:noWrap/>
            <w:vAlign w:val="bottom"/>
            <w:hideMark/>
          </w:tcPr>
          <w:p w14:paraId="4CD90E93" w14:textId="77777777" w:rsidR="00B54F4E" w:rsidRPr="002C341E" w:rsidRDefault="00B54F4E" w:rsidP="006504C4">
            <w:pPr>
              <w:spacing w:before="0" w:after="0"/>
              <w:jc w:val="right"/>
              <w:rPr>
                <w:rFonts w:ascii="Calibri" w:hAnsi="Calibri" w:cs="Calibri"/>
                <w:color w:val="000000"/>
                <w:sz w:val="14"/>
                <w:szCs w:val="22"/>
                <w:lang w:eastAsia="es-CO"/>
              </w:rPr>
            </w:pPr>
          </w:p>
        </w:tc>
        <w:tc>
          <w:tcPr>
            <w:tcW w:w="384" w:type="pct"/>
            <w:tcBorders>
              <w:top w:val="nil"/>
              <w:left w:val="nil"/>
              <w:bottom w:val="nil"/>
              <w:right w:val="nil"/>
            </w:tcBorders>
            <w:shd w:val="clear" w:color="auto" w:fill="auto"/>
            <w:noWrap/>
            <w:vAlign w:val="bottom"/>
            <w:hideMark/>
          </w:tcPr>
          <w:p w14:paraId="3E110747"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2E50FB85"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73CDF727"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3F8F8B3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00DC236F"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18480F20"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1F790224" w14:textId="77777777" w:rsidR="00B54F4E" w:rsidRPr="002C341E" w:rsidRDefault="00B54F4E" w:rsidP="006504C4">
            <w:pPr>
              <w:spacing w:before="0" w:after="0"/>
              <w:jc w:val="left"/>
              <w:rPr>
                <w:rFonts w:ascii="Times New Roman" w:hAnsi="Times New Roman"/>
                <w:sz w:val="14"/>
                <w:lang w:eastAsia="es-CO"/>
              </w:rPr>
            </w:pPr>
          </w:p>
        </w:tc>
        <w:tc>
          <w:tcPr>
            <w:tcW w:w="400" w:type="pct"/>
            <w:tcBorders>
              <w:top w:val="nil"/>
              <w:left w:val="nil"/>
              <w:bottom w:val="nil"/>
              <w:right w:val="nil"/>
            </w:tcBorders>
            <w:shd w:val="clear" w:color="auto" w:fill="auto"/>
            <w:noWrap/>
            <w:vAlign w:val="bottom"/>
            <w:hideMark/>
          </w:tcPr>
          <w:p w14:paraId="0053D0F2" w14:textId="77777777" w:rsidR="00B54F4E" w:rsidRPr="002C341E" w:rsidRDefault="00B54F4E" w:rsidP="006504C4">
            <w:pPr>
              <w:spacing w:before="0" w:after="0"/>
              <w:jc w:val="left"/>
              <w:rPr>
                <w:rFonts w:ascii="Times New Roman" w:hAnsi="Times New Roman"/>
                <w:sz w:val="14"/>
                <w:lang w:eastAsia="es-CO"/>
              </w:rPr>
            </w:pPr>
          </w:p>
        </w:tc>
      </w:tr>
      <w:tr w:rsidR="00B54F4E" w:rsidRPr="002C341E" w14:paraId="242DAEF4" w14:textId="77777777" w:rsidTr="006504C4">
        <w:trPr>
          <w:trHeight w:val="264"/>
        </w:trPr>
        <w:tc>
          <w:tcPr>
            <w:tcW w:w="1947" w:type="pct"/>
            <w:tcBorders>
              <w:top w:val="single" w:sz="4" w:space="0" w:color="auto"/>
              <w:left w:val="single" w:sz="4" w:space="0" w:color="auto"/>
              <w:bottom w:val="single" w:sz="4" w:space="0" w:color="auto"/>
              <w:right w:val="nil"/>
            </w:tcBorders>
            <w:shd w:val="clear" w:color="auto" w:fill="auto"/>
            <w:noWrap/>
            <w:vAlign w:val="bottom"/>
            <w:hideMark/>
          </w:tcPr>
          <w:p w14:paraId="151FCFB9"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Valoración tonelada CO2 ($USD/Ton)</w:t>
            </w:r>
          </w:p>
        </w:tc>
        <w:tc>
          <w:tcPr>
            <w:tcW w:w="384" w:type="pct"/>
            <w:tcBorders>
              <w:top w:val="single" w:sz="4" w:space="0" w:color="auto"/>
              <w:left w:val="nil"/>
              <w:bottom w:val="single" w:sz="4" w:space="0" w:color="auto"/>
              <w:right w:val="single" w:sz="4" w:space="0" w:color="auto"/>
            </w:tcBorders>
            <w:shd w:val="clear" w:color="auto" w:fill="auto"/>
            <w:noWrap/>
            <w:vAlign w:val="bottom"/>
            <w:hideMark/>
          </w:tcPr>
          <w:p w14:paraId="00709A68" w14:textId="77777777" w:rsidR="00B54F4E" w:rsidRPr="002C341E" w:rsidRDefault="00B54F4E" w:rsidP="006504C4">
            <w:pPr>
              <w:spacing w:before="0" w:after="0"/>
              <w:jc w:val="center"/>
              <w:rPr>
                <w:rFonts w:ascii="Calibri" w:hAnsi="Calibri" w:cs="Calibri"/>
                <w:color w:val="0000FF"/>
                <w:sz w:val="14"/>
                <w:szCs w:val="22"/>
                <w:lang w:eastAsia="es-CO"/>
              </w:rPr>
            </w:pPr>
            <w:r w:rsidRPr="002C341E">
              <w:rPr>
                <w:rFonts w:ascii="Calibri" w:hAnsi="Calibri" w:cs="Calibri"/>
                <w:color w:val="0000FF"/>
                <w:sz w:val="14"/>
                <w:szCs w:val="22"/>
                <w:lang w:eastAsia="es-CO"/>
              </w:rPr>
              <w:t>6,01</w:t>
            </w:r>
          </w:p>
        </w:tc>
        <w:tc>
          <w:tcPr>
            <w:tcW w:w="332" w:type="pct"/>
            <w:tcBorders>
              <w:top w:val="nil"/>
              <w:left w:val="nil"/>
              <w:bottom w:val="nil"/>
              <w:right w:val="nil"/>
            </w:tcBorders>
            <w:shd w:val="clear" w:color="auto" w:fill="auto"/>
            <w:noWrap/>
            <w:vAlign w:val="bottom"/>
            <w:hideMark/>
          </w:tcPr>
          <w:p w14:paraId="7AE0275C" w14:textId="77777777" w:rsidR="00B54F4E" w:rsidRPr="002C341E" w:rsidRDefault="00B54F4E" w:rsidP="006504C4">
            <w:pPr>
              <w:spacing w:before="0" w:after="0"/>
              <w:jc w:val="center"/>
              <w:rPr>
                <w:rFonts w:ascii="Calibri" w:hAnsi="Calibri" w:cs="Calibri"/>
                <w:color w:val="0000FF"/>
                <w:sz w:val="14"/>
                <w:szCs w:val="22"/>
                <w:lang w:eastAsia="es-CO"/>
              </w:rPr>
            </w:pPr>
          </w:p>
        </w:tc>
        <w:tc>
          <w:tcPr>
            <w:tcW w:w="332" w:type="pct"/>
            <w:tcBorders>
              <w:top w:val="nil"/>
              <w:left w:val="nil"/>
              <w:bottom w:val="nil"/>
              <w:right w:val="nil"/>
            </w:tcBorders>
            <w:shd w:val="clear" w:color="auto" w:fill="auto"/>
            <w:noWrap/>
            <w:vAlign w:val="bottom"/>
            <w:hideMark/>
          </w:tcPr>
          <w:p w14:paraId="0452F6FD"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7DDA0739"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3054023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21E55F55"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7786FC91" w14:textId="77777777" w:rsidR="00B54F4E" w:rsidRPr="002C341E" w:rsidRDefault="00B54F4E" w:rsidP="006504C4">
            <w:pPr>
              <w:spacing w:before="0" w:after="0"/>
              <w:jc w:val="left"/>
              <w:rPr>
                <w:rFonts w:ascii="Times New Roman" w:hAnsi="Times New Roman"/>
                <w:sz w:val="14"/>
                <w:lang w:eastAsia="es-CO"/>
              </w:rPr>
            </w:pPr>
          </w:p>
        </w:tc>
        <w:tc>
          <w:tcPr>
            <w:tcW w:w="400" w:type="pct"/>
            <w:tcBorders>
              <w:top w:val="nil"/>
              <w:left w:val="nil"/>
              <w:bottom w:val="nil"/>
              <w:right w:val="nil"/>
            </w:tcBorders>
            <w:shd w:val="clear" w:color="auto" w:fill="auto"/>
            <w:noWrap/>
            <w:vAlign w:val="bottom"/>
            <w:hideMark/>
          </w:tcPr>
          <w:p w14:paraId="10944BD4" w14:textId="77777777" w:rsidR="00B54F4E" w:rsidRPr="002C341E" w:rsidRDefault="00B54F4E" w:rsidP="006504C4">
            <w:pPr>
              <w:spacing w:before="0" w:after="0"/>
              <w:jc w:val="left"/>
              <w:rPr>
                <w:rFonts w:ascii="Times New Roman" w:hAnsi="Times New Roman"/>
                <w:sz w:val="14"/>
                <w:lang w:eastAsia="es-CO"/>
              </w:rPr>
            </w:pPr>
          </w:p>
        </w:tc>
      </w:tr>
      <w:tr w:rsidR="00B54F4E" w:rsidRPr="002C341E" w14:paraId="70E8C7CB" w14:textId="77777777" w:rsidTr="006504C4">
        <w:trPr>
          <w:trHeight w:val="264"/>
        </w:trPr>
        <w:tc>
          <w:tcPr>
            <w:tcW w:w="1947" w:type="pct"/>
            <w:tcBorders>
              <w:top w:val="nil"/>
              <w:left w:val="nil"/>
              <w:bottom w:val="nil"/>
              <w:right w:val="nil"/>
            </w:tcBorders>
            <w:shd w:val="clear" w:color="auto" w:fill="auto"/>
            <w:noWrap/>
            <w:vAlign w:val="bottom"/>
            <w:hideMark/>
          </w:tcPr>
          <w:p w14:paraId="079D7D31" w14:textId="77777777" w:rsidR="00B54F4E" w:rsidRPr="002C341E" w:rsidRDefault="00B54F4E" w:rsidP="006504C4">
            <w:pPr>
              <w:spacing w:before="0" w:after="0"/>
              <w:jc w:val="left"/>
              <w:rPr>
                <w:rFonts w:ascii="Times New Roman" w:hAnsi="Times New Roman"/>
                <w:sz w:val="14"/>
                <w:lang w:eastAsia="es-CO"/>
              </w:rPr>
            </w:pPr>
          </w:p>
        </w:tc>
        <w:tc>
          <w:tcPr>
            <w:tcW w:w="384" w:type="pct"/>
            <w:tcBorders>
              <w:top w:val="nil"/>
              <w:left w:val="nil"/>
              <w:bottom w:val="nil"/>
              <w:right w:val="nil"/>
            </w:tcBorders>
            <w:shd w:val="clear" w:color="auto" w:fill="auto"/>
            <w:noWrap/>
            <w:vAlign w:val="bottom"/>
            <w:hideMark/>
          </w:tcPr>
          <w:p w14:paraId="3FD87D45"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6F4A89F1"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199AE681"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6689916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469BA1D0"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5B9B8566"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785975EA" w14:textId="77777777" w:rsidR="00B54F4E" w:rsidRPr="002C341E" w:rsidRDefault="00B54F4E" w:rsidP="006504C4">
            <w:pPr>
              <w:spacing w:before="0" w:after="0"/>
              <w:jc w:val="left"/>
              <w:rPr>
                <w:rFonts w:ascii="Times New Roman" w:hAnsi="Times New Roman"/>
                <w:sz w:val="14"/>
                <w:lang w:eastAsia="es-CO"/>
              </w:rPr>
            </w:pPr>
          </w:p>
        </w:tc>
        <w:tc>
          <w:tcPr>
            <w:tcW w:w="400" w:type="pct"/>
            <w:tcBorders>
              <w:top w:val="nil"/>
              <w:left w:val="nil"/>
              <w:bottom w:val="nil"/>
              <w:right w:val="nil"/>
            </w:tcBorders>
            <w:shd w:val="clear" w:color="auto" w:fill="auto"/>
            <w:noWrap/>
            <w:vAlign w:val="bottom"/>
            <w:hideMark/>
          </w:tcPr>
          <w:p w14:paraId="1B0D8660" w14:textId="77777777" w:rsidR="00B54F4E" w:rsidRPr="002C341E" w:rsidRDefault="00B54F4E" w:rsidP="006504C4">
            <w:pPr>
              <w:spacing w:before="0" w:after="0"/>
              <w:jc w:val="left"/>
              <w:rPr>
                <w:rFonts w:ascii="Times New Roman" w:hAnsi="Times New Roman"/>
                <w:sz w:val="14"/>
                <w:lang w:eastAsia="es-CO"/>
              </w:rPr>
            </w:pPr>
          </w:p>
        </w:tc>
      </w:tr>
      <w:tr w:rsidR="00B54F4E" w:rsidRPr="002C341E" w14:paraId="15274009" w14:textId="77777777" w:rsidTr="006504C4">
        <w:trPr>
          <w:trHeight w:val="264"/>
        </w:trPr>
        <w:tc>
          <w:tcPr>
            <w:tcW w:w="1947" w:type="pct"/>
            <w:tcBorders>
              <w:top w:val="nil"/>
              <w:left w:val="nil"/>
              <w:bottom w:val="nil"/>
              <w:right w:val="nil"/>
            </w:tcBorders>
            <w:shd w:val="clear" w:color="auto" w:fill="auto"/>
            <w:noWrap/>
            <w:vAlign w:val="bottom"/>
            <w:hideMark/>
          </w:tcPr>
          <w:p w14:paraId="2D45BC6B" w14:textId="77777777" w:rsidR="00B54F4E" w:rsidRPr="002C341E" w:rsidRDefault="00B54F4E" w:rsidP="006504C4">
            <w:pPr>
              <w:spacing w:before="0" w:after="0"/>
              <w:jc w:val="left"/>
              <w:rPr>
                <w:rFonts w:ascii="Calibri" w:hAnsi="Calibri" w:cs="Calibri"/>
                <w:b/>
                <w:bCs/>
                <w:color w:val="000000"/>
                <w:sz w:val="14"/>
                <w:szCs w:val="22"/>
                <w:lang w:eastAsia="es-CO"/>
              </w:rPr>
            </w:pPr>
            <w:r w:rsidRPr="002C341E">
              <w:rPr>
                <w:rFonts w:ascii="Calibri" w:hAnsi="Calibri" w:cs="Calibri"/>
                <w:b/>
                <w:bCs/>
                <w:color w:val="000000"/>
                <w:sz w:val="14"/>
                <w:szCs w:val="22"/>
                <w:lang w:eastAsia="es-CO"/>
              </w:rPr>
              <w:t>Beneficio económico esperado (Millones $USD 2016)</w:t>
            </w:r>
          </w:p>
        </w:tc>
        <w:tc>
          <w:tcPr>
            <w:tcW w:w="384" w:type="pct"/>
            <w:tcBorders>
              <w:top w:val="nil"/>
              <w:left w:val="nil"/>
              <w:bottom w:val="nil"/>
              <w:right w:val="nil"/>
            </w:tcBorders>
            <w:shd w:val="clear" w:color="auto" w:fill="auto"/>
            <w:noWrap/>
            <w:vAlign w:val="bottom"/>
            <w:hideMark/>
          </w:tcPr>
          <w:p w14:paraId="675A3082" w14:textId="77777777" w:rsidR="00B54F4E" w:rsidRPr="002C341E" w:rsidRDefault="00B54F4E" w:rsidP="006504C4">
            <w:pPr>
              <w:spacing w:before="0" w:after="0"/>
              <w:jc w:val="left"/>
              <w:rPr>
                <w:rFonts w:ascii="Calibri" w:hAnsi="Calibri" w:cs="Calibri"/>
                <w:b/>
                <w:bCs/>
                <w:color w:val="000000"/>
                <w:sz w:val="14"/>
                <w:szCs w:val="22"/>
                <w:lang w:eastAsia="es-CO"/>
              </w:rPr>
            </w:pPr>
          </w:p>
        </w:tc>
        <w:tc>
          <w:tcPr>
            <w:tcW w:w="332" w:type="pct"/>
            <w:tcBorders>
              <w:top w:val="nil"/>
              <w:left w:val="nil"/>
              <w:bottom w:val="nil"/>
              <w:right w:val="nil"/>
            </w:tcBorders>
            <w:shd w:val="clear" w:color="auto" w:fill="auto"/>
            <w:noWrap/>
            <w:vAlign w:val="bottom"/>
            <w:hideMark/>
          </w:tcPr>
          <w:p w14:paraId="0A03CAB0"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4E838526"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2697DA06"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2A93DC2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05712141"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60157BB9" w14:textId="77777777" w:rsidR="00B54F4E" w:rsidRPr="002C341E" w:rsidRDefault="00B54F4E" w:rsidP="006504C4">
            <w:pPr>
              <w:spacing w:before="0" w:after="0"/>
              <w:jc w:val="left"/>
              <w:rPr>
                <w:rFonts w:ascii="Times New Roman" w:hAnsi="Times New Roman"/>
                <w:sz w:val="14"/>
                <w:lang w:eastAsia="es-CO"/>
              </w:rPr>
            </w:pPr>
          </w:p>
        </w:tc>
        <w:tc>
          <w:tcPr>
            <w:tcW w:w="400" w:type="pct"/>
            <w:tcBorders>
              <w:top w:val="nil"/>
              <w:left w:val="nil"/>
              <w:bottom w:val="nil"/>
              <w:right w:val="nil"/>
            </w:tcBorders>
            <w:shd w:val="clear" w:color="auto" w:fill="auto"/>
            <w:noWrap/>
            <w:vAlign w:val="bottom"/>
            <w:hideMark/>
          </w:tcPr>
          <w:p w14:paraId="3338627E" w14:textId="77777777" w:rsidR="00B54F4E" w:rsidRPr="002C341E" w:rsidRDefault="00B54F4E" w:rsidP="006504C4">
            <w:pPr>
              <w:spacing w:before="0" w:after="0"/>
              <w:jc w:val="left"/>
              <w:rPr>
                <w:rFonts w:ascii="Times New Roman" w:hAnsi="Times New Roman"/>
                <w:sz w:val="14"/>
                <w:lang w:eastAsia="es-CO"/>
              </w:rPr>
            </w:pPr>
          </w:p>
        </w:tc>
      </w:tr>
      <w:tr w:rsidR="00B54F4E" w:rsidRPr="002C341E" w14:paraId="670B4C67" w14:textId="77777777" w:rsidTr="006504C4">
        <w:trPr>
          <w:trHeight w:val="264"/>
        </w:trPr>
        <w:tc>
          <w:tcPr>
            <w:tcW w:w="1947" w:type="pct"/>
            <w:tcBorders>
              <w:top w:val="nil"/>
              <w:left w:val="nil"/>
              <w:bottom w:val="single" w:sz="4" w:space="0" w:color="auto"/>
              <w:right w:val="nil"/>
            </w:tcBorders>
            <w:shd w:val="clear" w:color="auto" w:fill="auto"/>
            <w:noWrap/>
            <w:vAlign w:val="bottom"/>
            <w:hideMark/>
          </w:tcPr>
          <w:p w14:paraId="1DD05EF5"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84" w:type="pct"/>
            <w:tcBorders>
              <w:top w:val="nil"/>
              <w:left w:val="nil"/>
              <w:bottom w:val="single" w:sz="4" w:space="0" w:color="000000"/>
              <w:right w:val="nil"/>
            </w:tcBorders>
            <w:shd w:val="clear" w:color="auto" w:fill="auto"/>
            <w:noWrap/>
            <w:vAlign w:val="bottom"/>
            <w:hideMark/>
          </w:tcPr>
          <w:p w14:paraId="5DD78DA2"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single" w:sz="4" w:space="0" w:color="000000"/>
              <w:right w:val="nil"/>
            </w:tcBorders>
            <w:shd w:val="clear" w:color="auto" w:fill="auto"/>
            <w:noWrap/>
            <w:vAlign w:val="bottom"/>
            <w:hideMark/>
          </w:tcPr>
          <w:p w14:paraId="31615545"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single" w:sz="4" w:space="0" w:color="FFFFFF"/>
              <w:left w:val="nil"/>
              <w:bottom w:val="single" w:sz="4" w:space="0" w:color="auto"/>
              <w:right w:val="single" w:sz="4" w:space="0" w:color="FFFFFF"/>
            </w:tcBorders>
            <w:shd w:val="clear" w:color="000000" w:fill="203764"/>
            <w:noWrap/>
            <w:vAlign w:val="bottom"/>
            <w:hideMark/>
          </w:tcPr>
          <w:p w14:paraId="7E111499"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2017</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70503E4B"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2018</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5172C83E"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2019</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3B78DC3F"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2020</w:t>
            </w:r>
          </w:p>
        </w:tc>
        <w:tc>
          <w:tcPr>
            <w:tcW w:w="401" w:type="pct"/>
            <w:tcBorders>
              <w:top w:val="single" w:sz="4" w:space="0" w:color="FFFFFF"/>
              <w:left w:val="nil"/>
              <w:bottom w:val="single" w:sz="4" w:space="0" w:color="auto"/>
              <w:right w:val="single" w:sz="4" w:space="0" w:color="FFFFFF"/>
            </w:tcBorders>
            <w:shd w:val="clear" w:color="000000" w:fill="203764"/>
            <w:noWrap/>
            <w:vAlign w:val="bottom"/>
            <w:hideMark/>
          </w:tcPr>
          <w:p w14:paraId="26A6420B"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2021</w:t>
            </w:r>
          </w:p>
        </w:tc>
        <w:tc>
          <w:tcPr>
            <w:tcW w:w="400" w:type="pct"/>
            <w:tcBorders>
              <w:top w:val="single" w:sz="4" w:space="0" w:color="FFFFFF"/>
              <w:left w:val="nil"/>
              <w:bottom w:val="single" w:sz="4" w:space="0" w:color="auto"/>
              <w:right w:val="single" w:sz="4" w:space="0" w:color="FFFFFF"/>
            </w:tcBorders>
            <w:shd w:val="clear" w:color="000000" w:fill="203764"/>
            <w:noWrap/>
            <w:vAlign w:val="bottom"/>
            <w:hideMark/>
          </w:tcPr>
          <w:p w14:paraId="53405BB7" w14:textId="77777777" w:rsidR="00B54F4E" w:rsidRPr="002C341E" w:rsidRDefault="00B54F4E" w:rsidP="006504C4">
            <w:pPr>
              <w:spacing w:before="0" w:after="0"/>
              <w:jc w:val="center"/>
              <w:rPr>
                <w:rFonts w:ascii="Calibri" w:hAnsi="Calibri" w:cs="Calibri"/>
                <w:color w:val="FFFFFF"/>
                <w:sz w:val="14"/>
                <w:szCs w:val="22"/>
                <w:lang w:eastAsia="es-CO"/>
              </w:rPr>
            </w:pPr>
            <w:r w:rsidRPr="002C341E">
              <w:rPr>
                <w:rFonts w:ascii="Calibri" w:hAnsi="Calibri" w:cs="Calibri"/>
                <w:color w:val="FFFFFF"/>
                <w:sz w:val="14"/>
                <w:szCs w:val="22"/>
                <w:lang w:eastAsia="es-CO"/>
              </w:rPr>
              <w:t>2022</w:t>
            </w:r>
          </w:p>
        </w:tc>
      </w:tr>
      <w:tr w:rsidR="00B54F4E" w:rsidRPr="002C341E" w14:paraId="7017BFBC" w14:textId="77777777" w:rsidTr="006504C4">
        <w:trPr>
          <w:trHeight w:val="264"/>
        </w:trPr>
        <w:tc>
          <w:tcPr>
            <w:tcW w:w="1947" w:type="pct"/>
            <w:tcBorders>
              <w:top w:val="nil"/>
              <w:left w:val="nil"/>
              <w:bottom w:val="nil"/>
              <w:right w:val="nil"/>
            </w:tcBorders>
            <w:shd w:val="clear" w:color="auto" w:fill="auto"/>
            <w:noWrap/>
            <w:vAlign w:val="bottom"/>
            <w:hideMark/>
          </w:tcPr>
          <w:p w14:paraId="377EEBDA"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Costo ambiental con generación GNL</w:t>
            </w:r>
          </w:p>
        </w:tc>
        <w:tc>
          <w:tcPr>
            <w:tcW w:w="384" w:type="pct"/>
            <w:tcBorders>
              <w:top w:val="nil"/>
              <w:left w:val="nil"/>
              <w:bottom w:val="nil"/>
              <w:right w:val="nil"/>
            </w:tcBorders>
            <w:shd w:val="clear" w:color="auto" w:fill="auto"/>
            <w:noWrap/>
            <w:vAlign w:val="bottom"/>
            <w:hideMark/>
          </w:tcPr>
          <w:p w14:paraId="1B2ADB45" w14:textId="77777777" w:rsidR="00B54F4E" w:rsidRPr="002C341E" w:rsidRDefault="00B54F4E" w:rsidP="006504C4">
            <w:pPr>
              <w:spacing w:before="0" w:after="0"/>
              <w:jc w:val="left"/>
              <w:rPr>
                <w:rFonts w:ascii="Calibri" w:hAnsi="Calibri" w:cs="Calibri"/>
                <w:color w:val="000000"/>
                <w:sz w:val="14"/>
                <w:szCs w:val="22"/>
                <w:lang w:eastAsia="es-CO"/>
              </w:rPr>
            </w:pPr>
          </w:p>
        </w:tc>
        <w:tc>
          <w:tcPr>
            <w:tcW w:w="332" w:type="pct"/>
            <w:tcBorders>
              <w:top w:val="nil"/>
              <w:left w:val="nil"/>
              <w:bottom w:val="nil"/>
              <w:right w:val="nil"/>
            </w:tcBorders>
            <w:shd w:val="clear" w:color="auto" w:fill="auto"/>
            <w:noWrap/>
            <w:vAlign w:val="bottom"/>
            <w:hideMark/>
          </w:tcPr>
          <w:p w14:paraId="562AAE12"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3E64D7BC"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0,00</w:t>
            </w:r>
          </w:p>
        </w:tc>
        <w:tc>
          <w:tcPr>
            <w:tcW w:w="401" w:type="pct"/>
            <w:tcBorders>
              <w:top w:val="nil"/>
              <w:left w:val="nil"/>
              <w:bottom w:val="nil"/>
              <w:right w:val="nil"/>
            </w:tcBorders>
            <w:shd w:val="clear" w:color="auto" w:fill="auto"/>
            <w:noWrap/>
            <w:vAlign w:val="bottom"/>
            <w:hideMark/>
          </w:tcPr>
          <w:p w14:paraId="3DB5100D"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2,92</w:t>
            </w:r>
          </w:p>
        </w:tc>
        <w:tc>
          <w:tcPr>
            <w:tcW w:w="401" w:type="pct"/>
            <w:tcBorders>
              <w:top w:val="nil"/>
              <w:left w:val="nil"/>
              <w:bottom w:val="nil"/>
              <w:right w:val="nil"/>
            </w:tcBorders>
            <w:shd w:val="clear" w:color="auto" w:fill="auto"/>
            <w:noWrap/>
            <w:vAlign w:val="bottom"/>
            <w:hideMark/>
          </w:tcPr>
          <w:p w14:paraId="6635AADF"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2,92</w:t>
            </w:r>
          </w:p>
        </w:tc>
        <w:tc>
          <w:tcPr>
            <w:tcW w:w="401" w:type="pct"/>
            <w:tcBorders>
              <w:top w:val="nil"/>
              <w:left w:val="nil"/>
              <w:bottom w:val="nil"/>
              <w:right w:val="nil"/>
            </w:tcBorders>
            <w:shd w:val="clear" w:color="auto" w:fill="auto"/>
            <w:noWrap/>
            <w:vAlign w:val="bottom"/>
            <w:hideMark/>
          </w:tcPr>
          <w:p w14:paraId="33E91949"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5,24</w:t>
            </w:r>
          </w:p>
        </w:tc>
        <w:tc>
          <w:tcPr>
            <w:tcW w:w="401" w:type="pct"/>
            <w:tcBorders>
              <w:top w:val="nil"/>
              <w:left w:val="nil"/>
              <w:bottom w:val="nil"/>
              <w:right w:val="nil"/>
            </w:tcBorders>
            <w:shd w:val="clear" w:color="auto" w:fill="auto"/>
            <w:noWrap/>
            <w:vAlign w:val="bottom"/>
            <w:hideMark/>
          </w:tcPr>
          <w:p w14:paraId="107BCB0E"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5,24</w:t>
            </w:r>
          </w:p>
        </w:tc>
        <w:tc>
          <w:tcPr>
            <w:tcW w:w="400" w:type="pct"/>
            <w:tcBorders>
              <w:top w:val="nil"/>
              <w:left w:val="nil"/>
              <w:bottom w:val="nil"/>
              <w:right w:val="nil"/>
            </w:tcBorders>
            <w:shd w:val="clear" w:color="auto" w:fill="auto"/>
            <w:noWrap/>
            <w:vAlign w:val="bottom"/>
            <w:hideMark/>
          </w:tcPr>
          <w:p w14:paraId="7829A123"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5,24</w:t>
            </w:r>
          </w:p>
        </w:tc>
      </w:tr>
      <w:tr w:rsidR="00B54F4E" w:rsidRPr="002C341E" w14:paraId="6FEA13C3" w14:textId="77777777" w:rsidTr="006504C4">
        <w:trPr>
          <w:trHeight w:val="264"/>
        </w:trPr>
        <w:tc>
          <w:tcPr>
            <w:tcW w:w="1947" w:type="pct"/>
            <w:tcBorders>
              <w:top w:val="nil"/>
              <w:left w:val="nil"/>
              <w:bottom w:val="single" w:sz="4" w:space="0" w:color="auto"/>
              <w:right w:val="nil"/>
            </w:tcBorders>
            <w:shd w:val="clear" w:color="auto" w:fill="auto"/>
            <w:noWrap/>
            <w:vAlign w:val="bottom"/>
            <w:hideMark/>
          </w:tcPr>
          <w:p w14:paraId="5A239199"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Costo ambiental con alternativa térmica</w:t>
            </w:r>
          </w:p>
        </w:tc>
        <w:tc>
          <w:tcPr>
            <w:tcW w:w="384" w:type="pct"/>
            <w:tcBorders>
              <w:top w:val="nil"/>
              <w:left w:val="nil"/>
              <w:bottom w:val="single" w:sz="4" w:space="0" w:color="auto"/>
              <w:right w:val="nil"/>
            </w:tcBorders>
            <w:shd w:val="clear" w:color="auto" w:fill="auto"/>
            <w:noWrap/>
            <w:vAlign w:val="bottom"/>
            <w:hideMark/>
          </w:tcPr>
          <w:p w14:paraId="21956FA1"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single" w:sz="4" w:space="0" w:color="auto"/>
              <w:right w:val="nil"/>
            </w:tcBorders>
            <w:shd w:val="clear" w:color="auto" w:fill="auto"/>
            <w:noWrap/>
            <w:vAlign w:val="bottom"/>
            <w:hideMark/>
          </w:tcPr>
          <w:p w14:paraId="7CE82D2E"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nil"/>
              <w:right w:val="nil"/>
            </w:tcBorders>
            <w:shd w:val="clear" w:color="auto" w:fill="auto"/>
            <w:noWrap/>
            <w:vAlign w:val="bottom"/>
            <w:hideMark/>
          </w:tcPr>
          <w:p w14:paraId="721A38AA"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0,00</w:t>
            </w:r>
          </w:p>
        </w:tc>
        <w:tc>
          <w:tcPr>
            <w:tcW w:w="401" w:type="pct"/>
            <w:tcBorders>
              <w:top w:val="nil"/>
              <w:left w:val="nil"/>
              <w:bottom w:val="nil"/>
              <w:right w:val="nil"/>
            </w:tcBorders>
            <w:shd w:val="clear" w:color="auto" w:fill="auto"/>
            <w:noWrap/>
            <w:vAlign w:val="bottom"/>
            <w:hideMark/>
          </w:tcPr>
          <w:p w14:paraId="72FCD4CE"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8,40</w:t>
            </w:r>
          </w:p>
        </w:tc>
        <w:tc>
          <w:tcPr>
            <w:tcW w:w="401" w:type="pct"/>
            <w:tcBorders>
              <w:top w:val="nil"/>
              <w:left w:val="nil"/>
              <w:bottom w:val="nil"/>
              <w:right w:val="nil"/>
            </w:tcBorders>
            <w:shd w:val="clear" w:color="auto" w:fill="auto"/>
            <w:noWrap/>
            <w:vAlign w:val="bottom"/>
            <w:hideMark/>
          </w:tcPr>
          <w:p w14:paraId="687CD733"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8,40</w:t>
            </w:r>
          </w:p>
        </w:tc>
        <w:tc>
          <w:tcPr>
            <w:tcW w:w="401" w:type="pct"/>
            <w:tcBorders>
              <w:top w:val="nil"/>
              <w:left w:val="nil"/>
              <w:bottom w:val="nil"/>
              <w:right w:val="nil"/>
            </w:tcBorders>
            <w:shd w:val="clear" w:color="auto" w:fill="auto"/>
            <w:noWrap/>
            <w:vAlign w:val="bottom"/>
            <w:hideMark/>
          </w:tcPr>
          <w:p w14:paraId="18589CD1"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15,09</w:t>
            </w:r>
          </w:p>
        </w:tc>
        <w:tc>
          <w:tcPr>
            <w:tcW w:w="401" w:type="pct"/>
            <w:tcBorders>
              <w:top w:val="nil"/>
              <w:left w:val="nil"/>
              <w:bottom w:val="nil"/>
              <w:right w:val="nil"/>
            </w:tcBorders>
            <w:shd w:val="clear" w:color="auto" w:fill="auto"/>
            <w:noWrap/>
            <w:vAlign w:val="bottom"/>
            <w:hideMark/>
          </w:tcPr>
          <w:p w14:paraId="1A84B6E0"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15,09</w:t>
            </w:r>
          </w:p>
        </w:tc>
        <w:tc>
          <w:tcPr>
            <w:tcW w:w="400" w:type="pct"/>
            <w:tcBorders>
              <w:top w:val="nil"/>
              <w:left w:val="nil"/>
              <w:bottom w:val="nil"/>
              <w:right w:val="nil"/>
            </w:tcBorders>
            <w:shd w:val="clear" w:color="auto" w:fill="auto"/>
            <w:noWrap/>
            <w:vAlign w:val="bottom"/>
            <w:hideMark/>
          </w:tcPr>
          <w:p w14:paraId="706864A5"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15,09</w:t>
            </w:r>
          </w:p>
        </w:tc>
      </w:tr>
      <w:tr w:rsidR="00B54F4E" w:rsidRPr="002C341E" w14:paraId="2C538267" w14:textId="77777777" w:rsidTr="006504C4">
        <w:trPr>
          <w:trHeight w:val="264"/>
        </w:trPr>
        <w:tc>
          <w:tcPr>
            <w:tcW w:w="1947" w:type="pct"/>
            <w:tcBorders>
              <w:top w:val="nil"/>
              <w:left w:val="nil"/>
              <w:bottom w:val="single" w:sz="4" w:space="0" w:color="auto"/>
              <w:right w:val="nil"/>
            </w:tcBorders>
            <w:shd w:val="clear" w:color="auto" w:fill="auto"/>
            <w:noWrap/>
            <w:vAlign w:val="bottom"/>
            <w:hideMark/>
          </w:tcPr>
          <w:p w14:paraId="02050991"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Beneficio económico anual (Millones $USD)</w:t>
            </w:r>
          </w:p>
        </w:tc>
        <w:tc>
          <w:tcPr>
            <w:tcW w:w="384" w:type="pct"/>
            <w:tcBorders>
              <w:top w:val="nil"/>
              <w:left w:val="nil"/>
              <w:bottom w:val="single" w:sz="4" w:space="0" w:color="auto"/>
              <w:right w:val="nil"/>
            </w:tcBorders>
            <w:shd w:val="clear" w:color="auto" w:fill="auto"/>
            <w:noWrap/>
            <w:vAlign w:val="bottom"/>
            <w:hideMark/>
          </w:tcPr>
          <w:p w14:paraId="164CBE8B"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nil"/>
              <w:left w:val="nil"/>
              <w:bottom w:val="single" w:sz="4" w:space="0" w:color="auto"/>
              <w:right w:val="nil"/>
            </w:tcBorders>
            <w:shd w:val="clear" w:color="auto" w:fill="auto"/>
            <w:noWrap/>
            <w:vAlign w:val="bottom"/>
            <w:hideMark/>
          </w:tcPr>
          <w:p w14:paraId="19369D30"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 </w:t>
            </w:r>
          </w:p>
        </w:tc>
        <w:tc>
          <w:tcPr>
            <w:tcW w:w="332" w:type="pct"/>
            <w:tcBorders>
              <w:top w:val="single" w:sz="4" w:space="0" w:color="auto"/>
              <w:left w:val="nil"/>
              <w:bottom w:val="single" w:sz="4" w:space="0" w:color="auto"/>
              <w:right w:val="nil"/>
            </w:tcBorders>
            <w:shd w:val="clear" w:color="auto" w:fill="auto"/>
            <w:noWrap/>
            <w:vAlign w:val="bottom"/>
            <w:hideMark/>
          </w:tcPr>
          <w:p w14:paraId="5F38F7E1"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0,00</w:t>
            </w:r>
          </w:p>
        </w:tc>
        <w:tc>
          <w:tcPr>
            <w:tcW w:w="401" w:type="pct"/>
            <w:tcBorders>
              <w:top w:val="single" w:sz="4" w:space="0" w:color="auto"/>
              <w:left w:val="nil"/>
              <w:bottom w:val="single" w:sz="4" w:space="0" w:color="auto"/>
              <w:right w:val="nil"/>
            </w:tcBorders>
            <w:shd w:val="clear" w:color="auto" w:fill="auto"/>
            <w:noWrap/>
            <w:vAlign w:val="bottom"/>
            <w:hideMark/>
          </w:tcPr>
          <w:p w14:paraId="278A4A7B"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5,48</w:t>
            </w:r>
          </w:p>
        </w:tc>
        <w:tc>
          <w:tcPr>
            <w:tcW w:w="401" w:type="pct"/>
            <w:tcBorders>
              <w:top w:val="single" w:sz="4" w:space="0" w:color="auto"/>
              <w:left w:val="nil"/>
              <w:bottom w:val="single" w:sz="4" w:space="0" w:color="auto"/>
              <w:right w:val="nil"/>
            </w:tcBorders>
            <w:shd w:val="clear" w:color="auto" w:fill="auto"/>
            <w:noWrap/>
            <w:vAlign w:val="bottom"/>
            <w:hideMark/>
          </w:tcPr>
          <w:p w14:paraId="7F581F0E"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5,48</w:t>
            </w:r>
          </w:p>
        </w:tc>
        <w:tc>
          <w:tcPr>
            <w:tcW w:w="401" w:type="pct"/>
            <w:tcBorders>
              <w:top w:val="single" w:sz="4" w:space="0" w:color="auto"/>
              <w:left w:val="nil"/>
              <w:bottom w:val="single" w:sz="4" w:space="0" w:color="auto"/>
              <w:right w:val="nil"/>
            </w:tcBorders>
            <w:shd w:val="clear" w:color="auto" w:fill="auto"/>
            <w:noWrap/>
            <w:vAlign w:val="bottom"/>
            <w:hideMark/>
          </w:tcPr>
          <w:p w14:paraId="72AC5C23"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9,85</w:t>
            </w:r>
          </w:p>
        </w:tc>
        <w:tc>
          <w:tcPr>
            <w:tcW w:w="401" w:type="pct"/>
            <w:tcBorders>
              <w:top w:val="single" w:sz="4" w:space="0" w:color="auto"/>
              <w:left w:val="nil"/>
              <w:bottom w:val="single" w:sz="4" w:space="0" w:color="auto"/>
              <w:right w:val="nil"/>
            </w:tcBorders>
            <w:shd w:val="clear" w:color="auto" w:fill="auto"/>
            <w:noWrap/>
            <w:vAlign w:val="bottom"/>
            <w:hideMark/>
          </w:tcPr>
          <w:p w14:paraId="595794E3"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9,85</w:t>
            </w:r>
          </w:p>
        </w:tc>
        <w:tc>
          <w:tcPr>
            <w:tcW w:w="400" w:type="pct"/>
            <w:tcBorders>
              <w:top w:val="single" w:sz="4" w:space="0" w:color="auto"/>
              <w:left w:val="nil"/>
              <w:bottom w:val="single" w:sz="4" w:space="0" w:color="auto"/>
              <w:right w:val="nil"/>
            </w:tcBorders>
            <w:shd w:val="clear" w:color="auto" w:fill="auto"/>
            <w:noWrap/>
            <w:vAlign w:val="bottom"/>
            <w:hideMark/>
          </w:tcPr>
          <w:p w14:paraId="0FF7B125"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9,85</w:t>
            </w:r>
          </w:p>
        </w:tc>
      </w:tr>
      <w:tr w:rsidR="00B54F4E" w:rsidRPr="002C341E" w14:paraId="76C69771" w14:textId="77777777" w:rsidTr="006504C4">
        <w:trPr>
          <w:trHeight w:val="74"/>
        </w:trPr>
        <w:tc>
          <w:tcPr>
            <w:tcW w:w="1947" w:type="pct"/>
            <w:tcBorders>
              <w:top w:val="nil"/>
              <w:left w:val="nil"/>
              <w:bottom w:val="nil"/>
              <w:right w:val="nil"/>
            </w:tcBorders>
            <w:shd w:val="clear" w:color="auto" w:fill="auto"/>
            <w:noWrap/>
            <w:vAlign w:val="bottom"/>
            <w:hideMark/>
          </w:tcPr>
          <w:p w14:paraId="1ABE7878" w14:textId="77777777" w:rsidR="00B54F4E" w:rsidRPr="002C341E" w:rsidRDefault="00B54F4E" w:rsidP="006504C4">
            <w:pPr>
              <w:spacing w:before="0" w:after="0"/>
              <w:jc w:val="left"/>
              <w:rPr>
                <w:rFonts w:ascii="Times New Roman" w:hAnsi="Times New Roman"/>
                <w:sz w:val="14"/>
                <w:lang w:eastAsia="es-CO"/>
              </w:rPr>
            </w:pPr>
          </w:p>
        </w:tc>
        <w:tc>
          <w:tcPr>
            <w:tcW w:w="384" w:type="pct"/>
            <w:tcBorders>
              <w:top w:val="nil"/>
              <w:left w:val="nil"/>
              <w:bottom w:val="nil"/>
              <w:right w:val="nil"/>
            </w:tcBorders>
            <w:shd w:val="clear" w:color="auto" w:fill="auto"/>
            <w:noWrap/>
            <w:vAlign w:val="bottom"/>
            <w:hideMark/>
          </w:tcPr>
          <w:p w14:paraId="18205F46"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2CF3C571" w14:textId="77777777" w:rsidR="00B54F4E" w:rsidRPr="002C341E" w:rsidRDefault="00B54F4E" w:rsidP="006504C4">
            <w:pPr>
              <w:spacing w:before="0" w:after="0"/>
              <w:jc w:val="left"/>
              <w:rPr>
                <w:rFonts w:ascii="Times New Roman" w:hAnsi="Times New Roman"/>
                <w:sz w:val="14"/>
                <w:lang w:eastAsia="es-CO"/>
              </w:rPr>
            </w:pPr>
          </w:p>
        </w:tc>
        <w:tc>
          <w:tcPr>
            <w:tcW w:w="332" w:type="pct"/>
            <w:tcBorders>
              <w:top w:val="nil"/>
              <w:left w:val="nil"/>
              <w:bottom w:val="nil"/>
              <w:right w:val="nil"/>
            </w:tcBorders>
            <w:shd w:val="clear" w:color="auto" w:fill="auto"/>
            <w:noWrap/>
            <w:vAlign w:val="bottom"/>
            <w:hideMark/>
          </w:tcPr>
          <w:p w14:paraId="1EEA3EB1"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1B73E073"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47764E9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20B1637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50410AE4" w14:textId="77777777" w:rsidR="00B54F4E" w:rsidRPr="002C341E" w:rsidRDefault="00B54F4E" w:rsidP="006504C4">
            <w:pPr>
              <w:spacing w:before="0" w:after="0"/>
              <w:jc w:val="left"/>
              <w:rPr>
                <w:rFonts w:ascii="Times New Roman" w:hAnsi="Times New Roman"/>
                <w:sz w:val="14"/>
                <w:lang w:eastAsia="es-CO"/>
              </w:rPr>
            </w:pPr>
          </w:p>
        </w:tc>
        <w:tc>
          <w:tcPr>
            <w:tcW w:w="400" w:type="pct"/>
            <w:tcBorders>
              <w:top w:val="nil"/>
              <w:left w:val="nil"/>
              <w:bottom w:val="nil"/>
              <w:right w:val="nil"/>
            </w:tcBorders>
            <w:shd w:val="clear" w:color="auto" w:fill="auto"/>
            <w:noWrap/>
            <w:vAlign w:val="bottom"/>
            <w:hideMark/>
          </w:tcPr>
          <w:p w14:paraId="6A4BBE0B" w14:textId="77777777" w:rsidR="00B54F4E" w:rsidRPr="002C341E" w:rsidRDefault="00B54F4E" w:rsidP="006504C4">
            <w:pPr>
              <w:spacing w:before="0" w:after="0"/>
              <w:jc w:val="left"/>
              <w:rPr>
                <w:rFonts w:ascii="Times New Roman" w:hAnsi="Times New Roman"/>
                <w:sz w:val="14"/>
                <w:lang w:eastAsia="es-CO"/>
              </w:rPr>
            </w:pPr>
          </w:p>
        </w:tc>
      </w:tr>
      <w:tr w:rsidR="00B54F4E" w:rsidRPr="002C341E" w14:paraId="0AA9EC01" w14:textId="77777777" w:rsidTr="006504C4">
        <w:trPr>
          <w:trHeight w:val="264"/>
        </w:trPr>
        <w:tc>
          <w:tcPr>
            <w:tcW w:w="1947" w:type="pct"/>
            <w:tcBorders>
              <w:top w:val="single" w:sz="4" w:space="0" w:color="auto"/>
              <w:left w:val="single" w:sz="4" w:space="0" w:color="auto"/>
              <w:bottom w:val="single" w:sz="4" w:space="0" w:color="auto"/>
              <w:right w:val="nil"/>
            </w:tcBorders>
            <w:shd w:val="clear" w:color="000000" w:fill="E2EFDA"/>
            <w:noWrap/>
            <w:vAlign w:val="bottom"/>
            <w:hideMark/>
          </w:tcPr>
          <w:p w14:paraId="3BACB606" w14:textId="77777777" w:rsidR="00B54F4E" w:rsidRPr="002C341E" w:rsidRDefault="00B54F4E" w:rsidP="006504C4">
            <w:pPr>
              <w:spacing w:before="0" w:after="0"/>
              <w:jc w:val="left"/>
              <w:rPr>
                <w:rFonts w:ascii="Calibri" w:hAnsi="Calibri" w:cs="Calibri"/>
                <w:color w:val="000000"/>
                <w:sz w:val="14"/>
                <w:szCs w:val="22"/>
                <w:lang w:eastAsia="es-CO"/>
              </w:rPr>
            </w:pPr>
            <w:r w:rsidRPr="002C341E">
              <w:rPr>
                <w:rFonts w:ascii="Calibri" w:hAnsi="Calibri" w:cs="Calibri"/>
                <w:color w:val="000000"/>
                <w:sz w:val="14"/>
                <w:szCs w:val="22"/>
                <w:lang w:eastAsia="es-CO"/>
              </w:rPr>
              <w:t>VPN dic 2016 (Millones $USD)</w:t>
            </w:r>
          </w:p>
        </w:tc>
        <w:tc>
          <w:tcPr>
            <w:tcW w:w="384" w:type="pct"/>
            <w:tcBorders>
              <w:top w:val="single" w:sz="4" w:space="0" w:color="auto"/>
              <w:left w:val="nil"/>
              <w:bottom w:val="single" w:sz="4" w:space="0" w:color="auto"/>
              <w:right w:val="single" w:sz="4" w:space="0" w:color="auto"/>
            </w:tcBorders>
            <w:shd w:val="clear" w:color="000000" w:fill="E2EFDA"/>
            <w:noWrap/>
            <w:vAlign w:val="bottom"/>
            <w:hideMark/>
          </w:tcPr>
          <w:p w14:paraId="6BCFD447" w14:textId="77777777" w:rsidR="00B54F4E" w:rsidRPr="002C341E" w:rsidRDefault="00B54F4E" w:rsidP="006504C4">
            <w:pPr>
              <w:spacing w:before="0" w:after="0"/>
              <w:jc w:val="right"/>
              <w:rPr>
                <w:rFonts w:ascii="Calibri" w:hAnsi="Calibri" w:cs="Calibri"/>
                <w:color w:val="000000"/>
                <w:sz w:val="14"/>
                <w:szCs w:val="22"/>
                <w:lang w:eastAsia="es-CO"/>
              </w:rPr>
            </w:pPr>
            <w:r w:rsidRPr="002C341E">
              <w:rPr>
                <w:rFonts w:ascii="Calibri" w:hAnsi="Calibri" w:cs="Calibri"/>
                <w:color w:val="000000"/>
                <w:sz w:val="14"/>
                <w:szCs w:val="22"/>
                <w:lang w:eastAsia="es-CO"/>
              </w:rPr>
              <w:t>$47,52</w:t>
            </w:r>
          </w:p>
        </w:tc>
        <w:tc>
          <w:tcPr>
            <w:tcW w:w="332" w:type="pct"/>
            <w:tcBorders>
              <w:top w:val="nil"/>
              <w:left w:val="nil"/>
              <w:bottom w:val="nil"/>
              <w:right w:val="nil"/>
            </w:tcBorders>
            <w:shd w:val="clear" w:color="auto" w:fill="auto"/>
            <w:noWrap/>
            <w:vAlign w:val="bottom"/>
            <w:hideMark/>
          </w:tcPr>
          <w:p w14:paraId="1F0F884E" w14:textId="77777777" w:rsidR="00B54F4E" w:rsidRPr="002C341E" w:rsidRDefault="00B54F4E" w:rsidP="006504C4">
            <w:pPr>
              <w:spacing w:before="0" w:after="0"/>
              <w:jc w:val="right"/>
              <w:rPr>
                <w:rFonts w:ascii="Calibri" w:hAnsi="Calibri" w:cs="Calibri"/>
                <w:color w:val="000000"/>
                <w:sz w:val="14"/>
                <w:szCs w:val="22"/>
                <w:lang w:eastAsia="es-CO"/>
              </w:rPr>
            </w:pPr>
          </w:p>
        </w:tc>
        <w:tc>
          <w:tcPr>
            <w:tcW w:w="332" w:type="pct"/>
            <w:tcBorders>
              <w:top w:val="nil"/>
              <w:left w:val="nil"/>
              <w:bottom w:val="nil"/>
              <w:right w:val="nil"/>
            </w:tcBorders>
            <w:shd w:val="clear" w:color="auto" w:fill="auto"/>
            <w:noWrap/>
            <w:vAlign w:val="bottom"/>
            <w:hideMark/>
          </w:tcPr>
          <w:p w14:paraId="31ECCA04"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640EBF56"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24CF35D0"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3C5031CC" w14:textId="77777777" w:rsidR="00B54F4E" w:rsidRPr="002C341E" w:rsidRDefault="00B54F4E" w:rsidP="006504C4">
            <w:pPr>
              <w:spacing w:before="0" w:after="0"/>
              <w:jc w:val="left"/>
              <w:rPr>
                <w:rFonts w:ascii="Times New Roman" w:hAnsi="Times New Roman"/>
                <w:sz w:val="14"/>
                <w:lang w:eastAsia="es-CO"/>
              </w:rPr>
            </w:pPr>
          </w:p>
        </w:tc>
        <w:tc>
          <w:tcPr>
            <w:tcW w:w="401" w:type="pct"/>
            <w:tcBorders>
              <w:top w:val="nil"/>
              <w:left w:val="nil"/>
              <w:bottom w:val="nil"/>
              <w:right w:val="nil"/>
            </w:tcBorders>
            <w:shd w:val="clear" w:color="auto" w:fill="auto"/>
            <w:noWrap/>
            <w:vAlign w:val="bottom"/>
            <w:hideMark/>
          </w:tcPr>
          <w:p w14:paraId="6B9332A7" w14:textId="77777777" w:rsidR="00B54F4E" w:rsidRPr="002C341E" w:rsidRDefault="00B54F4E" w:rsidP="006504C4">
            <w:pPr>
              <w:spacing w:before="0" w:after="0"/>
              <w:jc w:val="left"/>
              <w:rPr>
                <w:rFonts w:ascii="Times New Roman" w:hAnsi="Times New Roman"/>
                <w:sz w:val="14"/>
                <w:lang w:eastAsia="es-CO"/>
              </w:rPr>
            </w:pPr>
          </w:p>
        </w:tc>
        <w:tc>
          <w:tcPr>
            <w:tcW w:w="400" w:type="pct"/>
            <w:tcBorders>
              <w:top w:val="nil"/>
              <w:left w:val="nil"/>
              <w:bottom w:val="nil"/>
              <w:right w:val="nil"/>
            </w:tcBorders>
            <w:shd w:val="clear" w:color="auto" w:fill="auto"/>
            <w:noWrap/>
            <w:vAlign w:val="bottom"/>
            <w:hideMark/>
          </w:tcPr>
          <w:p w14:paraId="090B1ED1" w14:textId="77777777" w:rsidR="00B54F4E" w:rsidRPr="002C341E" w:rsidRDefault="00B54F4E" w:rsidP="006504C4">
            <w:pPr>
              <w:spacing w:before="0" w:after="0"/>
              <w:jc w:val="left"/>
              <w:rPr>
                <w:rFonts w:ascii="Times New Roman" w:hAnsi="Times New Roman"/>
                <w:sz w:val="14"/>
                <w:lang w:eastAsia="es-CO"/>
              </w:rPr>
            </w:pPr>
          </w:p>
        </w:tc>
      </w:tr>
    </w:tbl>
    <w:p w14:paraId="33CF9F0E" w14:textId="77777777" w:rsidR="00B54F4E" w:rsidRDefault="00B54F4E" w:rsidP="00B54F4E">
      <w:pPr>
        <w:spacing w:before="0" w:after="0"/>
        <w:jc w:val="center"/>
        <w:rPr>
          <w:sz w:val="20"/>
          <w:lang w:val="es-ES"/>
        </w:rPr>
      </w:pPr>
    </w:p>
    <w:p w14:paraId="3F15BADF" w14:textId="77777777" w:rsidR="00B54F4E" w:rsidRPr="00795F1D" w:rsidRDefault="00B54F4E" w:rsidP="00B54F4E">
      <w:pPr>
        <w:spacing w:before="0" w:after="0"/>
        <w:jc w:val="center"/>
        <w:rPr>
          <w:sz w:val="18"/>
          <w:lang w:val="es-ES"/>
        </w:rPr>
      </w:pPr>
      <w:r w:rsidRPr="00795F1D">
        <w:rPr>
          <w:sz w:val="18"/>
          <w:lang w:val="es-ES"/>
        </w:rPr>
        <w:t>Fuente: Elaboración del consultor.</w:t>
      </w:r>
    </w:p>
    <w:p w14:paraId="3FAECE3C" w14:textId="77777777" w:rsidR="00B54F4E" w:rsidRPr="00795F1D" w:rsidRDefault="00B54F4E" w:rsidP="00B54F4E">
      <w:pPr>
        <w:spacing w:before="0" w:after="0"/>
        <w:jc w:val="center"/>
        <w:rPr>
          <w:sz w:val="18"/>
          <w:lang w:val="es-ES"/>
        </w:rPr>
      </w:pPr>
      <w:r w:rsidRPr="00795F1D">
        <w:rPr>
          <w:sz w:val="18"/>
          <w:lang w:val="es-ES"/>
        </w:rPr>
        <w:t>Nota: la proyección completa de flujos fue realizada a 2030, para efecto de presentación de resultados solo se muestran resultados a 2022 (flujos anuales a 2030 en valores constantes son iguales para cada periodo)</w:t>
      </w:r>
    </w:p>
    <w:p w14:paraId="302AA9BE" w14:textId="77777777" w:rsidR="00B54F4E" w:rsidRPr="0020617C" w:rsidRDefault="00B54F4E" w:rsidP="00B54F4E">
      <w:pPr>
        <w:rPr>
          <w:lang w:val="es-ES"/>
        </w:rPr>
      </w:pPr>
      <w:r w:rsidRPr="0020617C">
        <w:rPr>
          <w:lang w:val="es-ES"/>
        </w:rPr>
        <w:t xml:space="preserve">La </w:t>
      </w:r>
      <w:r>
        <w:rPr>
          <w:lang w:val="es-ES"/>
        </w:rPr>
        <w:fldChar w:fldCharType="begin"/>
      </w:r>
      <w:r>
        <w:rPr>
          <w:lang w:val="es-ES"/>
        </w:rPr>
        <w:instrText xml:space="preserve"> REF _Ref481403926 \h </w:instrText>
      </w:r>
      <w:r>
        <w:rPr>
          <w:lang w:val="es-ES"/>
        </w:rPr>
      </w:r>
      <w:r>
        <w:rPr>
          <w:lang w:val="es-ES"/>
        </w:rPr>
        <w:fldChar w:fldCharType="separate"/>
      </w:r>
      <w:r w:rsidRPr="008C12BC">
        <w:rPr>
          <w:b/>
        </w:rPr>
        <w:t xml:space="preserve">Tabla </w:t>
      </w:r>
      <w:r>
        <w:rPr>
          <w:b/>
          <w:noProof/>
        </w:rPr>
        <w:t>13</w:t>
      </w:r>
      <w:r>
        <w:rPr>
          <w:lang w:val="es-ES"/>
        </w:rPr>
        <w:fldChar w:fldCharType="end"/>
      </w:r>
      <w:r>
        <w:rPr>
          <w:lang w:val="es-ES"/>
        </w:rPr>
        <w:t xml:space="preserve"> </w:t>
      </w:r>
      <w:r w:rsidRPr="0020617C">
        <w:rPr>
          <w:lang w:val="es-ES"/>
        </w:rPr>
        <w:t>resume los resultados de la evaluación económica anterior</w:t>
      </w:r>
    </w:p>
    <w:p w14:paraId="6FBE9E9C" w14:textId="77777777" w:rsidR="00B54F4E" w:rsidRPr="006C4E72" w:rsidRDefault="00B54F4E" w:rsidP="00B54F4E">
      <w:pPr>
        <w:ind w:left="720"/>
        <w:jc w:val="center"/>
        <w:rPr>
          <w:b/>
        </w:rPr>
      </w:pPr>
      <w:bookmarkStart w:id="75" w:name="_Ref481403926"/>
      <w:bookmarkStart w:id="76" w:name="_Toc484097053"/>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13</w:t>
      </w:r>
      <w:r w:rsidRPr="008C12BC">
        <w:rPr>
          <w:b/>
        </w:rPr>
        <w:fldChar w:fldCharType="end"/>
      </w:r>
      <w:bookmarkEnd w:id="75"/>
      <w:r>
        <w:rPr>
          <w:b/>
        </w:rPr>
        <w:t xml:space="preserve"> – Resumen de valoración beneficios asociados con el </w:t>
      </w:r>
      <w:r w:rsidRPr="0020617C">
        <w:rPr>
          <w:b/>
        </w:rPr>
        <w:t xml:space="preserve">desarrollo del </w:t>
      </w:r>
      <w:r>
        <w:rPr>
          <w:b/>
        </w:rPr>
        <w:t>GN</w:t>
      </w:r>
      <w:r w:rsidRPr="0020617C">
        <w:rPr>
          <w:b/>
        </w:rPr>
        <w:t xml:space="preserve"> para generación eléctrica</w:t>
      </w:r>
      <w:bookmarkEnd w:id="76"/>
    </w:p>
    <w:tbl>
      <w:tblPr>
        <w:tblW w:w="5006" w:type="pct"/>
        <w:tblCellMar>
          <w:left w:w="70" w:type="dxa"/>
          <w:right w:w="70" w:type="dxa"/>
        </w:tblCellMar>
        <w:tblLook w:val="04A0" w:firstRow="1" w:lastRow="0" w:firstColumn="1" w:lastColumn="0" w:noHBand="0" w:noVBand="1"/>
      </w:tblPr>
      <w:tblGrid>
        <w:gridCol w:w="5576"/>
        <w:gridCol w:w="1192"/>
        <w:gridCol w:w="1038"/>
        <w:gridCol w:w="1038"/>
      </w:tblGrid>
      <w:tr w:rsidR="00B54F4E" w:rsidRPr="0020617C" w14:paraId="181D1F3A" w14:textId="77777777" w:rsidTr="006504C4">
        <w:trPr>
          <w:trHeight w:val="414"/>
        </w:trPr>
        <w:tc>
          <w:tcPr>
            <w:tcW w:w="3151" w:type="pct"/>
            <w:tcBorders>
              <w:top w:val="nil"/>
              <w:left w:val="nil"/>
              <w:bottom w:val="single" w:sz="8" w:space="0" w:color="000000"/>
              <w:right w:val="nil"/>
            </w:tcBorders>
            <w:shd w:val="clear" w:color="auto" w:fill="auto"/>
            <w:noWrap/>
            <w:vAlign w:val="bottom"/>
            <w:hideMark/>
          </w:tcPr>
          <w:p w14:paraId="7ED7B689" w14:textId="77777777" w:rsidR="00B54F4E" w:rsidRPr="0020617C" w:rsidRDefault="00B54F4E" w:rsidP="006504C4">
            <w:pPr>
              <w:spacing w:before="0" w:after="0"/>
              <w:jc w:val="left"/>
              <w:rPr>
                <w:rFonts w:ascii="Calibri" w:hAnsi="Calibri" w:cs="Calibri"/>
                <w:color w:val="000000"/>
                <w:sz w:val="20"/>
                <w:szCs w:val="22"/>
                <w:lang w:eastAsia="es-CO"/>
              </w:rPr>
            </w:pPr>
            <w:r w:rsidRPr="0020617C">
              <w:rPr>
                <w:rFonts w:ascii="Calibri" w:hAnsi="Calibri" w:cs="Calibri"/>
                <w:color w:val="000000"/>
                <w:sz w:val="20"/>
                <w:szCs w:val="22"/>
                <w:lang w:eastAsia="es-CO"/>
              </w:rPr>
              <w:t>(Millones $USD 2016)</w:t>
            </w:r>
          </w:p>
        </w:tc>
        <w:tc>
          <w:tcPr>
            <w:tcW w:w="674" w:type="pct"/>
            <w:tcBorders>
              <w:top w:val="single" w:sz="4" w:space="0" w:color="FFFFFF"/>
              <w:left w:val="nil"/>
              <w:bottom w:val="single" w:sz="4" w:space="0" w:color="auto"/>
              <w:right w:val="single" w:sz="4" w:space="0" w:color="FFFFFF"/>
            </w:tcBorders>
            <w:shd w:val="clear" w:color="000000" w:fill="203764"/>
            <w:vAlign w:val="center"/>
            <w:hideMark/>
          </w:tcPr>
          <w:p w14:paraId="3482AD51" w14:textId="77777777" w:rsidR="00B54F4E" w:rsidRPr="0020617C" w:rsidRDefault="00B54F4E" w:rsidP="006504C4">
            <w:pPr>
              <w:spacing w:before="0" w:after="0"/>
              <w:jc w:val="center"/>
              <w:rPr>
                <w:rFonts w:ascii="Calibri" w:hAnsi="Calibri" w:cs="Calibri"/>
                <w:color w:val="FFFFFF"/>
                <w:sz w:val="20"/>
                <w:szCs w:val="22"/>
                <w:lang w:eastAsia="es-CO"/>
              </w:rPr>
            </w:pPr>
            <w:r w:rsidRPr="0020617C">
              <w:rPr>
                <w:rFonts w:ascii="Calibri" w:hAnsi="Calibri" w:cs="Calibri"/>
                <w:color w:val="FFFFFF"/>
                <w:sz w:val="20"/>
                <w:szCs w:val="22"/>
                <w:lang w:eastAsia="es-CO"/>
              </w:rPr>
              <w:t>Generación GNL</w:t>
            </w:r>
          </w:p>
        </w:tc>
        <w:tc>
          <w:tcPr>
            <w:tcW w:w="587" w:type="pct"/>
            <w:tcBorders>
              <w:top w:val="single" w:sz="4" w:space="0" w:color="FFFFFF"/>
              <w:left w:val="nil"/>
              <w:bottom w:val="single" w:sz="4" w:space="0" w:color="auto"/>
              <w:right w:val="single" w:sz="4" w:space="0" w:color="FFFFFF"/>
            </w:tcBorders>
            <w:shd w:val="clear" w:color="000000" w:fill="203764"/>
            <w:vAlign w:val="center"/>
            <w:hideMark/>
          </w:tcPr>
          <w:p w14:paraId="143FC688" w14:textId="77777777" w:rsidR="00B54F4E" w:rsidRPr="0020617C" w:rsidRDefault="00B54F4E" w:rsidP="006504C4">
            <w:pPr>
              <w:spacing w:before="0" w:after="0"/>
              <w:jc w:val="center"/>
              <w:rPr>
                <w:rFonts w:ascii="Calibri" w:hAnsi="Calibri" w:cs="Calibri"/>
                <w:color w:val="FFFFFF"/>
                <w:sz w:val="20"/>
                <w:szCs w:val="22"/>
                <w:lang w:eastAsia="es-CO"/>
              </w:rPr>
            </w:pPr>
            <w:r w:rsidRPr="0020617C">
              <w:rPr>
                <w:rFonts w:ascii="Calibri" w:hAnsi="Calibri" w:cs="Calibri"/>
                <w:color w:val="FFFFFF"/>
                <w:sz w:val="20"/>
                <w:szCs w:val="22"/>
                <w:lang w:eastAsia="es-CO"/>
              </w:rPr>
              <w:t>Alternativa térmica</w:t>
            </w:r>
          </w:p>
        </w:tc>
        <w:tc>
          <w:tcPr>
            <w:tcW w:w="587" w:type="pct"/>
            <w:tcBorders>
              <w:top w:val="single" w:sz="4" w:space="0" w:color="FFFFFF"/>
              <w:left w:val="nil"/>
              <w:bottom w:val="single" w:sz="4" w:space="0" w:color="auto"/>
              <w:right w:val="single" w:sz="4" w:space="0" w:color="FFFFFF"/>
            </w:tcBorders>
            <w:shd w:val="clear" w:color="000000" w:fill="203764"/>
            <w:vAlign w:val="center"/>
            <w:hideMark/>
          </w:tcPr>
          <w:p w14:paraId="6DB01B88" w14:textId="77777777" w:rsidR="00B54F4E" w:rsidRPr="0020617C" w:rsidRDefault="00B54F4E" w:rsidP="006504C4">
            <w:pPr>
              <w:spacing w:before="0" w:after="0"/>
              <w:jc w:val="center"/>
              <w:rPr>
                <w:rFonts w:ascii="Calibri" w:hAnsi="Calibri" w:cs="Calibri"/>
                <w:color w:val="FFFFFF"/>
                <w:sz w:val="20"/>
                <w:szCs w:val="22"/>
                <w:lang w:eastAsia="es-CO"/>
              </w:rPr>
            </w:pPr>
            <w:r w:rsidRPr="0020617C">
              <w:rPr>
                <w:rFonts w:ascii="Calibri" w:hAnsi="Calibri" w:cs="Calibri"/>
                <w:color w:val="FFFFFF"/>
                <w:sz w:val="20"/>
                <w:szCs w:val="22"/>
                <w:lang w:eastAsia="es-CO"/>
              </w:rPr>
              <w:t>Diferencia</w:t>
            </w:r>
          </w:p>
        </w:tc>
      </w:tr>
      <w:tr w:rsidR="00B54F4E" w:rsidRPr="0020617C" w14:paraId="3010BA81" w14:textId="77777777" w:rsidTr="006504C4">
        <w:trPr>
          <w:trHeight w:val="202"/>
        </w:trPr>
        <w:tc>
          <w:tcPr>
            <w:tcW w:w="3151" w:type="pct"/>
            <w:tcBorders>
              <w:top w:val="nil"/>
              <w:left w:val="nil"/>
              <w:bottom w:val="nil"/>
              <w:right w:val="nil"/>
            </w:tcBorders>
            <w:shd w:val="clear" w:color="auto" w:fill="auto"/>
            <w:noWrap/>
            <w:vAlign w:val="bottom"/>
            <w:hideMark/>
          </w:tcPr>
          <w:p w14:paraId="3043C06C" w14:textId="77777777" w:rsidR="00B54F4E" w:rsidRPr="0020617C" w:rsidRDefault="00B54F4E" w:rsidP="006504C4">
            <w:pPr>
              <w:spacing w:before="0" w:after="0"/>
              <w:jc w:val="left"/>
              <w:rPr>
                <w:rFonts w:ascii="Calibri" w:hAnsi="Calibri" w:cs="Calibri"/>
                <w:color w:val="000000"/>
                <w:sz w:val="20"/>
                <w:szCs w:val="22"/>
                <w:lang w:eastAsia="es-CO"/>
              </w:rPr>
            </w:pPr>
            <w:r w:rsidRPr="0020617C">
              <w:rPr>
                <w:rFonts w:ascii="Calibri" w:hAnsi="Calibri" w:cs="Calibri"/>
                <w:color w:val="000000"/>
                <w:sz w:val="20"/>
                <w:szCs w:val="22"/>
                <w:lang w:eastAsia="es-CO"/>
              </w:rPr>
              <w:t>Precio de la energía</w:t>
            </w:r>
          </w:p>
        </w:tc>
        <w:tc>
          <w:tcPr>
            <w:tcW w:w="674" w:type="pct"/>
            <w:tcBorders>
              <w:top w:val="nil"/>
              <w:left w:val="nil"/>
              <w:bottom w:val="nil"/>
              <w:right w:val="nil"/>
            </w:tcBorders>
            <w:shd w:val="clear" w:color="auto" w:fill="auto"/>
            <w:noWrap/>
            <w:vAlign w:val="bottom"/>
            <w:hideMark/>
          </w:tcPr>
          <w:p w14:paraId="3239CC99" w14:textId="77777777" w:rsidR="00B54F4E" w:rsidRPr="0020617C" w:rsidRDefault="00B54F4E" w:rsidP="006504C4">
            <w:pPr>
              <w:spacing w:before="0" w:after="0"/>
              <w:jc w:val="right"/>
              <w:rPr>
                <w:rFonts w:ascii="Calibri" w:hAnsi="Calibri" w:cs="Calibri"/>
                <w:color w:val="000000"/>
                <w:sz w:val="20"/>
                <w:szCs w:val="22"/>
                <w:lang w:eastAsia="es-CO"/>
              </w:rPr>
            </w:pPr>
            <w:r w:rsidRPr="0020617C">
              <w:rPr>
                <w:rFonts w:ascii="Calibri" w:hAnsi="Calibri" w:cs="Calibri"/>
                <w:color w:val="000000"/>
                <w:sz w:val="20"/>
                <w:szCs w:val="22"/>
                <w:lang w:eastAsia="es-CO"/>
              </w:rPr>
              <w:t>1.</w:t>
            </w:r>
            <w:r>
              <w:rPr>
                <w:rFonts w:ascii="Calibri" w:hAnsi="Calibri" w:cs="Calibri"/>
                <w:color w:val="000000"/>
                <w:sz w:val="20"/>
                <w:szCs w:val="22"/>
                <w:lang w:eastAsia="es-CO"/>
              </w:rPr>
              <w:t>163,0</w:t>
            </w:r>
          </w:p>
        </w:tc>
        <w:tc>
          <w:tcPr>
            <w:tcW w:w="587" w:type="pct"/>
            <w:tcBorders>
              <w:top w:val="nil"/>
              <w:left w:val="nil"/>
              <w:bottom w:val="nil"/>
              <w:right w:val="nil"/>
            </w:tcBorders>
            <w:shd w:val="clear" w:color="auto" w:fill="auto"/>
            <w:noWrap/>
            <w:vAlign w:val="bottom"/>
            <w:hideMark/>
          </w:tcPr>
          <w:p w14:paraId="6E6AC97E" w14:textId="77777777" w:rsidR="00B54F4E" w:rsidRPr="0020617C" w:rsidRDefault="00B54F4E" w:rsidP="006504C4">
            <w:pPr>
              <w:spacing w:before="0" w:after="0"/>
              <w:jc w:val="right"/>
              <w:rPr>
                <w:rFonts w:ascii="Calibri" w:hAnsi="Calibri" w:cs="Calibri"/>
                <w:color w:val="000000"/>
                <w:sz w:val="20"/>
                <w:szCs w:val="22"/>
                <w:lang w:eastAsia="es-CO"/>
              </w:rPr>
            </w:pPr>
            <w:r w:rsidRPr="0020617C">
              <w:rPr>
                <w:rFonts w:ascii="Calibri" w:hAnsi="Calibri" w:cs="Calibri"/>
                <w:color w:val="000000"/>
                <w:sz w:val="20"/>
                <w:szCs w:val="22"/>
                <w:lang w:eastAsia="es-CO"/>
              </w:rPr>
              <w:t>1.</w:t>
            </w:r>
            <w:r>
              <w:rPr>
                <w:rFonts w:ascii="Calibri" w:hAnsi="Calibri" w:cs="Calibri"/>
                <w:color w:val="000000"/>
                <w:sz w:val="20"/>
                <w:szCs w:val="22"/>
                <w:lang w:eastAsia="es-CO"/>
              </w:rPr>
              <w:t>295,5</w:t>
            </w:r>
          </w:p>
        </w:tc>
        <w:tc>
          <w:tcPr>
            <w:tcW w:w="587" w:type="pct"/>
            <w:tcBorders>
              <w:top w:val="nil"/>
              <w:left w:val="nil"/>
              <w:bottom w:val="nil"/>
              <w:right w:val="nil"/>
            </w:tcBorders>
            <w:shd w:val="clear" w:color="auto" w:fill="auto"/>
            <w:noWrap/>
            <w:vAlign w:val="bottom"/>
            <w:hideMark/>
          </w:tcPr>
          <w:p w14:paraId="11C0E4A8" w14:textId="77777777" w:rsidR="00B54F4E" w:rsidRPr="0020617C" w:rsidRDefault="00B54F4E" w:rsidP="006504C4">
            <w:pPr>
              <w:spacing w:before="0" w:after="0"/>
              <w:jc w:val="right"/>
              <w:rPr>
                <w:rFonts w:ascii="Calibri" w:hAnsi="Calibri" w:cs="Calibri"/>
                <w:color w:val="000000"/>
                <w:sz w:val="20"/>
                <w:szCs w:val="22"/>
                <w:lang w:eastAsia="es-CO"/>
              </w:rPr>
            </w:pPr>
            <w:r>
              <w:rPr>
                <w:rFonts w:ascii="Calibri" w:hAnsi="Calibri" w:cs="Calibri"/>
                <w:color w:val="000000"/>
                <w:sz w:val="20"/>
                <w:szCs w:val="22"/>
                <w:lang w:eastAsia="es-CO"/>
              </w:rPr>
              <w:t>132,5</w:t>
            </w:r>
          </w:p>
        </w:tc>
      </w:tr>
      <w:tr w:rsidR="00B54F4E" w:rsidRPr="0020617C" w14:paraId="73B371DE" w14:textId="77777777" w:rsidTr="006504C4">
        <w:trPr>
          <w:trHeight w:val="212"/>
        </w:trPr>
        <w:tc>
          <w:tcPr>
            <w:tcW w:w="3151" w:type="pct"/>
            <w:tcBorders>
              <w:top w:val="nil"/>
              <w:left w:val="nil"/>
              <w:bottom w:val="single" w:sz="8" w:space="0" w:color="000000"/>
              <w:right w:val="nil"/>
            </w:tcBorders>
            <w:shd w:val="clear" w:color="auto" w:fill="auto"/>
            <w:noWrap/>
            <w:vAlign w:val="bottom"/>
            <w:hideMark/>
          </w:tcPr>
          <w:p w14:paraId="0CCFA68E" w14:textId="77777777" w:rsidR="00B54F4E" w:rsidRPr="0020617C" w:rsidRDefault="00B54F4E" w:rsidP="006504C4">
            <w:pPr>
              <w:spacing w:before="0" w:after="0"/>
              <w:jc w:val="left"/>
              <w:rPr>
                <w:rFonts w:ascii="Calibri" w:hAnsi="Calibri" w:cs="Calibri"/>
                <w:color w:val="000000"/>
                <w:sz w:val="20"/>
                <w:szCs w:val="22"/>
                <w:lang w:eastAsia="es-CO"/>
              </w:rPr>
            </w:pPr>
            <w:r w:rsidRPr="0020617C">
              <w:rPr>
                <w:rFonts w:ascii="Calibri" w:hAnsi="Calibri" w:cs="Calibri"/>
                <w:color w:val="000000"/>
                <w:sz w:val="20"/>
                <w:szCs w:val="22"/>
                <w:lang w:eastAsia="es-CO"/>
              </w:rPr>
              <w:t>Costo ambiental por emisiones CO2</w:t>
            </w:r>
          </w:p>
        </w:tc>
        <w:tc>
          <w:tcPr>
            <w:tcW w:w="674" w:type="pct"/>
            <w:tcBorders>
              <w:top w:val="nil"/>
              <w:left w:val="nil"/>
              <w:bottom w:val="single" w:sz="8" w:space="0" w:color="000000"/>
              <w:right w:val="nil"/>
            </w:tcBorders>
            <w:shd w:val="clear" w:color="auto" w:fill="auto"/>
            <w:noWrap/>
            <w:vAlign w:val="bottom"/>
            <w:hideMark/>
          </w:tcPr>
          <w:p w14:paraId="15355833" w14:textId="77777777" w:rsidR="00B54F4E" w:rsidRPr="0020617C" w:rsidRDefault="00B54F4E" w:rsidP="006504C4">
            <w:pPr>
              <w:spacing w:before="0" w:after="0"/>
              <w:jc w:val="right"/>
              <w:rPr>
                <w:rFonts w:ascii="Calibri" w:hAnsi="Calibri" w:cs="Calibri"/>
                <w:color w:val="000000"/>
                <w:sz w:val="20"/>
                <w:szCs w:val="22"/>
                <w:lang w:eastAsia="es-CO"/>
              </w:rPr>
            </w:pPr>
            <w:r w:rsidRPr="0020617C">
              <w:rPr>
                <w:rFonts w:ascii="Calibri" w:hAnsi="Calibri" w:cs="Calibri"/>
                <w:color w:val="000000"/>
                <w:sz w:val="20"/>
                <w:szCs w:val="22"/>
                <w:lang w:eastAsia="es-CO"/>
              </w:rPr>
              <w:t>25,3</w:t>
            </w:r>
          </w:p>
        </w:tc>
        <w:tc>
          <w:tcPr>
            <w:tcW w:w="587" w:type="pct"/>
            <w:tcBorders>
              <w:top w:val="nil"/>
              <w:left w:val="nil"/>
              <w:bottom w:val="single" w:sz="8" w:space="0" w:color="000000"/>
              <w:right w:val="nil"/>
            </w:tcBorders>
            <w:shd w:val="clear" w:color="auto" w:fill="auto"/>
            <w:noWrap/>
            <w:vAlign w:val="bottom"/>
            <w:hideMark/>
          </w:tcPr>
          <w:p w14:paraId="3A85625C" w14:textId="77777777" w:rsidR="00B54F4E" w:rsidRPr="0020617C" w:rsidRDefault="00B54F4E" w:rsidP="006504C4">
            <w:pPr>
              <w:spacing w:before="0" w:after="0"/>
              <w:jc w:val="right"/>
              <w:rPr>
                <w:rFonts w:ascii="Calibri" w:hAnsi="Calibri" w:cs="Calibri"/>
                <w:color w:val="000000"/>
                <w:sz w:val="20"/>
                <w:szCs w:val="22"/>
                <w:lang w:eastAsia="es-CO"/>
              </w:rPr>
            </w:pPr>
            <w:r w:rsidRPr="0020617C">
              <w:rPr>
                <w:rFonts w:ascii="Calibri" w:hAnsi="Calibri" w:cs="Calibri"/>
                <w:color w:val="000000"/>
                <w:sz w:val="20"/>
                <w:szCs w:val="22"/>
                <w:lang w:eastAsia="es-CO"/>
              </w:rPr>
              <w:t>72,8</w:t>
            </w:r>
          </w:p>
        </w:tc>
        <w:tc>
          <w:tcPr>
            <w:tcW w:w="587" w:type="pct"/>
            <w:tcBorders>
              <w:top w:val="nil"/>
              <w:left w:val="nil"/>
              <w:bottom w:val="single" w:sz="8" w:space="0" w:color="000000"/>
              <w:right w:val="nil"/>
            </w:tcBorders>
            <w:shd w:val="clear" w:color="auto" w:fill="auto"/>
            <w:noWrap/>
            <w:vAlign w:val="bottom"/>
            <w:hideMark/>
          </w:tcPr>
          <w:p w14:paraId="2A1B485A" w14:textId="77777777" w:rsidR="00B54F4E" w:rsidRPr="0020617C" w:rsidRDefault="00B54F4E" w:rsidP="006504C4">
            <w:pPr>
              <w:spacing w:before="0" w:after="0"/>
              <w:jc w:val="right"/>
              <w:rPr>
                <w:rFonts w:ascii="Calibri" w:hAnsi="Calibri" w:cs="Calibri"/>
                <w:color w:val="000000"/>
                <w:sz w:val="20"/>
                <w:szCs w:val="22"/>
                <w:lang w:eastAsia="es-CO"/>
              </w:rPr>
            </w:pPr>
            <w:r w:rsidRPr="0020617C">
              <w:rPr>
                <w:rFonts w:ascii="Calibri" w:hAnsi="Calibri" w:cs="Calibri"/>
                <w:color w:val="000000"/>
                <w:sz w:val="20"/>
                <w:szCs w:val="22"/>
                <w:lang w:eastAsia="es-CO"/>
              </w:rPr>
              <w:t>47,5</w:t>
            </w:r>
          </w:p>
        </w:tc>
      </w:tr>
      <w:tr w:rsidR="00B54F4E" w:rsidRPr="0020617C" w14:paraId="4D5CDADA" w14:textId="77777777" w:rsidTr="006504C4">
        <w:trPr>
          <w:trHeight w:val="212"/>
        </w:trPr>
        <w:tc>
          <w:tcPr>
            <w:tcW w:w="3151" w:type="pct"/>
            <w:tcBorders>
              <w:top w:val="nil"/>
              <w:left w:val="nil"/>
              <w:bottom w:val="single" w:sz="8" w:space="0" w:color="000000"/>
              <w:right w:val="nil"/>
            </w:tcBorders>
            <w:shd w:val="clear" w:color="auto" w:fill="auto"/>
            <w:noWrap/>
            <w:vAlign w:val="bottom"/>
            <w:hideMark/>
          </w:tcPr>
          <w:p w14:paraId="4624554C" w14:textId="77777777" w:rsidR="00B54F4E" w:rsidRPr="0020617C" w:rsidRDefault="00B54F4E" w:rsidP="006504C4">
            <w:pPr>
              <w:spacing w:before="0" w:after="0"/>
              <w:jc w:val="left"/>
              <w:rPr>
                <w:rFonts w:ascii="Calibri" w:hAnsi="Calibri" w:cs="Calibri"/>
                <w:color w:val="000000"/>
                <w:sz w:val="20"/>
                <w:szCs w:val="22"/>
                <w:lang w:eastAsia="es-CO"/>
              </w:rPr>
            </w:pPr>
            <w:r w:rsidRPr="0020617C">
              <w:rPr>
                <w:rFonts w:ascii="Calibri" w:hAnsi="Calibri" w:cs="Calibri"/>
                <w:color w:val="000000"/>
                <w:sz w:val="20"/>
                <w:szCs w:val="22"/>
                <w:lang w:eastAsia="es-CO"/>
              </w:rPr>
              <w:t>Total costo según alternativa térmica de generación</w:t>
            </w:r>
          </w:p>
        </w:tc>
        <w:tc>
          <w:tcPr>
            <w:tcW w:w="674" w:type="pct"/>
            <w:tcBorders>
              <w:top w:val="nil"/>
              <w:left w:val="nil"/>
              <w:bottom w:val="single" w:sz="8" w:space="0" w:color="000000"/>
              <w:right w:val="nil"/>
            </w:tcBorders>
            <w:shd w:val="clear" w:color="auto" w:fill="auto"/>
            <w:noWrap/>
            <w:vAlign w:val="bottom"/>
            <w:hideMark/>
          </w:tcPr>
          <w:p w14:paraId="7AE923FD" w14:textId="77777777" w:rsidR="00B54F4E" w:rsidRPr="0020617C" w:rsidRDefault="00B54F4E" w:rsidP="006504C4">
            <w:pPr>
              <w:spacing w:before="0" w:after="0"/>
              <w:jc w:val="right"/>
              <w:rPr>
                <w:rFonts w:ascii="Calibri" w:hAnsi="Calibri" w:cs="Calibri"/>
                <w:color w:val="000000"/>
                <w:sz w:val="20"/>
                <w:szCs w:val="22"/>
                <w:lang w:eastAsia="es-CO"/>
              </w:rPr>
            </w:pPr>
            <w:r w:rsidRPr="0020617C">
              <w:rPr>
                <w:rFonts w:ascii="Calibri" w:hAnsi="Calibri" w:cs="Calibri"/>
                <w:color w:val="000000"/>
                <w:sz w:val="20"/>
                <w:szCs w:val="22"/>
                <w:lang w:eastAsia="es-CO"/>
              </w:rPr>
              <w:t>1.327,8</w:t>
            </w:r>
          </w:p>
        </w:tc>
        <w:tc>
          <w:tcPr>
            <w:tcW w:w="587" w:type="pct"/>
            <w:tcBorders>
              <w:top w:val="nil"/>
              <w:left w:val="nil"/>
              <w:bottom w:val="single" w:sz="8" w:space="0" w:color="000000"/>
              <w:right w:val="nil"/>
            </w:tcBorders>
            <w:shd w:val="clear" w:color="auto" w:fill="auto"/>
            <w:noWrap/>
            <w:vAlign w:val="bottom"/>
            <w:hideMark/>
          </w:tcPr>
          <w:p w14:paraId="5D16A9E1" w14:textId="77777777" w:rsidR="00B54F4E" w:rsidRPr="0020617C" w:rsidRDefault="00B54F4E" w:rsidP="006504C4">
            <w:pPr>
              <w:spacing w:before="0" w:after="0"/>
              <w:jc w:val="right"/>
              <w:rPr>
                <w:rFonts w:ascii="Calibri" w:hAnsi="Calibri" w:cs="Calibri"/>
                <w:color w:val="000000"/>
                <w:sz w:val="20"/>
                <w:szCs w:val="22"/>
                <w:lang w:eastAsia="es-CO"/>
              </w:rPr>
            </w:pPr>
            <w:r w:rsidRPr="0020617C">
              <w:rPr>
                <w:rFonts w:ascii="Calibri" w:hAnsi="Calibri" w:cs="Calibri"/>
                <w:color w:val="000000"/>
                <w:sz w:val="20"/>
                <w:szCs w:val="22"/>
                <w:lang w:eastAsia="es-CO"/>
              </w:rPr>
              <w:t>1.523,7</w:t>
            </w:r>
          </w:p>
        </w:tc>
        <w:tc>
          <w:tcPr>
            <w:tcW w:w="587" w:type="pct"/>
            <w:tcBorders>
              <w:top w:val="nil"/>
              <w:left w:val="nil"/>
              <w:bottom w:val="single" w:sz="8" w:space="0" w:color="000000"/>
              <w:right w:val="nil"/>
            </w:tcBorders>
            <w:shd w:val="clear" w:color="auto" w:fill="auto"/>
            <w:noWrap/>
            <w:vAlign w:val="bottom"/>
            <w:hideMark/>
          </w:tcPr>
          <w:p w14:paraId="497FF813" w14:textId="77777777" w:rsidR="00B54F4E" w:rsidRPr="0020617C" w:rsidRDefault="00B54F4E" w:rsidP="006504C4">
            <w:pPr>
              <w:spacing w:before="0" w:after="0"/>
              <w:jc w:val="right"/>
              <w:rPr>
                <w:rFonts w:ascii="Calibri" w:hAnsi="Calibri" w:cs="Calibri"/>
                <w:color w:val="000000"/>
                <w:sz w:val="20"/>
                <w:szCs w:val="22"/>
                <w:lang w:eastAsia="es-CO"/>
              </w:rPr>
            </w:pPr>
            <w:r>
              <w:rPr>
                <w:rFonts w:ascii="Calibri" w:hAnsi="Calibri" w:cs="Calibri"/>
                <w:color w:val="000000"/>
                <w:sz w:val="20"/>
                <w:szCs w:val="22"/>
                <w:lang w:eastAsia="es-CO"/>
              </w:rPr>
              <w:t>180,0</w:t>
            </w:r>
          </w:p>
        </w:tc>
      </w:tr>
      <w:tr w:rsidR="00B54F4E" w:rsidRPr="0020617C" w14:paraId="7A2D5FC9" w14:textId="77777777" w:rsidTr="006504C4">
        <w:trPr>
          <w:trHeight w:val="60"/>
        </w:trPr>
        <w:tc>
          <w:tcPr>
            <w:tcW w:w="3151" w:type="pct"/>
            <w:tcBorders>
              <w:top w:val="nil"/>
              <w:left w:val="nil"/>
              <w:bottom w:val="nil"/>
              <w:right w:val="nil"/>
            </w:tcBorders>
            <w:shd w:val="clear" w:color="auto" w:fill="auto"/>
            <w:noWrap/>
            <w:vAlign w:val="bottom"/>
            <w:hideMark/>
          </w:tcPr>
          <w:p w14:paraId="7E44B0E3" w14:textId="77777777" w:rsidR="00B54F4E" w:rsidRPr="0020617C" w:rsidRDefault="00B54F4E" w:rsidP="006504C4">
            <w:pPr>
              <w:spacing w:before="0" w:after="0"/>
              <w:jc w:val="right"/>
              <w:rPr>
                <w:rFonts w:ascii="Calibri" w:hAnsi="Calibri" w:cs="Calibri"/>
                <w:color w:val="000000"/>
                <w:sz w:val="20"/>
                <w:szCs w:val="22"/>
                <w:lang w:eastAsia="es-CO"/>
              </w:rPr>
            </w:pPr>
          </w:p>
        </w:tc>
        <w:tc>
          <w:tcPr>
            <w:tcW w:w="674" w:type="pct"/>
            <w:tcBorders>
              <w:top w:val="nil"/>
              <w:left w:val="nil"/>
              <w:bottom w:val="nil"/>
              <w:right w:val="nil"/>
            </w:tcBorders>
            <w:shd w:val="clear" w:color="auto" w:fill="auto"/>
            <w:noWrap/>
            <w:vAlign w:val="bottom"/>
            <w:hideMark/>
          </w:tcPr>
          <w:p w14:paraId="2C42F08C" w14:textId="77777777" w:rsidR="00B54F4E" w:rsidRPr="0020617C" w:rsidRDefault="00B54F4E" w:rsidP="006504C4">
            <w:pPr>
              <w:spacing w:before="0" w:after="0"/>
              <w:jc w:val="left"/>
              <w:rPr>
                <w:rFonts w:ascii="Times New Roman" w:hAnsi="Times New Roman"/>
                <w:sz w:val="20"/>
                <w:lang w:eastAsia="es-CO"/>
              </w:rPr>
            </w:pPr>
          </w:p>
        </w:tc>
        <w:tc>
          <w:tcPr>
            <w:tcW w:w="587" w:type="pct"/>
            <w:tcBorders>
              <w:top w:val="nil"/>
              <w:left w:val="nil"/>
              <w:bottom w:val="nil"/>
              <w:right w:val="nil"/>
            </w:tcBorders>
            <w:shd w:val="clear" w:color="auto" w:fill="auto"/>
            <w:noWrap/>
            <w:vAlign w:val="bottom"/>
            <w:hideMark/>
          </w:tcPr>
          <w:p w14:paraId="1F12FCE8" w14:textId="77777777" w:rsidR="00B54F4E" w:rsidRPr="0020617C" w:rsidRDefault="00B54F4E" w:rsidP="006504C4">
            <w:pPr>
              <w:spacing w:before="0" w:after="0"/>
              <w:jc w:val="left"/>
              <w:rPr>
                <w:rFonts w:ascii="Times New Roman" w:hAnsi="Times New Roman"/>
                <w:sz w:val="20"/>
                <w:lang w:eastAsia="es-CO"/>
              </w:rPr>
            </w:pPr>
          </w:p>
        </w:tc>
        <w:tc>
          <w:tcPr>
            <w:tcW w:w="587" w:type="pct"/>
            <w:tcBorders>
              <w:top w:val="nil"/>
              <w:left w:val="nil"/>
              <w:bottom w:val="nil"/>
              <w:right w:val="nil"/>
            </w:tcBorders>
            <w:shd w:val="clear" w:color="auto" w:fill="auto"/>
            <w:noWrap/>
            <w:vAlign w:val="bottom"/>
            <w:hideMark/>
          </w:tcPr>
          <w:p w14:paraId="367D2626" w14:textId="77777777" w:rsidR="00B54F4E" w:rsidRPr="0020617C" w:rsidRDefault="00B54F4E" w:rsidP="006504C4">
            <w:pPr>
              <w:spacing w:before="0" w:after="0"/>
              <w:jc w:val="left"/>
              <w:rPr>
                <w:rFonts w:ascii="Times New Roman" w:hAnsi="Times New Roman"/>
                <w:sz w:val="20"/>
                <w:lang w:eastAsia="es-CO"/>
              </w:rPr>
            </w:pPr>
          </w:p>
        </w:tc>
      </w:tr>
      <w:tr w:rsidR="00B54F4E" w:rsidRPr="0020617C" w14:paraId="4B148D16" w14:textId="77777777" w:rsidTr="006504C4">
        <w:trPr>
          <w:trHeight w:val="212"/>
        </w:trPr>
        <w:tc>
          <w:tcPr>
            <w:tcW w:w="3151" w:type="pct"/>
            <w:tcBorders>
              <w:top w:val="nil"/>
              <w:left w:val="nil"/>
              <w:bottom w:val="single" w:sz="8" w:space="0" w:color="000000"/>
              <w:right w:val="nil"/>
            </w:tcBorders>
            <w:shd w:val="clear" w:color="auto" w:fill="auto"/>
            <w:noWrap/>
            <w:vAlign w:val="center"/>
            <w:hideMark/>
          </w:tcPr>
          <w:p w14:paraId="39C09602" w14:textId="77777777" w:rsidR="00B54F4E" w:rsidRPr="0020617C" w:rsidRDefault="00B54F4E" w:rsidP="006504C4">
            <w:pPr>
              <w:spacing w:before="0" w:after="0"/>
              <w:jc w:val="left"/>
              <w:rPr>
                <w:rFonts w:ascii="Calibri" w:hAnsi="Calibri" w:cs="Calibri"/>
                <w:b/>
                <w:bCs/>
                <w:color w:val="000000"/>
                <w:sz w:val="20"/>
                <w:szCs w:val="22"/>
                <w:lang w:eastAsia="es-CO"/>
              </w:rPr>
            </w:pPr>
            <w:r w:rsidRPr="0020617C">
              <w:rPr>
                <w:rFonts w:ascii="Calibri" w:hAnsi="Calibri" w:cs="Calibri"/>
                <w:b/>
                <w:bCs/>
                <w:color w:val="000000"/>
                <w:sz w:val="20"/>
                <w:szCs w:val="22"/>
                <w:lang w:eastAsia="es-CO"/>
              </w:rPr>
              <w:t>Beneficio Neto</w:t>
            </w:r>
          </w:p>
        </w:tc>
        <w:tc>
          <w:tcPr>
            <w:tcW w:w="674" w:type="pct"/>
            <w:tcBorders>
              <w:top w:val="nil"/>
              <w:left w:val="nil"/>
              <w:bottom w:val="single" w:sz="8" w:space="0" w:color="000000"/>
              <w:right w:val="nil"/>
            </w:tcBorders>
            <w:shd w:val="clear" w:color="auto" w:fill="auto"/>
            <w:noWrap/>
            <w:vAlign w:val="center"/>
            <w:hideMark/>
          </w:tcPr>
          <w:p w14:paraId="2C47AB76" w14:textId="77777777" w:rsidR="00B54F4E" w:rsidRPr="0020617C" w:rsidRDefault="00B54F4E" w:rsidP="006504C4">
            <w:pPr>
              <w:spacing w:before="0" w:after="0"/>
              <w:jc w:val="left"/>
              <w:rPr>
                <w:rFonts w:ascii="Calibri" w:hAnsi="Calibri" w:cs="Calibri"/>
                <w:color w:val="000000"/>
                <w:sz w:val="20"/>
                <w:szCs w:val="22"/>
                <w:lang w:eastAsia="es-CO"/>
              </w:rPr>
            </w:pPr>
            <w:r w:rsidRPr="0020617C">
              <w:rPr>
                <w:rFonts w:ascii="Calibri" w:hAnsi="Calibri" w:cs="Calibri"/>
                <w:color w:val="000000"/>
                <w:sz w:val="20"/>
                <w:szCs w:val="22"/>
                <w:lang w:eastAsia="es-CO"/>
              </w:rPr>
              <w:t> </w:t>
            </w:r>
          </w:p>
        </w:tc>
        <w:tc>
          <w:tcPr>
            <w:tcW w:w="587" w:type="pct"/>
            <w:tcBorders>
              <w:top w:val="nil"/>
              <w:left w:val="nil"/>
              <w:bottom w:val="single" w:sz="8" w:space="0" w:color="000000"/>
              <w:right w:val="nil"/>
            </w:tcBorders>
            <w:shd w:val="clear" w:color="auto" w:fill="auto"/>
            <w:noWrap/>
            <w:vAlign w:val="center"/>
            <w:hideMark/>
          </w:tcPr>
          <w:p w14:paraId="54899473" w14:textId="77777777" w:rsidR="00B54F4E" w:rsidRPr="0020617C" w:rsidRDefault="00B54F4E" w:rsidP="006504C4">
            <w:pPr>
              <w:spacing w:before="0" w:after="0"/>
              <w:jc w:val="left"/>
              <w:rPr>
                <w:rFonts w:ascii="Calibri" w:hAnsi="Calibri" w:cs="Calibri"/>
                <w:color w:val="000000"/>
                <w:sz w:val="20"/>
                <w:szCs w:val="22"/>
                <w:lang w:eastAsia="es-CO"/>
              </w:rPr>
            </w:pPr>
            <w:r w:rsidRPr="0020617C">
              <w:rPr>
                <w:rFonts w:ascii="Calibri" w:hAnsi="Calibri" w:cs="Calibri"/>
                <w:color w:val="000000"/>
                <w:sz w:val="20"/>
                <w:szCs w:val="22"/>
                <w:lang w:eastAsia="es-CO"/>
              </w:rPr>
              <w:t> </w:t>
            </w:r>
          </w:p>
        </w:tc>
        <w:tc>
          <w:tcPr>
            <w:tcW w:w="587" w:type="pct"/>
            <w:tcBorders>
              <w:top w:val="nil"/>
              <w:left w:val="nil"/>
              <w:bottom w:val="single" w:sz="8" w:space="0" w:color="000000"/>
              <w:right w:val="nil"/>
            </w:tcBorders>
            <w:shd w:val="clear" w:color="auto" w:fill="auto"/>
            <w:noWrap/>
            <w:vAlign w:val="center"/>
            <w:hideMark/>
          </w:tcPr>
          <w:p w14:paraId="3D10DDAA" w14:textId="77777777" w:rsidR="00B54F4E" w:rsidRPr="0020617C" w:rsidRDefault="00B54F4E" w:rsidP="006504C4">
            <w:pPr>
              <w:spacing w:before="0" w:after="0"/>
              <w:jc w:val="right"/>
              <w:rPr>
                <w:rFonts w:ascii="Calibri" w:hAnsi="Calibri" w:cs="Calibri"/>
                <w:b/>
                <w:bCs/>
                <w:color w:val="000000"/>
                <w:sz w:val="20"/>
                <w:szCs w:val="22"/>
                <w:lang w:eastAsia="es-CO"/>
              </w:rPr>
            </w:pPr>
            <w:r>
              <w:rPr>
                <w:rFonts w:ascii="Calibri" w:hAnsi="Calibri" w:cs="Calibri"/>
                <w:b/>
                <w:bCs/>
                <w:color w:val="000000"/>
                <w:sz w:val="20"/>
                <w:szCs w:val="22"/>
                <w:lang w:eastAsia="es-CO"/>
              </w:rPr>
              <w:t>180,0</w:t>
            </w:r>
          </w:p>
        </w:tc>
      </w:tr>
    </w:tbl>
    <w:p w14:paraId="6E756606" w14:textId="77777777" w:rsidR="00B54F4E" w:rsidRDefault="00B54F4E" w:rsidP="00B54F4E">
      <w:pPr>
        <w:spacing w:before="0" w:after="0"/>
        <w:jc w:val="center"/>
        <w:rPr>
          <w:sz w:val="20"/>
          <w:lang w:val="es-ES"/>
        </w:rPr>
      </w:pPr>
    </w:p>
    <w:p w14:paraId="28D7D6A3" w14:textId="77777777" w:rsidR="00B54F4E" w:rsidRDefault="00B54F4E" w:rsidP="00B54F4E">
      <w:pPr>
        <w:spacing w:before="0" w:after="0"/>
      </w:pPr>
      <w:r>
        <w:t>El cálculo de la TIR para este caso no es procedente. Los flujos se construyen por medio de la estimación de beneficios netos con base en costos nivelados durante la vida del proyecto,</w:t>
      </w:r>
      <w:r w:rsidRPr="00A967D2">
        <w:t xml:space="preserve"> </w:t>
      </w:r>
      <w:r w:rsidRPr="00606756">
        <w:t>incluida la recuperación de la inversión</w:t>
      </w:r>
      <w:r>
        <w:t>,</w:t>
      </w:r>
      <w:r w:rsidRPr="00606756">
        <w:t xml:space="preserve"> </w:t>
      </w:r>
      <w:r>
        <w:t xml:space="preserve">O&amp;M </w:t>
      </w:r>
      <w:r w:rsidRPr="00606756">
        <w:t>y costo de oportunidad de los inversionistas</w:t>
      </w:r>
      <w:r>
        <w:t xml:space="preserve">. Se compara los </w:t>
      </w:r>
      <w:r w:rsidRPr="00606756">
        <w:t xml:space="preserve">precios de mercado </w:t>
      </w:r>
      <w:r>
        <w:t>de la mejor alternativa seleccionada (la de GN) en las licitaciones públicas frente a la segunda mejor alternativa de combustibles alternos.</w:t>
      </w:r>
    </w:p>
    <w:p w14:paraId="7B51F8C3" w14:textId="77777777" w:rsidR="00B54F4E" w:rsidRDefault="00B54F4E" w:rsidP="00B54F4E">
      <w:pPr>
        <w:pStyle w:val="Heading2"/>
      </w:pPr>
      <w:bookmarkStart w:id="77" w:name="_Ref480053983"/>
      <w:bookmarkStart w:id="78" w:name="_Toc484097028"/>
      <w:r>
        <w:t>Evaluación económica de la implementación de</w:t>
      </w:r>
      <w:r w:rsidRPr="00BA1F86">
        <w:t xml:space="preserve"> medidas </w:t>
      </w:r>
      <w:r>
        <w:t>de eficiencia energética (EE)</w:t>
      </w:r>
      <w:bookmarkEnd w:id="77"/>
      <w:bookmarkEnd w:id="78"/>
    </w:p>
    <w:p w14:paraId="12C150F8" w14:textId="77777777" w:rsidR="00B54F4E" w:rsidRPr="00E17F9E" w:rsidRDefault="00B54F4E" w:rsidP="00B54F4E">
      <w:r>
        <w:t>La Matriz de Políticas incluye las siguientes medidas orientadas a eficiencia energética:</w:t>
      </w:r>
    </w:p>
    <w:p w14:paraId="1D4C04F3" w14:textId="77777777" w:rsidR="00B54F4E" w:rsidRDefault="00B54F4E" w:rsidP="00B54F4E">
      <w:pPr>
        <w:pStyle w:val="ListParagraph"/>
        <w:numPr>
          <w:ilvl w:val="0"/>
          <w:numId w:val="5"/>
        </w:numPr>
        <w:spacing w:before="120" w:after="120"/>
      </w:pPr>
      <w:r>
        <w:t xml:space="preserve">Que se haya realizado un diagnóstico del marco institucional, legal, regulatorio y de políticas vigentes, y los instrumentos de financiamiento existentes en materia de </w:t>
      </w:r>
      <w:r>
        <w:lastRenderedPageBreak/>
        <w:t>eficiencia energética; y formulado recomendaciones y un plan de acción para el fortalecimiento institucional para el tema.</w:t>
      </w:r>
    </w:p>
    <w:p w14:paraId="0866A35D" w14:textId="77777777" w:rsidR="00B54F4E" w:rsidRPr="003A5A69" w:rsidRDefault="00B54F4E" w:rsidP="00B54F4E">
      <w:pPr>
        <w:pStyle w:val="ListParagraph"/>
        <w:numPr>
          <w:ilvl w:val="0"/>
          <w:numId w:val="5"/>
        </w:numPr>
        <w:spacing w:before="120" w:after="120"/>
      </w:pPr>
      <w:r>
        <w:t xml:space="preserve">Que se haya formulado una norma técnica con disposiciones sobre EE para acondicionadores de aire de diferentes tipos como de flujo de refrigerante variable, descarga libre y sin ductos de aire, y que establezca los límites, métodos de prueba y etiquetado. </w:t>
      </w:r>
    </w:p>
    <w:p w14:paraId="6495EC64" w14:textId="77777777" w:rsidR="00B54F4E" w:rsidRPr="00360D59" w:rsidRDefault="00B54F4E" w:rsidP="00B54F4E">
      <w:pPr>
        <w:rPr>
          <w:b/>
        </w:rPr>
      </w:pPr>
      <w:r w:rsidRPr="00360D59">
        <w:rPr>
          <w:b/>
        </w:rPr>
        <w:t>Beneficios</w:t>
      </w:r>
    </w:p>
    <w:p w14:paraId="669AAEB6" w14:textId="77777777" w:rsidR="00B54F4E" w:rsidRPr="00A900DF" w:rsidRDefault="00B54F4E" w:rsidP="00B54F4E">
      <w:r w:rsidRPr="005B6092">
        <w:t>Las medidas tendientes a la eficiencia energética</w:t>
      </w:r>
      <w:r>
        <w:t xml:space="preserve"> en los principales sectores de consumo eléctrico se traducen en los siguientes beneficios: mayor excedente del consumidor por un menor gasto eléctrico, menores recursos destinados a subsidios, menores emisiones resultado una menor generación eléctrica y costos evitados asociados con la capacidad de generación eléctrica futura que </w:t>
      </w:r>
      <w:r w:rsidRPr="00A900DF">
        <w:t>no se requerirá instalar.</w:t>
      </w:r>
    </w:p>
    <w:p w14:paraId="572D7C05" w14:textId="77777777" w:rsidR="00B54F4E" w:rsidRPr="005B6092" w:rsidRDefault="00B54F4E" w:rsidP="00B54F4E">
      <w:r w:rsidRPr="00A900DF">
        <w:t xml:space="preserve">No se considera una variación significativa en el excedente del productor por cuanto el mercado de generación se basa fundamentalmente en contratos de generación de largo plazo, y que el impacto de las medidas de EE se da en el mediano plazo (por lo cual se evalúa el impacto de la planta de generación evitada). Adicionalmente, en los componentes de transmisión y distribución de la tarifa eléctrica, la revisión periódica del ingreso máximo permitido por parte de ASEP debería conducir a que estas dos actividades solo se vieran afectadas marginalmente mientras se realiza el ajuste regulatorio del ingreso. </w:t>
      </w:r>
    </w:p>
    <w:p w14:paraId="06FBA7FB" w14:textId="77777777" w:rsidR="00B54F4E" w:rsidRPr="00DC6354" w:rsidRDefault="00B54F4E" w:rsidP="00B54F4E">
      <w:pPr>
        <w:pStyle w:val="Heading3"/>
        <w:rPr>
          <w:lang w:val="es-ES"/>
        </w:rPr>
      </w:pPr>
      <w:bookmarkStart w:id="79" w:name="_Toc484097029"/>
      <w:r>
        <w:rPr>
          <w:lang w:val="es-ES"/>
        </w:rPr>
        <w:t>Supuestos y metodología</w:t>
      </w:r>
      <w:bookmarkEnd w:id="79"/>
    </w:p>
    <w:p w14:paraId="7F680BB1" w14:textId="77777777" w:rsidR="00B54F4E" w:rsidRDefault="00B54F4E" w:rsidP="00B54F4E">
      <w:r>
        <w:t>La introducción de medidas regulatorias y de mercado que promuevan el uso de equipos de menor consumo eléctrico, por ejemplo, limitaciones a la entrada de equipos ineficientes, implementación de etiquetados que indiquen la eficiencia de los equipos y la adopción de normas con niveles mínimos de eficiencia requeridos, permiten, con cierta gradualidad en el tiempo, que los nuevos equipos que se instalen consuman menos energía que los equipos de consumo existentes.</w:t>
      </w:r>
      <w:r w:rsidRPr="00C91F47">
        <w:t xml:space="preserve"> </w:t>
      </w:r>
      <w:r>
        <w:t>Panamá ya cuenta con una ley de uso racional y eficiencia de la energía</w:t>
      </w:r>
      <w:r w:rsidRPr="00C91F47">
        <w:t xml:space="preserve"> </w:t>
      </w:r>
      <w:r>
        <w:t>(</w:t>
      </w:r>
      <w:r w:rsidRPr="00C91F47">
        <w:t>URE</w:t>
      </w:r>
      <w:r>
        <w:t>E)</w:t>
      </w:r>
      <w:r w:rsidRPr="00C91F47">
        <w:t xml:space="preserve"> con a</w:t>
      </w:r>
      <w:r>
        <w:t>cciones puntuales en etiquetado y</w:t>
      </w:r>
      <w:r w:rsidRPr="00C91F47">
        <w:t xml:space="preserve"> construcciones</w:t>
      </w:r>
      <w:r>
        <w:t>, junto con reglamentaciones recientes que se espera conduzcan a un menor consumo eléctrico (</w:t>
      </w:r>
      <w:bookmarkStart w:id="80" w:name="_Hlk481144266"/>
      <w:r w:rsidRPr="008020A9">
        <w:t>Resolución No.3142</w:t>
      </w:r>
      <w:r>
        <w:t xml:space="preserve"> de 2016</w:t>
      </w:r>
      <w:bookmarkEnd w:id="80"/>
      <w:r>
        <w:t>).</w:t>
      </w:r>
    </w:p>
    <w:p w14:paraId="55957864" w14:textId="77777777" w:rsidR="00B54F4E" w:rsidRDefault="00B54F4E" w:rsidP="00B54F4E">
      <w:r>
        <w:t>El potencial de ahorro energético por medidas de EE se estima considerando las proyecciones de consumo eléctrico en el escenario alternativo del PEN 2015 – 2015 versus el escenario de referencia. Considerando que los principales sectores de consumo eléctrico son el sector comercial, residencial y oficial (participación aproximada en el consumo total eléctrico del 47%, 34% y 12% respectivamente), y que a su vez el consumo eléctrico en dichos sectores está asociado fundamentalmente con iluminación y refrigeración</w:t>
      </w:r>
      <w:r>
        <w:rPr>
          <w:rStyle w:val="FootnoteReference"/>
        </w:rPr>
        <w:footnoteReference w:id="14"/>
      </w:r>
      <w:r>
        <w:t xml:space="preserve">, el ACB que se propone evalúa el impacto de diferentes medidas de EE asociadas con estos equipos y que contribuirán a alcanzar los objetivos trazados por el escenario alternativo del PEN. Sin bien los aires acondicionados también representan un equipo de alto consumo eléctrico en los sectores anteriormente mencionados, no se ha incluido la cuantificación de beneficios o costos asociados con estos por cuanto una mayor eficiencia en este campo no está asociado directamente con la sustitución unitaria de aires acondicionados por equipos </w:t>
      </w:r>
      <w:r>
        <w:lastRenderedPageBreak/>
        <w:t>más eficientes, pero con la instalación de sistemas centralizados de aire acondicionado en los edificios existentes, lo cual requiere de información más detallada de la que se dispone para efectos de la presente evaluación.</w:t>
      </w:r>
    </w:p>
    <w:p w14:paraId="62386E2A" w14:textId="77777777" w:rsidR="00B54F4E" w:rsidRDefault="00B54F4E" w:rsidP="00B54F4E">
      <w:r>
        <w:t xml:space="preserve">En cuanto a EE por la incorporación de medidas arquitectónicas, se considera el potencial ahorro de nuevos usuarios (que se asumen ingresen a funcionar en nuevas edificaciones) en los sectores comercial y oficial en línea con lo dispuesto en la </w:t>
      </w:r>
      <w:r w:rsidRPr="00136EFD">
        <w:t>Resolución No.3142 de 2016</w:t>
      </w:r>
      <w:r>
        <w:t>. Para el análisis no se consideran medidas de retrofit (retro-acondicionamiento) en edificaciones existentes por cuanto no se dispone de información en materia de costos de adecuación. El costo de inversión en edificaciones nuevas se asume en cero por cuanto existen medidas arquitectónicas pasivas que pueden ser incorporadas en los diseños de las estructuras previo a la etapa de construcción (medidas como modificación de la relación ventana/pared, reflectividad de techo, elementos de protección solar, etc.)</w:t>
      </w:r>
      <w:r>
        <w:rPr>
          <w:rStyle w:val="FootnoteReference"/>
        </w:rPr>
        <w:footnoteReference w:id="15"/>
      </w:r>
      <w:r>
        <w:t>.</w:t>
      </w:r>
    </w:p>
    <w:p w14:paraId="29E7394B" w14:textId="77777777" w:rsidR="00B54F4E" w:rsidRDefault="00B54F4E" w:rsidP="00B54F4E">
      <w:r>
        <w:t>La valoración de los beneficios netos corresponde a la aplicación del ACB expresada en forma general de la siguiente manera:</w:t>
      </w:r>
    </w:p>
    <w:p w14:paraId="268DCBA3" w14:textId="77777777" w:rsidR="00B54F4E" w:rsidRDefault="00487C7A" w:rsidP="00B54F4E">
      <m:oMathPara>
        <m:oMath>
          <m:sSub>
            <m:sSubPr>
              <m:ctrlPr>
                <w:rPr>
                  <w:rFonts w:ascii="Cambria Math" w:hAnsi="Cambria Math"/>
                  <w:i/>
                </w:rPr>
              </m:ctrlPr>
            </m:sSubPr>
            <m:e>
              <m:r>
                <w:rPr>
                  <w:rFonts w:ascii="Cambria Math" w:hAnsi="Cambria Math"/>
                </w:rPr>
                <m:t>B</m:t>
              </m:r>
            </m:e>
            <m:sub>
              <m:r>
                <w:rPr>
                  <w:rFonts w:ascii="Cambria Math" w:hAnsi="Cambria Math"/>
                </w:rPr>
                <m:t>EE</m:t>
              </m:r>
            </m:sub>
          </m:sSub>
          <m:r>
            <w:rPr>
              <w:rFonts w:ascii="Cambria Math" w:hAnsi="Cambria Math"/>
            </w:rPr>
            <m:t>=Pe*</m:t>
          </m:r>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Ahorrada</m:t>
                  </m:r>
                </m:sub>
              </m:sSub>
            </m:e>
          </m:d>
          <m:r>
            <w:rPr>
              <w:rFonts w:ascii="Cambria Math" w:hAnsi="Cambria Math"/>
            </w:rPr>
            <m:t>-</m:t>
          </m:r>
          <m:sSub>
            <m:sSubPr>
              <m:ctrlPr>
                <w:rPr>
                  <w:rFonts w:ascii="Cambria Math" w:hAnsi="Cambria Math"/>
                  <w:i/>
                </w:rPr>
              </m:ctrlPr>
            </m:sSubPr>
            <m:e>
              <m:r>
                <w:rPr>
                  <w:rFonts w:ascii="Cambria Math" w:hAnsi="Cambria Math"/>
                </w:rPr>
                <m:t>(INV</m:t>
              </m:r>
            </m:e>
            <m:sub>
              <m:r>
                <w:rPr>
                  <w:rFonts w:ascii="Cambria Math" w:hAnsi="Cambria Math"/>
                </w:rPr>
                <m:t>URE</m:t>
              </m:r>
            </m:sub>
          </m:sSub>
          <m:r>
            <w:rPr>
              <w:rFonts w:ascii="Cambria Math" w:hAnsi="Cambria Math"/>
            </w:rPr>
            <m:t xml:space="preserve">+ </m:t>
          </m:r>
          <m:sSub>
            <m:sSubPr>
              <m:ctrlPr>
                <w:rPr>
                  <w:rFonts w:ascii="Cambria Math" w:hAnsi="Cambria Math"/>
                  <w:i/>
                </w:rPr>
              </m:ctrlPr>
            </m:sSubPr>
            <m:e>
              <m:r>
                <w:rPr>
                  <w:rFonts w:ascii="Cambria Math" w:hAnsi="Cambria Math"/>
                </w:rPr>
                <m:t>AOM</m:t>
              </m:r>
            </m:e>
            <m:sub>
              <m:r>
                <w:rPr>
                  <w:rFonts w:ascii="Cambria Math" w:hAnsi="Cambria Math"/>
                </w:rPr>
                <m:t>URE)</m:t>
              </m:r>
            </m:sub>
          </m:sSub>
          <m:r>
            <w:rPr>
              <w:rFonts w:ascii="Cambria Math" w:hAnsi="Cambria Math"/>
            </w:rPr>
            <m:t>)+</m:t>
          </m:r>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A</m:t>
              </m:r>
            </m:sub>
          </m:sSub>
          <m:r>
            <w:rPr>
              <w:rFonts w:ascii="Cambria Math" w:hAnsi="Cambria Math" w:cs="Arial"/>
              <w:sz w:val="24"/>
              <w:szCs w:val="28"/>
              <w:lang w:val="es-ES"/>
            </w:rPr>
            <m:t>+</m:t>
          </m:r>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PGE</m:t>
              </m:r>
            </m:sub>
          </m:sSub>
        </m:oMath>
      </m:oMathPara>
    </w:p>
    <w:p w14:paraId="28C9FA71" w14:textId="77777777" w:rsidR="00B54F4E" w:rsidRDefault="00B54F4E" w:rsidP="00B54F4E">
      <w:r>
        <w:t>Donde:</w:t>
      </w:r>
    </w:p>
    <w:p w14:paraId="67998CCD" w14:textId="77777777" w:rsidR="00B54F4E" w:rsidRDefault="00B54F4E" w:rsidP="00B54F4E">
      <w:pPr>
        <w:ind w:left="1418" w:hanging="1418"/>
      </w:pPr>
      <w:r>
        <w:t>B</w:t>
      </w:r>
      <w:r>
        <w:tab/>
        <w:t>Son los beneficios económicos netos por las medidas de eficiencia energética</w:t>
      </w:r>
    </w:p>
    <w:p w14:paraId="08BB86D1" w14:textId="77777777" w:rsidR="00B54F4E" w:rsidRDefault="00B54F4E" w:rsidP="00B54F4E">
      <w:pPr>
        <w:ind w:left="1418" w:hanging="1418"/>
      </w:pPr>
      <w:r>
        <w:t>Pe</w:t>
      </w:r>
      <w:r>
        <w:tab/>
        <w:t>Es el precio de la energía a tarifa plena pagada por un usuario final en el sector objeto de las medidas de EE, y medido en $/kWh</w:t>
      </w:r>
    </w:p>
    <w:p w14:paraId="1D2FBA72" w14:textId="77777777" w:rsidR="00B54F4E" w:rsidRDefault="00487C7A" w:rsidP="00B54F4E">
      <w:pPr>
        <w:ind w:left="1418" w:hanging="1418"/>
      </w:pPr>
      <m:oMath>
        <m:sSub>
          <m:sSubPr>
            <m:ctrlPr>
              <w:rPr>
                <w:rFonts w:ascii="Cambria Math" w:hAnsi="Cambria Math"/>
                <w:i/>
              </w:rPr>
            </m:ctrlPr>
          </m:sSubPr>
          <m:e>
            <m:r>
              <w:rPr>
                <w:rFonts w:ascii="Cambria Math" w:hAnsi="Cambria Math"/>
              </w:rPr>
              <m:t>E</m:t>
            </m:r>
          </m:e>
          <m:sub>
            <m:r>
              <w:rPr>
                <w:rFonts w:ascii="Cambria Math" w:hAnsi="Cambria Math"/>
              </w:rPr>
              <m:t>Ahorrada</m:t>
            </m:r>
          </m:sub>
        </m:sSub>
      </m:oMath>
      <w:r w:rsidR="00B54F4E">
        <w:tab/>
        <w:t>Es la energía ahorrada por menor consumo producto de la medida de EE en el sector de implementación</w:t>
      </w:r>
    </w:p>
    <w:p w14:paraId="4B107BEF" w14:textId="77777777" w:rsidR="00B54F4E" w:rsidRDefault="00B54F4E" w:rsidP="00B54F4E">
      <w:pPr>
        <w:ind w:left="1418" w:hanging="1418"/>
      </w:pPr>
      <w:r>
        <w:t>INV y AOM</w:t>
      </w:r>
      <w:r>
        <w:tab/>
        <w:t>Corresponde a la inversión y administración, operación y mantenimiento requeridos para implementar la medida de eficiencia energética</w:t>
      </w:r>
    </w:p>
    <w:p w14:paraId="526F5577" w14:textId="77777777" w:rsidR="00B54F4E" w:rsidRDefault="00487C7A" w:rsidP="00B54F4E">
      <w:pPr>
        <w:spacing w:before="0" w:after="160" w:line="259" w:lineRule="auto"/>
        <w:ind w:left="1418" w:hanging="1418"/>
        <w:rPr>
          <w:lang w:val="es-ES"/>
        </w:rPr>
      </w:pPr>
      <m:oMath>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A</m:t>
            </m:r>
          </m:sub>
        </m:sSub>
      </m:oMath>
      <w:r w:rsidR="00B54F4E">
        <w:rPr>
          <w:lang w:val="es-ES"/>
        </w:rPr>
        <w:tab/>
      </w:r>
      <w:r w:rsidR="00B54F4E">
        <w:rPr>
          <w:lang w:val="es-ES"/>
        </w:rPr>
        <w:tab/>
        <w:t xml:space="preserve">Es el beneficio ambiental medido cuantificado como </w:t>
      </w:r>
      <m:oMath>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A</m:t>
            </m:r>
          </m:sub>
        </m:sSub>
        <m:r>
          <w:rPr>
            <w:rFonts w:ascii="Cambria Math" w:hAnsi="Cambria Math"/>
          </w:rPr>
          <m:t>=CRE*</m:t>
        </m:r>
        <m:sSub>
          <m:sSubPr>
            <m:ctrlPr>
              <w:rPr>
                <w:rFonts w:ascii="Cambria Math" w:hAnsi="Cambria Math"/>
                <w:i/>
              </w:rPr>
            </m:ctrlPr>
          </m:sSubPr>
          <m:e>
            <m:r>
              <w:rPr>
                <w:rFonts w:ascii="Cambria Math" w:hAnsi="Cambria Math"/>
              </w:rPr>
              <m:t>CO2</m:t>
            </m:r>
          </m:e>
          <m:sub>
            <m:r>
              <w:rPr>
                <w:rFonts w:ascii="Cambria Math" w:hAnsi="Cambria Math"/>
              </w:rPr>
              <m:t>Evitado</m:t>
            </m:r>
          </m:sub>
        </m:sSub>
      </m:oMath>
    </w:p>
    <w:p w14:paraId="142EA7AD" w14:textId="77777777" w:rsidR="00B54F4E" w:rsidRDefault="00B54F4E" w:rsidP="00B54F4E">
      <w:pPr>
        <w:ind w:left="1418" w:hanging="1418"/>
      </w:pPr>
      <w:r>
        <w:t>CRE</w:t>
      </w:r>
      <w:r>
        <w:tab/>
        <w:t>Valor la tonelada de CO2 a precios de certificados de reducción de emisiones en un mercado líquido de referencia</w:t>
      </w:r>
    </w:p>
    <w:p w14:paraId="5CE34B79" w14:textId="77777777" w:rsidR="00B54F4E" w:rsidRDefault="00487C7A" w:rsidP="00B54F4E">
      <w:pPr>
        <w:ind w:left="1418" w:hanging="1418"/>
      </w:pPr>
      <m:oMath>
        <m:sSub>
          <m:sSubPr>
            <m:ctrlPr>
              <w:rPr>
                <w:rFonts w:ascii="Cambria Math" w:hAnsi="Cambria Math"/>
                <w:i/>
              </w:rPr>
            </m:ctrlPr>
          </m:sSubPr>
          <m:e>
            <m:r>
              <w:rPr>
                <w:rFonts w:ascii="Cambria Math" w:hAnsi="Cambria Math"/>
              </w:rPr>
              <m:t>CO2</m:t>
            </m:r>
          </m:e>
          <m:sub>
            <m:r>
              <w:rPr>
                <w:rFonts w:ascii="Cambria Math" w:hAnsi="Cambria Math"/>
              </w:rPr>
              <m:t>Evitado</m:t>
            </m:r>
          </m:sub>
        </m:sSub>
      </m:oMath>
      <w:r w:rsidR="00B54F4E">
        <w:tab/>
        <w:t>Son las emisiones de CO2 evitadas producto de la menor generación eléctrica del SIN en cada periodo</w:t>
      </w:r>
    </w:p>
    <w:p w14:paraId="16D34092" w14:textId="77777777" w:rsidR="00B54F4E" w:rsidRDefault="00487C7A" w:rsidP="00B54F4E">
      <w:pPr>
        <w:ind w:left="1418" w:hanging="1418"/>
      </w:pPr>
      <m:oMath>
        <m:sSub>
          <m:sSubPr>
            <m:ctrlPr>
              <w:rPr>
                <w:rFonts w:ascii="Cambria Math" w:hAnsi="Cambria Math" w:cs="Arial"/>
                <w:i/>
                <w:sz w:val="24"/>
                <w:szCs w:val="28"/>
                <w:lang w:val="es-ES"/>
              </w:rPr>
            </m:ctrlPr>
          </m:sSubPr>
          <m:e>
            <m:r>
              <w:rPr>
                <w:rFonts w:ascii="Cambria Math" w:hAnsi="Cambria Math" w:cs="Arial"/>
                <w:sz w:val="24"/>
                <w:szCs w:val="28"/>
                <w:lang w:val="es-ES"/>
              </w:rPr>
              <m:t>B</m:t>
            </m:r>
          </m:e>
          <m:sub>
            <m:r>
              <w:rPr>
                <w:rFonts w:ascii="Cambria Math" w:hAnsi="Cambria Math" w:cs="Arial"/>
                <w:sz w:val="24"/>
                <w:szCs w:val="28"/>
                <w:lang w:val="es-ES"/>
              </w:rPr>
              <m:t>PGE</m:t>
            </m:r>
          </m:sub>
        </m:sSub>
      </m:oMath>
      <w:r w:rsidR="00B54F4E">
        <w:tab/>
        <w:t>Es el beneficio asociado con el costo evitado de capacidad de generación que en el mediano y largo plazo se requeriría para atender la demanda de no existir medidas de eficiencia energética</w:t>
      </w:r>
    </w:p>
    <w:p w14:paraId="4160CBD3" w14:textId="77777777" w:rsidR="00B54F4E" w:rsidRDefault="00B54F4E" w:rsidP="00B54F4E">
      <w:r>
        <w:t>Los términos de la expresión matemática se refieren al valor presente de los flujos utilizando la tasa de descuento propuesta por el Banco del 12% para un horizonte que se definirá de acuerdo con la información disponible.</w:t>
      </w:r>
    </w:p>
    <w:p w14:paraId="39782CA1" w14:textId="77777777" w:rsidR="00B54F4E" w:rsidRDefault="00B54F4E" w:rsidP="00B54F4E">
      <w:r w:rsidRPr="00352E05">
        <w:t xml:space="preserve">El precio de la energía (Pe) considerado es el precio de la energía a tarifa plena; este precio </w:t>
      </w:r>
      <w:r>
        <w:t xml:space="preserve">representa el costo real de la energía y </w:t>
      </w:r>
      <w:r w:rsidRPr="00352E05">
        <w:t xml:space="preserve">captura tanto el valor percibido por el usuario como el </w:t>
      </w:r>
      <w:r>
        <w:t xml:space="preserve">porcentaje </w:t>
      </w:r>
      <w:r w:rsidRPr="00352E05">
        <w:t>subsidiado (en caso de existir)</w:t>
      </w:r>
      <w:r>
        <w:t xml:space="preserve">. </w:t>
      </w:r>
    </w:p>
    <w:p w14:paraId="5254E132" w14:textId="77777777" w:rsidR="00B54F4E" w:rsidRDefault="00B54F4E" w:rsidP="00B54F4E">
      <w:r w:rsidRPr="00352E05">
        <w:t>En cuanto a las emisiones de CO2, se considera el factor de emision</w:t>
      </w:r>
      <w:r>
        <w:t>es por MWh generado</w:t>
      </w:r>
      <w:r w:rsidRPr="00352E05">
        <w:t xml:space="preserve"> según la composición de la matriz eléctrica actual</w:t>
      </w:r>
      <w:r>
        <w:t>, valorado al precio de los certificados de reducción de emisiones a diciembre de 2016 (CRE).</w:t>
      </w:r>
    </w:p>
    <w:p w14:paraId="1D502AA9" w14:textId="77777777" w:rsidR="00B54F4E" w:rsidRDefault="00B54F4E" w:rsidP="00B54F4E">
      <w:r>
        <w:t>Con respecto a los costos de equipos de refrigeración e iluminación eficientes, al igual que el impacto energético asociado con su instalación, se propone utilizar como referente los datos utilizados por otros estudios en esta materia (CAF – Eficiencia Energética en Panamá: identificación de oportunidades (2016), E&amp;Y – Estudio de Política de Eficiencia Energética para Colombia (2015)), al igual que estimaciones propias del consultor para el caso.</w:t>
      </w:r>
    </w:p>
    <w:p w14:paraId="278153A9" w14:textId="77777777" w:rsidR="00B54F4E" w:rsidRPr="00CD70D2" w:rsidRDefault="00B54F4E" w:rsidP="00B54F4E">
      <w:pPr>
        <w:rPr>
          <w:b/>
          <w:lang w:val="es-ES"/>
        </w:rPr>
      </w:pPr>
      <w:r w:rsidRPr="00CD70D2">
        <w:rPr>
          <w:b/>
          <w:lang w:val="es-ES"/>
        </w:rPr>
        <w:t>Análisis de sensibilidad</w:t>
      </w:r>
    </w:p>
    <w:p w14:paraId="27735210" w14:textId="77777777" w:rsidR="00B54F4E" w:rsidRDefault="00B54F4E" w:rsidP="00B54F4E">
      <w:pPr>
        <w:rPr>
          <w:lang w:val="es-ES"/>
        </w:rPr>
      </w:pPr>
      <w:r>
        <w:rPr>
          <w:lang w:val="es-ES"/>
        </w:rPr>
        <w:t>E</w:t>
      </w:r>
      <w:r w:rsidRPr="00FE319F">
        <w:rPr>
          <w:lang w:val="es-ES"/>
        </w:rPr>
        <w:t xml:space="preserve">l </w:t>
      </w:r>
      <w:r>
        <w:rPr>
          <w:lang w:val="es-ES"/>
        </w:rPr>
        <w:t xml:space="preserve">primer </w:t>
      </w:r>
      <w:r w:rsidRPr="00FE319F">
        <w:rPr>
          <w:lang w:val="es-ES"/>
        </w:rPr>
        <w:t>aná</w:t>
      </w:r>
      <w:r>
        <w:rPr>
          <w:lang w:val="es-ES"/>
        </w:rPr>
        <w:t>lisis de sensibilidad se realiza afectando el nivel de la tarifa al usuario final la cual se considera como una variable determinante en la valoración del nivel de ahorros.</w:t>
      </w:r>
    </w:p>
    <w:p w14:paraId="0E1FF739" w14:textId="77777777" w:rsidR="00B54F4E" w:rsidRDefault="00B54F4E" w:rsidP="00B54F4E">
      <w:r>
        <w:rPr>
          <w:lang w:val="es-ES"/>
        </w:rPr>
        <w:t>Adicionalmente, se realizan sensibilidades a los costos de inversión de algunas medidas como la sustitución de bombillos y de refrigeradores, y sensibilidades al ahorro esperado por la implementación de estas medidas con el fin de encontrar un “switching value” o frontera de los principales parámetros utilizados.</w:t>
      </w:r>
    </w:p>
    <w:p w14:paraId="7B5BFD27" w14:textId="77777777" w:rsidR="00B54F4E" w:rsidRPr="00B621BC" w:rsidRDefault="00B54F4E" w:rsidP="00B54F4E">
      <w:pPr>
        <w:pStyle w:val="Heading3"/>
        <w:spacing w:before="240" w:after="120"/>
      </w:pPr>
      <w:bookmarkStart w:id="81" w:name="_Toc484097030"/>
      <w:r w:rsidRPr="00943E5E">
        <w:rPr>
          <w:lang w:val="es-ES"/>
        </w:rPr>
        <w:t>Beneficios</w:t>
      </w:r>
      <w:r w:rsidRPr="00B621BC">
        <w:t xml:space="preserve"> </w:t>
      </w:r>
      <w:r>
        <w:t xml:space="preserve">netos </w:t>
      </w:r>
      <w:r w:rsidRPr="004B1357">
        <w:t xml:space="preserve">de las medidas </w:t>
      </w:r>
      <w:r>
        <w:t>de eficiencia energética</w:t>
      </w:r>
      <w:bookmarkEnd w:id="81"/>
    </w:p>
    <w:p w14:paraId="130BAAE5" w14:textId="77777777" w:rsidR="00B54F4E" w:rsidRDefault="00B54F4E" w:rsidP="00B54F4E">
      <w:pPr>
        <w:spacing w:before="120" w:after="0"/>
      </w:pPr>
      <w:r>
        <w:t>Según el balance energético presentado en el Plan Energético Nacional 2015 – 2050 (PEN) de Panamá, s</w:t>
      </w:r>
      <w:r w:rsidRPr="00115184">
        <w:t>e esti</w:t>
      </w:r>
      <w:r>
        <w:t xml:space="preserve">ma que el consumo eléctrico final del país (medido desde la demanda) alcanzó los 7.823 GWh en 2014. El consumo eléctrico por sectores sigue la distribución que se resume en la </w:t>
      </w:r>
      <w:r>
        <w:fldChar w:fldCharType="begin"/>
      </w:r>
      <w:r>
        <w:instrText xml:space="preserve"> REF _Ref472067527 \h </w:instrText>
      </w:r>
      <w:r>
        <w:fldChar w:fldCharType="separate"/>
      </w:r>
      <w:r w:rsidRPr="008C12BC">
        <w:rPr>
          <w:b/>
        </w:rPr>
        <w:t xml:space="preserve">Tabla </w:t>
      </w:r>
      <w:r>
        <w:rPr>
          <w:b/>
          <w:noProof/>
        </w:rPr>
        <w:t>14</w:t>
      </w:r>
      <w:r>
        <w:fldChar w:fldCharType="end"/>
      </w:r>
      <w:r>
        <w:t>.</w:t>
      </w:r>
    </w:p>
    <w:p w14:paraId="41A7D20E" w14:textId="77777777" w:rsidR="00B54F4E" w:rsidRPr="006C4E72" w:rsidRDefault="00B54F4E" w:rsidP="00B54F4E">
      <w:pPr>
        <w:ind w:left="720"/>
        <w:jc w:val="center"/>
        <w:rPr>
          <w:b/>
        </w:rPr>
      </w:pPr>
      <w:bookmarkStart w:id="82" w:name="_Ref472067527"/>
      <w:bookmarkStart w:id="83" w:name="_Toc473268555"/>
      <w:bookmarkStart w:id="84" w:name="_Toc476136976"/>
      <w:bookmarkStart w:id="85" w:name="_Toc484097054"/>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14</w:t>
      </w:r>
      <w:r w:rsidRPr="008C12BC">
        <w:rPr>
          <w:b/>
        </w:rPr>
        <w:fldChar w:fldCharType="end"/>
      </w:r>
      <w:bookmarkEnd w:id="82"/>
      <w:r>
        <w:rPr>
          <w:b/>
        </w:rPr>
        <w:t xml:space="preserve"> – Distribución del consumo eléctrico por sectores 201</w:t>
      </w:r>
      <w:bookmarkEnd w:id="83"/>
      <w:bookmarkEnd w:id="84"/>
      <w:r>
        <w:rPr>
          <w:b/>
        </w:rPr>
        <w:t>4</w:t>
      </w:r>
      <w:bookmarkEnd w:id="85"/>
    </w:p>
    <w:tbl>
      <w:tblPr>
        <w:tblW w:w="5011" w:type="pct"/>
        <w:jc w:val="center"/>
        <w:tblCellMar>
          <w:left w:w="70" w:type="dxa"/>
          <w:right w:w="70" w:type="dxa"/>
        </w:tblCellMar>
        <w:tblLook w:val="04A0" w:firstRow="1" w:lastRow="0" w:firstColumn="1" w:lastColumn="0" w:noHBand="0" w:noVBand="1"/>
      </w:tblPr>
      <w:tblGrid>
        <w:gridCol w:w="3437"/>
        <w:gridCol w:w="2957"/>
        <w:gridCol w:w="2443"/>
      </w:tblGrid>
      <w:tr w:rsidR="00B54F4E" w:rsidRPr="00E30C97" w14:paraId="4B862F18" w14:textId="77777777" w:rsidTr="006504C4">
        <w:trPr>
          <w:trHeight w:val="615"/>
          <w:jc w:val="center"/>
        </w:trPr>
        <w:tc>
          <w:tcPr>
            <w:tcW w:w="1945" w:type="pct"/>
            <w:tcBorders>
              <w:top w:val="single" w:sz="8" w:space="0" w:color="auto"/>
              <w:left w:val="single" w:sz="8" w:space="0" w:color="auto"/>
              <w:bottom w:val="single" w:sz="8" w:space="0" w:color="auto"/>
              <w:right w:val="nil"/>
            </w:tcBorders>
            <w:shd w:val="clear" w:color="auto" w:fill="1F4E79" w:themeFill="accent5" w:themeFillShade="80"/>
            <w:noWrap/>
            <w:vAlign w:val="center"/>
            <w:hideMark/>
          </w:tcPr>
          <w:p w14:paraId="5E324C22" w14:textId="77777777" w:rsidR="00B54F4E" w:rsidRPr="00E30C97" w:rsidRDefault="00B54F4E" w:rsidP="006504C4">
            <w:pPr>
              <w:spacing w:before="0" w:after="0"/>
              <w:jc w:val="center"/>
              <w:rPr>
                <w:rFonts w:eastAsia="MS Mincho" w:cs="Arial"/>
                <w:b/>
                <w:bCs/>
                <w:color w:val="FFFFFF" w:themeColor="background1"/>
                <w:sz w:val="18"/>
                <w:szCs w:val="24"/>
                <w:lang w:val="es-ES" w:eastAsia="es-ES"/>
              </w:rPr>
            </w:pPr>
            <w:r w:rsidRPr="00E30C97">
              <w:rPr>
                <w:rFonts w:eastAsia="MS Mincho" w:cs="Arial"/>
                <w:b/>
                <w:bCs/>
                <w:color w:val="FFFFFF" w:themeColor="background1"/>
                <w:sz w:val="18"/>
                <w:szCs w:val="24"/>
                <w:lang w:val="es-ES" w:eastAsia="es-CO"/>
              </w:rPr>
              <w:t>SECTOR</w:t>
            </w:r>
          </w:p>
        </w:tc>
        <w:tc>
          <w:tcPr>
            <w:tcW w:w="1673" w:type="pct"/>
            <w:tcBorders>
              <w:top w:val="single" w:sz="8" w:space="0" w:color="auto"/>
              <w:left w:val="single" w:sz="8" w:space="0" w:color="auto"/>
              <w:bottom w:val="single" w:sz="8" w:space="0" w:color="auto"/>
              <w:right w:val="single" w:sz="8" w:space="0" w:color="auto"/>
            </w:tcBorders>
            <w:shd w:val="clear" w:color="auto" w:fill="1F4E79" w:themeFill="accent5" w:themeFillShade="80"/>
            <w:vAlign w:val="center"/>
            <w:hideMark/>
          </w:tcPr>
          <w:p w14:paraId="4A9FA784" w14:textId="77777777" w:rsidR="00B54F4E" w:rsidRPr="00E30C97" w:rsidRDefault="00B54F4E" w:rsidP="006504C4">
            <w:pPr>
              <w:spacing w:before="0" w:after="0"/>
              <w:jc w:val="center"/>
              <w:rPr>
                <w:rFonts w:eastAsia="MS Mincho" w:cs="Arial"/>
                <w:b/>
                <w:bCs/>
                <w:color w:val="FFFFFF" w:themeColor="background1"/>
                <w:sz w:val="18"/>
                <w:szCs w:val="24"/>
                <w:lang w:val="es-ES" w:eastAsia="es-CO"/>
              </w:rPr>
            </w:pPr>
            <w:r w:rsidRPr="00E30C97">
              <w:rPr>
                <w:rFonts w:eastAsia="MS Mincho" w:cs="Arial"/>
                <w:b/>
                <w:bCs/>
                <w:color w:val="FFFFFF" w:themeColor="background1"/>
                <w:sz w:val="18"/>
                <w:szCs w:val="24"/>
                <w:lang w:val="es-ES" w:eastAsia="es-CO"/>
              </w:rPr>
              <w:t>Consumo eléctrico final</w:t>
            </w:r>
          </w:p>
          <w:p w14:paraId="69EA53C2" w14:textId="77777777" w:rsidR="00B54F4E" w:rsidRPr="00E30C97" w:rsidRDefault="00B54F4E" w:rsidP="006504C4">
            <w:pPr>
              <w:spacing w:before="0" w:after="0"/>
              <w:jc w:val="center"/>
              <w:rPr>
                <w:rFonts w:eastAsia="MS Mincho" w:cs="Arial"/>
                <w:b/>
                <w:bCs/>
                <w:color w:val="FFFFFF" w:themeColor="background1"/>
                <w:sz w:val="18"/>
                <w:szCs w:val="24"/>
                <w:lang w:val="es-ES" w:eastAsia="es-ES"/>
              </w:rPr>
            </w:pPr>
            <w:r w:rsidRPr="00E30C97">
              <w:rPr>
                <w:rFonts w:eastAsia="MS Mincho" w:cs="Arial"/>
                <w:b/>
                <w:bCs/>
                <w:color w:val="FFFFFF" w:themeColor="background1"/>
                <w:sz w:val="18"/>
                <w:szCs w:val="24"/>
                <w:lang w:val="es-ES" w:eastAsia="es-CO"/>
              </w:rPr>
              <w:t xml:space="preserve"> (GWh)</w:t>
            </w:r>
          </w:p>
        </w:tc>
        <w:tc>
          <w:tcPr>
            <w:tcW w:w="1382" w:type="pct"/>
            <w:tcBorders>
              <w:top w:val="single" w:sz="8" w:space="0" w:color="auto"/>
              <w:left w:val="nil"/>
              <w:bottom w:val="single" w:sz="8" w:space="0" w:color="auto"/>
              <w:right w:val="single" w:sz="8" w:space="0" w:color="auto"/>
            </w:tcBorders>
            <w:shd w:val="clear" w:color="auto" w:fill="1F4E79" w:themeFill="accent5" w:themeFillShade="80"/>
            <w:vAlign w:val="center"/>
            <w:hideMark/>
          </w:tcPr>
          <w:p w14:paraId="5D9C2D64" w14:textId="77777777" w:rsidR="00B54F4E" w:rsidRPr="00E30C97" w:rsidRDefault="00B54F4E" w:rsidP="006504C4">
            <w:pPr>
              <w:spacing w:before="0" w:after="0"/>
              <w:jc w:val="center"/>
              <w:rPr>
                <w:rFonts w:eastAsia="MS Mincho" w:cs="Arial"/>
                <w:b/>
                <w:bCs/>
                <w:color w:val="FFFFFF" w:themeColor="background1"/>
                <w:sz w:val="18"/>
                <w:szCs w:val="24"/>
                <w:lang w:val="es-ES" w:eastAsia="es-CO"/>
              </w:rPr>
            </w:pPr>
            <w:r w:rsidRPr="00E30C97">
              <w:rPr>
                <w:rFonts w:eastAsia="MS Mincho" w:cs="Arial"/>
                <w:b/>
                <w:bCs/>
                <w:color w:val="FFFFFF" w:themeColor="background1"/>
                <w:sz w:val="18"/>
                <w:szCs w:val="24"/>
                <w:lang w:val="es-ES" w:eastAsia="es-CO"/>
              </w:rPr>
              <w:t>Participación del consumo eléctrico total</w:t>
            </w:r>
            <w:r>
              <w:rPr>
                <w:rFonts w:eastAsia="MS Mincho" w:cs="Arial"/>
                <w:b/>
                <w:bCs/>
                <w:color w:val="FFFFFF" w:themeColor="background1"/>
                <w:sz w:val="18"/>
                <w:szCs w:val="24"/>
                <w:lang w:val="es-ES" w:eastAsia="es-CO"/>
              </w:rPr>
              <w:t xml:space="preserve"> 2014</w:t>
            </w:r>
          </w:p>
        </w:tc>
      </w:tr>
      <w:tr w:rsidR="00B54F4E" w:rsidRPr="00E30C97" w14:paraId="421A466F" w14:textId="77777777" w:rsidTr="006504C4">
        <w:trPr>
          <w:trHeight w:val="300"/>
          <w:jc w:val="center"/>
        </w:trPr>
        <w:tc>
          <w:tcPr>
            <w:tcW w:w="1945" w:type="pct"/>
            <w:tcBorders>
              <w:top w:val="nil"/>
              <w:left w:val="single" w:sz="8" w:space="0" w:color="auto"/>
              <w:bottom w:val="nil"/>
              <w:right w:val="nil"/>
            </w:tcBorders>
            <w:shd w:val="clear" w:color="auto" w:fill="auto"/>
            <w:noWrap/>
            <w:vAlign w:val="bottom"/>
            <w:hideMark/>
          </w:tcPr>
          <w:p w14:paraId="75C9766B" w14:textId="77777777" w:rsidR="00B54F4E" w:rsidRPr="00E30C97" w:rsidRDefault="00B54F4E" w:rsidP="006504C4">
            <w:pPr>
              <w:spacing w:before="0" w:after="0"/>
              <w:jc w:val="left"/>
              <w:rPr>
                <w:rFonts w:eastAsia="MS Mincho" w:cs="Arial"/>
                <w:color w:val="000000"/>
                <w:sz w:val="18"/>
                <w:szCs w:val="24"/>
                <w:lang w:val="es-ES" w:eastAsia="es-ES"/>
              </w:rPr>
            </w:pPr>
            <w:r w:rsidRPr="00E30C97">
              <w:rPr>
                <w:rFonts w:eastAsia="MS Mincho" w:cs="Arial"/>
                <w:color w:val="000000"/>
                <w:sz w:val="18"/>
                <w:szCs w:val="24"/>
                <w:lang w:val="es-ES" w:eastAsia="es-CO"/>
              </w:rPr>
              <w:t>Residencial</w:t>
            </w:r>
          </w:p>
        </w:tc>
        <w:tc>
          <w:tcPr>
            <w:tcW w:w="1673" w:type="pct"/>
            <w:tcBorders>
              <w:top w:val="nil"/>
              <w:left w:val="single" w:sz="8" w:space="0" w:color="auto"/>
              <w:bottom w:val="nil"/>
              <w:right w:val="single" w:sz="8" w:space="0" w:color="auto"/>
            </w:tcBorders>
            <w:shd w:val="clear" w:color="auto" w:fill="auto"/>
            <w:noWrap/>
          </w:tcPr>
          <w:p w14:paraId="4CD0EABF"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2.528</w:t>
            </w:r>
          </w:p>
        </w:tc>
        <w:tc>
          <w:tcPr>
            <w:tcW w:w="1382" w:type="pct"/>
            <w:tcBorders>
              <w:top w:val="nil"/>
              <w:left w:val="nil"/>
              <w:bottom w:val="nil"/>
              <w:right w:val="single" w:sz="8" w:space="0" w:color="auto"/>
            </w:tcBorders>
            <w:shd w:val="clear" w:color="auto" w:fill="auto"/>
            <w:noWrap/>
          </w:tcPr>
          <w:p w14:paraId="05CA6F3E"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32,3%</w:t>
            </w:r>
          </w:p>
        </w:tc>
      </w:tr>
      <w:tr w:rsidR="00B54F4E" w:rsidRPr="00E30C97" w14:paraId="27D0D0AC" w14:textId="77777777" w:rsidTr="006504C4">
        <w:trPr>
          <w:trHeight w:val="300"/>
          <w:jc w:val="center"/>
        </w:trPr>
        <w:tc>
          <w:tcPr>
            <w:tcW w:w="1945" w:type="pct"/>
            <w:tcBorders>
              <w:top w:val="nil"/>
              <w:left w:val="single" w:sz="8" w:space="0" w:color="auto"/>
              <w:bottom w:val="nil"/>
              <w:right w:val="nil"/>
            </w:tcBorders>
            <w:shd w:val="clear" w:color="auto" w:fill="auto"/>
            <w:noWrap/>
            <w:vAlign w:val="bottom"/>
            <w:hideMark/>
          </w:tcPr>
          <w:p w14:paraId="050CF0E9" w14:textId="77777777" w:rsidR="00B54F4E" w:rsidRPr="00E30C97" w:rsidRDefault="00B54F4E" w:rsidP="006504C4">
            <w:pPr>
              <w:spacing w:before="0" w:after="0"/>
              <w:jc w:val="left"/>
              <w:rPr>
                <w:rFonts w:eastAsia="MS Mincho" w:cs="Arial"/>
                <w:color w:val="000000"/>
                <w:sz w:val="18"/>
                <w:szCs w:val="24"/>
                <w:lang w:val="es-ES" w:eastAsia="es-ES"/>
              </w:rPr>
            </w:pPr>
            <w:r>
              <w:rPr>
                <w:rFonts w:eastAsia="MS Mincho" w:cs="Arial"/>
                <w:color w:val="000000"/>
                <w:sz w:val="18"/>
                <w:szCs w:val="24"/>
                <w:lang w:val="es-ES" w:eastAsia="es-CO"/>
              </w:rPr>
              <w:t>Comercial</w:t>
            </w:r>
          </w:p>
        </w:tc>
        <w:tc>
          <w:tcPr>
            <w:tcW w:w="1673" w:type="pct"/>
            <w:tcBorders>
              <w:top w:val="nil"/>
              <w:left w:val="single" w:sz="8" w:space="0" w:color="auto"/>
              <w:bottom w:val="nil"/>
              <w:right w:val="single" w:sz="8" w:space="0" w:color="auto"/>
            </w:tcBorders>
            <w:shd w:val="clear" w:color="auto" w:fill="auto"/>
            <w:noWrap/>
          </w:tcPr>
          <w:p w14:paraId="5C82D34A"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3.372</w:t>
            </w:r>
          </w:p>
        </w:tc>
        <w:tc>
          <w:tcPr>
            <w:tcW w:w="1382" w:type="pct"/>
            <w:tcBorders>
              <w:top w:val="nil"/>
              <w:left w:val="nil"/>
              <w:bottom w:val="nil"/>
              <w:right w:val="single" w:sz="8" w:space="0" w:color="auto"/>
            </w:tcBorders>
            <w:shd w:val="clear" w:color="auto" w:fill="auto"/>
            <w:noWrap/>
          </w:tcPr>
          <w:p w14:paraId="21F0A403"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43,1%</w:t>
            </w:r>
          </w:p>
        </w:tc>
      </w:tr>
      <w:tr w:rsidR="00B54F4E" w:rsidRPr="00E30C97" w14:paraId="72C523ED" w14:textId="77777777" w:rsidTr="006504C4">
        <w:trPr>
          <w:trHeight w:val="300"/>
          <w:jc w:val="center"/>
        </w:trPr>
        <w:tc>
          <w:tcPr>
            <w:tcW w:w="1945" w:type="pct"/>
            <w:tcBorders>
              <w:top w:val="nil"/>
              <w:left w:val="single" w:sz="8" w:space="0" w:color="auto"/>
              <w:bottom w:val="nil"/>
              <w:right w:val="nil"/>
            </w:tcBorders>
            <w:shd w:val="clear" w:color="auto" w:fill="auto"/>
            <w:noWrap/>
            <w:vAlign w:val="bottom"/>
            <w:hideMark/>
          </w:tcPr>
          <w:p w14:paraId="10E21833" w14:textId="77777777" w:rsidR="00B54F4E" w:rsidRPr="00E30C97" w:rsidRDefault="00B54F4E" w:rsidP="006504C4">
            <w:pPr>
              <w:spacing w:before="0" w:after="0"/>
              <w:jc w:val="left"/>
              <w:rPr>
                <w:rFonts w:eastAsia="MS Mincho" w:cs="Arial"/>
                <w:color w:val="000000"/>
                <w:sz w:val="18"/>
                <w:szCs w:val="24"/>
                <w:lang w:val="es-ES" w:eastAsia="es-ES"/>
              </w:rPr>
            </w:pPr>
            <w:r>
              <w:rPr>
                <w:rFonts w:eastAsia="MS Mincho" w:cs="Arial"/>
                <w:color w:val="000000"/>
                <w:sz w:val="18"/>
                <w:szCs w:val="24"/>
                <w:lang w:val="es-ES" w:eastAsia="es-CO"/>
              </w:rPr>
              <w:t>Público (incluye alumbrado público)</w:t>
            </w:r>
          </w:p>
        </w:tc>
        <w:tc>
          <w:tcPr>
            <w:tcW w:w="1673" w:type="pct"/>
            <w:tcBorders>
              <w:top w:val="nil"/>
              <w:left w:val="single" w:sz="8" w:space="0" w:color="auto"/>
              <w:bottom w:val="nil"/>
              <w:right w:val="single" w:sz="8" w:space="0" w:color="auto"/>
            </w:tcBorders>
            <w:shd w:val="clear" w:color="auto" w:fill="auto"/>
            <w:noWrap/>
          </w:tcPr>
          <w:p w14:paraId="4CC71B77"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1.457</w:t>
            </w:r>
          </w:p>
        </w:tc>
        <w:tc>
          <w:tcPr>
            <w:tcW w:w="1382" w:type="pct"/>
            <w:tcBorders>
              <w:top w:val="nil"/>
              <w:left w:val="nil"/>
              <w:bottom w:val="nil"/>
              <w:right w:val="single" w:sz="8" w:space="0" w:color="auto"/>
            </w:tcBorders>
            <w:shd w:val="clear" w:color="auto" w:fill="auto"/>
            <w:noWrap/>
          </w:tcPr>
          <w:p w14:paraId="0D759440"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18,6%</w:t>
            </w:r>
          </w:p>
        </w:tc>
      </w:tr>
      <w:tr w:rsidR="00B54F4E" w:rsidRPr="00E30C97" w14:paraId="0276A9DF" w14:textId="77777777" w:rsidTr="006504C4">
        <w:trPr>
          <w:trHeight w:val="315"/>
          <w:jc w:val="center"/>
        </w:trPr>
        <w:tc>
          <w:tcPr>
            <w:tcW w:w="1945" w:type="pct"/>
            <w:tcBorders>
              <w:top w:val="nil"/>
              <w:left w:val="single" w:sz="8" w:space="0" w:color="auto"/>
              <w:bottom w:val="single" w:sz="4" w:space="0" w:color="auto"/>
              <w:right w:val="nil"/>
            </w:tcBorders>
            <w:shd w:val="clear" w:color="auto" w:fill="auto"/>
            <w:noWrap/>
            <w:vAlign w:val="bottom"/>
            <w:hideMark/>
          </w:tcPr>
          <w:p w14:paraId="100042A5" w14:textId="77777777" w:rsidR="00B54F4E" w:rsidRPr="00E30C97" w:rsidRDefault="00B54F4E" w:rsidP="006504C4">
            <w:pPr>
              <w:spacing w:before="0" w:after="0"/>
              <w:jc w:val="left"/>
              <w:rPr>
                <w:rFonts w:eastAsia="MS Mincho" w:cs="Arial"/>
                <w:color w:val="000000"/>
                <w:sz w:val="18"/>
                <w:szCs w:val="24"/>
                <w:lang w:val="es-ES" w:eastAsia="es-ES"/>
              </w:rPr>
            </w:pPr>
            <w:r>
              <w:rPr>
                <w:rFonts w:eastAsia="MS Mincho" w:cs="Arial"/>
                <w:color w:val="000000"/>
                <w:sz w:val="18"/>
                <w:szCs w:val="24"/>
                <w:lang w:val="es-ES" w:eastAsia="es-CO"/>
              </w:rPr>
              <w:t>Industrial</w:t>
            </w:r>
          </w:p>
        </w:tc>
        <w:tc>
          <w:tcPr>
            <w:tcW w:w="1673" w:type="pct"/>
            <w:tcBorders>
              <w:top w:val="nil"/>
              <w:left w:val="single" w:sz="8" w:space="0" w:color="auto"/>
              <w:bottom w:val="single" w:sz="8" w:space="0" w:color="auto"/>
              <w:right w:val="single" w:sz="8" w:space="0" w:color="auto"/>
            </w:tcBorders>
            <w:shd w:val="clear" w:color="auto" w:fill="auto"/>
            <w:noWrap/>
          </w:tcPr>
          <w:p w14:paraId="75097E0B"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465</w:t>
            </w:r>
          </w:p>
        </w:tc>
        <w:tc>
          <w:tcPr>
            <w:tcW w:w="1382" w:type="pct"/>
            <w:tcBorders>
              <w:top w:val="nil"/>
              <w:left w:val="nil"/>
              <w:bottom w:val="single" w:sz="8" w:space="0" w:color="auto"/>
              <w:right w:val="single" w:sz="8" w:space="0" w:color="auto"/>
            </w:tcBorders>
            <w:shd w:val="clear" w:color="auto" w:fill="auto"/>
            <w:noWrap/>
          </w:tcPr>
          <w:p w14:paraId="08355E7E"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5,9%</w:t>
            </w:r>
          </w:p>
        </w:tc>
      </w:tr>
      <w:tr w:rsidR="00B54F4E" w:rsidRPr="00E30C97" w14:paraId="724938B6" w14:textId="77777777" w:rsidTr="006504C4">
        <w:trPr>
          <w:trHeight w:val="315"/>
          <w:jc w:val="center"/>
        </w:trPr>
        <w:tc>
          <w:tcPr>
            <w:tcW w:w="1945"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5F75EE" w14:textId="77777777" w:rsidR="00B54F4E" w:rsidRPr="00E30C97" w:rsidRDefault="00B54F4E" w:rsidP="006504C4">
            <w:pPr>
              <w:spacing w:before="0" w:after="0"/>
              <w:jc w:val="left"/>
              <w:rPr>
                <w:rFonts w:eastAsia="MS Mincho" w:cs="Arial"/>
                <w:b/>
                <w:color w:val="000000"/>
                <w:sz w:val="18"/>
                <w:szCs w:val="24"/>
                <w:lang w:val="es-ES" w:eastAsia="es-ES"/>
              </w:rPr>
            </w:pPr>
            <w:r w:rsidRPr="00E30C97">
              <w:rPr>
                <w:rFonts w:eastAsia="MS Mincho" w:cs="Arial"/>
                <w:b/>
                <w:color w:val="000000"/>
                <w:sz w:val="18"/>
                <w:szCs w:val="24"/>
                <w:lang w:val="es-ES" w:eastAsia="es-ES"/>
              </w:rPr>
              <w:t>Total</w:t>
            </w:r>
          </w:p>
        </w:tc>
        <w:tc>
          <w:tcPr>
            <w:tcW w:w="1673" w:type="pct"/>
            <w:tcBorders>
              <w:top w:val="nil"/>
              <w:left w:val="single" w:sz="4" w:space="0" w:color="auto"/>
              <w:bottom w:val="single" w:sz="8" w:space="0" w:color="auto"/>
              <w:right w:val="single" w:sz="8" w:space="0" w:color="auto"/>
            </w:tcBorders>
            <w:shd w:val="clear" w:color="auto" w:fill="auto"/>
            <w:noWrap/>
          </w:tcPr>
          <w:p w14:paraId="723BDB7D" w14:textId="77777777" w:rsidR="00B54F4E" w:rsidRPr="00405E8C" w:rsidRDefault="00B54F4E" w:rsidP="006504C4">
            <w:pPr>
              <w:spacing w:before="0" w:after="0"/>
              <w:jc w:val="center"/>
              <w:rPr>
                <w:rFonts w:eastAsia="MS Mincho" w:cs="Arial"/>
                <w:b/>
                <w:color w:val="000000"/>
                <w:sz w:val="18"/>
                <w:szCs w:val="24"/>
                <w:lang w:val="es-ES" w:eastAsia="es-CO"/>
              </w:rPr>
            </w:pPr>
            <w:r w:rsidRPr="00405E8C">
              <w:rPr>
                <w:rFonts w:eastAsia="MS Mincho" w:cs="Arial"/>
                <w:b/>
                <w:color w:val="000000"/>
                <w:sz w:val="18"/>
                <w:szCs w:val="24"/>
                <w:lang w:val="es-ES" w:eastAsia="es-CO"/>
              </w:rPr>
              <w:t>7.823</w:t>
            </w:r>
          </w:p>
        </w:tc>
        <w:tc>
          <w:tcPr>
            <w:tcW w:w="1382" w:type="pct"/>
            <w:tcBorders>
              <w:top w:val="nil"/>
              <w:left w:val="nil"/>
              <w:bottom w:val="single" w:sz="8" w:space="0" w:color="auto"/>
              <w:right w:val="single" w:sz="8" w:space="0" w:color="auto"/>
            </w:tcBorders>
            <w:shd w:val="clear" w:color="auto" w:fill="auto"/>
            <w:noWrap/>
            <w:vAlign w:val="center"/>
          </w:tcPr>
          <w:p w14:paraId="7D604BCF" w14:textId="77777777" w:rsidR="00B54F4E" w:rsidRPr="00405E8C" w:rsidRDefault="00B54F4E" w:rsidP="006504C4">
            <w:pPr>
              <w:spacing w:before="0" w:after="0"/>
              <w:jc w:val="center"/>
              <w:rPr>
                <w:rFonts w:eastAsia="MS Mincho" w:cs="Arial"/>
                <w:color w:val="000000"/>
                <w:sz w:val="18"/>
                <w:szCs w:val="24"/>
                <w:lang w:val="es-ES" w:eastAsia="es-CO"/>
              </w:rPr>
            </w:pPr>
            <w:r w:rsidRPr="00405E8C">
              <w:rPr>
                <w:rFonts w:eastAsia="MS Mincho" w:cs="Arial"/>
                <w:color w:val="000000"/>
                <w:sz w:val="18"/>
                <w:szCs w:val="24"/>
                <w:lang w:val="es-ES" w:eastAsia="es-CO"/>
              </w:rPr>
              <w:t> </w:t>
            </w:r>
          </w:p>
        </w:tc>
      </w:tr>
    </w:tbl>
    <w:p w14:paraId="7E118956" w14:textId="77777777" w:rsidR="00B54F4E" w:rsidRDefault="00B54F4E" w:rsidP="00B54F4E">
      <w:pPr>
        <w:spacing w:before="0" w:after="0"/>
        <w:jc w:val="center"/>
        <w:rPr>
          <w:sz w:val="20"/>
          <w:lang w:val="es-ES"/>
        </w:rPr>
      </w:pPr>
      <w:r w:rsidRPr="00DA68BF">
        <w:rPr>
          <w:sz w:val="20"/>
          <w:lang w:val="es-ES"/>
        </w:rPr>
        <w:t xml:space="preserve">Fuente: </w:t>
      </w:r>
      <w:r>
        <w:rPr>
          <w:sz w:val="20"/>
          <w:lang w:val="es-ES"/>
        </w:rPr>
        <w:t>Elaborado con base en información del Plan Energético Nacional 2015 – 2050</w:t>
      </w:r>
    </w:p>
    <w:p w14:paraId="01CEA5C0" w14:textId="77777777" w:rsidR="00B54F4E" w:rsidRDefault="00B54F4E" w:rsidP="00B54F4E">
      <w:pPr>
        <w:spacing w:before="0" w:after="120"/>
      </w:pPr>
      <w:r>
        <w:lastRenderedPageBreak/>
        <w:t>Teniendo en cuenta la prospectiva de desarrollo del país, el PEN define dos escenarios, uno de referencia y uno alternativo, considerando dos posibilidades de crecimiento en cada uno de los sectores. El escenario alternativo</w:t>
      </w:r>
      <w:r>
        <w:tab/>
        <w:t xml:space="preserve"> considera la implementación de políticas y la promoción del uso racional y eficiente de la energía enfocado tanto en equipos eléctricos, como en la mejora en los métodos de construcción y materiales utilizados en edificaciones principalmente para economizar los gastos de iluminación y equipos acondicionadores de aire a largo plazo. Tal como se define en el PEN, el objetivo es impulsar una cultura de ahorro energético en Panamá. La proyección de consumo final eléctrico esperado en cada escenario se presenta en la </w:t>
      </w:r>
      <w:r>
        <w:fldChar w:fldCharType="begin"/>
      </w:r>
      <w:r>
        <w:instrText xml:space="preserve"> REF _Ref481221243 \h </w:instrText>
      </w:r>
      <w:r>
        <w:fldChar w:fldCharType="separate"/>
      </w:r>
      <w:r>
        <w:rPr>
          <w:b/>
        </w:rPr>
        <w:t>Ilustración</w:t>
      </w:r>
      <w:r w:rsidRPr="00F53187">
        <w:rPr>
          <w:b/>
        </w:rPr>
        <w:t xml:space="preserve"> </w:t>
      </w:r>
      <w:r>
        <w:rPr>
          <w:b/>
          <w:noProof/>
        </w:rPr>
        <w:t>8</w:t>
      </w:r>
      <w:r>
        <w:fldChar w:fldCharType="end"/>
      </w:r>
      <w:r>
        <w:t>.</w:t>
      </w:r>
    </w:p>
    <w:p w14:paraId="6FB973D0" w14:textId="77777777" w:rsidR="00B54F4E" w:rsidRPr="006C4E72" w:rsidRDefault="00B54F4E" w:rsidP="00B54F4E">
      <w:pPr>
        <w:spacing w:before="0" w:after="0"/>
        <w:ind w:left="720"/>
        <w:jc w:val="center"/>
        <w:rPr>
          <w:b/>
        </w:rPr>
      </w:pPr>
      <w:bookmarkStart w:id="86" w:name="_Ref481221243"/>
      <w:bookmarkStart w:id="87" w:name="_Ref481221238"/>
      <w:bookmarkStart w:id="88" w:name="_Toc484097083"/>
      <w:r>
        <w:rPr>
          <w:b/>
        </w:rPr>
        <w:t>Ilustración</w:t>
      </w:r>
      <w:r w:rsidRPr="00F53187">
        <w:rPr>
          <w:b/>
        </w:rPr>
        <w:t xml:space="preserve"> </w:t>
      </w:r>
      <w:r>
        <w:rPr>
          <w:b/>
        </w:rPr>
        <w:fldChar w:fldCharType="begin"/>
      </w:r>
      <w:r>
        <w:rPr>
          <w:b/>
        </w:rPr>
        <w:instrText xml:space="preserve"> SEQ Ilustración \* ARABIC </w:instrText>
      </w:r>
      <w:r>
        <w:rPr>
          <w:b/>
        </w:rPr>
        <w:fldChar w:fldCharType="separate"/>
      </w:r>
      <w:r>
        <w:rPr>
          <w:b/>
          <w:noProof/>
        </w:rPr>
        <w:t>8</w:t>
      </w:r>
      <w:r>
        <w:rPr>
          <w:b/>
        </w:rPr>
        <w:fldChar w:fldCharType="end"/>
      </w:r>
      <w:bookmarkEnd w:id="86"/>
      <w:r>
        <w:rPr>
          <w:b/>
        </w:rPr>
        <w:t xml:space="preserve"> – Proyección del consumo final eléctrico total para los escenarios del PEN</w:t>
      </w:r>
      <w:bookmarkEnd w:id="87"/>
      <w:bookmarkEnd w:id="88"/>
    </w:p>
    <w:p w14:paraId="389CF431" w14:textId="77777777" w:rsidR="00B54F4E" w:rsidRDefault="00B54F4E" w:rsidP="00B54F4E">
      <w:pPr>
        <w:spacing w:before="0" w:after="0"/>
        <w:jc w:val="center"/>
        <w:rPr>
          <w:sz w:val="20"/>
          <w:lang w:val="es-ES"/>
        </w:rPr>
      </w:pPr>
      <w:r>
        <w:rPr>
          <w:noProof/>
          <w:lang w:val="en-US"/>
        </w:rPr>
        <w:drawing>
          <wp:inline distT="0" distB="0" distL="0" distR="0" wp14:anchorId="6499F7B6" wp14:editId="01C0E287">
            <wp:extent cx="5608955" cy="27432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08955" cy="2743200"/>
                    </a:xfrm>
                    <a:prstGeom prst="rect">
                      <a:avLst/>
                    </a:prstGeom>
                    <a:noFill/>
                  </pic:spPr>
                </pic:pic>
              </a:graphicData>
            </a:graphic>
          </wp:inline>
        </w:drawing>
      </w:r>
      <w:r w:rsidRPr="00DA68BF">
        <w:rPr>
          <w:sz w:val="20"/>
          <w:lang w:val="es-ES"/>
        </w:rPr>
        <w:t xml:space="preserve">Fuente: </w:t>
      </w:r>
      <w:r>
        <w:rPr>
          <w:sz w:val="20"/>
          <w:lang w:val="es-ES"/>
        </w:rPr>
        <w:t>Elaborado con base en información del Plan Energético Nacional 2015 – 2050</w:t>
      </w:r>
    </w:p>
    <w:p w14:paraId="7850CF7E" w14:textId="77777777" w:rsidR="00B54F4E" w:rsidRDefault="00B54F4E" w:rsidP="00B54F4E">
      <w:pPr>
        <w:rPr>
          <w:rFonts w:cs="Arial"/>
          <w:bCs/>
          <w:color w:val="000000" w:themeColor="text1"/>
          <w:szCs w:val="22"/>
          <w:lang w:val="es-ES"/>
        </w:rPr>
      </w:pPr>
      <w:r w:rsidRPr="00C86674">
        <w:rPr>
          <w:rFonts w:cs="Arial"/>
          <w:bCs/>
          <w:color w:val="000000" w:themeColor="text1"/>
          <w:szCs w:val="22"/>
          <w:lang w:val="es-ES"/>
        </w:rPr>
        <w:t xml:space="preserve">Considerando la participación del consumo eléctrico de cada uno de los sectores, las medidas de eficiencia energética </w:t>
      </w:r>
      <w:r>
        <w:rPr>
          <w:rFonts w:cs="Arial"/>
          <w:bCs/>
          <w:color w:val="000000" w:themeColor="text1"/>
          <w:szCs w:val="22"/>
          <w:lang w:val="es-ES"/>
        </w:rPr>
        <w:t xml:space="preserve">con mayor impacto se encuentran en los sectores comercia, residencial y público. La </w:t>
      </w:r>
      <w:r>
        <w:rPr>
          <w:rFonts w:cs="Arial"/>
          <w:bCs/>
          <w:color w:val="000000" w:themeColor="text1"/>
          <w:szCs w:val="22"/>
          <w:lang w:val="es-ES"/>
        </w:rPr>
        <w:fldChar w:fldCharType="begin"/>
      </w:r>
      <w:r>
        <w:rPr>
          <w:rFonts w:cs="Arial"/>
          <w:bCs/>
          <w:color w:val="000000" w:themeColor="text1"/>
          <w:szCs w:val="22"/>
          <w:lang w:val="es-ES"/>
        </w:rPr>
        <w:instrText xml:space="preserve"> REF _Ref481222205 \h </w:instrText>
      </w:r>
      <w:r>
        <w:rPr>
          <w:rFonts w:cs="Arial"/>
          <w:bCs/>
          <w:color w:val="000000" w:themeColor="text1"/>
          <w:szCs w:val="22"/>
          <w:lang w:val="es-ES"/>
        </w:rPr>
      </w:r>
      <w:r>
        <w:rPr>
          <w:rFonts w:cs="Arial"/>
          <w:bCs/>
          <w:color w:val="000000" w:themeColor="text1"/>
          <w:szCs w:val="22"/>
          <w:lang w:val="es-ES"/>
        </w:rPr>
        <w:fldChar w:fldCharType="separate"/>
      </w:r>
      <w:r w:rsidRPr="008C12BC">
        <w:rPr>
          <w:b/>
        </w:rPr>
        <w:t xml:space="preserve">Tabla </w:t>
      </w:r>
      <w:r>
        <w:rPr>
          <w:b/>
          <w:noProof/>
        </w:rPr>
        <w:t>15</w:t>
      </w:r>
      <w:r>
        <w:rPr>
          <w:rFonts w:cs="Arial"/>
          <w:bCs/>
          <w:color w:val="000000" w:themeColor="text1"/>
          <w:szCs w:val="22"/>
          <w:lang w:val="es-ES"/>
        </w:rPr>
        <w:fldChar w:fldCharType="end"/>
      </w:r>
      <w:r>
        <w:rPr>
          <w:rFonts w:cs="Arial"/>
          <w:bCs/>
          <w:color w:val="000000" w:themeColor="text1"/>
          <w:szCs w:val="22"/>
          <w:lang w:val="es-ES"/>
        </w:rPr>
        <w:t xml:space="preserve"> presenta un resumen de la participación del ahorro esperado para distintos años del horizonte de proyección.</w:t>
      </w:r>
    </w:p>
    <w:p w14:paraId="4F3510DB" w14:textId="77777777" w:rsidR="00B54F4E" w:rsidRPr="006C4E72" w:rsidRDefault="00B54F4E" w:rsidP="00B54F4E">
      <w:pPr>
        <w:spacing w:before="120" w:after="0"/>
        <w:ind w:left="720"/>
        <w:jc w:val="center"/>
        <w:rPr>
          <w:b/>
        </w:rPr>
      </w:pPr>
      <w:bookmarkStart w:id="89" w:name="_Ref481222205"/>
      <w:bookmarkStart w:id="90" w:name="_Toc473268556"/>
      <w:bookmarkStart w:id="91" w:name="_Toc476136977"/>
      <w:bookmarkStart w:id="92" w:name="_Toc484097055"/>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15</w:t>
      </w:r>
      <w:r w:rsidRPr="008C12BC">
        <w:rPr>
          <w:b/>
        </w:rPr>
        <w:fldChar w:fldCharType="end"/>
      </w:r>
      <w:bookmarkEnd w:id="89"/>
      <w:r>
        <w:rPr>
          <w:b/>
        </w:rPr>
        <w:t xml:space="preserve"> – Metas indicativas de ahorro de energía </w:t>
      </w:r>
      <w:bookmarkEnd w:id="90"/>
      <w:bookmarkEnd w:id="91"/>
      <w:r>
        <w:rPr>
          <w:b/>
        </w:rPr>
        <w:t>por sector según las proyecciones del PEN</w:t>
      </w:r>
      <w:bookmarkEnd w:id="92"/>
    </w:p>
    <w:tbl>
      <w:tblPr>
        <w:tblW w:w="5000" w:type="pct"/>
        <w:tblCellMar>
          <w:left w:w="70" w:type="dxa"/>
          <w:right w:w="70" w:type="dxa"/>
        </w:tblCellMar>
        <w:tblLook w:val="04A0" w:firstRow="1" w:lastRow="0" w:firstColumn="1" w:lastColumn="0" w:noHBand="0" w:noVBand="1"/>
      </w:tblPr>
      <w:tblGrid>
        <w:gridCol w:w="1655"/>
        <w:gridCol w:w="1197"/>
        <w:gridCol w:w="1197"/>
        <w:gridCol w:w="1196"/>
        <w:gridCol w:w="1196"/>
        <w:gridCol w:w="1196"/>
        <w:gridCol w:w="1196"/>
      </w:tblGrid>
      <w:tr w:rsidR="00B54F4E" w:rsidRPr="00500CEA" w14:paraId="5D1486C5" w14:textId="77777777" w:rsidTr="006504C4">
        <w:trPr>
          <w:trHeight w:val="1290"/>
        </w:trPr>
        <w:tc>
          <w:tcPr>
            <w:tcW w:w="935" w:type="pct"/>
            <w:tcBorders>
              <w:top w:val="single" w:sz="4" w:space="0" w:color="auto"/>
              <w:left w:val="single" w:sz="4" w:space="0" w:color="auto"/>
              <w:bottom w:val="nil"/>
              <w:right w:val="single" w:sz="4" w:space="0" w:color="FFFFFF"/>
            </w:tcBorders>
            <w:shd w:val="clear" w:color="000000" w:fill="203764"/>
            <w:noWrap/>
            <w:vAlign w:val="center"/>
            <w:hideMark/>
          </w:tcPr>
          <w:p w14:paraId="41D4739B" w14:textId="77777777" w:rsidR="00B54F4E" w:rsidRPr="00500CEA" w:rsidRDefault="00B54F4E" w:rsidP="006504C4">
            <w:pPr>
              <w:spacing w:before="0" w:after="0"/>
              <w:jc w:val="center"/>
              <w:rPr>
                <w:rFonts w:cs="Arial"/>
                <w:b/>
                <w:bCs/>
                <w:color w:val="FFFFFF"/>
                <w:sz w:val="16"/>
                <w:szCs w:val="18"/>
                <w:lang w:eastAsia="es-CO"/>
              </w:rPr>
            </w:pPr>
            <w:r w:rsidRPr="00500CEA">
              <w:rPr>
                <w:rFonts w:cs="Arial"/>
                <w:b/>
                <w:bCs/>
                <w:color w:val="FFFFFF"/>
                <w:sz w:val="16"/>
                <w:szCs w:val="18"/>
                <w:lang w:val="es-ES" w:eastAsia="es-CO"/>
              </w:rPr>
              <w:t>SECTOR</w:t>
            </w:r>
          </w:p>
        </w:tc>
        <w:tc>
          <w:tcPr>
            <w:tcW w:w="677" w:type="pct"/>
            <w:tcBorders>
              <w:top w:val="single" w:sz="4" w:space="0" w:color="auto"/>
              <w:left w:val="nil"/>
              <w:bottom w:val="nil"/>
              <w:right w:val="single" w:sz="4" w:space="0" w:color="FFFFFF"/>
            </w:tcBorders>
            <w:shd w:val="clear" w:color="000000" w:fill="203764"/>
            <w:vAlign w:val="center"/>
            <w:hideMark/>
          </w:tcPr>
          <w:p w14:paraId="0E63D72E" w14:textId="77777777" w:rsidR="00B54F4E" w:rsidRPr="00500CEA" w:rsidRDefault="00B54F4E" w:rsidP="006504C4">
            <w:pPr>
              <w:spacing w:before="0" w:after="0"/>
              <w:jc w:val="center"/>
              <w:rPr>
                <w:rFonts w:cs="Arial"/>
                <w:b/>
                <w:bCs/>
                <w:color w:val="FFFFFF"/>
                <w:sz w:val="16"/>
                <w:szCs w:val="18"/>
                <w:lang w:eastAsia="es-CO"/>
              </w:rPr>
            </w:pPr>
            <w:r w:rsidRPr="00500CEA">
              <w:rPr>
                <w:rFonts w:cs="Arial"/>
                <w:b/>
                <w:bCs/>
                <w:color w:val="FFFFFF"/>
                <w:sz w:val="16"/>
                <w:szCs w:val="18"/>
                <w:lang w:eastAsia="es-CO"/>
              </w:rPr>
              <w:t>Ahorro estimado 2020</w:t>
            </w:r>
            <w:r w:rsidRPr="00500CEA">
              <w:rPr>
                <w:rFonts w:cs="Arial"/>
                <w:b/>
                <w:bCs/>
                <w:color w:val="FFFFFF"/>
                <w:sz w:val="16"/>
                <w:szCs w:val="18"/>
                <w:lang w:eastAsia="es-CO"/>
              </w:rPr>
              <w:br/>
              <w:t>(GWh/Año)</w:t>
            </w:r>
          </w:p>
        </w:tc>
        <w:tc>
          <w:tcPr>
            <w:tcW w:w="677" w:type="pct"/>
            <w:tcBorders>
              <w:top w:val="single" w:sz="4" w:space="0" w:color="auto"/>
              <w:left w:val="nil"/>
              <w:bottom w:val="nil"/>
              <w:right w:val="nil"/>
            </w:tcBorders>
            <w:shd w:val="clear" w:color="000000" w:fill="203764"/>
            <w:vAlign w:val="center"/>
            <w:hideMark/>
          </w:tcPr>
          <w:p w14:paraId="2742B955" w14:textId="77777777" w:rsidR="00B54F4E" w:rsidRPr="00500CEA" w:rsidRDefault="00B54F4E" w:rsidP="006504C4">
            <w:pPr>
              <w:spacing w:before="0" w:after="0"/>
              <w:jc w:val="center"/>
              <w:rPr>
                <w:rFonts w:cs="Arial"/>
                <w:b/>
                <w:bCs/>
                <w:color w:val="FFFFFF"/>
                <w:sz w:val="16"/>
                <w:szCs w:val="18"/>
                <w:lang w:eastAsia="es-CO"/>
              </w:rPr>
            </w:pPr>
            <w:r w:rsidRPr="00500CEA">
              <w:rPr>
                <w:rFonts w:cs="Arial"/>
                <w:b/>
                <w:bCs/>
                <w:color w:val="FFFFFF"/>
                <w:sz w:val="16"/>
                <w:szCs w:val="18"/>
                <w:lang w:eastAsia="es-CO"/>
              </w:rPr>
              <w:t>% de ahorro respecto al escenario de referencia</w:t>
            </w:r>
          </w:p>
        </w:tc>
        <w:tc>
          <w:tcPr>
            <w:tcW w:w="677" w:type="pct"/>
            <w:tcBorders>
              <w:top w:val="single" w:sz="4" w:space="0" w:color="auto"/>
              <w:left w:val="single" w:sz="4" w:space="0" w:color="FFFFFF"/>
              <w:bottom w:val="nil"/>
              <w:right w:val="single" w:sz="4" w:space="0" w:color="FFFFFF"/>
            </w:tcBorders>
            <w:shd w:val="clear" w:color="000000" w:fill="203764"/>
            <w:vAlign w:val="center"/>
            <w:hideMark/>
          </w:tcPr>
          <w:p w14:paraId="45CCBF81" w14:textId="77777777" w:rsidR="00B54F4E" w:rsidRPr="00500CEA" w:rsidRDefault="00B54F4E" w:rsidP="006504C4">
            <w:pPr>
              <w:spacing w:before="0" w:after="0"/>
              <w:jc w:val="center"/>
              <w:rPr>
                <w:rFonts w:cs="Arial"/>
                <w:b/>
                <w:bCs/>
                <w:color w:val="FFFFFF"/>
                <w:sz w:val="16"/>
                <w:szCs w:val="18"/>
                <w:lang w:eastAsia="es-CO"/>
              </w:rPr>
            </w:pPr>
            <w:r w:rsidRPr="00500CEA">
              <w:rPr>
                <w:rFonts w:cs="Arial"/>
                <w:b/>
                <w:bCs/>
                <w:color w:val="FFFFFF"/>
                <w:sz w:val="16"/>
                <w:szCs w:val="18"/>
                <w:lang w:eastAsia="es-CO"/>
              </w:rPr>
              <w:t>Ahorro estimado 2030</w:t>
            </w:r>
            <w:r w:rsidRPr="00500CEA">
              <w:rPr>
                <w:rFonts w:cs="Arial"/>
                <w:b/>
                <w:bCs/>
                <w:color w:val="FFFFFF"/>
                <w:sz w:val="16"/>
                <w:szCs w:val="18"/>
                <w:lang w:eastAsia="es-CO"/>
              </w:rPr>
              <w:br/>
              <w:t>(GWh/Año)</w:t>
            </w:r>
          </w:p>
        </w:tc>
        <w:tc>
          <w:tcPr>
            <w:tcW w:w="677" w:type="pct"/>
            <w:tcBorders>
              <w:top w:val="single" w:sz="4" w:space="0" w:color="auto"/>
              <w:left w:val="nil"/>
              <w:bottom w:val="nil"/>
              <w:right w:val="nil"/>
            </w:tcBorders>
            <w:shd w:val="clear" w:color="000000" w:fill="203764"/>
            <w:vAlign w:val="center"/>
            <w:hideMark/>
          </w:tcPr>
          <w:p w14:paraId="5ADB9898" w14:textId="77777777" w:rsidR="00B54F4E" w:rsidRPr="00500CEA" w:rsidRDefault="00B54F4E" w:rsidP="006504C4">
            <w:pPr>
              <w:spacing w:before="0" w:after="0"/>
              <w:jc w:val="center"/>
              <w:rPr>
                <w:rFonts w:cs="Arial"/>
                <w:b/>
                <w:bCs/>
                <w:color w:val="FFFFFF"/>
                <w:sz w:val="16"/>
                <w:szCs w:val="18"/>
                <w:lang w:eastAsia="es-CO"/>
              </w:rPr>
            </w:pPr>
            <w:r w:rsidRPr="00500CEA">
              <w:rPr>
                <w:rFonts w:cs="Arial"/>
                <w:b/>
                <w:bCs/>
                <w:color w:val="FFFFFF"/>
                <w:sz w:val="16"/>
                <w:szCs w:val="18"/>
                <w:lang w:eastAsia="es-CO"/>
              </w:rPr>
              <w:t>% de ahorro respecto al escenario de referencia</w:t>
            </w:r>
          </w:p>
        </w:tc>
        <w:tc>
          <w:tcPr>
            <w:tcW w:w="677" w:type="pct"/>
            <w:tcBorders>
              <w:top w:val="single" w:sz="4" w:space="0" w:color="auto"/>
              <w:left w:val="single" w:sz="4" w:space="0" w:color="FFFFFF"/>
              <w:bottom w:val="nil"/>
              <w:right w:val="single" w:sz="4" w:space="0" w:color="FFFFFF"/>
            </w:tcBorders>
            <w:shd w:val="clear" w:color="000000" w:fill="203764"/>
            <w:vAlign w:val="center"/>
            <w:hideMark/>
          </w:tcPr>
          <w:p w14:paraId="3579EC2A" w14:textId="77777777" w:rsidR="00B54F4E" w:rsidRPr="00500CEA" w:rsidRDefault="00B54F4E" w:rsidP="006504C4">
            <w:pPr>
              <w:spacing w:before="0" w:after="0"/>
              <w:jc w:val="center"/>
              <w:rPr>
                <w:rFonts w:cs="Arial"/>
                <w:b/>
                <w:bCs/>
                <w:color w:val="FFFFFF"/>
                <w:sz w:val="16"/>
                <w:szCs w:val="18"/>
                <w:lang w:eastAsia="es-CO"/>
              </w:rPr>
            </w:pPr>
            <w:r w:rsidRPr="00500CEA">
              <w:rPr>
                <w:rFonts w:cs="Arial"/>
                <w:b/>
                <w:bCs/>
                <w:color w:val="FFFFFF"/>
                <w:sz w:val="16"/>
                <w:szCs w:val="18"/>
                <w:lang w:eastAsia="es-CO"/>
              </w:rPr>
              <w:t>Ahorro estimado 2050</w:t>
            </w:r>
            <w:r w:rsidRPr="00500CEA">
              <w:rPr>
                <w:rFonts w:cs="Arial"/>
                <w:b/>
                <w:bCs/>
                <w:color w:val="FFFFFF"/>
                <w:sz w:val="16"/>
                <w:szCs w:val="18"/>
                <w:lang w:eastAsia="es-CO"/>
              </w:rPr>
              <w:br/>
              <w:t>(GWh/Año)</w:t>
            </w:r>
          </w:p>
        </w:tc>
        <w:tc>
          <w:tcPr>
            <w:tcW w:w="677" w:type="pct"/>
            <w:tcBorders>
              <w:top w:val="single" w:sz="4" w:space="0" w:color="auto"/>
              <w:left w:val="nil"/>
              <w:bottom w:val="nil"/>
              <w:right w:val="nil"/>
            </w:tcBorders>
            <w:shd w:val="clear" w:color="000000" w:fill="203764"/>
            <w:vAlign w:val="center"/>
            <w:hideMark/>
          </w:tcPr>
          <w:p w14:paraId="2165E525" w14:textId="77777777" w:rsidR="00B54F4E" w:rsidRPr="00500CEA" w:rsidRDefault="00B54F4E" w:rsidP="006504C4">
            <w:pPr>
              <w:spacing w:before="0" w:after="0"/>
              <w:jc w:val="center"/>
              <w:rPr>
                <w:rFonts w:cs="Arial"/>
                <w:b/>
                <w:bCs/>
                <w:color w:val="FFFFFF"/>
                <w:sz w:val="16"/>
                <w:szCs w:val="18"/>
                <w:lang w:eastAsia="es-CO"/>
              </w:rPr>
            </w:pPr>
            <w:r w:rsidRPr="00500CEA">
              <w:rPr>
                <w:rFonts w:cs="Arial"/>
                <w:b/>
                <w:bCs/>
                <w:color w:val="FFFFFF"/>
                <w:sz w:val="16"/>
                <w:szCs w:val="18"/>
                <w:lang w:eastAsia="es-CO"/>
              </w:rPr>
              <w:t>% de ahorro respecto al escenario de referencia</w:t>
            </w:r>
          </w:p>
        </w:tc>
      </w:tr>
      <w:tr w:rsidR="00B54F4E" w:rsidRPr="00500CEA" w14:paraId="322194BD" w14:textId="77777777" w:rsidTr="006504C4">
        <w:trPr>
          <w:trHeight w:val="300"/>
        </w:trPr>
        <w:tc>
          <w:tcPr>
            <w:tcW w:w="935" w:type="pct"/>
            <w:tcBorders>
              <w:top w:val="nil"/>
              <w:left w:val="single" w:sz="4" w:space="0" w:color="auto"/>
              <w:bottom w:val="nil"/>
              <w:right w:val="nil"/>
            </w:tcBorders>
            <w:shd w:val="clear" w:color="auto" w:fill="auto"/>
            <w:noWrap/>
            <w:vAlign w:val="center"/>
            <w:hideMark/>
          </w:tcPr>
          <w:p w14:paraId="77831498" w14:textId="77777777" w:rsidR="00B54F4E" w:rsidRPr="00500CEA" w:rsidRDefault="00B54F4E" w:rsidP="006504C4">
            <w:pPr>
              <w:spacing w:before="0" w:after="0"/>
              <w:jc w:val="left"/>
              <w:rPr>
                <w:rFonts w:cs="Arial"/>
                <w:color w:val="000000"/>
                <w:sz w:val="16"/>
                <w:szCs w:val="18"/>
                <w:lang w:eastAsia="es-CO"/>
              </w:rPr>
            </w:pPr>
            <w:r w:rsidRPr="00500CEA">
              <w:rPr>
                <w:rFonts w:cs="Arial"/>
                <w:color w:val="000000"/>
                <w:sz w:val="16"/>
                <w:szCs w:val="18"/>
                <w:lang w:val="es-ES" w:eastAsia="es-CO"/>
              </w:rPr>
              <w:t>Residencial</w:t>
            </w:r>
          </w:p>
        </w:tc>
        <w:tc>
          <w:tcPr>
            <w:tcW w:w="677" w:type="pct"/>
            <w:tcBorders>
              <w:top w:val="nil"/>
              <w:left w:val="single" w:sz="4" w:space="0" w:color="auto"/>
              <w:bottom w:val="nil"/>
              <w:right w:val="single" w:sz="4" w:space="0" w:color="auto"/>
            </w:tcBorders>
            <w:shd w:val="clear" w:color="auto" w:fill="auto"/>
            <w:noWrap/>
            <w:vAlign w:val="center"/>
            <w:hideMark/>
          </w:tcPr>
          <w:p w14:paraId="7ABA1409"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105</w:t>
            </w:r>
          </w:p>
        </w:tc>
        <w:tc>
          <w:tcPr>
            <w:tcW w:w="677" w:type="pct"/>
            <w:tcBorders>
              <w:top w:val="nil"/>
              <w:left w:val="nil"/>
              <w:bottom w:val="nil"/>
              <w:right w:val="single" w:sz="4" w:space="0" w:color="auto"/>
            </w:tcBorders>
            <w:shd w:val="clear" w:color="000000" w:fill="E7E6E6"/>
            <w:noWrap/>
            <w:vAlign w:val="center"/>
            <w:hideMark/>
          </w:tcPr>
          <w:p w14:paraId="4F9F912F"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3,3%</w:t>
            </w:r>
          </w:p>
        </w:tc>
        <w:tc>
          <w:tcPr>
            <w:tcW w:w="677" w:type="pct"/>
            <w:tcBorders>
              <w:top w:val="nil"/>
              <w:left w:val="nil"/>
              <w:bottom w:val="nil"/>
              <w:right w:val="single" w:sz="4" w:space="0" w:color="auto"/>
            </w:tcBorders>
            <w:shd w:val="clear" w:color="auto" w:fill="auto"/>
            <w:noWrap/>
            <w:vAlign w:val="center"/>
            <w:hideMark/>
          </w:tcPr>
          <w:p w14:paraId="379191EA"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465</w:t>
            </w:r>
          </w:p>
        </w:tc>
        <w:tc>
          <w:tcPr>
            <w:tcW w:w="677" w:type="pct"/>
            <w:tcBorders>
              <w:top w:val="nil"/>
              <w:left w:val="nil"/>
              <w:bottom w:val="nil"/>
              <w:right w:val="single" w:sz="4" w:space="0" w:color="auto"/>
            </w:tcBorders>
            <w:shd w:val="clear" w:color="000000" w:fill="E7E6E6"/>
            <w:noWrap/>
            <w:vAlign w:val="center"/>
            <w:hideMark/>
          </w:tcPr>
          <w:p w14:paraId="66978FAD"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8,8%</w:t>
            </w:r>
          </w:p>
        </w:tc>
        <w:tc>
          <w:tcPr>
            <w:tcW w:w="677" w:type="pct"/>
            <w:tcBorders>
              <w:top w:val="nil"/>
              <w:left w:val="nil"/>
              <w:bottom w:val="nil"/>
              <w:right w:val="single" w:sz="4" w:space="0" w:color="auto"/>
            </w:tcBorders>
            <w:shd w:val="clear" w:color="auto" w:fill="auto"/>
            <w:noWrap/>
            <w:vAlign w:val="center"/>
            <w:hideMark/>
          </w:tcPr>
          <w:p w14:paraId="5F6FDF99"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2.719</w:t>
            </w:r>
          </w:p>
        </w:tc>
        <w:tc>
          <w:tcPr>
            <w:tcW w:w="677" w:type="pct"/>
            <w:tcBorders>
              <w:top w:val="nil"/>
              <w:left w:val="nil"/>
              <w:bottom w:val="nil"/>
              <w:right w:val="single" w:sz="4" w:space="0" w:color="auto"/>
            </w:tcBorders>
            <w:shd w:val="clear" w:color="000000" w:fill="E7E6E6"/>
            <w:noWrap/>
            <w:vAlign w:val="center"/>
            <w:hideMark/>
          </w:tcPr>
          <w:p w14:paraId="61E1E52B"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19,8%</w:t>
            </w:r>
          </w:p>
        </w:tc>
      </w:tr>
      <w:tr w:rsidR="00B54F4E" w:rsidRPr="00500CEA" w14:paraId="1AB67122" w14:textId="77777777" w:rsidTr="006504C4">
        <w:trPr>
          <w:trHeight w:val="300"/>
        </w:trPr>
        <w:tc>
          <w:tcPr>
            <w:tcW w:w="935" w:type="pct"/>
            <w:tcBorders>
              <w:top w:val="nil"/>
              <w:left w:val="single" w:sz="4" w:space="0" w:color="auto"/>
              <w:bottom w:val="nil"/>
              <w:right w:val="nil"/>
            </w:tcBorders>
            <w:shd w:val="clear" w:color="auto" w:fill="auto"/>
            <w:noWrap/>
            <w:vAlign w:val="center"/>
            <w:hideMark/>
          </w:tcPr>
          <w:p w14:paraId="4D53E2A3" w14:textId="77777777" w:rsidR="00B54F4E" w:rsidRPr="00500CEA" w:rsidRDefault="00B54F4E" w:rsidP="006504C4">
            <w:pPr>
              <w:spacing w:before="0" w:after="0"/>
              <w:jc w:val="left"/>
              <w:rPr>
                <w:rFonts w:cs="Arial"/>
                <w:color w:val="000000"/>
                <w:sz w:val="16"/>
                <w:szCs w:val="18"/>
                <w:lang w:eastAsia="es-CO"/>
              </w:rPr>
            </w:pPr>
            <w:r w:rsidRPr="00500CEA">
              <w:rPr>
                <w:rFonts w:cs="Arial"/>
                <w:color w:val="000000"/>
                <w:sz w:val="16"/>
                <w:szCs w:val="18"/>
                <w:lang w:val="es-ES" w:eastAsia="es-CO"/>
              </w:rPr>
              <w:t>Comercial</w:t>
            </w:r>
          </w:p>
        </w:tc>
        <w:tc>
          <w:tcPr>
            <w:tcW w:w="677" w:type="pct"/>
            <w:tcBorders>
              <w:top w:val="nil"/>
              <w:left w:val="single" w:sz="4" w:space="0" w:color="auto"/>
              <w:bottom w:val="nil"/>
              <w:right w:val="single" w:sz="4" w:space="0" w:color="auto"/>
            </w:tcBorders>
            <w:shd w:val="clear" w:color="auto" w:fill="auto"/>
            <w:noWrap/>
            <w:vAlign w:val="center"/>
            <w:hideMark/>
          </w:tcPr>
          <w:p w14:paraId="262A6819"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792</w:t>
            </w:r>
          </w:p>
        </w:tc>
        <w:tc>
          <w:tcPr>
            <w:tcW w:w="677" w:type="pct"/>
            <w:tcBorders>
              <w:top w:val="nil"/>
              <w:left w:val="nil"/>
              <w:bottom w:val="nil"/>
              <w:right w:val="single" w:sz="4" w:space="0" w:color="auto"/>
            </w:tcBorders>
            <w:shd w:val="clear" w:color="000000" w:fill="E7E6E6"/>
            <w:noWrap/>
            <w:vAlign w:val="center"/>
            <w:hideMark/>
          </w:tcPr>
          <w:p w14:paraId="43E85B9A"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15,8%</w:t>
            </w:r>
          </w:p>
        </w:tc>
        <w:tc>
          <w:tcPr>
            <w:tcW w:w="677" w:type="pct"/>
            <w:tcBorders>
              <w:top w:val="nil"/>
              <w:left w:val="nil"/>
              <w:bottom w:val="nil"/>
              <w:right w:val="single" w:sz="4" w:space="0" w:color="auto"/>
            </w:tcBorders>
            <w:shd w:val="clear" w:color="auto" w:fill="auto"/>
            <w:noWrap/>
            <w:vAlign w:val="center"/>
            <w:hideMark/>
          </w:tcPr>
          <w:p w14:paraId="440EF897"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1.984</w:t>
            </w:r>
          </w:p>
        </w:tc>
        <w:tc>
          <w:tcPr>
            <w:tcW w:w="677" w:type="pct"/>
            <w:tcBorders>
              <w:top w:val="nil"/>
              <w:left w:val="nil"/>
              <w:bottom w:val="nil"/>
              <w:right w:val="single" w:sz="4" w:space="0" w:color="auto"/>
            </w:tcBorders>
            <w:shd w:val="clear" w:color="000000" w:fill="E7E6E6"/>
            <w:noWrap/>
            <w:vAlign w:val="center"/>
            <w:hideMark/>
          </w:tcPr>
          <w:p w14:paraId="0D6383F0"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22,2%</w:t>
            </w:r>
          </w:p>
        </w:tc>
        <w:tc>
          <w:tcPr>
            <w:tcW w:w="677" w:type="pct"/>
            <w:tcBorders>
              <w:top w:val="nil"/>
              <w:left w:val="nil"/>
              <w:bottom w:val="nil"/>
              <w:right w:val="single" w:sz="4" w:space="0" w:color="auto"/>
            </w:tcBorders>
            <w:shd w:val="clear" w:color="auto" w:fill="auto"/>
            <w:noWrap/>
            <w:vAlign w:val="center"/>
            <w:hideMark/>
          </w:tcPr>
          <w:p w14:paraId="3DC941D0"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12.876</w:t>
            </w:r>
          </w:p>
        </w:tc>
        <w:tc>
          <w:tcPr>
            <w:tcW w:w="677" w:type="pct"/>
            <w:tcBorders>
              <w:top w:val="nil"/>
              <w:left w:val="nil"/>
              <w:bottom w:val="nil"/>
              <w:right w:val="single" w:sz="4" w:space="0" w:color="auto"/>
            </w:tcBorders>
            <w:shd w:val="clear" w:color="000000" w:fill="E7E6E6"/>
            <w:noWrap/>
            <w:vAlign w:val="center"/>
            <w:hideMark/>
          </w:tcPr>
          <w:p w14:paraId="6CEEA82B"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42,6%</w:t>
            </w:r>
          </w:p>
        </w:tc>
      </w:tr>
      <w:tr w:rsidR="00B54F4E" w:rsidRPr="00500CEA" w14:paraId="59E9F692" w14:textId="77777777" w:rsidTr="006504C4">
        <w:trPr>
          <w:trHeight w:val="300"/>
        </w:trPr>
        <w:tc>
          <w:tcPr>
            <w:tcW w:w="935" w:type="pct"/>
            <w:tcBorders>
              <w:top w:val="nil"/>
              <w:left w:val="single" w:sz="4" w:space="0" w:color="auto"/>
              <w:bottom w:val="nil"/>
              <w:right w:val="nil"/>
            </w:tcBorders>
            <w:shd w:val="clear" w:color="auto" w:fill="auto"/>
            <w:noWrap/>
            <w:vAlign w:val="center"/>
            <w:hideMark/>
          </w:tcPr>
          <w:p w14:paraId="641EF466" w14:textId="77777777" w:rsidR="00B54F4E" w:rsidRPr="00500CEA" w:rsidRDefault="00B54F4E" w:rsidP="006504C4">
            <w:pPr>
              <w:spacing w:before="0" w:after="0"/>
              <w:jc w:val="left"/>
              <w:rPr>
                <w:rFonts w:cs="Arial"/>
                <w:color w:val="000000"/>
                <w:sz w:val="16"/>
                <w:szCs w:val="18"/>
                <w:lang w:eastAsia="es-CO"/>
              </w:rPr>
            </w:pPr>
            <w:r w:rsidRPr="00500CEA">
              <w:rPr>
                <w:rFonts w:cs="Arial"/>
                <w:color w:val="000000"/>
                <w:sz w:val="16"/>
                <w:szCs w:val="18"/>
                <w:lang w:val="es-ES" w:eastAsia="es-CO"/>
              </w:rPr>
              <w:t>Público</w:t>
            </w:r>
          </w:p>
        </w:tc>
        <w:tc>
          <w:tcPr>
            <w:tcW w:w="677" w:type="pct"/>
            <w:tcBorders>
              <w:top w:val="nil"/>
              <w:left w:val="single" w:sz="4" w:space="0" w:color="auto"/>
              <w:bottom w:val="nil"/>
              <w:right w:val="single" w:sz="4" w:space="0" w:color="auto"/>
            </w:tcBorders>
            <w:shd w:val="clear" w:color="auto" w:fill="auto"/>
            <w:noWrap/>
            <w:vAlign w:val="center"/>
            <w:hideMark/>
          </w:tcPr>
          <w:p w14:paraId="1292DF19"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213</w:t>
            </w:r>
          </w:p>
        </w:tc>
        <w:tc>
          <w:tcPr>
            <w:tcW w:w="677" w:type="pct"/>
            <w:tcBorders>
              <w:top w:val="nil"/>
              <w:left w:val="nil"/>
              <w:bottom w:val="nil"/>
              <w:right w:val="single" w:sz="4" w:space="0" w:color="auto"/>
            </w:tcBorders>
            <w:shd w:val="clear" w:color="000000" w:fill="E7E6E6"/>
            <w:noWrap/>
            <w:vAlign w:val="center"/>
            <w:hideMark/>
          </w:tcPr>
          <w:p w14:paraId="27858718"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13,5%</w:t>
            </w:r>
          </w:p>
        </w:tc>
        <w:tc>
          <w:tcPr>
            <w:tcW w:w="677" w:type="pct"/>
            <w:tcBorders>
              <w:top w:val="nil"/>
              <w:left w:val="nil"/>
              <w:bottom w:val="nil"/>
              <w:right w:val="single" w:sz="4" w:space="0" w:color="auto"/>
            </w:tcBorders>
            <w:shd w:val="clear" w:color="auto" w:fill="auto"/>
            <w:noWrap/>
            <w:vAlign w:val="center"/>
            <w:hideMark/>
          </w:tcPr>
          <w:p w14:paraId="489C625C"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476</w:t>
            </w:r>
          </w:p>
        </w:tc>
        <w:tc>
          <w:tcPr>
            <w:tcW w:w="677" w:type="pct"/>
            <w:tcBorders>
              <w:top w:val="nil"/>
              <w:left w:val="nil"/>
              <w:bottom w:val="nil"/>
              <w:right w:val="single" w:sz="4" w:space="0" w:color="auto"/>
            </w:tcBorders>
            <w:shd w:val="clear" w:color="000000" w:fill="E7E6E6"/>
            <w:noWrap/>
            <w:vAlign w:val="center"/>
            <w:hideMark/>
          </w:tcPr>
          <w:p w14:paraId="32763791"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22,2%</w:t>
            </w:r>
          </w:p>
        </w:tc>
        <w:tc>
          <w:tcPr>
            <w:tcW w:w="677" w:type="pct"/>
            <w:tcBorders>
              <w:top w:val="nil"/>
              <w:left w:val="nil"/>
              <w:bottom w:val="nil"/>
              <w:right w:val="single" w:sz="4" w:space="0" w:color="auto"/>
            </w:tcBorders>
            <w:shd w:val="clear" w:color="auto" w:fill="auto"/>
            <w:noWrap/>
            <w:vAlign w:val="center"/>
            <w:hideMark/>
          </w:tcPr>
          <w:p w14:paraId="7C3E8ED6"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1.526</w:t>
            </w:r>
          </w:p>
        </w:tc>
        <w:tc>
          <w:tcPr>
            <w:tcW w:w="677" w:type="pct"/>
            <w:tcBorders>
              <w:top w:val="nil"/>
              <w:left w:val="nil"/>
              <w:bottom w:val="nil"/>
              <w:right w:val="single" w:sz="4" w:space="0" w:color="auto"/>
            </w:tcBorders>
            <w:shd w:val="clear" w:color="000000" w:fill="E7E6E6"/>
            <w:noWrap/>
            <w:vAlign w:val="center"/>
            <w:hideMark/>
          </w:tcPr>
          <w:p w14:paraId="06FAADCB"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42,6%</w:t>
            </w:r>
          </w:p>
        </w:tc>
      </w:tr>
      <w:tr w:rsidR="00B54F4E" w:rsidRPr="00500CEA" w14:paraId="4017A28F" w14:textId="77777777" w:rsidTr="006504C4">
        <w:trPr>
          <w:trHeight w:val="300"/>
        </w:trPr>
        <w:tc>
          <w:tcPr>
            <w:tcW w:w="935" w:type="pct"/>
            <w:tcBorders>
              <w:top w:val="nil"/>
              <w:left w:val="single" w:sz="4" w:space="0" w:color="auto"/>
              <w:bottom w:val="nil"/>
              <w:right w:val="nil"/>
            </w:tcBorders>
            <w:shd w:val="clear" w:color="auto" w:fill="auto"/>
            <w:noWrap/>
            <w:vAlign w:val="center"/>
            <w:hideMark/>
          </w:tcPr>
          <w:p w14:paraId="7FA53738" w14:textId="77777777" w:rsidR="00B54F4E" w:rsidRPr="00500CEA" w:rsidRDefault="00B54F4E" w:rsidP="006504C4">
            <w:pPr>
              <w:spacing w:before="0" w:after="0"/>
              <w:jc w:val="left"/>
              <w:rPr>
                <w:rFonts w:cs="Arial"/>
                <w:color w:val="000000"/>
                <w:sz w:val="16"/>
                <w:szCs w:val="18"/>
                <w:lang w:eastAsia="es-CO"/>
              </w:rPr>
            </w:pPr>
            <w:r w:rsidRPr="00500CEA">
              <w:rPr>
                <w:rFonts w:cs="Arial"/>
                <w:color w:val="000000"/>
                <w:sz w:val="16"/>
                <w:szCs w:val="18"/>
                <w:lang w:val="es-ES" w:eastAsia="es-CO"/>
              </w:rPr>
              <w:t>Industrial</w:t>
            </w:r>
          </w:p>
        </w:tc>
        <w:tc>
          <w:tcPr>
            <w:tcW w:w="677" w:type="pct"/>
            <w:tcBorders>
              <w:top w:val="nil"/>
              <w:left w:val="single" w:sz="4" w:space="0" w:color="auto"/>
              <w:bottom w:val="nil"/>
              <w:right w:val="single" w:sz="4" w:space="0" w:color="auto"/>
            </w:tcBorders>
            <w:shd w:val="clear" w:color="auto" w:fill="auto"/>
            <w:noWrap/>
            <w:vAlign w:val="center"/>
            <w:hideMark/>
          </w:tcPr>
          <w:p w14:paraId="00446D0A"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13</w:t>
            </w:r>
          </w:p>
        </w:tc>
        <w:tc>
          <w:tcPr>
            <w:tcW w:w="677" w:type="pct"/>
            <w:tcBorders>
              <w:top w:val="nil"/>
              <w:left w:val="nil"/>
              <w:bottom w:val="nil"/>
              <w:right w:val="single" w:sz="4" w:space="0" w:color="auto"/>
            </w:tcBorders>
            <w:shd w:val="clear" w:color="000000" w:fill="E7E6E6"/>
            <w:noWrap/>
            <w:vAlign w:val="center"/>
            <w:hideMark/>
          </w:tcPr>
          <w:p w14:paraId="5C17B853"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1,5%</w:t>
            </w:r>
          </w:p>
        </w:tc>
        <w:tc>
          <w:tcPr>
            <w:tcW w:w="677" w:type="pct"/>
            <w:tcBorders>
              <w:top w:val="nil"/>
              <w:left w:val="nil"/>
              <w:bottom w:val="nil"/>
              <w:right w:val="single" w:sz="4" w:space="0" w:color="auto"/>
            </w:tcBorders>
            <w:shd w:val="clear" w:color="auto" w:fill="auto"/>
            <w:noWrap/>
            <w:vAlign w:val="center"/>
            <w:hideMark/>
          </w:tcPr>
          <w:p w14:paraId="150741FD"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49</w:t>
            </w:r>
          </w:p>
        </w:tc>
        <w:tc>
          <w:tcPr>
            <w:tcW w:w="677" w:type="pct"/>
            <w:tcBorders>
              <w:top w:val="nil"/>
              <w:left w:val="nil"/>
              <w:bottom w:val="nil"/>
              <w:right w:val="single" w:sz="4" w:space="0" w:color="auto"/>
            </w:tcBorders>
            <w:shd w:val="clear" w:color="000000" w:fill="E7E6E6"/>
            <w:noWrap/>
            <w:vAlign w:val="center"/>
            <w:hideMark/>
          </w:tcPr>
          <w:p w14:paraId="527B561C"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4,0%</w:t>
            </w:r>
          </w:p>
        </w:tc>
        <w:tc>
          <w:tcPr>
            <w:tcW w:w="677" w:type="pct"/>
            <w:tcBorders>
              <w:top w:val="nil"/>
              <w:left w:val="nil"/>
              <w:bottom w:val="nil"/>
              <w:right w:val="single" w:sz="4" w:space="0" w:color="auto"/>
            </w:tcBorders>
            <w:shd w:val="clear" w:color="auto" w:fill="auto"/>
            <w:noWrap/>
            <w:vAlign w:val="center"/>
            <w:hideMark/>
          </w:tcPr>
          <w:p w14:paraId="60A349C9"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132</w:t>
            </w:r>
          </w:p>
        </w:tc>
        <w:tc>
          <w:tcPr>
            <w:tcW w:w="677" w:type="pct"/>
            <w:tcBorders>
              <w:top w:val="nil"/>
              <w:left w:val="nil"/>
              <w:bottom w:val="nil"/>
              <w:right w:val="single" w:sz="4" w:space="0" w:color="auto"/>
            </w:tcBorders>
            <w:shd w:val="clear" w:color="000000" w:fill="E7E6E6"/>
            <w:noWrap/>
            <w:vAlign w:val="center"/>
            <w:hideMark/>
          </w:tcPr>
          <w:p w14:paraId="73528726" w14:textId="77777777" w:rsidR="00B54F4E" w:rsidRPr="00500CEA" w:rsidRDefault="00B54F4E" w:rsidP="006504C4">
            <w:pPr>
              <w:spacing w:before="0" w:after="0"/>
              <w:jc w:val="center"/>
              <w:rPr>
                <w:rFonts w:cs="Arial"/>
                <w:color w:val="000000"/>
                <w:sz w:val="16"/>
                <w:szCs w:val="18"/>
                <w:lang w:eastAsia="es-CO"/>
              </w:rPr>
            </w:pPr>
            <w:r w:rsidRPr="00500CEA">
              <w:rPr>
                <w:rFonts w:cs="Arial"/>
                <w:color w:val="000000"/>
                <w:sz w:val="16"/>
                <w:szCs w:val="18"/>
                <w:lang w:eastAsia="es-CO"/>
              </w:rPr>
              <w:t>9,0%</w:t>
            </w:r>
          </w:p>
        </w:tc>
      </w:tr>
      <w:tr w:rsidR="00B54F4E" w:rsidRPr="00500CEA" w14:paraId="362ACDE5" w14:textId="77777777" w:rsidTr="006504C4">
        <w:trPr>
          <w:trHeight w:val="300"/>
        </w:trPr>
        <w:tc>
          <w:tcPr>
            <w:tcW w:w="935" w:type="pct"/>
            <w:tcBorders>
              <w:top w:val="single" w:sz="4" w:space="0" w:color="auto"/>
              <w:left w:val="single" w:sz="4" w:space="0" w:color="auto"/>
              <w:bottom w:val="single" w:sz="4" w:space="0" w:color="auto"/>
              <w:right w:val="nil"/>
            </w:tcBorders>
            <w:shd w:val="clear" w:color="auto" w:fill="auto"/>
            <w:noWrap/>
            <w:vAlign w:val="center"/>
            <w:hideMark/>
          </w:tcPr>
          <w:p w14:paraId="65C41533" w14:textId="77777777" w:rsidR="00B54F4E" w:rsidRPr="00500CEA" w:rsidRDefault="00B54F4E" w:rsidP="006504C4">
            <w:pPr>
              <w:spacing w:before="0" w:after="0"/>
              <w:jc w:val="left"/>
              <w:rPr>
                <w:rFonts w:cs="Arial"/>
                <w:b/>
                <w:bCs/>
                <w:color w:val="000000"/>
                <w:sz w:val="16"/>
                <w:szCs w:val="18"/>
                <w:lang w:eastAsia="es-CO"/>
              </w:rPr>
            </w:pPr>
            <w:r w:rsidRPr="00500CEA">
              <w:rPr>
                <w:rFonts w:cs="Arial"/>
                <w:b/>
                <w:bCs/>
                <w:color w:val="000000"/>
                <w:sz w:val="16"/>
                <w:szCs w:val="18"/>
                <w:lang w:val="es-ES" w:eastAsia="es-CO"/>
              </w:rPr>
              <w:t>Total</w:t>
            </w:r>
          </w:p>
        </w:tc>
        <w:tc>
          <w:tcPr>
            <w:tcW w:w="6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6E29C8" w14:textId="77777777" w:rsidR="00B54F4E" w:rsidRPr="00500CEA" w:rsidRDefault="00B54F4E" w:rsidP="006504C4">
            <w:pPr>
              <w:spacing w:before="0" w:after="0"/>
              <w:jc w:val="center"/>
              <w:rPr>
                <w:rFonts w:cs="Arial"/>
                <w:b/>
                <w:bCs/>
                <w:color w:val="000000"/>
                <w:sz w:val="16"/>
                <w:szCs w:val="18"/>
                <w:lang w:eastAsia="es-CO"/>
              </w:rPr>
            </w:pPr>
            <w:r w:rsidRPr="00500CEA">
              <w:rPr>
                <w:rFonts w:cs="Arial"/>
                <w:b/>
                <w:bCs/>
                <w:color w:val="000000"/>
                <w:sz w:val="16"/>
                <w:szCs w:val="18"/>
                <w:lang w:eastAsia="es-CO"/>
              </w:rPr>
              <w:t>1.124</w:t>
            </w:r>
          </w:p>
        </w:tc>
        <w:tc>
          <w:tcPr>
            <w:tcW w:w="677" w:type="pct"/>
            <w:tcBorders>
              <w:top w:val="single" w:sz="4" w:space="0" w:color="auto"/>
              <w:left w:val="nil"/>
              <w:bottom w:val="single" w:sz="4" w:space="0" w:color="auto"/>
              <w:right w:val="single" w:sz="4" w:space="0" w:color="auto"/>
            </w:tcBorders>
            <w:shd w:val="clear" w:color="000000" w:fill="E7E6E6"/>
            <w:noWrap/>
            <w:vAlign w:val="center"/>
            <w:hideMark/>
          </w:tcPr>
          <w:p w14:paraId="5345B8D8" w14:textId="77777777" w:rsidR="00B54F4E" w:rsidRPr="00500CEA" w:rsidRDefault="00B54F4E" w:rsidP="006504C4">
            <w:pPr>
              <w:spacing w:before="0" w:after="0"/>
              <w:jc w:val="center"/>
              <w:rPr>
                <w:rFonts w:cs="Arial"/>
                <w:b/>
                <w:bCs/>
                <w:color w:val="000000"/>
                <w:sz w:val="16"/>
                <w:szCs w:val="18"/>
                <w:lang w:eastAsia="es-CO"/>
              </w:rPr>
            </w:pPr>
            <w:r w:rsidRPr="00500CEA">
              <w:rPr>
                <w:rFonts w:cs="Arial"/>
                <w:b/>
                <w:bCs/>
                <w:color w:val="000000"/>
                <w:sz w:val="16"/>
                <w:szCs w:val="18"/>
                <w:lang w:eastAsia="es-CO"/>
              </w:rPr>
              <w:t>10,6%</w:t>
            </w:r>
          </w:p>
        </w:tc>
        <w:tc>
          <w:tcPr>
            <w:tcW w:w="677" w:type="pct"/>
            <w:tcBorders>
              <w:top w:val="single" w:sz="4" w:space="0" w:color="auto"/>
              <w:left w:val="nil"/>
              <w:bottom w:val="single" w:sz="4" w:space="0" w:color="auto"/>
              <w:right w:val="single" w:sz="4" w:space="0" w:color="auto"/>
            </w:tcBorders>
            <w:shd w:val="clear" w:color="auto" w:fill="auto"/>
            <w:noWrap/>
            <w:vAlign w:val="center"/>
            <w:hideMark/>
          </w:tcPr>
          <w:p w14:paraId="34D1127B" w14:textId="77777777" w:rsidR="00B54F4E" w:rsidRPr="00500CEA" w:rsidRDefault="00B54F4E" w:rsidP="006504C4">
            <w:pPr>
              <w:spacing w:before="0" w:after="0"/>
              <w:jc w:val="center"/>
              <w:rPr>
                <w:rFonts w:cs="Arial"/>
                <w:b/>
                <w:bCs/>
                <w:color w:val="000000"/>
                <w:sz w:val="16"/>
                <w:szCs w:val="18"/>
                <w:lang w:eastAsia="es-CO"/>
              </w:rPr>
            </w:pPr>
            <w:r w:rsidRPr="00500CEA">
              <w:rPr>
                <w:rFonts w:cs="Arial"/>
                <w:b/>
                <w:bCs/>
                <w:color w:val="000000"/>
                <w:sz w:val="16"/>
                <w:szCs w:val="18"/>
                <w:lang w:eastAsia="es-CO"/>
              </w:rPr>
              <w:t>2.974</w:t>
            </w:r>
          </w:p>
        </w:tc>
        <w:tc>
          <w:tcPr>
            <w:tcW w:w="677" w:type="pct"/>
            <w:tcBorders>
              <w:top w:val="single" w:sz="4" w:space="0" w:color="auto"/>
              <w:left w:val="nil"/>
              <w:bottom w:val="single" w:sz="4" w:space="0" w:color="auto"/>
              <w:right w:val="single" w:sz="4" w:space="0" w:color="auto"/>
            </w:tcBorders>
            <w:shd w:val="clear" w:color="000000" w:fill="E7E6E6"/>
            <w:noWrap/>
            <w:vAlign w:val="center"/>
            <w:hideMark/>
          </w:tcPr>
          <w:p w14:paraId="53BED49F" w14:textId="77777777" w:rsidR="00B54F4E" w:rsidRPr="00500CEA" w:rsidRDefault="00B54F4E" w:rsidP="006504C4">
            <w:pPr>
              <w:spacing w:before="0" w:after="0"/>
              <w:jc w:val="center"/>
              <w:rPr>
                <w:rFonts w:cs="Arial"/>
                <w:b/>
                <w:bCs/>
                <w:color w:val="000000"/>
                <w:sz w:val="16"/>
                <w:szCs w:val="18"/>
                <w:lang w:eastAsia="es-CO"/>
              </w:rPr>
            </w:pPr>
            <w:r w:rsidRPr="00500CEA">
              <w:rPr>
                <w:rFonts w:cs="Arial"/>
                <w:b/>
                <w:bCs/>
                <w:color w:val="000000"/>
                <w:sz w:val="16"/>
                <w:szCs w:val="18"/>
                <w:lang w:eastAsia="es-CO"/>
              </w:rPr>
              <w:t>16,9%</w:t>
            </w:r>
          </w:p>
        </w:tc>
        <w:tc>
          <w:tcPr>
            <w:tcW w:w="677" w:type="pct"/>
            <w:tcBorders>
              <w:top w:val="single" w:sz="4" w:space="0" w:color="auto"/>
              <w:left w:val="nil"/>
              <w:bottom w:val="single" w:sz="4" w:space="0" w:color="auto"/>
              <w:right w:val="single" w:sz="4" w:space="0" w:color="auto"/>
            </w:tcBorders>
            <w:shd w:val="clear" w:color="auto" w:fill="auto"/>
            <w:noWrap/>
            <w:vAlign w:val="center"/>
            <w:hideMark/>
          </w:tcPr>
          <w:p w14:paraId="5AEFACBB" w14:textId="77777777" w:rsidR="00B54F4E" w:rsidRPr="00500CEA" w:rsidRDefault="00B54F4E" w:rsidP="006504C4">
            <w:pPr>
              <w:spacing w:before="0" w:after="0"/>
              <w:jc w:val="center"/>
              <w:rPr>
                <w:rFonts w:cs="Arial"/>
                <w:b/>
                <w:bCs/>
                <w:color w:val="000000"/>
                <w:sz w:val="16"/>
                <w:szCs w:val="18"/>
                <w:lang w:eastAsia="es-CO"/>
              </w:rPr>
            </w:pPr>
            <w:r w:rsidRPr="00500CEA">
              <w:rPr>
                <w:rFonts w:cs="Arial"/>
                <w:b/>
                <w:bCs/>
                <w:color w:val="000000"/>
                <w:sz w:val="16"/>
                <w:szCs w:val="18"/>
                <w:lang w:eastAsia="es-CO"/>
              </w:rPr>
              <w:t>17.253</w:t>
            </w:r>
          </w:p>
        </w:tc>
        <w:tc>
          <w:tcPr>
            <w:tcW w:w="677" w:type="pct"/>
            <w:tcBorders>
              <w:top w:val="single" w:sz="4" w:space="0" w:color="auto"/>
              <w:left w:val="nil"/>
              <w:bottom w:val="single" w:sz="4" w:space="0" w:color="auto"/>
              <w:right w:val="single" w:sz="4" w:space="0" w:color="auto"/>
            </w:tcBorders>
            <w:shd w:val="clear" w:color="000000" w:fill="E7E6E6"/>
            <w:noWrap/>
            <w:vAlign w:val="center"/>
            <w:hideMark/>
          </w:tcPr>
          <w:p w14:paraId="37C25B06" w14:textId="77777777" w:rsidR="00B54F4E" w:rsidRPr="00500CEA" w:rsidRDefault="00B54F4E" w:rsidP="006504C4">
            <w:pPr>
              <w:spacing w:before="0" w:after="0"/>
              <w:jc w:val="center"/>
              <w:rPr>
                <w:rFonts w:cs="Arial"/>
                <w:b/>
                <w:bCs/>
                <w:color w:val="000000"/>
                <w:sz w:val="16"/>
                <w:szCs w:val="18"/>
                <w:lang w:eastAsia="es-CO"/>
              </w:rPr>
            </w:pPr>
            <w:r w:rsidRPr="00500CEA">
              <w:rPr>
                <w:rFonts w:cs="Arial"/>
                <w:b/>
                <w:bCs/>
                <w:color w:val="000000"/>
                <w:sz w:val="16"/>
                <w:szCs w:val="18"/>
                <w:lang w:eastAsia="es-CO"/>
              </w:rPr>
              <w:t>19,0%</w:t>
            </w:r>
          </w:p>
        </w:tc>
      </w:tr>
    </w:tbl>
    <w:p w14:paraId="2329A66E" w14:textId="77777777" w:rsidR="00B54F4E" w:rsidRDefault="00B54F4E" w:rsidP="00B54F4E">
      <w:pPr>
        <w:spacing w:before="0" w:after="0"/>
        <w:jc w:val="center"/>
        <w:rPr>
          <w:sz w:val="20"/>
          <w:lang w:val="es-ES"/>
        </w:rPr>
      </w:pPr>
      <w:r w:rsidRPr="00DA68BF">
        <w:rPr>
          <w:sz w:val="20"/>
          <w:lang w:val="es-ES"/>
        </w:rPr>
        <w:t xml:space="preserve">Fuente: </w:t>
      </w:r>
      <w:r>
        <w:rPr>
          <w:sz w:val="20"/>
          <w:lang w:val="es-ES"/>
        </w:rPr>
        <w:t>Elaborado con base en información del Plan Energético Nacional 2015 – 2050</w:t>
      </w:r>
    </w:p>
    <w:p w14:paraId="0FE29471" w14:textId="77777777" w:rsidR="00B54F4E" w:rsidRDefault="00B54F4E" w:rsidP="00B54F4E">
      <w:pPr>
        <w:spacing w:before="120" w:after="0"/>
        <w:rPr>
          <w:rFonts w:cs="Arial"/>
          <w:bCs/>
          <w:color w:val="FF0000"/>
          <w:szCs w:val="22"/>
          <w:highlight w:val="yellow"/>
          <w:lang w:val="es-ES"/>
        </w:rPr>
      </w:pPr>
      <w:r>
        <w:rPr>
          <w:rFonts w:cs="Arial"/>
          <w:bCs/>
          <w:color w:val="000000" w:themeColor="text1"/>
          <w:szCs w:val="22"/>
          <w:lang w:val="es-ES"/>
        </w:rPr>
        <w:lastRenderedPageBreak/>
        <w:t>Se observa de la tabla anterior el peso que tendrían las medidas del sector comercial en el logro de las metas de ahorro energético, representando cerca del 70% del total de la energía ahorrada.</w:t>
      </w:r>
    </w:p>
    <w:p w14:paraId="02657BA9" w14:textId="77777777" w:rsidR="00B54F4E" w:rsidRDefault="00B54F4E" w:rsidP="00B54F4E">
      <w:pPr>
        <w:spacing w:before="120" w:after="0"/>
        <w:rPr>
          <w:rFonts w:cs="Arial"/>
          <w:bCs/>
          <w:color w:val="000000" w:themeColor="text1"/>
          <w:szCs w:val="22"/>
          <w:lang w:val="es-ES"/>
        </w:rPr>
      </w:pPr>
      <w:r>
        <w:rPr>
          <w:rFonts w:cs="Arial"/>
          <w:bCs/>
          <w:color w:val="000000" w:themeColor="text1"/>
          <w:szCs w:val="22"/>
          <w:lang w:val="es-ES"/>
        </w:rPr>
        <w:t>Se ha identificado que las principales medidas de eficiencia energética que pueden contribuir al logro de las metas proyectadas incluyen:</w:t>
      </w:r>
    </w:p>
    <w:p w14:paraId="0A45B640" w14:textId="77777777" w:rsidR="00B54F4E" w:rsidRDefault="00B54F4E" w:rsidP="00B54F4E">
      <w:pPr>
        <w:pStyle w:val="ListParagraph"/>
        <w:numPr>
          <w:ilvl w:val="0"/>
          <w:numId w:val="10"/>
        </w:numPr>
        <w:spacing w:before="120" w:after="0"/>
        <w:rPr>
          <w:rFonts w:cs="Arial"/>
          <w:bCs/>
          <w:color w:val="000000" w:themeColor="text1"/>
          <w:szCs w:val="22"/>
          <w:lang w:val="es-ES"/>
        </w:rPr>
      </w:pPr>
      <w:r>
        <w:rPr>
          <w:rFonts w:cs="Arial"/>
          <w:bCs/>
          <w:color w:val="000000" w:themeColor="text1"/>
          <w:szCs w:val="22"/>
          <w:lang w:val="es-ES"/>
        </w:rPr>
        <w:t>Mejora en eficiencia de aires acondicionados</w:t>
      </w:r>
    </w:p>
    <w:p w14:paraId="2F6D5D0A" w14:textId="77777777" w:rsidR="00B54F4E" w:rsidRDefault="00B54F4E" w:rsidP="00B54F4E">
      <w:pPr>
        <w:pStyle w:val="ListParagraph"/>
        <w:numPr>
          <w:ilvl w:val="0"/>
          <w:numId w:val="10"/>
        </w:numPr>
        <w:spacing w:before="120" w:after="0"/>
        <w:rPr>
          <w:rFonts w:cs="Arial"/>
          <w:bCs/>
          <w:color w:val="000000" w:themeColor="text1"/>
          <w:szCs w:val="22"/>
          <w:lang w:val="es-ES"/>
        </w:rPr>
      </w:pPr>
      <w:r>
        <w:rPr>
          <w:rFonts w:cs="Arial"/>
          <w:bCs/>
          <w:color w:val="000000" w:themeColor="text1"/>
          <w:szCs w:val="22"/>
          <w:lang w:val="es-ES"/>
        </w:rPr>
        <w:t>Mejora en la eficiencia de refrigeradoras del sector residencial (por cuanto representan el electrodoméstico de mayor consumo en este sector)</w:t>
      </w:r>
    </w:p>
    <w:p w14:paraId="1197246A" w14:textId="77777777" w:rsidR="00B54F4E" w:rsidRDefault="00B54F4E" w:rsidP="00B54F4E">
      <w:pPr>
        <w:pStyle w:val="ListParagraph"/>
        <w:numPr>
          <w:ilvl w:val="0"/>
          <w:numId w:val="10"/>
        </w:numPr>
        <w:spacing w:before="120" w:after="0"/>
        <w:rPr>
          <w:rFonts w:cs="Arial"/>
          <w:bCs/>
          <w:color w:val="000000" w:themeColor="text1"/>
          <w:szCs w:val="22"/>
          <w:lang w:val="es-ES"/>
        </w:rPr>
      </w:pPr>
      <w:r>
        <w:rPr>
          <w:rFonts w:cs="Arial"/>
          <w:bCs/>
          <w:color w:val="000000" w:themeColor="text1"/>
          <w:szCs w:val="22"/>
          <w:lang w:val="es-ES"/>
        </w:rPr>
        <w:t>Mejora en la eficiencia de iluminación en todos los sectores (ya que la iluminación es el segundo factor de mayor consumo en el sector residencial, comercial y público con participaciones en el consumo sectorial de 16%, 30% y 30% respectivamente)</w:t>
      </w:r>
    </w:p>
    <w:p w14:paraId="6E5CAE4A" w14:textId="77777777" w:rsidR="00B54F4E" w:rsidRPr="001D60BF" w:rsidRDefault="00B54F4E" w:rsidP="00B54F4E">
      <w:pPr>
        <w:pStyle w:val="ListParagraph"/>
        <w:numPr>
          <w:ilvl w:val="0"/>
          <w:numId w:val="10"/>
        </w:numPr>
        <w:spacing w:before="120" w:after="0"/>
        <w:rPr>
          <w:rFonts w:cs="Arial"/>
          <w:bCs/>
          <w:color w:val="000000" w:themeColor="text1"/>
          <w:szCs w:val="22"/>
          <w:lang w:val="es-ES"/>
        </w:rPr>
      </w:pPr>
      <w:r>
        <w:rPr>
          <w:rFonts w:cs="Arial"/>
          <w:bCs/>
          <w:color w:val="000000" w:themeColor="text1"/>
          <w:szCs w:val="22"/>
          <w:lang w:val="es-ES"/>
        </w:rPr>
        <w:t>Mejora en los diseños de las edificaciones (medidas arquitectónicas de impactan en el uso de iluminación y aires acondicionados)</w:t>
      </w:r>
    </w:p>
    <w:p w14:paraId="749742C8" w14:textId="77777777" w:rsidR="00B54F4E" w:rsidRDefault="00B54F4E" w:rsidP="00B54F4E">
      <w:r>
        <w:t xml:space="preserve">Para efecto del presente análisis económico, se han seleccionado 6 medidas de eficiencia energética en los sectores residencial, comercial y público (2 medidas en cada sector) que son sujeto de cuantificación considerando la información disponible. Como ya se mencionó en la descripción metodológica, no se incluyen medidas asociadas con aires acondicionados por cuanto la mayor eficiencia en este campo (según conversaciones de consultor con la SNE) no está asociada directamente con la sustitución unitaria de aires acondicionados por equipos más eficientes, pero con la instalación de sistemas centralizados de aire acondicionado en los edificios nuevos, lo cual requiere de información más detallada de la que se dispone pare efectos de la presente evaluación. En la </w:t>
      </w:r>
      <w:r w:rsidRPr="00A967D2">
        <w:rPr>
          <w:b/>
        </w:rPr>
        <w:t>Tabla 16</w:t>
      </w:r>
      <w:r>
        <w:t xml:space="preserve"> se describen las medidas consideradas.</w:t>
      </w:r>
    </w:p>
    <w:p w14:paraId="69E9D87B" w14:textId="77777777" w:rsidR="00B54F4E" w:rsidRDefault="00B54F4E" w:rsidP="00B54F4E">
      <w:pPr>
        <w:keepNext/>
        <w:jc w:val="center"/>
        <w:rPr>
          <w:rFonts w:cs="Arial"/>
          <w:bCs/>
          <w:color w:val="FF0000"/>
          <w:szCs w:val="22"/>
          <w:highlight w:val="yellow"/>
          <w:lang w:val="es-ES"/>
        </w:rPr>
      </w:pPr>
      <w:bookmarkStart w:id="93" w:name="_Ref481224852"/>
      <w:bookmarkStart w:id="94" w:name="_Toc473268558"/>
      <w:bookmarkStart w:id="95" w:name="_Toc476136979"/>
      <w:bookmarkStart w:id="96" w:name="_Toc484097056"/>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16</w:t>
      </w:r>
      <w:r w:rsidRPr="008C12BC">
        <w:rPr>
          <w:b/>
        </w:rPr>
        <w:fldChar w:fldCharType="end"/>
      </w:r>
      <w:bookmarkEnd w:id="93"/>
      <w:r>
        <w:rPr>
          <w:b/>
        </w:rPr>
        <w:t xml:space="preserve"> – </w:t>
      </w:r>
      <w:bookmarkEnd w:id="94"/>
      <w:bookmarkEnd w:id="95"/>
      <w:r>
        <w:rPr>
          <w:b/>
        </w:rPr>
        <w:t>Medidas de eficiencia energética seleccionadas para la evaluación económica</w:t>
      </w:r>
      <w:bookmarkEnd w:id="96"/>
    </w:p>
    <w:tbl>
      <w:tblPr>
        <w:tblStyle w:val="TableGrid"/>
        <w:tblW w:w="5000" w:type="pct"/>
        <w:tblLook w:val="04A0" w:firstRow="1" w:lastRow="0" w:firstColumn="1" w:lastColumn="0" w:noHBand="0" w:noVBand="1"/>
      </w:tblPr>
      <w:tblGrid>
        <w:gridCol w:w="1449"/>
        <w:gridCol w:w="7379"/>
      </w:tblGrid>
      <w:tr w:rsidR="00B54F4E" w14:paraId="0E26FC6B" w14:textId="77777777" w:rsidTr="006504C4">
        <w:trPr>
          <w:trHeight w:val="57"/>
          <w:tblHeader/>
        </w:trPr>
        <w:tc>
          <w:tcPr>
            <w:tcW w:w="762" w:type="pct"/>
            <w:shd w:val="clear" w:color="auto" w:fill="1F4E79" w:themeFill="accent5" w:themeFillShade="80"/>
            <w:vAlign w:val="center"/>
          </w:tcPr>
          <w:p w14:paraId="4B22E131" w14:textId="77777777" w:rsidR="00B54F4E" w:rsidRPr="00671F3A" w:rsidRDefault="00B54F4E" w:rsidP="006504C4">
            <w:pPr>
              <w:spacing w:before="120" w:after="120"/>
              <w:jc w:val="center"/>
              <w:rPr>
                <w:rFonts w:cs="Arial"/>
                <w:bCs/>
                <w:color w:val="FFFFFF" w:themeColor="background1"/>
                <w:sz w:val="18"/>
                <w:szCs w:val="18"/>
                <w:lang w:val="es-ES"/>
              </w:rPr>
            </w:pPr>
            <w:r w:rsidRPr="00671F3A">
              <w:rPr>
                <w:rFonts w:cs="Arial"/>
                <w:bCs/>
                <w:color w:val="FFFFFF" w:themeColor="background1"/>
                <w:sz w:val="18"/>
                <w:szCs w:val="18"/>
                <w:lang w:val="es-ES"/>
              </w:rPr>
              <w:t>Sector / Medida</w:t>
            </w:r>
          </w:p>
        </w:tc>
        <w:tc>
          <w:tcPr>
            <w:tcW w:w="4238" w:type="pct"/>
            <w:shd w:val="clear" w:color="auto" w:fill="1F4E79" w:themeFill="accent5" w:themeFillShade="80"/>
            <w:vAlign w:val="center"/>
          </w:tcPr>
          <w:p w14:paraId="1425EDF8" w14:textId="77777777" w:rsidR="00B54F4E" w:rsidRPr="00671F3A" w:rsidRDefault="00B54F4E" w:rsidP="006504C4">
            <w:pPr>
              <w:spacing w:before="120" w:after="120"/>
              <w:jc w:val="center"/>
              <w:rPr>
                <w:rFonts w:cs="Arial"/>
                <w:bCs/>
                <w:color w:val="FFFFFF" w:themeColor="background1"/>
                <w:sz w:val="18"/>
                <w:szCs w:val="18"/>
                <w:lang w:val="es-ES"/>
              </w:rPr>
            </w:pPr>
            <w:r w:rsidRPr="00671F3A">
              <w:rPr>
                <w:rFonts w:cs="Arial"/>
                <w:bCs/>
                <w:color w:val="FFFFFF" w:themeColor="background1"/>
                <w:sz w:val="18"/>
                <w:szCs w:val="18"/>
                <w:lang w:val="es-ES"/>
              </w:rPr>
              <w:t>Descripción</w:t>
            </w:r>
          </w:p>
        </w:tc>
      </w:tr>
      <w:tr w:rsidR="00B54F4E" w14:paraId="21288C45" w14:textId="77777777" w:rsidTr="006504C4">
        <w:trPr>
          <w:trHeight w:val="57"/>
        </w:trPr>
        <w:tc>
          <w:tcPr>
            <w:tcW w:w="762" w:type="pct"/>
            <w:shd w:val="clear" w:color="auto" w:fill="D9D9D9" w:themeFill="background1" w:themeFillShade="D9"/>
            <w:vAlign w:val="center"/>
          </w:tcPr>
          <w:p w14:paraId="08AE46A1" w14:textId="77777777" w:rsidR="00B54F4E" w:rsidRPr="00671F3A" w:rsidRDefault="00B54F4E" w:rsidP="006504C4">
            <w:pPr>
              <w:spacing w:before="120" w:after="120"/>
              <w:rPr>
                <w:rFonts w:cs="Arial"/>
                <w:bCs/>
                <w:color w:val="000000" w:themeColor="text1"/>
                <w:sz w:val="18"/>
                <w:szCs w:val="18"/>
                <w:lang w:val="es-ES"/>
              </w:rPr>
            </w:pPr>
          </w:p>
        </w:tc>
        <w:tc>
          <w:tcPr>
            <w:tcW w:w="4238" w:type="pct"/>
            <w:shd w:val="clear" w:color="auto" w:fill="D9D9D9" w:themeFill="background1" w:themeFillShade="D9"/>
            <w:vAlign w:val="center"/>
          </w:tcPr>
          <w:p w14:paraId="20D832FB" w14:textId="77777777" w:rsidR="00B54F4E" w:rsidRPr="00671F3A" w:rsidRDefault="00B54F4E" w:rsidP="006504C4">
            <w:pPr>
              <w:spacing w:before="120" w:after="120"/>
              <w:jc w:val="center"/>
              <w:rPr>
                <w:rFonts w:cs="Arial"/>
                <w:bCs/>
                <w:color w:val="000000" w:themeColor="text1"/>
                <w:sz w:val="18"/>
                <w:szCs w:val="18"/>
                <w:lang w:val="es-ES"/>
              </w:rPr>
            </w:pPr>
            <w:r w:rsidRPr="00671F3A">
              <w:rPr>
                <w:rFonts w:cs="Arial"/>
                <w:bCs/>
                <w:color w:val="000000" w:themeColor="text1"/>
                <w:sz w:val="18"/>
                <w:szCs w:val="18"/>
                <w:lang w:val="es-ES"/>
              </w:rPr>
              <w:t>Residencial</w:t>
            </w:r>
          </w:p>
        </w:tc>
      </w:tr>
      <w:tr w:rsidR="00B54F4E" w14:paraId="2824488E" w14:textId="77777777" w:rsidTr="006504C4">
        <w:trPr>
          <w:trHeight w:val="57"/>
        </w:trPr>
        <w:tc>
          <w:tcPr>
            <w:tcW w:w="762" w:type="pct"/>
            <w:vAlign w:val="center"/>
          </w:tcPr>
          <w:p w14:paraId="2B99F8AD" w14:textId="77777777" w:rsidR="00B54F4E" w:rsidRPr="00671F3A" w:rsidRDefault="00B54F4E" w:rsidP="006504C4">
            <w:pPr>
              <w:spacing w:before="120" w:after="120"/>
              <w:ind w:left="22"/>
              <w:jc w:val="left"/>
              <w:rPr>
                <w:rFonts w:cs="Arial"/>
                <w:bCs/>
                <w:color w:val="000000" w:themeColor="text1"/>
                <w:sz w:val="18"/>
                <w:szCs w:val="18"/>
                <w:lang w:val="es-ES"/>
              </w:rPr>
            </w:pPr>
            <w:r>
              <w:rPr>
                <w:rFonts w:cs="Arial"/>
                <w:bCs/>
                <w:color w:val="000000" w:themeColor="text1"/>
                <w:sz w:val="18"/>
                <w:szCs w:val="18"/>
                <w:lang w:val="es-ES"/>
              </w:rPr>
              <w:t xml:space="preserve">Sustitución </w:t>
            </w:r>
            <w:r w:rsidRPr="00671F3A">
              <w:rPr>
                <w:rFonts w:cs="Arial"/>
                <w:bCs/>
                <w:color w:val="000000" w:themeColor="text1"/>
                <w:sz w:val="18"/>
                <w:szCs w:val="18"/>
                <w:lang w:val="es-ES"/>
              </w:rPr>
              <w:t>de bombillas</w:t>
            </w:r>
          </w:p>
        </w:tc>
        <w:tc>
          <w:tcPr>
            <w:tcW w:w="4238" w:type="pct"/>
            <w:vAlign w:val="center"/>
          </w:tcPr>
          <w:p w14:paraId="4CE5D4DF" w14:textId="77777777" w:rsidR="00B54F4E" w:rsidRPr="00654D90" w:rsidRDefault="00B54F4E" w:rsidP="006504C4">
            <w:pPr>
              <w:spacing w:before="120" w:after="120"/>
              <w:rPr>
                <w:color w:val="000000" w:themeColor="text1"/>
                <w:sz w:val="18"/>
                <w:szCs w:val="18"/>
                <w:lang w:val="es-ES"/>
              </w:rPr>
            </w:pPr>
            <w:r>
              <w:rPr>
                <w:color w:val="000000" w:themeColor="text1"/>
                <w:sz w:val="18"/>
                <w:szCs w:val="18"/>
                <w:lang w:val="es-ES"/>
              </w:rPr>
              <w:t>Sustitución de aproximadamente 14,5 millones de bombillos entre 2016 y 2030 con énfasis en de bombillos incandescentes (75 W) en los primeros cinco años y sustitución gradual de bombillos LFC (15 W) entre 2020 y 2030. Todas las sustituciones se hacen por bombillos LED (13 W). La sustitución de bombillos incandescentes por LED asume un ahorro energético unitario del 83% y la sustitución de LFC por LED asume un ahorro del 33%. Se asume que las luminarias de nuevos usuarios son LED teniendo como alternativa de sustituto los bombillos incandescentes. Los costos de los bombillos LED han considerado consultas de mercado realizadas por el consultor.</w:t>
            </w:r>
          </w:p>
        </w:tc>
      </w:tr>
      <w:tr w:rsidR="00B54F4E" w14:paraId="5D002132" w14:textId="77777777" w:rsidTr="006504C4">
        <w:trPr>
          <w:trHeight w:val="57"/>
        </w:trPr>
        <w:tc>
          <w:tcPr>
            <w:tcW w:w="762" w:type="pct"/>
            <w:vAlign w:val="center"/>
          </w:tcPr>
          <w:p w14:paraId="13002563" w14:textId="77777777" w:rsidR="00B54F4E" w:rsidRPr="00671F3A" w:rsidRDefault="00B54F4E" w:rsidP="006504C4">
            <w:pPr>
              <w:spacing w:before="120" w:after="120"/>
              <w:ind w:left="22"/>
              <w:jc w:val="left"/>
              <w:rPr>
                <w:rFonts w:cs="Arial"/>
                <w:bCs/>
                <w:color w:val="000000" w:themeColor="text1"/>
                <w:sz w:val="18"/>
                <w:szCs w:val="18"/>
                <w:lang w:val="es-ES"/>
              </w:rPr>
            </w:pPr>
            <w:r>
              <w:rPr>
                <w:rFonts w:cs="Arial"/>
                <w:bCs/>
                <w:color w:val="000000" w:themeColor="text1"/>
                <w:sz w:val="18"/>
                <w:szCs w:val="18"/>
                <w:lang w:val="es-ES"/>
              </w:rPr>
              <w:t>Sustitución</w:t>
            </w:r>
            <w:r w:rsidRPr="00671F3A">
              <w:rPr>
                <w:rFonts w:cs="Arial"/>
                <w:bCs/>
                <w:color w:val="000000" w:themeColor="text1"/>
                <w:sz w:val="18"/>
                <w:szCs w:val="18"/>
                <w:lang w:val="es-ES"/>
              </w:rPr>
              <w:t xml:space="preserve"> de neveras</w:t>
            </w:r>
          </w:p>
        </w:tc>
        <w:tc>
          <w:tcPr>
            <w:tcW w:w="4238" w:type="pct"/>
            <w:vAlign w:val="center"/>
          </w:tcPr>
          <w:p w14:paraId="07A70A7B" w14:textId="77777777" w:rsidR="00B54F4E" w:rsidRDefault="00B54F4E" w:rsidP="006504C4">
            <w:pPr>
              <w:spacing w:before="120" w:after="120"/>
              <w:rPr>
                <w:color w:val="000000" w:themeColor="text1"/>
                <w:sz w:val="18"/>
                <w:szCs w:val="18"/>
                <w:lang w:val="es-ES"/>
              </w:rPr>
            </w:pPr>
            <w:r w:rsidRPr="00654D90">
              <w:rPr>
                <w:color w:val="000000" w:themeColor="text1"/>
                <w:sz w:val="18"/>
                <w:szCs w:val="18"/>
                <w:lang w:val="es-ES"/>
              </w:rPr>
              <w:t>Sustitución de aproximadamente 900.000 neveras en un lapso de 10 años asumiendo que casi la totalidad de neveras operativas actualmente son sujeto de mejora en eficiencia energética. El ahorro potencial por mayor eficiencia en cada equipo de refrigeración se estima en 53%</w:t>
            </w:r>
            <w:r w:rsidRPr="00654D90">
              <w:rPr>
                <w:rStyle w:val="FootnoteReference"/>
                <w:color w:val="000000" w:themeColor="text1"/>
                <w:sz w:val="18"/>
                <w:szCs w:val="18"/>
                <w:lang w:val="es-ES"/>
              </w:rPr>
              <w:footnoteReference w:id="16"/>
            </w:r>
            <w:r w:rsidRPr="00654D90">
              <w:rPr>
                <w:color w:val="000000" w:themeColor="text1"/>
                <w:sz w:val="18"/>
                <w:szCs w:val="18"/>
                <w:lang w:val="es-ES"/>
              </w:rPr>
              <w:t>. Los costos de las neveras han considerado consultas de mercado realizadas por el consultor.</w:t>
            </w:r>
          </w:p>
          <w:p w14:paraId="2E49B70C" w14:textId="77777777" w:rsidR="00B54F4E" w:rsidRPr="00654D90" w:rsidRDefault="00B54F4E" w:rsidP="006504C4">
            <w:pPr>
              <w:spacing w:before="120" w:after="120"/>
              <w:rPr>
                <w:rFonts w:cs="Arial"/>
                <w:bCs/>
                <w:color w:val="000000" w:themeColor="text1"/>
                <w:sz w:val="18"/>
                <w:szCs w:val="18"/>
                <w:lang w:val="es-ES"/>
              </w:rPr>
            </w:pPr>
          </w:p>
        </w:tc>
      </w:tr>
      <w:tr w:rsidR="00B54F4E" w14:paraId="0226B99A" w14:textId="77777777" w:rsidTr="006504C4">
        <w:trPr>
          <w:trHeight w:val="57"/>
        </w:trPr>
        <w:tc>
          <w:tcPr>
            <w:tcW w:w="762" w:type="pct"/>
            <w:shd w:val="clear" w:color="auto" w:fill="D9D9D9" w:themeFill="background1" w:themeFillShade="D9"/>
            <w:vAlign w:val="center"/>
          </w:tcPr>
          <w:p w14:paraId="69067332" w14:textId="77777777" w:rsidR="00B54F4E" w:rsidRPr="00671F3A" w:rsidRDefault="00B54F4E" w:rsidP="006504C4">
            <w:pPr>
              <w:spacing w:before="120" w:after="120"/>
              <w:rPr>
                <w:rFonts w:cs="Arial"/>
                <w:bCs/>
                <w:color w:val="000000" w:themeColor="text1"/>
                <w:sz w:val="18"/>
                <w:szCs w:val="18"/>
                <w:lang w:val="es-ES"/>
              </w:rPr>
            </w:pPr>
          </w:p>
        </w:tc>
        <w:tc>
          <w:tcPr>
            <w:tcW w:w="4238" w:type="pct"/>
            <w:shd w:val="clear" w:color="auto" w:fill="D9D9D9" w:themeFill="background1" w:themeFillShade="D9"/>
            <w:vAlign w:val="center"/>
          </w:tcPr>
          <w:p w14:paraId="377E44EB" w14:textId="77777777" w:rsidR="00B54F4E" w:rsidRPr="00671F3A" w:rsidRDefault="00B54F4E" w:rsidP="006504C4">
            <w:pPr>
              <w:spacing w:before="120" w:after="120"/>
              <w:jc w:val="center"/>
              <w:rPr>
                <w:rFonts w:cs="Arial"/>
                <w:bCs/>
                <w:color w:val="000000" w:themeColor="text1"/>
                <w:sz w:val="18"/>
                <w:szCs w:val="18"/>
                <w:lang w:val="es-ES"/>
              </w:rPr>
            </w:pPr>
            <w:r>
              <w:rPr>
                <w:rFonts w:cs="Arial"/>
                <w:bCs/>
                <w:color w:val="000000" w:themeColor="text1"/>
                <w:sz w:val="18"/>
                <w:szCs w:val="18"/>
                <w:lang w:val="es-ES"/>
              </w:rPr>
              <w:t>Comercial</w:t>
            </w:r>
          </w:p>
        </w:tc>
      </w:tr>
      <w:tr w:rsidR="00B54F4E" w14:paraId="3F4ECD3B" w14:textId="77777777" w:rsidTr="006504C4">
        <w:trPr>
          <w:trHeight w:val="57"/>
        </w:trPr>
        <w:tc>
          <w:tcPr>
            <w:tcW w:w="762" w:type="pct"/>
            <w:vAlign w:val="center"/>
          </w:tcPr>
          <w:p w14:paraId="22AAEE56" w14:textId="77777777" w:rsidR="00B54F4E" w:rsidRPr="00671F3A" w:rsidRDefault="00B54F4E" w:rsidP="006504C4">
            <w:pPr>
              <w:spacing w:before="120" w:after="120"/>
              <w:ind w:left="22"/>
              <w:jc w:val="left"/>
              <w:rPr>
                <w:rFonts w:cs="Arial"/>
                <w:bCs/>
                <w:color w:val="000000" w:themeColor="text1"/>
                <w:sz w:val="18"/>
                <w:szCs w:val="18"/>
                <w:lang w:val="es-ES"/>
              </w:rPr>
            </w:pPr>
            <w:r>
              <w:rPr>
                <w:rFonts w:cs="Arial"/>
                <w:bCs/>
                <w:color w:val="000000" w:themeColor="text1"/>
                <w:sz w:val="18"/>
                <w:szCs w:val="18"/>
                <w:lang w:val="es-ES"/>
              </w:rPr>
              <w:t xml:space="preserve">Sustitución </w:t>
            </w:r>
            <w:r w:rsidRPr="00671F3A">
              <w:rPr>
                <w:rFonts w:cs="Arial"/>
                <w:bCs/>
                <w:color w:val="000000" w:themeColor="text1"/>
                <w:sz w:val="18"/>
                <w:szCs w:val="18"/>
                <w:lang w:val="es-ES"/>
              </w:rPr>
              <w:t>de bombillas</w:t>
            </w:r>
          </w:p>
        </w:tc>
        <w:tc>
          <w:tcPr>
            <w:tcW w:w="4238" w:type="pct"/>
            <w:vAlign w:val="center"/>
          </w:tcPr>
          <w:p w14:paraId="1286253A" w14:textId="77777777" w:rsidR="00B54F4E" w:rsidRPr="00671F3A" w:rsidRDefault="00B54F4E" w:rsidP="006504C4">
            <w:pPr>
              <w:spacing w:before="120" w:after="120"/>
              <w:rPr>
                <w:rFonts w:cs="Arial"/>
                <w:bCs/>
                <w:color w:val="000000" w:themeColor="text1"/>
                <w:sz w:val="18"/>
                <w:szCs w:val="18"/>
                <w:lang w:val="es-ES"/>
              </w:rPr>
            </w:pPr>
            <w:r>
              <w:rPr>
                <w:color w:val="000000" w:themeColor="text1"/>
                <w:sz w:val="18"/>
                <w:szCs w:val="18"/>
                <w:lang w:val="es-ES"/>
              </w:rPr>
              <w:t>Sustitución de aproximadamente 9 millones de bombillos entre 2016 y 2030 con características similares a las del sector residencial</w:t>
            </w:r>
          </w:p>
        </w:tc>
      </w:tr>
      <w:tr w:rsidR="00B54F4E" w14:paraId="4DDA00D4" w14:textId="77777777" w:rsidTr="006504C4">
        <w:trPr>
          <w:trHeight w:val="57"/>
        </w:trPr>
        <w:tc>
          <w:tcPr>
            <w:tcW w:w="762" w:type="pct"/>
            <w:vAlign w:val="center"/>
          </w:tcPr>
          <w:p w14:paraId="4D241BE3" w14:textId="77777777" w:rsidR="00B54F4E" w:rsidRPr="00671F3A" w:rsidRDefault="00B54F4E" w:rsidP="006504C4">
            <w:pPr>
              <w:spacing w:before="120" w:after="120"/>
              <w:ind w:left="22"/>
              <w:jc w:val="left"/>
              <w:rPr>
                <w:rFonts w:cs="Arial"/>
                <w:bCs/>
                <w:color w:val="000000" w:themeColor="text1"/>
                <w:sz w:val="18"/>
                <w:szCs w:val="18"/>
                <w:lang w:val="es-ES"/>
              </w:rPr>
            </w:pPr>
            <w:r>
              <w:rPr>
                <w:rFonts w:cs="Arial"/>
                <w:bCs/>
                <w:color w:val="000000" w:themeColor="text1"/>
                <w:sz w:val="18"/>
                <w:szCs w:val="18"/>
                <w:lang w:val="es-ES"/>
              </w:rPr>
              <w:t>Medidas arquitectónicas</w:t>
            </w:r>
          </w:p>
        </w:tc>
        <w:tc>
          <w:tcPr>
            <w:tcW w:w="4238" w:type="pct"/>
            <w:vAlign w:val="center"/>
          </w:tcPr>
          <w:p w14:paraId="7D4EA9EE" w14:textId="77777777" w:rsidR="00B54F4E" w:rsidRPr="008A5E2D" w:rsidRDefault="00B54F4E" w:rsidP="006504C4">
            <w:pPr>
              <w:spacing w:before="120" w:after="120"/>
              <w:rPr>
                <w:rFonts w:cs="Arial"/>
                <w:bCs/>
                <w:color w:val="000000" w:themeColor="text1"/>
                <w:sz w:val="18"/>
                <w:szCs w:val="18"/>
                <w:highlight w:val="yellow"/>
                <w:lang w:val="es-ES"/>
              </w:rPr>
            </w:pPr>
            <w:r w:rsidRPr="002F6CDD">
              <w:rPr>
                <w:rFonts w:cs="Arial"/>
                <w:bCs/>
                <w:color w:val="000000" w:themeColor="text1"/>
                <w:sz w:val="18"/>
                <w:szCs w:val="18"/>
                <w:lang w:val="es-ES"/>
              </w:rPr>
              <w:t>Implementación de medidas arquitectónicas de eficiencia energética según lo dispuesto en la Resolución No.3142 de 2016</w:t>
            </w:r>
            <w:r>
              <w:rPr>
                <w:rFonts w:cs="Arial"/>
                <w:bCs/>
                <w:color w:val="000000" w:themeColor="text1"/>
                <w:sz w:val="18"/>
                <w:szCs w:val="18"/>
                <w:lang w:val="es-ES"/>
              </w:rPr>
              <w:t xml:space="preserve">: 15% de ahorro en los primeros dos años y 20% en los años siguientes (los constructores pueden implementar cualquiera de las medidas pasivas o activas cuantificadas en lo la </w:t>
            </w:r>
            <w:r w:rsidRPr="001D08F7">
              <w:rPr>
                <w:rFonts w:cs="Arial"/>
                <w:bCs/>
                <w:i/>
                <w:color w:val="000000" w:themeColor="text1"/>
                <w:sz w:val="18"/>
                <w:szCs w:val="18"/>
                <w:lang w:val="es-ES"/>
              </w:rPr>
              <w:t xml:space="preserve">Guía de Construcción Sostenible para el </w:t>
            </w:r>
            <w:r>
              <w:rPr>
                <w:rFonts w:cs="Arial"/>
                <w:bCs/>
                <w:i/>
                <w:color w:val="000000" w:themeColor="text1"/>
                <w:sz w:val="18"/>
                <w:szCs w:val="18"/>
                <w:lang w:val="es-ES"/>
              </w:rPr>
              <w:t>A</w:t>
            </w:r>
            <w:r w:rsidRPr="001D08F7">
              <w:rPr>
                <w:rFonts w:cs="Arial"/>
                <w:bCs/>
                <w:i/>
                <w:color w:val="000000" w:themeColor="text1"/>
                <w:sz w:val="18"/>
                <w:szCs w:val="18"/>
                <w:lang w:val="es-ES"/>
              </w:rPr>
              <w:t xml:space="preserve">horro de </w:t>
            </w:r>
            <w:r>
              <w:rPr>
                <w:rFonts w:cs="Arial"/>
                <w:bCs/>
                <w:i/>
                <w:color w:val="000000" w:themeColor="text1"/>
                <w:sz w:val="18"/>
                <w:szCs w:val="18"/>
                <w:lang w:val="es-ES"/>
              </w:rPr>
              <w:t>E</w:t>
            </w:r>
            <w:r w:rsidRPr="001D08F7">
              <w:rPr>
                <w:rFonts w:cs="Arial"/>
                <w:bCs/>
                <w:i/>
                <w:color w:val="000000" w:themeColor="text1"/>
                <w:sz w:val="18"/>
                <w:szCs w:val="18"/>
                <w:lang w:val="es-ES"/>
              </w:rPr>
              <w:t xml:space="preserve">nergía en </w:t>
            </w:r>
            <w:r>
              <w:rPr>
                <w:rFonts w:cs="Arial"/>
                <w:bCs/>
                <w:i/>
                <w:color w:val="000000" w:themeColor="text1"/>
                <w:sz w:val="18"/>
                <w:szCs w:val="18"/>
                <w:lang w:val="es-ES"/>
              </w:rPr>
              <w:t>E</w:t>
            </w:r>
            <w:r w:rsidRPr="001D08F7">
              <w:rPr>
                <w:rFonts w:cs="Arial"/>
                <w:bCs/>
                <w:i/>
                <w:color w:val="000000" w:themeColor="text1"/>
                <w:sz w:val="18"/>
                <w:szCs w:val="18"/>
                <w:lang w:val="es-ES"/>
              </w:rPr>
              <w:t>dificaciones</w:t>
            </w:r>
            <w:r>
              <w:rPr>
                <w:rFonts w:cs="Arial"/>
                <w:bCs/>
                <w:color w:val="000000" w:themeColor="text1"/>
                <w:sz w:val="18"/>
                <w:szCs w:val="18"/>
                <w:lang w:val="es-ES"/>
              </w:rPr>
              <w:t xml:space="preserve"> del 2016). Se considera que todo el consumo incremental por nueva demanda comercial se ubicará en edificaciones nuevas con implementación de la normatividad. </w:t>
            </w:r>
          </w:p>
        </w:tc>
      </w:tr>
      <w:tr w:rsidR="00B54F4E" w14:paraId="7A0ABBA9" w14:textId="77777777" w:rsidTr="006504C4">
        <w:trPr>
          <w:trHeight w:val="57"/>
        </w:trPr>
        <w:tc>
          <w:tcPr>
            <w:tcW w:w="762" w:type="pct"/>
            <w:shd w:val="clear" w:color="auto" w:fill="D9D9D9" w:themeFill="background1" w:themeFillShade="D9"/>
            <w:vAlign w:val="center"/>
          </w:tcPr>
          <w:p w14:paraId="3F5E981D" w14:textId="77777777" w:rsidR="00B54F4E" w:rsidRPr="00671F3A" w:rsidRDefault="00B54F4E" w:rsidP="006504C4">
            <w:pPr>
              <w:spacing w:before="120" w:after="120"/>
              <w:ind w:left="22"/>
              <w:jc w:val="left"/>
              <w:rPr>
                <w:rFonts w:cs="Arial"/>
                <w:bCs/>
                <w:color w:val="000000" w:themeColor="text1"/>
                <w:sz w:val="18"/>
                <w:szCs w:val="18"/>
                <w:lang w:val="es-ES"/>
              </w:rPr>
            </w:pPr>
          </w:p>
        </w:tc>
        <w:tc>
          <w:tcPr>
            <w:tcW w:w="4238" w:type="pct"/>
            <w:shd w:val="clear" w:color="auto" w:fill="D9D9D9" w:themeFill="background1" w:themeFillShade="D9"/>
            <w:vAlign w:val="center"/>
          </w:tcPr>
          <w:p w14:paraId="2AFE54DF" w14:textId="77777777" w:rsidR="00B54F4E" w:rsidRPr="00671F3A" w:rsidRDefault="00B54F4E" w:rsidP="006504C4">
            <w:pPr>
              <w:spacing w:before="120" w:after="120"/>
              <w:jc w:val="center"/>
              <w:rPr>
                <w:color w:val="FF0000"/>
                <w:sz w:val="18"/>
                <w:szCs w:val="18"/>
                <w:lang w:val="es-ES"/>
              </w:rPr>
            </w:pPr>
            <w:r>
              <w:rPr>
                <w:rFonts w:cs="Arial"/>
                <w:bCs/>
                <w:color w:val="000000" w:themeColor="text1"/>
                <w:sz w:val="18"/>
                <w:szCs w:val="18"/>
                <w:lang w:val="es-ES"/>
              </w:rPr>
              <w:t>Público (Oficial)</w:t>
            </w:r>
          </w:p>
        </w:tc>
      </w:tr>
      <w:tr w:rsidR="00B54F4E" w14:paraId="248A13EA" w14:textId="77777777" w:rsidTr="006504C4">
        <w:trPr>
          <w:trHeight w:val="57"/>
        </w:trPr>
        <w:tc>
          <w:tcPr>
            <w:tcW w:w="762" w:type="pct"/>
            <w:vAlign w:val="center"/>
          </w:tcPr>
          <w:p w14:paraId="08CE3BA2" w14:textId="77777777" w:rsidR="00B54F4E" w:rsidRPr="00671F3A" w:rsidRDefault="00B54F4E" w:rsidP="006504C4">
            <w:pPr>
              <w:spacing w:before="120" w:after="120"/>
              <w:ind w:left="22"/>
              <w:jc w:val="left"/>
              <w:rPr>
                <w:rFonts w:cs="Arial"/>
                <w:bCs/>
                <w:color w:val="000000" w:themeColor="text1"/>
                <w:sz w:val="18"/>
                <w:szCs w:val="18"/>
                <w:lang w:val="es-ES"/>
              </w:rPr>
            </w:pPr>
            <w:r>
              <w:rPr>
                <w:rFonts w:cs="Arial"/>
                <w:bCs/>
                <w:color w:val="000000" w:themeColor="text1"/>
                <w:sz w:val="18"/>
                <w:szCs w:val="18"/>
                <w:lang w:val="es-ES"/>
              </w:rPr>
              <w:t xml:space="preserve">Sustitución </w:t>
            </w:r>
            <w:r w:rsidRPr="00671F3A">
              <w:rPr>
                <w:rFonts w:cs="Arial"/>
                <w:bCs/>
                <w:color w:val="000000" w:themeColor="text1"/>
                <w:sz w:val="18"/>
                <w:szCs w:val="18"/>
                <w:lang w:val="es-ES"/>
              </w:rPr>
              <w:t>de bombillas</w:t>
            </w:r>
          </w:p>
        </w:tc>
        <w:tc>
          <w:tcPr>
            <w:tcW w:w="4238" w:type="pct"/>
            <w:vAlign w:val="center"/>
          </w:tcPr>
          <w:p w14:paraId="6AD2656E" w14:textId="77777777" w:rsidR="00B54F4E" w:rsidRPr="00671F3A" w:rsidRDefault="00B54F4E" w:rsidP="006504C4">
            <w:pPr>
              <w:spacing w:before="120" w:after="120"/>
              <w:rPr>
                <w:color w:val="000000" w:themeColor="text1"/>
                <w:sz w:val="18"/>
                <w:szCs w:val="18"/>
                <w:lang w:val="es-ES"/>
              </w:rPr>
            </w:pPr>
            <w:r>
              <w:rPr>
                <w:color w:val="000000" w:themeColor="text1"/>
                <w:sz w:val="18"/>
                <w:szCs w:val="18"/>
                <w:lang w:val="es-ES"/>
              </w:rPr>
              <w:t>Sustitución de aproximadamente 500.000 bombillos entre 2016 y 2030 con con características similares a las del sector residencial</w:t>
            </w:r>
          </w:p>
        </w:tc>
      </w:tr>
      <w:tr w:rsidR="00B54F4E" w14:paraId="36DE2CDF" w14:textId="77777777" w:rsidTr="006504C4">
        <w:trPr>
          <w:trHeight w:val="57"/>
        </w:trPr>
        <w:tc>
          <w:tcPr>
            <w:tcW w:w="762" w:type="pct"/>
            <w:vAlign w:val="center"/>
          </w:tcPr>
          <w:p w14:paraId="602AC1A9" w14:textId="77777777" w:rsidR="00B54F4E" w:rsidRPr="00671F3A" w:rsidRDefault="00B54F4E" w:rsidP="006504C4">
            <w:pPr>
              <w:spacing w:before="120" w:after="120"/>
              <w:ind w:left="22"/>
              <w:jc w:val="left"/>
              <w:rPr>
                <w:rFonts w:cs="Arial"/>
                <w:bCs/>
                <w:color w:val="000000" w:themeColor="text1"/>
                <w:sz w:val="18"/>
                <w:szCs w:val="18"/>
                <w:lang w:val="es-ES"/>
              </w:rPr>
            </w:pPr>
            <w:r>
              <w:rPr>
                <w:rFonts w:cs="Arial"/>
                <w:bCs/>
                <w:color w:val="000000" w:themeColor="text1"/>
                <w:sz w:val="18"/>
                <w:szCs w:val="18"/>
                <w:lang w:val="es-ES"/>
              </w:rPr>
              <w:t>Medidas arquitectónicas</w:t>
            </w:r>
          </w:p>
        </w:tc>
        <w:tc>
          <w:tcPr>
            <w:tcW w:w="4238" w:type="pct"/>
            <w:vAlign w:val="center"/>
          </w:tcPr>
          <w:p w14:paraId="63545F70" w14:textId="77777777" w:rsidR="00B54F4E" w:rsidRPr="008A5E2D" w:rsidRDefault="00B54F4E" w:rsidP="006504C4">
            <w:pPr>
              <w:spacing w:before="120" w:after="120"/>
              <w:rPr>
                <w:rFonts w:cs="Arial"/>
                <w:bCs/>
                <w:color w:val="000000" w:themeColor="text1"/>
                <w:sz w:val="18"/>
                <w:szCs w:val="18"/>
                <w:highlight w:val="yellow"/>
                <w:lang w:val="es-ES"/>
              </w:rPr>
            </w:pPr>
            <w:r w:rsidRPr="002F6CDD">
              <w:rPr>
                <w:rFonts w:cs="Arial"/>
                <w:bCs/>
                <w:color w:val="000000" w:themeColor="text1"/>
                <w:sz w:val="18"/>
                <w:szCs w:val="18"/>
                <w:lang w:val="es-ES"/>
              </w:rPr>
              <w:t>Implementación de medidas arquitectónicas de eficiencia energética según lo dispuesto en la Resolución No.3142 de 2016</w:t>
            </w:r>
            <w:r>
              <w:rPr>
                <w:rFonts w:cs="Arial"/>
                <w:bCs/>
                <w:color w:val="000000" w:themeColor="text1"/>
                <w:sz w:val="18"/>
                <w:szCs w:val="18"/>
                <w:lang w:val="es-ES"/>
              </w:rPr>
              <w:t xml:space="preserve">: 15% de ahorro en los primeros dos años y 20% en los años siguientes (los constructores pueden implementar cualquiera de las medidas pasivas o activas cuantificadas en lo la </w:t>
            </w:r>
            <w:r w:rsidRPr="001D08F7">
              <w:rPr>
                <w:rFonts w:cs="Arial"/>
                <w:bCs/>
                <w:i/>
                <w:color w:val="000000" w:themeColor="text1"/>
                <w:sz w:val="18"/>
                <w:szCs w:val="18"/>
                <w:lang w:val="es-ES"/>
              </w:rPr>
              <w:t xml:space="preserve">Guía de Construcción Sostenible para el </w:t>
            </w:r>
            <w:r>
              <w:rPr>
                <w:rFonts w:cs="Arial"/>
                <w:bCs/>
                <w:i/>
                <w:color w:val="000000" w:themeColor="text1"/>
                <w:sz w:val="18"/>
                <w:szCs w:val="18"/>
                <w:lang w:val="es-ES"/>
              </w:rPr>
              <w:t>A</w:t>
            </w:r>
            <w:r w:rsidRPr="001D08F7">
              <w:rPr>
                <w:rFonts w:cs="Arial"/>
                <w:bCs/>
                <w:i/>
                <w:color w:val="000000" w:themeColor="text1"/>
                <w:sz w:val="18"/>
                <w:szCs w:val="18"/>
                <w:lang w:val="es-ES"/>
              </w:rPr>
              <w:t xml:space="preserve">horro de </w:t>
            </w:r>
            <w:r>
              <w:rPr>
                <w:rFonts w:cs="Arial"/>
                <w:bCs/>
                <w:i/>
                <w:color w:val="000000" w:themeColor="text1"/>
                <w:sz w:val="18"/>
                <w:szCs w:val="18"/>
                <w:lang w:val="es-ES"/>
              </w:rPr>
              <w:t>E</w:t>
            </w:r>
            <w:r w:rsidRPr="001D08F7">
              <w:rPr>
                <w:rFonts w:cs="Arial"/>
                <w:bCs/>
                <w:i/>
                <w:color w:val="000000" w:themeColor="text1"/>
                <w:sz w:val="18"/>
                <w:szCs w:val="18"/>
                <w:lang w:val="es-ES"/>
              </w:rPr>
              <w:t xml:space="preserve">nergía en </w:t>
            </w:r>
            <w:r>
              <w:rPr>
                <w:rFonts w:cs="Arial"/>
                <w:bCs/>
                <w:i/>
                <w:color w:val="000000" w:themeColor="text1"/>
                <w:sz w:val="18"/>
                <w:szCs w:val="18"/>
                <w:lang w:val="es-ES"/>
              </w:rPr>
              <w:t>E</w:t>
            </w:r>
            <w:r w:rsidRPr="001D08F7">
              <w:rPr>
                <w:rFonts w:cs="Arial"/>
                <w:bCs/>
                <w:i/>
                <w:color w:val="000000" w:themeColor="text1"/>
                <w:sz w:val="18"/>
                <w:szCs w:val="18"/>
                <w:lang w:val="es-ES"/>
              </w:rPr>
              <w:t>dificaciones</w:t>
            </w:r>
            <w:r>
              <w:rPr>
                <w:rFonts w:cs="Arial"/>
                <w:bCs/>
                <w:color w:val="000000" w:themeColor="text1"/>
                <w:sz w:val="18"/>
                <w:szCs w:val="18"/>
                <w:lang w:val="es-ES"/>
              </w:rPr>
              <w:t xml:space="preserve"> del 2016). Se considera que todo el consumo incremental por nueva demanda del sector público se ubicará en edificaciones nuevas con implementación de la normatividad. </w:t>
            </w:r>
          </w:p>
        </w:tc>
      </w:tr>
    </w:tbl>
    <w:p w14:paraId="046C310B" w14:textId="77777777" w:rsidR="00B54F4E" w:rsidRDefault="00B54F4E" w:rsidP="00B54F4E">
      <w:pPr>
        <w:spacing w:before="120" w:after="0"/>
        <w:rPr>
          <w:b/>
        </w:rPr>
      </w:pPr>
      <w:bookmarkStart w:id="97" w:name="_Ref473211879"/>
      <w:bookmarkStart w:id="98" w:name="_Ref476135197"/>
      <w:bookmarkStart w:id="99" w:name="_Toc473268559"/>
      <w:bookmarkStart w:id="100" w:name="_Toc476136980"/>
      <w:bookmarkStart w:id="101" w:name="_Toc484097057"/>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17</w:t>
      </w:r>
      <w:r w:rsidRPr="008C12BC">
        <w:rPr>
          <w:b/>
        </w:rPr>
        <w:fldChar w:fldCharType="end"/>
      </w:r>
      <w:bookmarkEnd w:id="97"/>
      <w:bookmarkEnd w:id="98"/>
      <w:r>
        <w:rPr>
          <w:b/>
        </w:rPr>
        <w:t xml:space="preserve"> – Potencial ahorro energético por la implementación de medidas de eficiencia energética (GWh)</w:t>
      </w:r>
      <w:bookmarkEnd w:id="99"/>
      <w:bookmarkEnd w:id="100"/>
      <w:bookmarkEnd w:id="101"/>
    </w:p>
    <w:tbl>
      <w:tblPr>
        <w:tblW w:w="5000" w:type="pct"/>
        <w:tblCellMar>
          <w:left w:w="70" w:type="dxa"/>
          <w:right w:w="70" w:type="dxa"/>
        </w:tblCellMar>
        <w:tblLook w:val="04A0" w:firstRow="1" w:lastRow="0" w:firstColumn="1" w:lastColumn="0" w:noHBand="0" w:noVBand="1"/>
      </w:tblPr>
      <w:tblGrid>
        <w:gridCol w:w="3467"/>
        <w:gridCol w:w="542"/>
        <w:gridCol w:w="546"/>
        <w:gridCol w:w="546"/>
        <w:gridCol w:w="546"/>
        <w:gridCol w:w="509"/>
        <w:gridCol w:w="509"/>
        <w:gridCol w:w="539"/>
        <w:gridCol w:w="546"/>
        <w:gridCol w:w="546"/>
        <w:gridCol w:w="537"/>
      </w:tblGrid>
      <w:tr w:rsidR="00B54F4E" w:rsidRPr="00AF6323" w14:paraId="4F5C0296"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45A23828" w14:textId="77777777" w:rsidR="00B54F4E" w:rsidRPr="00AF6323" w:rsidRDefault="00B54F4E" w:rsidP="006504C4">
            <w:pPr>
              <w:spacing w:before="0" w:after="0"/>
              <w:jc w:val="left"/>
              <w:rPr>
                <w:rFonts w:ascii="Calibri" w:hAnsi="Calibri" w:cs="Calibri"/>
                <w:b/>
                <w:bCs/>
                <w:color w:val="000000"/>
                <w:sz w:val="16"/>
                <w:szCs w:val="22"/>
                <w:lang w:eastAsia="es-CO"/>
              </w:rPr>
            </w:pPr>
            <w:bookmarkStart w:id="102" w:name="_Ref473211898"/>
            <w:bookmarkStart w:id="103" w:name="_Toc473268560"/>
            <w:r w:rsidRPr="00AF6323">
              <w:rPr>
                <w:rFonts w:ascii="Calibri" w:hAnsi="Calibri" w:cs="Calibri"/>
                <w:b/>
                <w:bCs/>
                <w:color w:val="000000"/>
                <w:sz w:val="16"/>
                <w:szCs w:val="22"/>
                <w:lang w:eastAsia="es-CO"/>
              </w:rPr>
              <w:t>Ahorro energético para el sector eléctrico (GWh)</w:t>
            </w:r>
          </w:p>
        </w:tc>
        <w:tc>
          <w:tcPr>
            <w:tcW w:w="307" w:type="pct"/>
            <w:tcBorders>
              <w:top w:val="nil"/>
              <w:left w:val="nil"/>
              <w:bottom w:val="single" w:sz="4" w:space="0" w:color="auto"/>
              <w:right w:val="nil"/>
            </w:tcBorders>
            <w:shd w:val="clear" w:color="auto" w:fill="auto"/>
            <w:noWrap/>
            <w:vAlign w:val="bottom"/>
            <w:hideMark/>
          </w:tcPr>
          <w:p w14:paraId="7B51231B"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single" w:sz="4" w:space="0" w:color="FFFFFF"/>
              <w:left w:val="nil"/>
              <w:bottom w:val="single" w:sz="4" w:space="0" w:color="auto"/>
              <w:right w:val="single" w:sz="4" w:space="0" w:color="FFFFFF"/>
            </w:tcBorders>
            <w:shd w:val="clear" w:color="000000" w:fill="203764"/>
            <w:noWrap/>
            <w:vAlign w:val="bottom"/>
            <w:hideMark/>
          </w:tcPr>
          <w:p w14:paraId="72BCB512"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2017</w:t>
            </w:r>
          </w:p>
        </w:tc>
        <w:tc>
          <w:tcPr>
            <w:tcW w:w="309" w:type="pct"/>
            <w:tcBorders>
              <w:top w:val="single" w:sz="4" w:space="0" w:color="FFFFFF"/>
              <w:left w:val="nil"/>
              <w:bottom w:val="single" w:sz="4" w:space="0" w:color="auto"/>
              <w:right w:val="single" w:sz="4" w:space="0" w:color="FFFFFF"/>
            </w:tcBorders>
            <w:shd w:val="clear" w:color="000000" w:fill="203764"/>
            <w:noWrap/>
            <w:vAlign w:val="bottom"/>
            <w:hideMark/>
          </w:tcPr>
          <w:p w14:paraId="4C7B73E4"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2018</w:t>
            </w:r>
          </w:p>
        </w:tc>
        <w:tc>
          <w:tcPr>
            <w:tcW w:w="309" w:type="pct"/>
            <w:tcBorders>
              <w:top w:val="single" w:sz="4" w:space="0" w:color="FFFFFF"/>
              <w:left w:val="nil"/>
              <w:bottom w:val="single" w:sz="4" w:space="0" w:color="auto"/>
              <w:right w:val="single" w:sz="4" w:space="0" w:color="FFFFFF"/>
            </w:tcBorders>
            <w:shd w:val="clear" w:color="000000" w:fill="203764"/>
            <w:noWrap/>
            <w:vAlign w:val="bottom"/>
            <w:hideMark/>
          </w:tcPr>
          <w:p w14:paraId="3719D183"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2019</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748766B4"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2020</w:t>
            </w:r>
          </w:p>
        </w:tc>
        <w:tc>
          <w:tcPr>
            <w:tcW w:w="288" w:type="pct"/>
            <w:tcBorders>
              <w:top w:val="single" w:sz="4" w:space="0" w:color="FFFFFF"/>
              <w:left w:val="nil"/>
              <w:bottom w:val="single" w:sz="4" w:space="0" w:color="auto"/>
              <w:right w:val="single" w:sz="4" w:space="0" w:color="FFFFFF"/>
            </w:tcBorders>
            <w:shd w:val="clear" w:color="000000" w:fill="203764"/>
            <w:noWrap/>
            <w:vAlign w:val="bottom"/>
            <w:hideMark/>
          </w:tcPr>
          <w:p w14:paraId="097BF89C"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2021</w:t>
            </w:r>
          </w:p>
        </w:tc>
        <w:tc>
          <w:tcPr>
            <w:tcW w:w="305" w:type="pct"/>
            <w:tcBorders>
              <w:top w:val="single" w:sz="4" w:space="0" w:color="FFFFFF"/>
              <w:left w:val="nil"/>
              <w:bottom w:val="single" w:sz="4" w:space="0" w:color="auto"/>
              <w:right w:val="single" w:sz="4" w:space="0" w:color="FFFFFF"/>
            </w:tcBorders>
            <w:shd w:val="clear" w:color="000000" w:fill="203764"/>
            <w:noWrap/>
            <w:vAlign w:val="bottom"/>
            <w:hideMark/>
          </w:tcPr>
          <w:p w14:paraId="73FD3DD4"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2022</w:t>
            </w:r>
          </w:p>
        </w:tc>
        <w:tc>
          <w:tcPr>
            <w:tcW w:w="309" w:type="pct"/>
            <w:tcBorders>
              <w:top w:val="single" w:sz="4" w:space="0" w:color="FFFFFF"/>
              <w:left w:val="nil"/>
              <w:bottom w:val="single" w:sz="4" w:space="0" w:color="auto"/>
              <w:right w:val="single" w:sz="4" w:space="0" w:color="FFFFFF"/>
            </w:tcBorders>
            <w:shd w:val="clear" w:color="000000" w:fill="203764"/>
            <w:noWrap/>
            <w:vAlign w:val="bottom"/>
            <w:hideMark/>
          </w:tcPr>
          <w:p w14:paraId="5539E0F4"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2023</w:t>
            </w:r>
          </w:p>
        </w:tc>
        <w:tc>
          <w:tcPr>
            <w:tcW w:w="309" w:type="pct"/>
            <w:tcBorders>
              <w:top w:val="single" w:sz="4" w:space="0" w:color="FFFFFF"/>
              <w:left w:val="nil"/>
              <w:bottom w:val="single" w:sz="4" w:space="0" w:color="auto"/>
              <w:right w:val="single" w:sz="4" w:space="0" w:color="FFFFFF"/>
            </w:tcBorders>
            <w:shd w:val="clear" w:color="000000" w:fill="203764"/>
            <w:noWrap/>
            <w:vAlign w:val="bottom"/>
            <w:hideMark/>
          </w:tcPr>
          <w:p w14:paraId="2877E30F"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2024</w:t>
            </w:r>
          </w:p>
        </w:tc>
        <w:tc>
          <w:tcPr>
            <w:tcW w:w="304" w:type="pct"/>
            <w:tcBorders>
              <w:top w:val="single" w:sz="4" w:space="0" w:color="FFFFFF"/>
              <w:left w:val="nil"/>
              <w:bottom w:val="single" w:sz="4" w:space="0" w:color="auto"/>
              <w:right w:val="single" w:sz="4" w:space="0" w:color="FFFFFF"/>
            </w:tcBorders>
            <w:shd w:val="clear" w:color="000000" w:fill="203764"/>
            <w:noWrap/>
            <w:vAlign w:val="bottom"/>
            <w:hideMark/>
          </w:tcPr>
          <w:p w14:paraId="1A4E77F0" w14:textId="77777777" w:rsidR="00B54F4E" w:rsidRPr="00AF6323" w:rsidRDefault="00B54F4E" w:rsidP="006504C4">
            <w:pPr>
              <w:spacing w:before="0" w:after="0"/>
              <w:jc w:val="center"/>
              <w:rPr>
                <w:rFonts w:ascii="Calibri" w:hAnsi="Calibri" w:cs="Calibri"/>
                <w:color w:val="FFFFFF"/>
                <w:sz w:val="16"/>
                <w:szCs w:val="22"/>
                <w:lang w:eastAsia="es-CO"/>
              </w:rPr>
            </w:pPr>
            <w:r w:rsidRPr="00AF6323">
              <w:rPr>
                <w:rFonts w:ascii="Calibri" w:hAnsi="Calibri" w:cs="Calibri"/>
                <w:color w:val="FFFFFF"/>
                <w:sz w:val="16"/>
                <w:szCs w:val="22"/>
                <w:lang w:eastAsia="es-CO"/>
              </w:rPr>
              <w:t>2025</w:t>
            </w:r>
          </w:p>
        </w:tc>
      </w:tr>
      <w:tr w:rsidR="00B54F4E" w:rsidRPr="00AF6323" w14:paraId="0F700D42" w14:textId="77777777" w:rsidTr="006504C4">
        <w:trPr>
          <w:trHeight w:val="300"/>
        </w:trPr>
        <w:tc>
          <w:tcPr>
            <w:tcW w:w="1962" w:type="pct"/>
            <w:tcBorders>
              <w:top w:val="nil"/>
              <w:left w:val="nil"/>
              <w:bottom w:val="single" w:sz="4" w:space="0" w:color="auto"/>
              <w:right w:val="nil"/>
            </w:tcBorders>
            <w:shd w:val="clear" w:color="000000" w:fill="E7E6E6"/>
            <w:noWrap/>
            <w:vAlign w:val="bottom"/>
            <w:hideMark/>
          </w:tcPr>
          <w:p w14:paraId="17DC0A83" w14:textId="77777777" w:rsidR="00B54F4E" w:rsidRPr="00AF6323" w:rsidRDefault="00B54F4E" w:rsidP="006504C4">
            <w:pPr>
              <w:spacing w:before="0" w:after="0"/>
              <w:jc w:val="lef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Sector Residencial</w:t>
            </w:r>
          </w:p>
        </w:tc>
        <w:tc>
          <w:tcPr>
            <w:tcW w:w="307" w:type="pct"/>
            <w:tcBorders>
              <w:top w:val="nil"/>
              <w:left w:val="nil"/>
              <w:bottom w:val="single" w:sz="4" w:space="0" w:color="auto"/>
              <w:right w:val="nil"/>
            </w:tcBorders>
            <w:shd w:val="clear" w:color="000000" w:fill="E7E6E6"/>
            <w:noWrap/>
            <w:vAlign w:val="bottom"/>
            <w:hideMark/>
          </w:tcPr>
          <w:p w14:paraId="6F8C0B25"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6A947630"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5C86F111"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3FDB0D04"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288" w:type="pct"/>
            <w:tcBorders>
              <w:top w:val="nil"/>
              <w:left w:val="nil"/>
              <w:bottom w:val="single" w:sz="4" w:space="0" w:color="auto"/>
              <w:right w:val="nil"/>
            </w:tcBorders>
            <w:shd w:val="clear" w:color="000000" w:fill="E7E6E6"/>
            <w:noWrap/>
            <w:vAlign w:val="bottom"/>
            <w:hideMark/>
          </w:tcPr>
          <w:p w14:paraId="518F2540"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288" w:type="pct"/>
            <w:tcBorders>
              <w:top w:val="nil"/>
              <w:left w:val="nil"/>
              <w:bottom w:val="single" w:sz="4" w:space="0" w:color="auto"/>
              <w:right w:val="nil"/>
            </w:tcBorders>
            <w:shd w:val="clear" w:color="000000" w:fill="E7E6E6"/>
            <w:noWrap/>
            <w:vAlign w:val="bottom"/>
            <w:hideMark/>
          </w:tcPr>
          <w:p w14:paraId="7B94D712"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5" w:type="pct"/>
            <w:tcBorders>
              <w:top w:val="nil"/>
              <w:left w:val="nil"/>
              <w:bottom w:val="single" w:sz="4" w:space="0" w:color="auto"/>
              <w:right w:val="nil"/>
            </w:tcBorders>
            <w:shd w:val="clear" w:color="000000" w:fill="E7E6E6"/>
            <w:noWrap/>
            <w:vAlign w:val="bottom"/>
            <w:hideMark/>
          </w:tcPr>
          <w:p w14:paraId="180BD10A"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185F3E15"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18DD701E"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c>
          <w:tcPr>
            <w:tcW w:w="304" w:type="pct"/>
            <w:tcBorders>
              <w:top w:val="nil"/>
              <w:left w:val="nil"/>
              <w:bottom w:val="single" w:sz="4" w:space="0" w:color="auto"/>
              <w:right w:val="nil"/>
            </w:tcBorders>
            <w:shd w:val="clear" w:color="000000" w:fill="E7E6E6"/>
            <w:noWrap/>
            <w:vAlign w:val="bottom"/>
            <w:hideMark/>
          </w:tcPr>
          <w:p w14:paraId="0222E321"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r>
      <w:tr w:rsidR="00B54F4E" w:rsidRPr="00AF6323" w14:paraId="335E72EA" w14:textId="77777777" w:rsidTr="006504C4">
        <w:trPr>
          <w:trHeight w:val="300"/>
        </w:trPr>
        <w:tc>
          <w:tcPr>
            <w:tcW w:w="1962" w:type="pct"/>
            <w:tcBorders>
              <w:top w:val="nil"/>
              <w:left w:val="nil"/>
              <w:bottom w:val="nil"/>
              <w:right w:val="nil"/>
            </w:tcBorders>
            <w:shd w:val="clear" w:color="auto" w:fill="auto"/>
            <w:noWrap/>
            <w:vAlign w:val="bottom"/>
            <w:hideMark/>
          </w:tcPr>
          <w:p w14:paraId="58B94D28"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Cambio de bombillos</w:t>
            </w:r>
          </w:p>
        </w:tc>
        <w:tc>
          <w:tcPr>
            <w:tcW w:w="307" w:type="pct"/>
            <w:tcBorders>
              <w:top w:val="nil"/>
              <w:left w:val="nil"/>
              <w:bottom w:val="nil"/>
              <w:right w:val="nil"/>
            </w:tcBorders>
            <w:shd w:val="clear" w:color="auto" w:fill="auto"/>
            <w:noWrap/>
            <w:vAlign w:val="bottom"/>
            <w:hideMark/>
          </w:tcPr>
          <w:p w14:paraId="57D1E081"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p>
        </w:tc>
        <w:tc>
          <w:tcPr>
            <w:tcW w:w="309" w:type="pct"/>
            <w:tcBorders>
              <w:top w:val="nil"/>
              <w:left w:val="nil"/>
              <w:bottom w:val="nil"/>
              <w:right w:val="nil"/>
            </w:tcBorders>
            <w:shd w:val="clear" w:color="auto" w:fill="auto"/>
            <w:noWrap/>
            <w:vAlign w:val="bottom"/>
            <w:hideMark/>
          </w:tcPr>
          <w:p w14:paraId="299EA110"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67</w:t>
            </w:r>
          </w:p>
        </w:tc>
        <w:tc>
          <w:tcPr>
            <w:tcW w:w="309" w:type="pct"/>
            <w:tcBorders>
              <w:top w:val="nil"/>
              <w:left w:val="nil"/>
              <w:bottom w:val="nil"/>
              <w:right w:val="nil"/>
            </w:tcBorders>
            <w:shd w:val="clear" w:color="auto" w:fill="auto"/>
            <w:noWrap/>
            <w:vAlign w:val="bottom"/>
            <w:hideMark/>
          </w:tcPr>
          <w:p w14:paraId="4595A16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100</w:t>
            </w:r>
          </w:p>
        </w:tc>
        <w:tc>
          <w:tcPr>
            <w:tcW w:w="309" w:type="pct"/>
            <w:tcBorders>
              <w:top w:val="nil"/>
              <w:left w:val="nil"/>
              <w:bottom w:val="nil"/>
              <w:right w:val="nil"/>
            </w:tcBorders>
            <w:shd w:val="clear" w:color="auto" w:fill="auto"/>
            <w:noWrap/>
            <w:vAlign w:val="bottom"/>
            <w:hideMark/>
          </w:tcPr>
          <w:p w14:paraId="185CD36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134</w:t>
            </w:r>
          </w:p>
        </w:tc>
        <w:tc>
          <w:tcPr>
            <w:tcW w:w="288" w:type="pct"/>
            <w:tcBorders>
              <w:top w:val="nil"/>
              <w:left w:val="nil"/>
              <w:bottom w:val="nil"/>
              <w:right w:val="nil"/>
            </w:tcBorders>
            <w:shd w:val="clear" w:color="auto" w:fill="auto"/>
            <w:noWrap/>
            <w:vAlign w:val="bottom"/>
            <w:hideMark/>
          </w:tcPr>
          <w:p w14:paraId="3C2766C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172</w:t>
            </w:r>
          </w:p>
        </w:tc>
        <w:tc>
          <w:tcPr>
            <w:tcW w:w="288" w:type="pct"/>
            <w:tcBorders>
              <w:top w:val="nil"/>
              <w:left w:val="nil"/>
              <w:bottom w:val="nil"/>
              <w:right w:val="nil"/>
            </w:tcBorders>
            <w:shd w:val="clear" w:color="auto" w:fill="auto"/>
            <w:noWrap/>
            <w:vAlign w:val="bottom"/>
            <w:hideMark/>
          </w:tcPr>
          <w:p w14:paraId="4E9F590E"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193</w:t>
            </w:r>
          </w:p>
        </w:tc>
        <w:tc>
          <w:tcPr>
            <w:tcW w:w="305" w:type="pct"/>
            <w:tcBorders>
              <w:top w:val="nil"/>
              <w:left w:val="nil"/>
              <w:bottom w:val="nil"/>
              <w:right w:val="nil"/>
            </w:tcBorders>
            <w:shd w:val="clear" w:color="auto" w:fill="auto"/>
            <w:noWrap/>
            <w:vAlign w:val="bottom"/>
            <w:hideMark/>
          </w:tcPr>
          <w:p w14:paraId="522849B9"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213</w:t>
            </w:r>
          </w:p>
        </w:tc>
        <w:tc>
          <w:tcPr>
            <w:tcW w:w="309" w:type="pct"/>
            <w:tcBorders>
              <w:top w:val="nil"/>
              <w:left w:val="nil"/>
              <w:bottom w:val="nil"/>
              <w:right w:val="nil"/>
            </w:tcBorders>
            <w:shd w:val="clear" w:color="auto" w:fill="auto"/>
            <w:noWrap/>
            <w:vAlign w:val="bottom"/>
            <w:hideMark/>
          </w:tcPr>
          <w:p w14:paraId="6EA11DA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235</w:t>
            </w:r>
          </w:p>
        </w:tc>
        <w:tc>
          <w:tcPr>
            <w:tcW w:w="309" w:type="pct"/>
            <w:tcBorders>
              <w:top w:val="nil"/>
              <w:left w:val="nil"/>
              <w:bottom w:val="nil"/>
              <w:right w:val="nil"/>
            </w:tcBorders>
            <w:shd w:val="clear" w:color="auto" w:fill="auto"/>
            <w:noWrap/>
            <w:vAlign w:val="bottom"/>
            <w:hideMark/>
          </w:tcPr>
          <w:p w14:paraId="35FBEC5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256</w:t>
            </w:r>
          </w:p>
        </w:tc>
        <w:tc>
          <w:tcPr>
            <w:tcW w:w="304" w:type="pct"/>
            <w:tcBorders>
              <w:top w:val="nil"/>
              <w:left w:val="nil"/>
              <w:bottom w:val="nil"/>
              <w:right w:val="nil"/>
            </w:tcBorders>
            <w:shd w:val="clear" w:color="auto" w:fill="auto"/>
            <w:noWrap/>
            <w:vAlign w:val="bottom"/>
            <w:hideMark/>
          </w:tcPr>
          <w:p w14:paraId="1CA6502C"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277</w:t>
            </w:r>
          </w:p>
        </w:tc>
      </w:tr>
      <w:tr w:rsidR="00B54F4E" w:rsidRPr="00AF6323" w14:paraId="230506F8" w14:textId="77777777" w:rsidTr="006504C4">
        <w:trPr>
          <w:trHeight w:val="300"/>
        </w:trPr>
        <w:tc>
          <w:tcPr>
            <w:tcW w:w="1962" w:type="pct"/>
            <w:tcBorders>
              <w:top w:val="nil"/>
              <w:left w:val="nil"/>
              <w:bottom w:val="single" w:sz="4" w:space="0" w:color="000000"/>
              <w:right w:val="nil"/>
            </w:tcBorders>
            <w:shd w:val="clear" w:color="auto" w:fill="auto"/>
            <w:noWrap/>
            <w:vAlign w:val="bottom"/>
            <w:hideMark/>
          </w:tcPr>
          <w:p w14:paraId="496B470F"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Cambio de neveras</w:t>
            </w:r>
          </w:p>
        </w:tc>
        <w:tc>
          <w:tcPr>
            <w:tcW w:w="307" w:type="pct"/>
            <w:tcBorders>
              <w:top w:val="nil"/>
              <w:left w:val="nil"/>
              <w:bottom w:val="single" w:sz="4" w:space="0" w:color="000000"/>
              <w:right w:val="nil"/>
            </w:tcBorders>
            <w:shd w:val="clear" w:color="auto" w:fill="auto"/>
            <w:noWrap/>
            <w:vAlign w:val="bottom"/>
            <w:hideMark/>
          </w:tcPr>
          <w:p w14:paraId="3391F24D"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000000"/>
              <w:right w:val="nil"/>
            </w:tcBorders>
            <w:shd w:val="clear" w:color="auto" w:fill="auto"/>
            <w:noWrap/>
            <w:vAlign w:val="bottom"/>
            <w:hideMark/>
          </w:tcPr>
          <w:p w14:paraId="01094460"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38</w:t>
            </w:r>
          </w:p>
        </w:tc>
        <w:tc>
          <w:tcPr>
            <w:tcW w:w="309" w:type="pct"/>
            <w:tcBorders>
              <w:top w:val="nil"/>
              <w:left w:val="nil"/>
              <w:bottom w:val="single" w:sz="4" w:space="0" w:color="000000"/>
              <w:right w:val="nil"/>
            </w:tcBorders>
            <w:shd w:val="clear" w:color="auto" w:fill="auto"/>
            <w:noWrap/>
            <w:vAlign w:val="bottom"/>
            <w:hideMark/>
          </w:tcPr>
          <w:p w14:paraId="5B90C687"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76</w:t>
            </w:r>
          </w:p>
        </w:tc>
        <w:tc>
          <w:tcPr>
            <w:tcW w:w="309" w:type="pct"/>
            <w:tcBorders>
              <w:top w:val="nil"/>
              <w:left w:val="nil"/>
              <w:bottom w:val="single" w:sz="4" w:space="0" w:color="000000"/>
              <w:right w:val="nil"/>
            </w:tcBorders>
            <w:shd w:val="clear" w:color="auto" w:fill="auto"/>
            <w:noWrap/>
            <w:vAlign w:val="bottom"/>
            <w:hideMark/>
          </w:tcPr>
          <w:p w14:paraId="5C1D16F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113</w:t>
            </w:r>
          </w:p>
        </w:tc>
        <w:tc>
          <w:tcPr>
            <w:tcW w:w="288" w:type="pct"/>
            <w:tcBorders>
              <w:top w:val="nil"/>
              <w:left w:val="nil"/>
              <w:bottom w:val="single" w:sz="4" w:space="0" w:color="000000"/>
              <w:right w:val="nil"/>
            </w:tcBorders>
            <w:shd w:val="clear" w:color="auto" w:fill="auto"/>
            <w:noWrap/>
            <w:vAlign w:val="bottom"/>
            <w:hideMark/>
          </w:tcPr>
          <w:p w14:paraId="6306D29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151</w:t>
            </w:r>
          </w:p>
        </w:tc>
        <w:tc>
          <w:tcPr>
            <w:tcW w:w="288" w:type="pct"/>
            <w:tcBorders>
              <w:top w:val="nil"/>
              <w:left w:val="nil"/>
              <w:bottom w:val="single" w:sz="4" w:space="0" w:color="000000"/>
              <w:right w:val="nil"/>
            </w:tcBorders>
            <w:shd w:val="clear" w:color="auto" w:fill="auto"/>
            <w:noWrap/>
            <w:vAlign w:val="bottom"/>
            <w:hideMark/>
          </w:tcPr>
          <w:p w14:paraId="17C9513C"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189</w:t>
            </w:r>
          </w:p>
        </w:tc>
        <w:tc>
          <w:tcPr>
            <w:tcW w:w="305" w:type="pct"/>
            <w:tcBorders>
              <w:top w:val="nil"/>
              <w:left w:val="nil"/>
              <w:bottom w:val="single" w:sz="4" w:space="0" w:color="000000"/>
              <w:right w:val="nil"/>
            </w:tcBorders>
            <w:shd w:val="clear" w:color="auto" w:fill="auto"/>
            <w:noWrap/>
            <w:vAlign w:val="bottom"/>
            <w:hideMark/>
          </w:tcPr>
          <w:p w14:paraId="213E19A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227</w:t>
            </w:r>
          </w:p>
        </w:tc>
        <w:tc>
          <w:tcPr>
            <w:tcW w:w="309" w:type="pct"/>
            <w:tcBorders>
              <w:top w:val="nil"/>
              <w:left w:val="nil"/>
              <w:bottom w:val="single" w:sz="4" w:space="0" w:color="000000"/>
              <w:right w:val="nil"/>
            </w:tcBorders>
            <w:shd w:val="clear" w:color="auto" w:fill="auto"/>
            <w:noWrap/>
            <w:vAlign w:val="bottom"/>
            <w:hideMark/>
          </w:tcPr>
          <w:p w14:paraId="6669FD1E"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265</w:t>
            </w:r>
          </w:p>
        </w:tc>
        <w:tc>
          <w:tcPr>
            <w:tcW w:w="309" w:type="pct"/>
            <w:tcBorders>
              <w:top w:val="nil"/>
              <w:left w:val="nil"/>
              <w:bottom w:val="single" w:sz="4" w:space="0" w:color="000000"/>
              <w:right w:val="nil"/>
            </w:tcBorders>
            <w:shd w:val="clear" w:color="auto" w:fill="auto"/>
            <w:noWrap/>
            <w:vAlign w:val="bottom"/>
            <w:hideMark/>
          </w:tcPr>
          <w:p w14:paraId="0B205A9E"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302</w:t>
            </w:r>
          </w:p>
        </w:tc>
        <w:tc>
          <w:tcPr>
            <w:tcW w:w="304" w:type="pct"/>
            <w:tcBorders>
              <w:top w:val="nil"/>
              <w:left w:val="nil"/>
              <w:bottom w:val="single" w:sz="4" w:space="0" w:color="000000"/>
              <w:right w:val="nil"/>
            </w:tcBorders>
            <w:shd w:val="clear" w:color="auto" w:fill="auto"/>
            <w:noWrap/>
            <w:vAlign w:val="bottom"/>
            <w:hideMark/>
          </w:tcPr>
          <w:p w14:paraId="7341166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340</w:t>
            </w:r>
          </w:p>
        </w:tc>
      </w:tr>
      <w:tr w:rsidR="00B54F4E" w:rsidRPr="00AF6323" w14:paraId="0D9470DC"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12E92FB0"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Total ahorro anual Sector Residencial (GWh)</w:t>
            </w:r>
          </w:p>
        </w:tc>
        <w:tc>
          <w:tcPr>
            <w:tcW w:w="307" w:type="pct"/>
            <w:tcBorders>
              <w:top w:val="nil"/>
              <w:left w:val="nil"/>
              <w:bottom w:val="single" w:sz="4" w:space="0" w:color="auto"/>
              <w:right w:val="nil"/>
            </w:tcBorders>
            <w:shd w:val="clear" w:color="auto" w:fill="auto"/>
            <w:noWrap/>
            <w:vAlign w:val="bottom"/>
            <w:hideMark/>
          </w:tcPr>
          <w:p w14:paraId="16D73361"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auto" w:fill="auto"/>
            <w:noWrap/>
            <w:vAlign w:val="bottom"/>
            <w:hideMark/>
          </w:tcPr>
          <w:p w14:paraId="58DACBCE"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105</w:t>
            </w:r>
          </w:p>
        </w:tc>
        <w:tc>
          <w:tcPr>
            <w:tcW w:w="309" w:type="pct"/>
            <w:tcBorders>
              <w:top w:val="nil"/>
              <w:left w:val="nil"/>
              <w:bottom w:val="single" w:sz="4" w:space="0" w:color="auto"/>
              <w:right w:val="nil"/>
            </w:tcBorders>
            <w:shd w:val="clear" w:color="auto" w:fill="auto"/>
            <w:noWrap/>
            <w:vAlign w:val="bottom"/>
            <w:hideMark/>
          </w:tcPr>
          <w:p w14:paraId="5CC9872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176</w:t>
            </w:r>
          </w:p>
        </w:tc>
        <w:tc>
          <w:tcPr>
            <w:tcW w:w="309" w:type="pct"/>
            <w:tcBorders>
              <w:top w:val="nil"/>
              <w:left w:val="nil"/>
              <w:bottom w:val="single" w:sz="4" w:space="0" w:color="auto"/>
              <w:right w:val="nil"/>
            </w:tcBorders>
            <w:shd w:val="clear" w:color="auto" w:fill="auto"/>
            <w:noWrap/>
            <w:vAlign w:val="bottom"/>
            <w:hideMark/>
          </w:tcPr>
          <w:p w14:paraId="3A53FEC0"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247</w:t>
            </w:r>
          </w:p>
        </w:tc>
        <w:tc>
          <w:tcPr>
            <w:tcW w:w="288" w:type="pct"/>
            <w:tcBorders>
              <w:top w:val="nil"/>
              <w:left w:val="nil"/>
              <w:bottom w:val="single" w:sz="4" w:space="0" w:color="auto"/>
              <w:right w:val="nil"/>
            </w:tcBorders>
            <w:shd w:val="clear" w:color="auto" w:fill="auto"/>
            <w:noWrap/>
            <w:vAlign w:val="bottom"/>
            <w:hideMark/>
          </w:tcPr>
          <w:p w14:paraId="4360DC13"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323</w:t>
            </w:r>
          </w:p>
        </w:tc>
        <w:tc>
          <w:tcPr>
            <w:tcW w:w="288" w:type="pct"/>
            <w:tcBorders>
              <w:top w:val="nil"/>
              <w:left w:val="nil"/>
              <w:bottom w:val="single" w:sz="4" w:space="0" w:color="auto"/>
              <w:right w:val="nil"/>
            </w:tcBorders>
            <w:shd w:val="clear" w:color="auto" w:fill="auto"/>
            <w:noWrap/>
            <w:vAlign w:val="bottom"/>
            <w:hideMark/>
          </w:tcPr>
          <w:p w14:paraId="75E793F3"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381</w:t>
            </w:r>
          </w:p>
        </w:tc>
        <w:tc>
          <w:tcPr>
            <w:tcW w:w="305" w:type="pct"/>
            <w:tcBorders>
              <w:top w:val="nil"/>
              <w:left w:val="nil"/>
              <w:bottom w:val="single" w:sz="4" w:space="0" w:color="auto"/>
              <w:right w:val="nil"/>
            </w:tcBorders>
            <w:shd w:val="clear" w:color="auto" w:fill="auto"/>
            <w:noWrap/>
            <w:vAlign w:val="bottom"/>
            <w:hideMark/>
          </w:tcPr>
          <w:p w14:paraId="5023C35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440</w:t>
            </w:r>
          </w:p>
        </w:tc>
        <w:tc>
          <w:tcPr>
            <w:tcW w:w="309" w:type="pct"/>
            <w:tcBorders>
              <w:top w:val="nil"/>
              <w:left w:val="nil"/>
              <w:bottom w:val="single" w:sz="4" w:space="0" w:color="auto"/>
              <w:right w:val="nil"/>
            </w:tcBorders>
            <w:shd w:val="clear" w:color="auto" w:fill="auto"/>
            <w:noWrap/>
            <w:vAlign w:val="bottom"/>
            <w:hideMark/>
          </w:tcPr>
          <w:p w14:paraId="0708E5F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499</w:t>
            </w:r>
          </w:p>
        </w:tc>
        <w:tc>
          <w:tcPr>
            <w:tcW w:w="309" w:type="pct"/>
            <w:tcBorders>
              <w:top w:val="nil"/>
              <w:left w:val="nil"/>
              <w:bottom w:val="single" w:sz="4" w:space="0" w:color="auto"/>
              <w:right w:val="nil"/>
            </w:tcBorders>
            <w:shd w:val="clear" w:color="auto" w:fill="auto"/>
            <w:noWrap/>
            <w:vAlign w:val="bottom"/>
            <w:hideMark/>
          </w:tcPr>
          <w:p w14:paraId="7B6A67D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558</w:t>
            </w:r>
          </w:p>
        </w:tc>
        <w:tc>
          <w:tcPr>
            <w:tcW w:w="304" w:type="pct"/>
            <w:tcBorders>
              <w:top w:val="nil"/>
              <w:left w:val="nil"/>
              <w:bottom w:val="single" w:sz="4" w:space="0" w:color="auto"/>
              <w:right w:val="nil"/>
            </w:tcBorders>
            <w:shd w:val="clear" w:color="auto" w:fill="auto"/>
            <w:noWrap/>
            <w:vAlign w:val="bottom"/>
            <w:hideMark/>
          </w:tcPr>
          <w:p w14:paraId="3C1F087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617</w:t>
            </w:r>
          </w:p>
        </w:tc>
      </w:tr>
      <w:tr w:rsidR="00B54F4E" w:rsidRPr="00AF6323" w14:paraId="4E1C9D72"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12BA612C"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Ahorro energético acumulado S. Residencial (GWh)</w:t>
            </w:r>
          </w:p>
        </w:tc>
        <w:tc>
          <w:tcPr>
            <w:tcW w:w="307" w:type="pct"/>
            <w:tcBorders>
              <w:top w:val="nil"/>
              <w:left w:val="nil"/>
              <w:bottom w:val="single" w:sz="4" w:space="0" w:color="auto"/>
              <w:right w:val="nil"/>
            </w:tcBorders>
            <w:shd w:val="clear" w:color="auto" w:fill="auto"/>
            <w:noWrap/>
            <w:vAlign w:val="bottom"/>
            <w:hideMark/>
          </w:tcPr>
          <w:p w14:paraId="132E7FC6"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auto" w:fill="auto"/>
            <w:noWrap/>
            <w:vAlign w:val="bottom"/>
            <w:hideMark/>
          </w:tcPr>
          <w:p w14:paraId="79E8778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138</w:t>
            </w:r>
          </w:p>
        </w:tc>
        <w:tc>
          <w:tcPr>
            <w:tcW w:w="309" w:type="pct"/>
            <w:tcBorders>
              <w:top w:val="nil"/>
              <w:left w:val="nil"/>
              <w:bottom w:val="single" w:sz="4" w:space="0" w:color="auto"/>
              <w:right w:val="nil"/>
            </w:tcBorders>
            <w:shd w:val="clear" w:color="auto" w:fill="auto"/>
            <w:noWrap/>
            <w:vAlign w:val="bottom"/>
            <w:hideMark/>
          </w:tcPr>
          <w:p w14:paraId="663ED43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314</w:t>
            </w:r>
          </w:p>
        </w:tc>
        <w:tc>
          <w:tcPr>
            <w:tcW w:w="309" w:type="pct"/>
            <w:tcBorders>
              <w:top w:val="nil"/>
              <w:left w:val="nil"/>
              <w:bottom w:val="single" w:sz="4" w:space="0" w:color="auto"/>
              <w:right w:val="nil"/>
            </w:tcBorders>
            <w:shd w:val="clear" w:color="auto" w:fill="auto"/>
            <w:noWrap/>
            <w:vAlign w:val="bottom"/>
            <w:hideMark/>
          </w:tcPr>
          <w:p w14:paraId="135FBE7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561</w:t>
            </w:r>
          </w:p>
        </w:tc>
        <w:tc>
          <w:tcPr>
            <w:tcW w:w="288" w:type="pct"/>
            <w:tcBorders>
              <w:top w:val="nil"/>
              <w:left w:val="nil"/>
              <w:bottom w:val="single" w:sz="4" w:space="0" w:color="auto"/>
              <w:right w:val="nil"/>
            </w:tcBorders>
            <w:shd w:val="clear" w:color="auto" w:fill="auto"/>
            <w:noWrap/>
            <w:vAlign w:val="bottom"/>
            <w:hideMark/>
          </w:tcPr>
          <w:p w14:paraId="5B1A7A19"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884</w:t>
            </w:r>
          </w:p>
        </w:tc>
        <w:tc>
          <w:tcPr>
            <w:tcW w:w="288" w:type="pct"/>
            <w:tcBorders>
              <w:top w:val="nil"/>
              <w:left w:val="nil"/>
              <w:bottom w:val="single" w:sz="4" w:space="0" w:color="auto"/>
              <w:right w:val="nil"/>
            </w:tcBorders>
            <w:shd w:val="clear" w:color="auto" w:fill="auto"/>
            <w:noWrap/>
            <w:vAlign w:val="bottom"/>
            <w:hideMark/>
          </w:tcPr>
          <w:p w14:paraId="21CB0AFE"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1.266</w:t>
            </w:r>
          </w:p>
        </w:tc>
        <w:tc>
          <w:tcPr>
            <w:tcW w:w="305" w:type="pct"/>
            <w:tcBorders>
              <w:top w:val="nil"/>
              <w:left w:val="nil"/>
              <w:bottom w:val="single" w:sz="4" w:space="0" w:color="auto"/>
              <w:right w:val="nil"/>
            </w:tcBorders>
            <w:shd w:val="clear" w:color="auto" w:fill="auto"/>
            <w:noWrap/>
            <w:vAlign w:val="bottom"/>
            <w:hideMark/>
          </w:tcPr>
          <w:p w14:paraId="05717A0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1.706</w:t>
            </w:r>
          </w:p>
        </w:tc>
        <w:tc>
          <w:tcPr>
            <w:tcW w:w="309" w:type="pct"/>
            <w:tcBorders>
              <w:top w:val="nil"/>
              <w:left w:val="nil"/>
              <w:bottom w:val="single" w:sz="4" w:space="0" w:color="auto"/>
              <w:right w:val="nil"/>
            </w:tcBorders>
            <w:shd w:val="clear" w:color="auto" w:fill="auto"/>
            <w:noWrap/>
            <w:vAlign w:val="bottom"/>
            <w:hideMark/>
          </w:tcPr>
          <w:p w14:paraId="6D64455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2.205</w:t>
            </w:r>
          </w:p>
        </w:tc>
        <w:tc>
          <w:tcPr>
            <w:tcW w:w="309" w:type="pct"/>
            <w:tcBorders>
              <w:top w:val="nil"/>
              <w:left w:val="nil"/>
              <w:bottom w:val="single" w:sz="4" w:space="0" w:color="auto"/>
              <w:right w:val="nil"/>
            </w:tcBorders>
            <w:shd w:val="clear" w:color="auto" w:fill="auto"/>
            <w:noWrap/>
            <w:vAlign w:val="bottom"/>
            <w:hideMark/>
          </w:tcPr>
          <w:p w14:paraId="3AC648F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2.763</w:t>
            </w:r>
          </w:p>
        </w:tc>
        <w:tc>
          <w:tcPr>
            <w:tcW w:w="304" w:type="pct"/>
            <w:tcBorders>
              <w:top w:val="nil"/>
              <w:left w:val="nil"/>
              <w:bottom w:val="single" w:sz="4" w:space="0" w:color="auto"/>
              <w:right w:val="nil"/>
            </w:tcBorders>
            <w:shd w:val="clear" w:color="auto" w:fill="auto"/>
            <w:noWrap/>
            <w:vAlign w:val="bottom"/>
            <w:hideMark/>
          </w:tcPr>
          <w:p w14:paraId="63EB1F4C"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3.380</w:t>
            </w:r>
          </w:p>
        </w:tc>
      </w:tr>
      <w:tr w:rsidR="00B54F4E" w:rsidRPr="00AF6323" w14:paraId="40A9B52D" w14:textId="77777777" w:rsidTr="006504C4">
        <w:trPr>
          <w:trHeight w:val="300"/>
        </w:trPr>
        <w:tc>
          <w:tcPr>
            <w:tcW w:w="1962" w:type="pct"/>
            <w:tcBorders>
              <w:top w:val="nil"/>
              <w:left w:val="nil"/>
              <w:bottom w:val="single" w:sz="4" w:space="0" w:color="auto"/>
              <w:right w:val="nil"/>
            </w:tcBorders>
            <w:shd w:val="clear" w:color="000000" w:fill="E7E6E6"/>
            <w:noWrap/>
            <w:vAlign w:val="bottom"/>
            <w:hideMark/>
          </w:tcPr>
          <w:p w14:paraId="3AD0FB67" w14:textId="77777777" w:rsidR="00B54F4E" w:rsidRPr="00AF6323" w:rsidRDefault="00B54F4E" w:rsidP="006504C4">
            <w:pPr>
              <w:spacing w:before="0" w:after="0"/>
              <w:jc w:val="lef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Sector Comercial</w:t>
            </w:r>
          </w:p>
        </w:tc>
        <w:tc>
          <w:tcPr>
            <w:tcW w:w="307" w:type="pct"/>
            <w:tcBorders>
              <w:top w:val="nil"/>
              <w:left w:val="nil"/>
              <w:bottom w:val="single" w:sz="4" w:space="0" w:color="auto"/>
              <w:right w:val="nil"/>
            </w:tcBorders>
            <w:shd w:val="clear" w:color="000000" w:fill="E7E6E6"/>
            <w:noWrap/>
            <w:vAlign w:val="bottom"/>
            <w:hideMark/>
          </w:tcPr>
          <w:p w14:paraId="7E4961DA"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603BD451"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724D0575"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0FD75823"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288" w:type="pct"/>
            <w:tcBorders>
              <w:top w:val="nil"/>
              <w:left w:val="nil"/>
              <w:bottom w:val="single" w:sz="4" w:space="0" w:color="auto"/>
              <w:right w:val="nil"/>
            </w:tcBorders>
            <w:shd w:val="clear" w:color="000000" w:fill="E7E6E6"/>
            <w:noWrap/>
            <w:vAlign w:val="bottom"/>
            <w:hideMark/>
          </w:tcPr>
          <w:p w14:paraId="535CE94A"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288" w:type="pct"/>
            <w:tcBorders>
              <w:top w:val="nil"/>
              <w:left w:val="nil"/>
              <w:bottom w:val="single" w:sz="4" w:space="0" w:color="auto"/>
              <w:right w:val="nil"/>
            </w:tcBorders>
            <w:shd w:val="clear" w:color="000000" w:fill="E7E6E6"/>
            <w:noWrap/>
            <w:vAlign w:val="bottom"/>
            <w:hideMark/>
          </w:tcPr>
          <w:p w14:paraId="2E6EAD07"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5" w:type="pct"/>
            <w:tcBorders>
              <w:top w:val="nil"/>
              <w:left w:val="nil"/>
              <w:bottom w:val="single" w:sz="4" w:space="0" w:color="auto"/>
              <w:right w:val="nil"/>
            </w:tcBorders>
            <w:shd w:val="clear" w:color="000000" w:fill="E7E6E6"/>
            <w:noWrap/>
            <w:vAlign w:val="bottom"/>
            <w:hideMark/>
          </w:tcPr>
          <w:p w14:paraId="66F0A3A8"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38C35420"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387F1F46"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c>
          <w:tcPr>
            <w:tcW w:w="304" w:type="pct"/>
            <w:tcBorders>
              <w:top w:val="nil"/>
              <w:left w:val="nil"/>
              <w:bottom w:val="single" w:sz="4" w:space="0" w:color="auto"/>
              <w:right w:val="nil"/>
            </w:tcBorders>
            <w:shd w:val="clear" w:color="000000" w:fill="E7E6E6"/>
            <w:noWrap/>
            <w:vAlign w:val="bottom"/>
            <w:hideMark/>
          </w:tcPr>
          <w:p w14:paraId="7FDF9D7D"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r>
      <w:tr w:rsidR="00B54F4E" w:rsidRPr="00AF6323" w14:paraId="39B1A801" w14:textId="77777777" w:rsidTr="006504C4">
        <w:trPr>
          <w:trHeight w:val="300"/>
        </w:trPr>
        <w:tc>
          <w:tcPr>
            <w:tcW w:w="1962" w:type="pct"/>
            <w:tcBorders>
              <w:top w:val="nil"/>
              <w:left w:val="nil"/>
              <w:bottom w:val="nil"/>
              <w:right w:val="nil"/>
            </w:tcBorders>
            <w:shd w:val="clear" w:color="auto" w:fill="auto"/>
            <w:noWrap/>
            <w:vAlign w:val="bottom"/>
            <w:hideMark/>
          </w:tcPr>
          <w:p w14:paraId="4998676C"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Cambio equipos de bombillos</w:t>
            </w:r>
          </w:p>
        </w:tc>
        <w:tc>
          <w:tcPr>
            <w:tcW w:w="307" w:type="pct"/>
            <w:tcBorders>
              <w:top w:val="nil"/>
              <w:left w:val="nil"/>
              <w:bottom w:val="nil"/>
              <w:right w:val="nil"/>
            </w:tcBorders>
            <w:shd w:val="clear" w:color="auto" w:fill="auto"/>
            <w:noWrap/>
            <w:vAlign w:val="bottom"/>
            <w:hideMark/>
          </w:tcPr>
          <w:p w14:paraId="76C47F89"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p>
        </w:tc>
        <w:tc>
          <w:tcPr>
            <w:tcW w:w="309" w:type="pct"/>
            <w:tcBorders>
              <w:top w:val="nil"/>
              <w:left w:val="nil"/>
              <w:bottom w:val="nil"/>
              <w:right w:val="nil"/>
            </w:tcBorders>
            <w:shd w:val="clear" w:color="auto" w:fill="auto"/>
            <w:noWrap/>
            <w:vAlign w:val="bottom"/>
            <w:hideMark/>
          </w:tcPr>
          <w:p w14:paraId="6B5D9AC9"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11</w:t>
            </w:r>
          </w:p>
        </w:tc>
        <w:tc>
          <w:tcPr>
            <w:tcW w:w="309" w:type="pct"/>
            <w:tcBorders>
              <w:top w:val="nil"/>
              <w:left w:val="nil"/>
              <w:bottom w:val="nil"/>
              <w:right w:val="nil"/>
            </w:tcBorders>
            <w:shd w:val="clear" w:color="auto" w:fill="auto"/>
            <w:noWrap/>
            <w:vAlign w:val="bottom"/>
            <w:hideMark/>
          </w:tcPr>
          <w:p w14:paraId="0108002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22</w:t>
            </w:r>
          </w:p>
        </w:tc>
        <w:tc>
          <w:tcPr>
            <w:tcW w:w="309" w:type="pct"/>
            <w:tcBorders>
              <w:top w:val="nil"/>
              <w:left w:val="nil"/>
              <w:bottom w:val="nil"/>
              <w:right w:val="nil"/>
            </w:tcBorders>
            <w:shd w:val="clear" w:color="auto" w:fill="auto"/>
            <w:noWrap/>
            <w:vAlign w:val="bottom"/>
            <w:hideMark/>
          </w:tcPr>
          <w:p w14:paraId="2AFA26F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33</w:t>
            </w:r>
          </w:p>
        </w:tc>
        <w:tc>
          <w:tcPr>
            <w:tcW w:w="288" w:type="pct"/>
            <w:tcBorders>
              <w:top w:val="nil"/>
              <w:left w:val="nil"/>
              <w:bottom w:val="nil"/>
              <w:right w:val="nil"/>
            </w:tcBorders>
            <w:shd w:val="clear" w:color="auto" w:fill="auto"/>
            <w:noWrap/>
            <w:vAlign w:val="bottom"/>
            <w:hideMark/>
          </w:tcPr>
          <w:p w14:paraId="59B4B86D"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63</w:t>
            </w:r>
          </w:p>
        </w:tc>
        <w:tc>
          <w:tcPr>
            <w:tcW w:w="288" w:type="pct"/>
            <w:tcBorders>
              <w:top w:val="nil"/>
              <w:left w:val="nil"/>
              <w:bottom w:val="nil"/>
              <w:right w:val="nil"/>
            </w:tcBorders>
            <w:shd w:val="clear" w:color="auto" w:fill="auto"/>
            <w:noWrap/>
            <w:vAlign w:val="bottom"/>
            <w:hideMark/>
          </w:tcPr>
          <w:p w14:paraId="051420E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92</w:t>
            </w:r>
          </w:p>
        </w:tc>
        <w:tc>
          <w:tcPr>
            <w:tcW w:w="305" w:type="pct"/>
            <w:tcBorders>
              <w:top w:val="nil"/>
              <w:left w:val="nil"/>
              <w:bottom w:val="nil"/>
              <w:right w:val="nil"/>
            </w:tcBorders>
            <w:shd w:val="clear" w:color="auto" w:fill="auto"/>
            <w:noWrap/>
            <w:vAlign w:val="bottom"/>
            <w:hideMark/>
          </w:tcPr>
          <w:p w14:paraId="703E097D"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121</w:t>
            </w:r>
          </w:p>
        </w:tc>
        <w:tc>
          <w:tcPr>
            <w:tcW w:w="309" w:type="pct"/>
            <w:tcBorders>
              <w:top w:val="nil"/>
              <w:left w:val="nil"/>
              <w:bottom w:val="nil"/>
              <w:right w:val="nil"/>
            </w:tcBorders>
            <w:shd w:val="clear" w:color="auto" w:fill="auto"/>
            <w:noWrap/>
            <w:vAlign w:val="bottom"/>
            <w:hideMark/>
          </w:tcPr>
          <w:p w14:paraId="16FEF1A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150</w:t>
            </w:r>
          </w:p>
        </w:tc>
        <w:tc>
          <w:tcPr>
            <w:tcW w:w="309" w:type="pct"/>
            <w:tcBorders>
              <w:top w:val="nil"/>
              <w:left w:val="nil"/>
              <w:bottom w:val="nil"/>
              <w:right w:val="nil"/>
            </w:tcBorders>
            <w:shd w:val="clear" w:color="auto" w:fill="auto"/>
            <w:noWrap/>
            <w:vAlign w:val="bottom"/>
            <w:hideMark/>
          </w:tcPr>
          <w:p w14:paraId="4D8872A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179</w:t>
            </w:r>
          </w:p>
        </w:tc>
        <w:tc>
          <w:tcPr>
            <w:tcW w:w="304" w:type="pct"/>
            <w:tcBorders>
              <w:top w:val="nil"/>
              <w:left w:val="nil"/>
              <w:bottom w:val="nil"/>
              <w:right w:val="nil"/>
            </w:tcBorders>
            <w:shd w:val="clear" w:color="auto" w:fill="auto"/>
            <w:noWrap/>
            <w:vAlign w:val="bottom"/>
            <w:hideMark/>
          </w:tcPr>
          <w:p w14:paraId="06A316E3"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208</w:t>
            </w:r>
          </w:p>
        </w:tc>
      </w:tr>
      <w:tr w:rsidR="00B54F4E" w:rsidRPr="00AF6323" w14:paraId="26919D11"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6F870846"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Medidas arquitectónicas eficientes</w:t>
            </w:r>
          </w:p>
        </w:tc>
        <w:tc>
          <w:tcPr>
            <w:tcW w:w="307" w:type="pct"/>
            <w:tcBorders>
              <w:top w:val="nil"/>
              <w:left w:val="nil"/>
              <w:bottom w:val="single" w:sz="4" w:space="0" w:color="auto"/>
              <w:right w:val="nil"/>
            </w:tcBorders>
            <w:shd w:val="clear" w:color="auto" w:fill="auto"/>
            <w:noWrap/>
            <w:vAlign w:val="bottom"/>
            <w:hideMark/>
          </w:tcPr>
          <w:p w14:paraId="2A55646F"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auto" w:fill="auto"/>
            <w:noWrap/>
            <w:vAlign w:val="bottom"/>
            <w:hideMark/>
          </w:tcPr>
          <w:p w14:paraId="28FACBA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41</w:t>
            </w:r>
          </w:p>
        </w:tc>
        <w:tc>
          <w:tcPr>
            <w:tcW w:w="309" w:type="pct"/>
            <w:tcBorders>
              <w:top w:val="nil"/>
              <w:left w:val="nil"/>
              <w:bottom w:val="single" w:sz="4" w:space="0" w:color="auto"/>
              <w:right w:val="nil"/>
            </w:tcBorders>
            <w:shd w:val="clear" w:color="auto" w:fill="auto"/>
            <w:noWrap/>
            <w:vAlign w:val="bottom"/>
            <w:hideMark/>
          </w:tcPr>
          <w:p w14:paraId="386434B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82</w:t>
            </w:r>
          </w:p>
        </w:tc>
        <w:tc>
          <w:tcPr>
            <w:tcW w:w="309" w:type="pct"/>
            <w:tcBorders>
              <w:top w:val="nil"/>
              <w:left w:val="nil"/>
              <w:bottom w:val="single" w:sz="4" w:space="0" w:color="auto"/>
              <w:right w:val="nil"/>
            </w:tcBorders>
            <w:shd w:val="clear" w:color="auto" w:fill="auto"/>
            <w:noWrap/>
            <w:vAlign w:val="bottom"/>
            <w:hideMark/>
          </w:tcPr>
          <w:p w14:paraId="77462E68"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137</w:t>
            </w:r>
          </w:p>
        </w:tc>
        <w:tc>
          <w:tcPr>
            <w:tcW w:w="288" w:type="pct"/>
            <w:tcBorders>
              <w:top w:val="nil"/>
              <w:left w:val="nil"/>
              <w:bottom w:val="single" w:sz="4" w:space="0" w:color="auto"/>
              <w:right w:val="nil"/>
            </w:tcBorders>
            <w:shd w:val="clear" w:color="auto" w:fill="auto"/>
            <w:noWrap/>
            <w:vAlign w:val="bottom"/>
            <w:hideMark/>
          </w:tcPr>
          <w:p w14:paraId="5A6F504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192</w:t>
            </w:r>
          </w:p>
        </w:tc>
        <w:tc>
          <w:tcPr>
            <w:tcW w:w="288" w:type="pct"/>
            <w:tcBorders>
              <w:top w:val="nil"/>
              <w:left w:val="nil"/>
              <w:bottom w:val="single" w:sz="4" w:space="0" w:color="auto"/>
              <w:right w:val="nil"/>
            </w:tcBorders>
            <w:shd w:val="clear" w:color="auto" w:fill="auto"/>
            <w:noWrap/>
            <w:vAlign w:val="bottom"/>
            <w:hideMark/>
          </w:tcPr>
          <w:p w14:paraId="7B66ACD8"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250</w:t>
            </w:r>
          </w:p>
        </w:tc>
        <w:tc>
          <w:tcPr>
            <w:tcW w:w="305" w:type="pct"/>
            <w:tcBorders>
              <w:top w:val="nil"/>
              <w:left w:val="nil"/>
              <w:bottom w:val="single" w:sz="4" w:space="0" w:color="auto"/>
              <w:right w:val="nil"/>
            </w:tcBorders>
            <w:shd w:val="clear" w:color="auto" w:fill="auto"/>
            <w:noWrap/>
            <w:vAlign w:val="bottom"/>
            <w:hideMark/>
          </w:tcPr>
          <w:p w14:paraId="2D01D58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308</w:t>
            </w:r>
          </w:p>
        </w:tc>
        <w:tc>
          <w:tcPr>
            <w:tcW w:w="309" w:type="pct"/>
            <w:tcBorders>
              <w:top w:val="nil"/>
              <w:left w:val="nil"/>
              <w:bottom w:val="single" w:sz="4" w:space="0" w:color="auto"/>
              <w:right w:val="nil"/>
            </w:tcBorders>
            <w:shd w:val="clear" w:color="auto" w:fill="auto"/>
            <w:noWrap/>
            <w:vAlign w:val="bottom"/>
            <w:hideMark/>
          </w:tcPr>
          <w:p w14:paraId="3A68733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366</w:t>
            </w:r>
          </w:p>
        </w:tc>
        <w:tc>
          <w:tcPr>
            <w:tcW w:w="309" w:type="pct"/>
            <w:tcBorders>
              <w:top w:val="nil"/>
              <w:left w:val="nil"/>
              <w:bottom w:val="single" w:sz="4" w:space="0" w:color="auto"/>
              <w:right w:val="nil"/>
            </w:tcBorders>
            <w:shd w:val="clear" w:color="auto" w:fill="auto"/>
            <w:noWrap/>
            <w:vAlign w:val="bottom"/>
            <w:hideMark/>
          </w:tcPr>
          <w:p w14:paraId="54196F3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424</w:t>
            </w:r>
          </w:p>
        </w:tc>
        <w:tc>
          <w:tcPr>
            <w:tcW w:w="304" w:type="pct"/>
            <w:tcBorders>
              <w:top w:val="nil"/>
              <w:left w:val="nil"/>
              <w:bottom w:val="single" w:sz="4" w:space="0" w:color="auto"/>
              <w:right w:val="nil"/>
            </w:tcBorders>
            <w:shd w:val="clear" w:color="auto" w:fill="auto"/>
            <w:noWrap/>
            <w:vAlign w:val="bottom"/>
            <w:hideMark/>
          </w:tcPr>
          <w:p w14:paraId="6ECC16B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541</w:t>
            </w:r>
          </w:p>
        </w:tc>
      </w:tr>
      <w:tr w:rsidR="00B54F4E" w:rsidRPr="00AF6323" w14:paraId="2BBFF3D2"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3B435C6F"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Total ahorro anual Sector Comercial(GWh)</w:t>
            </w:r>
          </w:p>
        </w:tc>
        <w:tc>
          <w:tcPr>
            <w:tcW w:w="307" w:type="pct"/>
            <w:tcBorders>
              <w:top w:val="nil"/>
              <w:left w:val="nil"/>
              <w:bottom w:val="single" w:sz="4" w:space="0" w:color="auto"/>
              <w:right w:val="nil"/>
            </w:tcBorders>
            <w:shd w:val="clear" w:color="auto" w:fill="auto"/>
            <w:noWrap/>
            <w:vAlign w:val="bottom"/>
            <w:hideMark/>
          </w:tcPr>
          <w:p w14:paraId="223DDE33"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auto" w:fill="auto"/>
            <w:noWrap/>
            <w:vAlign w:val="bottom"/>
            <w:hideMark/>
          </w:tcPr>
          <w:p w14:paraId="3A82162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52</w:t>
            </w:r>
          </w:p>
        </w:tc>
        <w:tc>
          <w:tcPr>
            <w:tcW w:w="309" w:type="pct"/>
            <w:tcBorders>
              <w:top w:val="nil"/>
              <w:left w:val="nil"/>
              <w:bottom w:val="single" w:sz="4" w:space="0" w:color="auto"/>
              <w:right w:val="nil"/>
            </w:tcBorders>
            <w:shd w:val="clear" w:color="auto" w:fill="auto"/>
            <w:noWrap/>
            <w:vAlign w:val="bottom"/>
            <w:hideMark/>
          </w:tcPr>
          <w:p w14:paraId="2B97D46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104</w:t>
            </w:r>
          </w:p>
        </w:tc>
        <w:tc>
          <w:tcPr>
            <w:tcW w:w="309" w:type="pct"/>
            <w:tcBorders>
              <w:top w:val="nil"/>
              <w:left w:val="nil"/>
              <w:bottom w:val="single" w:sz="4" w:space="0" w:color="auto"/>
              <w:right w:val="nil"/>
            </w:tcBorders>
            <w:shd w:val="clear" w:color="auto" w:fill="auto"/>
            <w:noWrap/>
            <w:vAlign w:val="bottom"/>
            <w:hideMark/>
          </w:tcPr>
          <w:p w14:paraId="7ABBE973"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170</w:t>
            </w:r>
          </w:p>
        </w:tc>
        <w:tc>
          <w:tcPr>
            <w:tcW w:w="288" w:type="pct"/>
            <w:tcBorders>
              <w:top w:val="nil"/>
              <w:left w:val="nil"/>
              <w:bottom w:val="single" w:sz="4" w:space="0" w:color="auto"/>
              <w:right w:val="nil"/>
            </w:tcBorders>
            <w:shd w:val="clear" w:color="auto" w:fill="auto"/>
            <w:noWrap/>
            <w:vAlign w:val="bottom"/>
            <w:hideMark/>
          </w:tcPr>
          <w:p w14:paraId="15F7DAE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254</w:t>
            </w:r>
          </w:p>
        </w:tc>
        <w:tc>
          <w:tcPr>
            <w:tcW w:w="288" w:type="pct"/>
            <w:tcBorders>
              <w:top w:val="nil"/>
              <w:left w:val="nil"/>
              <w:bottom w:val="single" w:sz="4" w:space="0" w:color="auto"/>
              <w:right w:val="nil"/>
            </w:tcBorders>
            <w:shd w:val="clear" w:color="auto" w:fill="auto"/>
            <w:noWrap/>
            <w:vAlign w:val="bottom"/>
            <w:hideMark/>
          </w:tcPr>
          <w:p w14:paraId="6095F97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342</w:t>
            </w:r>
          </w:p>
        </w:tc>
        <w:tc>
          <w:tcPr>
            <w:tcW w:w="305" w:type="pct"/>
            <w:tcBorders>
              <w:top w:val="nil"/>
              <w:left w:val="nil"/>
              <w:bottom w:val="single" w:sz="4" w:space="0" w:color="auto"/>
              <w:right w:val="nil"/>
            </w:tcBorders>
            <w:shd w:val="clear" w:color="auto" w:fill="auto"/>
            <w:noWrap/>
            <w:vAlign w:val="bottom"/>
            <w:hideMark/>
          </w:tcPr>
          <w:p w14:paraId="7490BF8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429</w:t>
            </w:r>
          </w:p>
        </w:tc>
        <w:tc>
          <w:tcPr>
            <w:tcW w:w="309" w:type="pct"/>
            <w:tcBorders>
              <w:top w:val="nil"/>
              <w:left w:val="nil"/>
              <w:bottom w:val="single" w:sz="4" w:space="0" w:color="auto"/>
              <w:right w:val="nil"/>
            </w:tcBorders>
            <w:shd w:val="clear" w:color="auto" w:fill="auto"/>
            <w:noWrap/>
            <w:vAlign w:val="bottom"/>
            <w:hideMark/>
          </w:tcPr>
          <w:p w14:paraId="70112BD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516</w:t>
            </w:r>
          </w:p>
        </w:tc>
        <w:tc>
          <w:tcPr>
            <w:tcW w:w="309" w:type="pct"/>
            <w:tcBorders>
              <w:top w:val="nil"/>
              <w:left w:val="nil"/>
              <w:bottom w:val="single" w:sz="4" w:space="0" w:color="auto"/>
              <w:right w:val="nil"/>
            </w:tcBorders>
            <w:shd w:val="clear" w:color="auto" w:fill="auto"/>
            <w:noWrap/>
            <w:vAlign w:val="bottom"/>
            <w:hideMark/>
          </w:tcPr>
          <w:p w14:paraId="5DCC743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603</w:t>
            </w:r>
          </w:p>
        </w:tc>
        <w:tc>
          <w:tcPr>
            <w:tcW w:w="304" w:type="pct"/>
            <w:tcBorders>
              <w:top w:val="nil"/>
              <w:left w:val="nil"/>
              <w:bottom w:val="single" w:sz="4" w:space="0" w:color="auto"/>
              <w:right w:val="nil"/>
            </w:tcBorders>
            <w:shd w:val="clear" w:color="auto" w:fill="auto"/>
            <w:noWrap/>
            <w:vAlign w:val="bottom"/>
            <w:hideMark/>
          </w:tcPr>
          <w:p w14:paraId="0792F4A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749</w:t>
            </w:r>
          </w:p>
        </w:tc>
      </w:tr>
      <w:tr w:rsidR="00B54F4E" w:rsidRPr="00AF6323" w14:paraId="61AF3136"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7DF99AA0"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Ahorro energético acumulado S. Comercial (GWh)</w:t>
            </w:r>
          </w:p>
        </w:tc>
        <w:tc>
          <w:tcPr>
            <w:tcW w:w="307" w:type="pct"/>
            <w:tcBorders>
              <w:top w:val="nil"/>
              <w:left w:val="nil"/>
              <w:bottom w:val="single" w:sz="4" w:space="0" w:color="auto"/>
              <w:right w:val="nil"/>
            </w:tcBorders>
            <w:shd w:val="clear" w:color="auto" w:fill="auto"/>
            <w:noWrap/>
            <w:vAlign w:val="bottom"/>
            <w:hideMark/>
          </w:tcPr>
          <w:p w14:paraId="6BADD612"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auto" w:fill="auto"/>
            <w:noWrap/>
            <w:vAlign w:val="bottom"/>
            <w:hideMark/>
          </w:tcPr>
          <w:p w14:paraId="06FA6AC0"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52</w:t>
            </w:r>
          </w:p>
        </w:tc>
        <w:tc>
          <w:tcPr>
            <w:tcW w:w="309" w:type="pct"/>
            <w:tcBorders>
              <w:top w:val="nil"/>
              <w:left w:val="nil"/>
              <w:bottom w:val="single" w:sz="4" w:space="0" w:color="auto"/>
              <w:right w:val="nil"/>
            </w:tcBorders>
            <w:shd w:val="clear" w:color="auto" w:fill="auto"/>
            <w:noWrap/>
            <w:vAlign w:val="bottom"/>
            <w:hideMark/>
          </w:tcPr>
          <w:p w14:paraId="4FDE051E"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157</w:t>
            </w:r>
          </w:p>
        </w:tc>
        <w:tc>
          <w:tcPr>
            <w:tcW w:w="309" w:type="pct"/>
            <w:tcBorders>
              <w:top w:val="nil"/>
              <w:left w:val="nil"/>
              <w:bottom w:val="single" w:sz="4" w:space="0" w:color="auto"/>
              <w:right w:val="nil"/>
            </w:tcBorders>
            <w:shd w:val="clear" w:color="auto" w:fill="auto"/>
            <w:noWrap/>
            <w:vAlign w:val="bottom"/>
            <w:hideMark/>
          </w:tcPr>
          <w:p w14:paraId="137720AD"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327</w:t>
            </w:r>
          </w:p>
        </w:tc>
        <w:tc>
          <w:tcPr>
            <w:tcW w:w="288" w:type="pct"/>
            <w:tcBorders>
              <w:top w:val="nil"/>
              <w:left w:val="nil"/>
              <w:bottom w:val="single" w:sz="4" w:space="0" w:color="auto"/>
              <w:right w:val="nil"/>
            </w:tcBorders>
            <w:shd w:val="clear" w:color="auto" w:fill="auto"/>
            <w:noWrap/>
            <w:vAlign w:val="bottom"/>
            <w:hideMark/>
          </w:tcPr>
          <w:p w14:paraId="5C2D38F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581</w:t>
            </w:r>
          </w:p>
        </w:tc>
        <w:tc>
          <w:tcPr>
            <w:tcW w:w="288" w:type="pct"/>
            <w:tcBorders>
              <w:top w:val="nil"/>
              <w:left w:val="nil"/>
              <w:bottom w:val="single" w:sz="4" w:space="0" w:color="auto"/>
              <w:right w:val="nil"/>
            </w:tcBorders>
            <w:shd w:val="clear" w:color="auto" w:fill="auto"/>
            <w:noWrap/>
            <w:vAlign w:val="bottom"/>
            <w:hideMark/>
          </w:tcPr>
          <w:p w14:paraId="4DEFCE7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923</w:t>
            </w:r>
          </w:p>
        </w:tc>
        <w:tc>
          <w:tcPr>
            <w:tcW w:w="305" w:type="pct"/>
            <w:tcBorders>
              <w:top w:val="nil"/>
              <w:left w:val="nil"/>
              <w:bottom w:val="single" w:sz="4" w:space="0" w:color="auto"/>
              <w:right w:val="nil"/>
            </w:tcBorders>
            <w:shd w:val="clear" w:color="auto" w:fill="auto"/>
            <w:noWrap/>
            <w:vAlign w:val="bottom"/>
            <w:hideMark/>
          </w:tcPr>
          <w:p w14:paraId="03D1CBC3"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1.352</w:t>
            </w:r>
          </w:p>
        </w:tc>
        <w:tc>
          <w:tcPr>
            <w:tcW w:w="309" w:type="pct"/>
            <w:tcBorders>
              <w:top w:val="nil"/>
              <w:left w:val="nil"/>
              <w:bottom w:val="single" w:sz="4" w:space="0" w:color="auto"/>
              <w:right w:val="nil"/>
            </w:tcBorders>
            <w:shd w:val="clear" w:color="auto" w:fill="auto"/>
            <w:noWrap/>
            <w:vAlign w:val="bottom"/>
            <w:hideMark/>
          </w:tcPr>
          <w:p w14:paraId="2282A15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1.868</w:t>
            </w:r>
          </w:p>
        </w:tc>
        <w:tc>
          <w:tcPr>
            <w:tcW w:w="309" w:type="pct"/>
            <w:tcBorders>
              <w:top w:val="nil"/>
              <w:left w:val="nil"/>
              <w:bottom w:val="single" w:sz="4" w:space="0" w:color="auto"/>
              <w:right w:val="nil"/>
            </w:tcBorders>
            <w:shd w:val="clear" w:color="auto" w:fill="auto"/>
            <w:noWrap/>
            <w:vAlign w:val="bottom"/>
            <w:hideMark/>
          </w:tcPr>
          <w:p w14:paraId="0874C54D"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2.472</w:t>
            </w:r>
          </w:p>
        </w:tc>
        <w:tc>
          <w:tcPr>
            <w:tcW w:w="304" w:type="pct"/>
            <w:tcBorders>
              <w:top w:val="nil"/>
              <w:left w:val="nil"/>
              <w:bottom w:val="single" w:sz="4" w:space="0" w:color="auto"/>
              <w:right w:val="nil"/>
            </w:tcBorders>
            <w:shd w:val="clear" w:color="auto" w:fill="auto"/>
            <w:noWrap/>
            <w:vAlign w:val="bottom"/>
            <w:hideMark/>
          </w:tcPr>
          <w:p w14:paraId="02C1D90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3.220</w:t>
            </w:r>
          </w:p>
        </w:tc>
      </w:tr>
      <w:tr w:rsidR="00B54F4E" w:rsidRPr="00AF6323" w14:paraId="02A21DE5" w14:textId="77777777" w:rsidTr="006504C4">
        <w:trPr>
          <w:trHeight w:val="300"/>
        </w:trPr>
        <w:tc>
          <w:tcPr>
            <w:tcW w:w="1962" w:type="pct"/>
            <w:tcBorders>
              <w:top w:val="nil"/>
              <w:left w:val="nil"/>
              <w:bottom w:val="single" w:sz="4" w:space="0" w:color="auto"/>
              <w:right w:val="nil"/>
            </w:tcBorders>
            <w:shd w:val="clear" w:color="000000" w:fill="E7E6E6"/>
            <w:noWrap/>
            <w:vAlign w:val="bottom"/>
            <w:hideMark/>
          </w:tcPr>
          <w:p w14:paraId="18FFDEC1" w14:textId="77777777" w:rsidR="00B54F4E" w:rsidRPr="00AF6323" w:rsidRDefault="00B54F4E" w:rsidP="006504C4">
            <w:pPr>
              <w:spacing w:before="0" w:after="0"/>
              <w:jc w:val="lef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Sector Público</w:t>
            </w:r>
          </w:p>
        </w:tc>
        <w:tc>
          <w:tcPr>
            <w:tcW w:w="307" w:type="pct"/>
            <w:tcBorders>
              <w:top w:val="nil"/>
              <w:left w:val="nil"/>
              <w:bottom w:val="single" w:sz="4" w:space="0" w:color="auto"/>
              <w:right w:val="nil"/>
            </w:tcBorders>
            <w:shd w:val="clear" w:color="000000" w:fill="E7E6E6"/>
            <w:noWrap/>
            <w:vAlign w:val="bottom"/>
            <w:hideMark/>
          </w:tcPr>
          <w:p w14:paraId="2B115F71"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548736E9"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62525FB6"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0D2EA582"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288" w:type="pct"/>
            <w:tcBorders>
              <w:top w:val="nil"/>
              <w:left w:val="nil"/>
              <w:bottom w:val="single" w:sz="4" w:space="0" w:color="auto"/>
              <w:right w:val="nil"/>
            </w:tcBorders>
            <w:shd w:val="clear" w:color="000000" w:fill="E7E6E6"/>
            <w:noWrap/>
            <w:vAlign w:val="bottom"/>
            <w:hideMark/>
          </w:tcPr>
          <w:p w14:paraId="51901E47"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288" w:type="pct"/>
            <w:tcBorders>
              <w:top w:val="nil"/>
              <w:left w:val="nil"/>
              <w:bottom w:val="single" w:sz="4" w:space="0" w:color="auto"/>
              <w:right w:val="nil"/>
            </w:tcBorders>
            <w:shd w:val="clear" w:color="000000" w:fill="E7E6E6"/>
            <w:noWrap/>
            <w:vAlign w:val="bottom"/>
            <w:hideMark/>
          </w:tcPr>
          <w:p w14:paraId="20E67086"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5" w:type="pct"/>
            <w:tcBorders>
              <w:top w:val="nil"/>
              <w:left w:val="nil"/>
              <w:bottom w:val="single" w:sz="4" w:space="0" w:color="auto"/>
              <w:right w:val="nil"/>
            </w:tcBorders>
            <w:shd w:val="clear" w:color="000000" w:fill="E7E6E6"/>
            <w:noWrap/>
            <w:vAlign w:val="bottom"/>
            <w:hideMark/>
          </w:tcPr>
          <w:p w14:paraId="43777948"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59748643"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664FA0A3"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c>
          <w:tcPr>
            <w:tcW w:w="304" w:type="pct"/>
            <w:tcBorders>
              <w:top w:val="nil"/>
              <w:left w:val="nil"/>
              <w:bottom w:val="single" w:sz="4" w:space="0" w:color="auto"/>
              <w:right w:val="nil"/>
            </w:tcBorders>
            <w:shd w:val="clear" w:color="000000" w:fill="E7E6E6"/>
            <w:noWrap/>
            <w:vAlign w:val="bottom"/>
            <w:hideMark/>
          </w:tcPr>
          <w:p w14:paraId="17D2876D" w14:textId="77777777" w:rsidR="00B54F4E" w:rsidRPr="00AF6323" w:rsidRDefault="00B54F4E" w:rsidP="006504C4">
            <w:pPr>
              <w:spacing w:before="0" w:after="0"/>
              <w:jc w:val="left"/>
              <w:rPr>
                <w:rFonts w:ascii="Calibri" w:hAnsi="Calibri" w:cs="Calibri"/>
                <w:color w:val="806000"/>
                <w:sz w:val="16"/>
                <w:szCs w:val="22"/>
                <w:lang w:eastAsia="es-CO"/>
              </w:rPr>
            </w:pPr>
            <w:r w:rsidRPr="00AF6323">
              <w:rPr>
                <w:rFonts w:ascii="Calibri" w:hAnsi="Calibri" w:cs="Calibri"/>
                <w:color w:val="806000"/>
                <w:sz w:val="16"/>
                <w:szCs w:val="22"/>
                <w:lang w:eastAsia="es-CO"/>
              </w:rPr>
              <w:t> </w:t>
            </w:r>
          </w:p>
        </w:tc>
      </w:tr>
      <w:tr w:rsidR="00B54F4E" w:rsidRPr="00AF6323" w14:paraId="54820A1F" w14:textId="77777777" w:rsidTr="006504C4">
        <w:trPr>
          <w:trHeight w:val="300"/>
        </w:trPr>
        <w:tc>
          <w:tcPr>
            <w:tcW w:w="1962" w:type="pct"/>
            <w:tcBorders>
              <w:top w:val="nil"/>
              <w:left w:val="nil"/>
              <w:bottom w:val="nil"/>
              <w:right w:val="nil"/>
            </w:tcBorders>
            <w:shd w:val="clear" w:color="auto" w:fill="auto"/>
            <w:noWrap/>
            <w:vAlign w:val="bottom"/>
            <w:hideMark/>
          </w:tcPr>
          <w:p w14:paraId="20617DA2"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Cambio equipos de bombillos</w:t>
            </w:r>
          </w:p>
        </w:tc>
        <w:tc>
          <w:tcPr>
            <w:tcW w:w="307" w:type="pct"/>
            <w:tcBorders>
              <w:top w:val="nil"/>
              <w:left w:val="nil"/>
              <w:bottom w:val="nil"/>
              <w:right w:val="nil"/>
            </w:tcBorders>
            <w:shd w:val="clear" w:color="auto" w:fill="auto"/>
            <w:noWrap/>
            <w:vAlign w:val="bottom"/>
            <w:hideMark/>
          </w:tcPr>
          <w:p w14:paraId="571D8678"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p>
        </w:tc>
        <w:tc>
          <w:tcPr>
            <w:tcW w:w="309" w:type="pct"/>
            <w:tcBorders>
              <w:top w:val="nil"/>
              <w:left w:val="nil"/>
              <w:bottom w:val="nil"/>
              <w:right w:val="nil"/>
            </w:tcBorders>
            <w:shd w:val="clear" w:color="auto" w:fill="auto"/>
            <w:noWrap/>
            <w:vAlign w:val="bottom"/>
            <w:hideMark/>
          </w:tcPr>
          <w:p w14:paraId="22BC998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w:t>
            </w:r>
          </w:p>
        </w:tc>
        <w:tc>
          <w:tcPr>
            <w:tcW w:w="309" w:type="pct"/>
            <w:tcBorders>
              <w:top w:val="nil"/>
              <w:left w:val="nil"/>
              <w:bottom w:val="nil"/>
              <w:right w:val="nil"/>
            </w:tcBorders>
            <w:shd w:val="clear" w:color="auto" w:fill="auto"/>
            <w:noWrap/>
            <w:vAlign w:val="bottom"/>
            <w:hideMark/>
          </w:tcPr>
          <w:p w14:paraId="385B04D9"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w:t>
            </w:r>
          </w:p>
        </w:tc>
        <w:tc>
          <w:tcPr>
            <w:tcW w:w="309" w:type="pct"/>
            <w:tcBorders>
              <w:top w:val="nil"/>
              <w:left w:val="nil"/>
              <w:bottom w:val="nil"/>
              <w:right w:val="nil"/>
            </w:tcBorders>
            <w:shd w:val="clear" w:color="auto" w:fill="auto"/>
            <w:noWrap/>
            <w:vAlign w:val="bottom"/>
            <w:hideMark/>
          </w:tcPr>
          <w:p w14:paraId="16D5B7C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8</w:t>
            </w:r>
          </w:p>
        </w:tc>
        <w:tc>
          <w:tcPr>
            <w:tcW w:w="288" w:type="pct"/>
            <w:tcBorders>
              <w:top w:val="nil"/>
              <w:left w:val="nil"/>
              <w:bottom w:val="nil"/>
              <w:right w:val="nil"/>
            </w:tcBorders>
            <w:shd w:val="clear" w:color="auto" w:fill="auto"/>
            <w:noWrap/>
            <w:vAlign w:val="bottom"/>
            <w:hideMark/>
          </w:tcPr>
          <w:p w14:paraId="1FF7F09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12</w:t>
            </w:r>
          </w:p>
        </w:tc>
        <w:tc>
          <w:tcPr>
            <w:tcW w:w="288" w:type="pct"/>
            <w:tcBorders>
              <w:top w:val="nil"/>
              <w:left w:val="nil"/>
              <w:bottom w:val="nil"/>
              <w:right w:val="nil"/>
            </w:tcBorders>
            <w:shd w:val="clear" w:color="auto" w:fill="auto"/>
            <w:noWrap/>
            <w:vAlign w:val="bottom"/>
            <w:hideMark/>
          </w:tcPr>
          <w:p w14:paraId="05D5732D"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15</w:t>
            </w:r>
          </w:p>
        </w:tc>
        <w:tc>
          <w:tcPr>
            <w:tcW w:w="305" w:type="pct"/>
            <w:tcBorders>
              <w:top w:val="nil"/>
              <w:left w:val="nil"/>
              <w:bottom w:val="nil"/>
              <w:right w:val="nil"/>
            </w:tcBorders>
            <w:shd w:val="clear" w:color="auto" w:fill="auto"/>
            <w:noWrap/>
            <w:vAlign w:val="bottom"/>
            <w:hideMark/>
          </w:tcPr>
          <w:p w14:paraId="68B0402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19</w:t>
            </w:r>
          </w:p>
        </w:tc>
        <w:tc>
          <w:tcPr>
            <w:tcW w:w="309" w:type="pct"/>
            <w:tcBorders>
              <w:top w:val="nil"/>
              <w:left w:val="nil"/>
              <w:bottom w:val="nil"/>
              <w:right w:val="nil"/>
            </w:tcBorders>
            <w:shd w:val="clear" w:color="auto" w:fill="auto"/>
            <w:noWrap/>
            <w:vAlign w:val="bottom"/>
            <w:hideMark/>
          </w:tcPr>
          <w:p w14:paraId="4C9A7BA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22</w:t>
            </w:r>
          </w:p>
        </w:tc>
        <w:tc>
          <w:tcPr>
            <w:tcW w:w="309" w:type="pct"/>
            <w:tcBorders>
              <w:top w:val="nil"/>
              <w:left w:val="nil"/>
              <w:bottom w:val="nil"/>
              <w:right w:val="nil"/>
            </w:tcBorders>
            <w:shd w:val="clear" w:color="auto" w:fill="auto"/>
            <w:noWrap/>
            <w:vAlign w:val="bottom"/>
            <w:hideMark/>
          </w:tcPr>
          <w:p w14:paraId="5D867AD3"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26</w:t>
            </w:r>
          </w:p>
        </w:tc>
        <w:tc>
          <w:tcPr>
            <w:tcW w:w="304" w:type="pct"/>
            <w:tcBorders>
              <w:top w:val="nil"/>
              <w:left w:val="nil"/>
              <w:bottom w:val="nil"/>
              <w:right w:val="nil"/>
            </w:tcBorders>
            <w:shd w:val="clear" w:color="auto" w:fill="auto"/>
            <w:noWrap/>
            <w:vAlign w:val="bottom"/>
            <w:hideMark/>
          </w:tcPr>
          <w:p w14:paraId="0B22E399"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29</w:t>
            </w:r>
          </w:p>
        </w:tc>
      </w:tr>
      <w:tr w:rsidR="00B54F4E" w:rsidRPr="00AF6323" w14:paraId="222B7B6E"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1BCB212E" w14:textId="77777777" w:rsidR="00B54F4E" w:rsidRPr="00AF6323" w:rsidRDefault="00B54F4E" w:rsidP="006504C4">
            <w:pPr>
              <w:spacing w:before="0" w:after="0"/>
              <w:ind w:firstLineChars="100" w:firstLine="16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Medidas arquitectónicas eficientes</w:t>
            </w:r>
          </w:p>
        </w:tc>
        <w:tc>
          <w:tcPr>
            <w:tcW w:w="307" w:type="pct"/>
            <w:tcBorders>
              <w:top w:val="nil"/>
              <w:left w:val="nil"/>
              <w:bottom w:val="single" w:sz="4" w:space="0" w:color="auto"/>
              <w:right w:val="nil"/>
            </w:tcBorders>
            <w:shd w:val="clear" w:color="auto" w:fill="auto"/>
            <w:noWrap/>
            <w:vAlign w:val="bottom"/>
            <w:hideMark/>
          </w:tcPr>
          <w:p w14:paraId="5AC493FD"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auto" w:fill="auto"/>
            <w:noWrap/>
            <w:vAlign w:val="bottom"/>
            <w:hideMark/>
          </w:tcPr>
          <w:p w14:paraId="426E262E"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6</w:t>
            </w:r>
          </w:p>
        </w:tc>
        <w:tc>
          <w:tcPr>
            <w:tcW w:w="309" w:type="pct"/>
            <w:tcBorders>
              <w:top w:val="nil"/>
              <w:left w:val="nil"/>
              <w:bottom w:val="single" w:sz="4" w:space="0" w:color="auto"/>
              <w:right w:val="nil"/>
            </w:tcBorders>
            <w:shd w:val="clear" w:color="auto" w:fill="auto"/>
            <w:noWrap/>
            <w:vAlign w:val="bottom"/>
            <w:hideMark/>
          </w:tcPr>
          <w:p w14:paraId="16BB8150"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8</w:t>
            </w:r>
          </w:p>
        </w:tc>
        <w:tc>
          <w:tcPr>
            <w:tcW w:w="309" w:type="pct"/>
            <w:tcBorders>
              <w:top w:val="nil"/>
              <w:left w:val="nil"/>
              <w:bottom w:val="single" w:sz="4" w:space="0" w:color="auto"/>
              <w:right w:val="nil"/>
            </w:tcBorders>
            <w:shd w:val="clear" w:color="auto" w:fill="auto"/>
            <w:noWrap/>
            <w:vAlign w:val="bottom"/>
            <w:hideMark/>
          </w:tcPr>
          <w:p w14:paraId="325CA24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10</w:t>
            </w:r>
          </w:p>
        </w:tc>
        <w:tc>
          <w:tcPr>
            <w:tcW w:w="288" w:type="pct"/>
            <w:tcBorders>
              <w:top w:val="nil"/>
              <w:left w:val="nil"/>
              <w:bottom w:val="single" w:sz="4" w:space="0" w:color="auto"/>
              <w:right w:val="nil"/>
            </w:tcBorders>
            <w:shd w:val="clear" w:color="auto" w:fill="auto"/>
            <w:noWrap/>
            <w:vAlign w:val="bottom"/>
            <w:hideMark/>
          </w:tcPr>
          <w:p w14:paraId="26CAF4FC"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12</w:t>
            </w:r>
          </w:p>
        </w:tc>
        <w:tc>
          <w:tcPr>
            <w:tcW w:w="288" w:type="pct"/>
            <w:tcBorders>
              <w:top w:val="nil"/>
              <w:left w:val="nil"/>
              <w:bottom w:val="single" w:sz="4" w:space="0" w:color="auto"/>
              <w:right w:val="nil"/>
            </w:tcBorders>
            <w:shd w:val="clear" w:color="auto" w:fill="auto"/>
            <w:noWrap/>
            <w:vAlign w:val="bottom"/>
            <w:hideMark/>
          </w:tcPr>
          <w:p w14:paraId="532523F0"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15</w:t>
            </w:r>
          </w:p>
        </w:tc>
        <w:tc>
          <w:tcPr>
            <w:tcW w:w="305" w:type="pct"/>
            <w:tcBorders>
              <w:top w:val="nil"/>
              <w:left w:val="nil"/>
              <w:bottom w:val="single" w:sz="4" w:space="0" w:color="auto"/>
              <w:right w:val="nil"/>
            </w:tcBorders>
            <w:shd w:val="clear" w:color="auto" w:fill="auto"/>
            <w:noWrap/>
            <w:vAlign w:val="bottom"/>
            <w:hideMark/>
          </w:tcPr>
          <w:p w14:paraId="52E0977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18</w:t>
            </w:r>
          </w:p>
        </w:tc>
        <w:tc>
          <w:tcPr>
            <w:tcW w:w="309" w:type="pct"/>
            <w:tcBorders>
              <w:top w:val="nil"/>
              <w:left w:val="nil"/>
              <w:bottom w:val="single" w:sz="4" w:space="0" w:color="auto"/>
              <w:right w:val="nil"/>
            </w:tcBorders>
            <w:shd w:val="clear" w:color="auto" w:fill="auto"/>
            <w:noWrap/>
            <w:vAlign w:val="bottom"/>
            <w:hideMark/>
          </w:tcPr>
          <w:p w14:paraId="0D1F6B9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20</w:t>
            </w:r>
          </w:p>
        </w:tc>
        <w:tc>
          <w:tcPr>
            <w:tcW w:w="309" w:type="pct"/>
            <w:tcBorders>
              <w:top w:val="nil"/>
              <w:left w:val="nil"/>
              <w:bottom w:val="single" w:sz="4" w:space="0" w:color="auto"/>
              <w:right w:val="nil"/>
            </w:tcBorders>
            <w:shd w:val="clear" w:color="auto" w:fill="auto"/>
            <w:noWrap/>
            <w:vAlign w:val="bottom"/>
            <w:hideMark/>
          </w:tcPr>
          <w:p w14:paraId="096EBADA"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23</w:t>
            </w:r>
          </w:p>
        </w:tc>
        <w:tc>
          <w:tcPr>
            <w:tcW w:w="304" w:type="pct"/>
            <w:tcBorders>
              <w:top w:val="nil"/>
              <w:left w:val="nil"/>
              <w:bottom w:val="single" w:sz="4" w:space="0" w:color="auto"/>
              <w:right w:val="nil"/>
            </w:tcBorders>
            <w:shd w:val="clear" w:color="auto" w:fill="auto"/>
            <w:noWrap/>
            <w:vAlign w:val="bottom"/>
            <w:hideMark/>
          </w:tcPr>
          <w:p w14:paraId="7802E58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26</w:t>
            </w:r>
          </w:p>
        </w:tc>
      </w:tr>
      <w:tr w:rsidR="00B54F4E" w:rsidRPr="00AF6323" w14:paraId="204E3AF4" w14:textId="77777777" w:rsidTr="006504C4">
        <w:trPr>
          <w:trHeight w:val="300"/>
        </w:trPr>
        <w:tc>
          <w:tcPr>
            <w:tcW w:w="1962" w:type="pct"/>
            <w:tcBorders>
              <w:top w:val="nil"/>
              <w:left w:val="nil"/>
              <w:bottom w:val="single" w:sz="4" w:space="0" w:color="auto"/>
              <w:right w:val="nil"/>
            </w:tcBorders>
            <w:shd w:val="clear" w:color="auto" w:fill="auto"/>
            <w:noWrap/>
            <w:vAlign w:val="bottom"/>
            <w:hideMark/>
          </w:tcPr>
          <w:p w14:paraId="792ADE49"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Total ahorro anual Sector Público (GWh)</w:t>
            </w:r>
          </w:p>
        </w:tc>
        <w:tc>
          <w:tcPr>
            <w:tcW w:w="307" w:type="pct"/>
            <w:tcBorders>
              <w:top w:val="nil"/>
              <w:left w:val="nil"/>
              <w:bottom w:val="single" w:sz="4" w:space="0" w:color="auto"/>
              <w:right w:val="nil"/>
            </w:tcBorders>
            <w:shd w:val="clear" w:color="auto" w:fill="auto"/>
            <w:noWrap/>
            <w:vAlign w:val="bottom"/>
            <w:hideMark/>
          </w:tcPr>
          <w:p w14:paraId="7C9E809D"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4" w:space="0" w:color="auto"/>
              <w:right w:val="nil"/>
            </w:tcBorders>
            <w:shd w:val="clear" w:color="auto" w:fill="auto"/>
            <w:noWrap/>
            <w:vAlign w:val="bottom"/>
            <w:hideMark/>
          </w:tcPr>
          <w:p w14:paraId="67B90F07"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8</w:t>
            </w:r>
          </w:p>
        </w:tc>
        <w:tc>
          <w:tcPr>
            <w:tcW w:w="309" w:type="pct"/>
            <w:tcBorders>
              <w:top w:val="nil"/>
              <w:left w:val="nil"/>
              <w:bottom w:val="single" w:sz="4" w:space="0" w:color="auto"/>
              <w:right w:val="nil"/>
            </w:tcBorders>
            <w:shd w:val="clear" w:color="auto" w:fill="auto"/>
            <w:noWrap/>
            <w:vAlign w:val="bottom"/>
            <w:hideMark/>
          </w:tcPr>
          <w:p w14:paraId="4182737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13</w:t>
            </w:r>
          </w:p>
        </w:tc>
        <w:tc>
          <w:tcPr>
            <w:tcW w:w="309" w:type="pct"/>
            <w:tcBorders>
              <w:top w:val="nil"/>
              <w:left w:val="nil"/>
              <w:bottom w:val="single" w:sz="4" w:space="0" w:color="auto"/>
              <w:right w:val="nil"/>
            </w:tcBorders>
            <w:shd w:val="clear" w:color="auto" w:fill="auto"/>
            <w:noWrap/>
            <w:vAlign w:val="bottom"/>
            <w:hideMark/>
          </w:tcPr>
          <w:p w14:paraId="4494294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18</w:t>
            </w:r>
          </w:p>
        </w:tc>
        <w:tc>
          <w:tcPr>
            <w:tcW w:w="288" w:type="pct"/>
            <w:tcBorders>
              <w:top w:val="nil"/>
              <w:left w:val="nil"/>
              <w:bottom w:val="single" w:sz="4" w:space="0" w:color="auto"/>
              <w:right w:val="nil"/>
            </w:tcBorders>
            <w:shd w:val="clear" w:color="auto" w:fill="auto"/>
            <w:noWrap/>
            <w:vAlign w:val="bottom"/>
            <w:hideMark/>
          </w:tcPr>
          <w:p w14:paraId="030006C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24</w:t>
            </w:r>
          </w:p>
        </w:tc>
        <w:tc>
          <w:tcPr>
            <w:tcW w:w="288" w:type="pct"/>
            <w:tcBorders>
              <w:top w:val="nil"/>
              <w:left w:val="nil"/>
              <w:bottom w:val="single" w:sz="4" w:space="0" w:color="auto"/>
              <w:right w:val="nil"/>
            </w:tcBorders>
            <w:shd w:val="clear" w:color="auto" w:fill="auto"/>
            <w:noWrap/>
            <w:vAlign w:val="bottom"/>
            <w:hideMark/>
          </w:tcPr>
          <w:p w14:paraId="3310911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30</w:t>
            </w:r>
          </w:p>
        </w:tc>
        <w:tc>
          <w:tcPr>
            <w:tcW w:w="305" w:type="pct"/>
            <w:tcBorders>
              <w:top w:val="nil"/>
              <w:left w:val="nil"/>
              <w:bottom w:val="single" w:sz="4" w:space="0" w:color="auto"/>
              <w:right w:val="nil"/>
            </w:tcBorders>
            <w:shd w:val="clear" w:color="auto" w:fill="auto"/>
            <w:noWrap/>
            <w:vAlign w:val="bottom"/>
            <w:hideMark/>
          </w:tcPr>
          <w:p w14:paraId="1D9A7A1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36</w:t>
            </w:r>
          </w:p>
        </w:tc>
        <w:tc>
          <w:tcPr>
            <w:tcW w:w="309" w:type="pct"/>
            <w:tcBorders>
              <w:top w:val="nil"/>
              <w:left w:val="nil"/>
              <w:bottom w:val="single" w:sz="4" w:space="0" w:color="auto"/>
              <w:right w:val="nil"/>
            </w:tcBorders>
            <w:shd w:val="clear" w:color="auto" w:fill="auto"/>
            <w:noWrap/>
            <w:vAlign w:val="bottom"/>
            <w:hideMark/>
          </w:tcPr>
          <w:p w14:paraId="4A4BB72D"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42</w:t>
            </w:r>
          </w:p>
        </w:tc>
        <w:tc>
          <w:tcPr>
            <w:tcW w:w="309" w:type="pct"/>
            <w:tcBorders>
              <w:top w:val="nil"/>
              <w:left w:val="nil"/>
              <w:bottom w:val="single" w:sz="4" w:space="0" w:color="auto"/>
              <w:right w:val="nil"/>
            </w:tcBorders>
            <w:shd w:val="clear" w:color="auto" w:fill="auto"/>
            <w:noWrap/>
            <w:vAlign w:val="bottom"/>
            <w:hideMark/>
          </w:tcPr>
          <w:p w14:paraId="55BF10DD"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49</w:t>
            </w:r>
          </w:p>
        </w:tc>
        <w:tc>
          <w:tcPr>
            <w:tcW w:w="304" w:type="pct"/>
            <w:tcBorders>
              <w:top w:val="nil"/>
              <w:left w:val="nil"/>
              <w:bottom w:val="single" w:sz="4" w:space="0" w:color="auto"/>
              <w:right w:val="nil"/>
            </w:tcBorders>
            <w:shd w:val="clear" w:color="auto" w:fill="auto"/>
            <w:noWrap/>
            <w:vAlign w:val="bottom"/>
            <w:hideMark/>
          </w:tcPr>
          <w:p w14:paraId="1DF6CE1F"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55</w:t>
            </w:r>
          </w:p>
        </w:tc>
      </w:tr>
      <w:tr w:rsidR="00B54F4E" w:rsidRPr="00AF6323" w14:paraId="105249C7" w14:textId="77777777" w:rsidTr="006504C4">
        <w:trPr>
          <w:trHeight w:val="315"/>
        </w:trPr>
        <w:tc>
          <w:tcPr>
            <w:tcW w:w="1962" w:type="pct"/>
            <w:tcBorders>
              <w:top w:val="nil"/>
              <w:left w:val="nil"/>
              <w:bottom w:val="single" w:sz="8" w:space="0" w:color="auto"/>
              <w:right w:val="nil"/>
            </w:tcBorders>
            <w:shd w:val="clear" w:color="auto" w:fill="auto"/>
            <w:noWrap/>
            <w:vAlign w:val="bottom"/>
            <w:hideMark/>
          </w:tcPr>
          <w:p w14:paraId="74386540"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Ahorro energético acumulado S. Público (GWh)</w:t>
            </w:r>
          </w:p>
        </w:tc>
        <w:tc>
          <w:tcPr>
            <w:tcW w:w="307" w:type="pct"/>
            <w:tcBorders>
              <w:top w:val="nil"/>
              <w:left w:val="nil"/>
              <w:bottom w:val="single" w:sz="8" w:space="0" w:color="auto"/>
              <w:right w:val="nil"/>
            </w:tcBorders>
            <w:shd w:val="clear" w:color="auto" w:fill="auto"/>
            <w:noWrap/>
            <w:vAlign w:val="bottom"/>
            <w:hideMark/>
          </w:tcPr>
          <w:p w14:paraId="32913473" w14:textId="77777777" w:rsidR="00B54F4E" w:rsidRPr="00AF6323" w:rsidRDefault="00B54F4E" w:rsidP="006504C4">
            <w:pPr>
              <w:spacing w:before="0" w:after="0"/>
              <w:jc w:val="left"/>
              <w:rPr>
                <w:rFonts w:ascii="Calibri" w:hAnsi="Calibri" w:cs="Calibri"/>
                <w:color w:val="000000"/>
                <w:sz w:val="16"/>
                <w:szCs w:val="22"/>
                <w:lang w:eastAsia="es-CO"/>
              </w:rPr>
            </w:pPr>
            <w:r w:rsidRPr="00AF6323">
              <w:rPr>
                <w:rFonts w:ascii="Calibri" w:hAnsi="Calibri" w:cs="Calibri"/>
                <w:color w:val="000000"/>
                <w:sz w:val="16"/>
                <w:szCs w:val="22"/>
                <w:lang w:eastAsia="es-CO"/>
              </w:rPr>
              <w:t> </w:t>
            </w:r>
          </w:p>
        </w:tc>
        <w:tc>
          <w:tcPr>
            <w:tcW w:w="309" w:type="pct"/>
            <w:tcBorders>
              <w:top w:val="nil"/>
              <w:left w:val="nil"/>
              <w:bottom w:val="single" w:sz="8" w:space="0" w:color="auto"/>
              <w:right w:val="nil"/>
            </w:tcBorders>
            <w:shd w:val="clear" w:color="auto" w:fill="auto"/>
            <w:noWrap/>
            <w:vAlign w:val="bottom"/>
            <w:hideMark/>
          </w:tcPr>
          <w:p w14:paraId="0795DE59"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8</w:t>
            </w:r>
          </w:p>
        </w:tc>
        <w:tc>
          <w:tcPr>
            <w:tcW w:w="309" w:type="pct"/>
            <w:tcBorders>
              <w:top w:val="nil"/>
              <w:left w:val="nil"/>
              <w:bottom w:val="single" w:sz="8" w:space="0" w:color="auto"/>
              <w:right w:val="nil"/>
            </w:tcBorders>
            <w:shd w:val="clear" w:color="auto" w:fill="auto"/>
            <w:noWrap/>
            <w:vAlign w:val="bottom"/>
            <w:hideMark/>
          </w:tcPr>
          <w:p w14:paraId="1B7FA326"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21</w:t>
            </w:r>
          </w:p>
        </w:tc>
        <w:tc>
          <w:tcPr>
            <w:tcW w:w="309" w:type="pct"/>
            <w:tcBorders>
              <w:top w:val="nil"/>
              <w:left w:val="nil"/>
              <w:bottom w:val="single" w:sz="8" w:space="0" w:color="auto"/>
              <w:right w:val="nil"/>
            </w:tcBorders>
            <w:shd w:val="clear" w:color="auto" w:fill="auto"/>
            <w:noWrap/>
            <w:vAlign w:val="bottom"/>
            <w:hideMark/>
          </w:tcPr>
          <w:p w14:paraId="0AA29FBB"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39</w:t>
            </w:r>
          </w:p>
        </w:tc>
        <w:tc>
          <w:tcPr>
            <w:tcW w:w="288" w:type="pct"/>
            <w:tcBorders>
              <w:top w:val="nil"/>
              <w:left w:val="nil"/>
              <w:bottom w:val="single" w:sz="8" w:space="0" w:color="auto"/>
              <w:right w:val="nil"/>
            </w:tcBorders>
            <w:shd w:val="clear" w:color="auto" w:fill="auto"/>
            <w:noWrap/>
            <w:vAlign w:val="bottom"/>
            <w:hideMark/>
          </w:tcPr>
          <w:p w14:paraId="1BD681E2"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64</w:t>
            </w:r>
          </w:p>
        </w:tc>
        <w:tc>
          <w:tcPr>
            <w:tcW w:w="288" w:type="pct"/>
            <w:tcBorders>
              <w:top w:val="nil"/>
              <w:left w:val="nil"/>
              <w:bottom w:val="single" w:sz="8" w:space="0" w:color="auto"/>
              <w:right w:val="nil"/>
            </w:tcBorders>
            <w:shd w:val="clear" w:color="auto" w:fill="auto"/>
            <w:noWrap/>
            <w:vAlign w:val="bottom"/>
            <w:hideMark/>
          </w:tcPr>
          <w:p w14:paraId="0F417061"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94</w:t>
            </w:r>
          </w:p>
        </w:tc>
        <w:tc>
          <w:tcPr>
            <w:tcW w:w="305" w:type="pct"/>
            <w:tcBorders>
              <w:top w:val="nil"/>
              <w:left w:val="nil"/>
              <w:bottom w:val="single" w:sz="8" w:space="0" w:color="auto"/>
              <w:right w:val="nil"/>
            </w:tcBorders>
            <w:shd w:val="clear" w:color="auto" w:fill="auto"/>
            <w:noWrap/>
            <w:vAlign w:val="bottom"/>
            <w:hideMark/>
          </w:tcPr>
          <w:p w14:paraId="5C80F255"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130</w:t>
            </w:r>
          </w:p>
        </w:tc>
        <w:tc>
          <w:tcPr>
            <w:tcW w:w="309" w:type="pct"/>
            <w:tcBorders>
              <w:top w:val="nil"/>
              <w:left w:val="nil"/>
              <w:bottom w:val="single" w:sz="8" w:space="0" w:color="auto"/>
              <w:right w:val="nil"/>
            </w:tcBorders>
            <w:shd w:val="clear" w:color="auto" w:fill="auto"/>
            <w:noWrap/>
            <w:vAlign w:val="bottom"/>
            <w:hideMark/>
          </w:tcPr>
          <w:p w14:paraId="59DD9074"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172</w:t>
            </w:r>
          </w:p>
        </w:tc>
        <w:tc>
          <w:tcPr>
            <w:tcW w:w="309" w:type="pct"/>
            <w:tcBorders>
              <w:top w:val="nil"/>
              <w:left w:val="nil"/>
              <w:bottom w:val="single" w:sz="8" w:space="0" w:color="auto"/>
              <w:right w:val="nil"/>
            </w:tcBorders>
            <w:shd w:val="clear" w:color="auto" w:fill="auto"/>
            <w:noWrap/>
            <w:vAlign w:val="bottom"/>
            <w:hideMark/>
          </w:tcPr>
          <w:p w14:paraId="23FB895C"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221</w:t>
            </w:r>
          </w:p>
        </w:tc>
        <w:tc>
          <w:tcPr>
            <w:tcW w:w="304" w:type="pct"/>
            <w:tcBorders>
              <w:top w:val="nil"/>
              <w:left w:val="nil"/>
              <w:bottom w:val="single" w:sz="8" w:space="0" w:color="auto"/>
              <w:right w:val="nil"/>
            </w:tcBorders>
            <w:shd w:val="clear" w:color="auto" w:fill="auto"/>
            <w:noWrap/>
            <w:vAlign w:val="bottom"/>
            <w:hideMark/>
          </w:tcPr>
          <w:p w14:paraId="03D15263" w14:textId="77777777" w:rsidR="00B54F4E" w:rsidRPr="00AF6323" w:rsidRDefault="00B54F4E" w:rsidP="006504C4">
            <w:pPr>
              <w:spacing w:before="0" w:after="0"/>
              <w:jc w:val="right"/>
              <w:rPr>
                <w:rFonts w:ascii="Calibri" w:hAnsi="Calibri" w:cs="Calibri"/>
                <w:color w:val="000000"/>
                <w:sz w:val="16"/>
                <w:szCs w:val="22"/>
                <w:lang w:eastAsia="es-CO"/>
              </w:rPr>
            </w:pPr>
            <w:r w:rsidRPr="00AF6323">
              <w:rPr>
                <w:rFonts w:ascii="Calibri" w:hAnsi="Calibri" w:cs="Calibri"/>
                <w:color w:val="000000"/>
                <w:sz w:val="16"/>
                <w:szCs w:val="22"/>
                <w:lang w:eastAsia="es-CO"/>
              </w:rPr>
              <w:t>276</w:t>
            </w:r>
          </w:p>
        </w:tc>
      </w:tr>
      <w:tr w:rsidR="00B54F4E" w:rsidRPr="00AF6323" w14:paraId="68018CEF" w14:textId="77777777" w:rsidTr="006504C4">
        <w:trPr>
          <w:trHeight w:val="300"/>
        </w:trPr>
        <w:tc>
          <w:tcPr>
            <w:tcW w:w="1962" w:type="pct"/>
            <w:tcBorders>
              <w:top w:val="nil"/>
              <w:left w:val="nil"/>
              <w:bottom w:val="single" w:sz="4" w:space="0" w:color="auto"/>
              <w:right w:val="nil"/>
            </w:tcBorders>
            <w:shd w:val="clear" w:color="000000" w:fill="E7E6E6"/>
            <w:noWrap/>
            <w:vAlign w:val="bottom"/>
            <w:hideMark/>
          </w:tcPr>
          <w:p w14:paraId="3FE51868" w14:textId="77777777" w:rsidR="00B54F4E" w:rsidRPr="00AF6323" w:rsidRDefault="00B54F4E" w:rsidP="006504C4">
            <w:pPr>
              <w:spacing w:before="0" w:after="0"/>
              <w:jc w:val="lef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Total ahorro anual (GWh)</w:t>
            </w:r>
          </w:p>
        </w:tc>
        <w:tc>
          <w:tcPr>
            <w:tcW w:w="307" w:type="pct"/>
            <w:tcBorders>
              <w:top w:val="nil"/>
              <w:left w:val="nil"/>
              <w:bottom w:val="single" w:sz="4" w:space="0" w:color="auto"/>
              <w:right w:val="nil"/>
            </w:tcBorders>
            <w:shd w:val="clear" w:color="000000" w:fill="E7E6E6"/>
            <w:noWrap/>
            <w:vAlign w:val="bottom"/>
            <w:hideMark/>
          </w:tcPr>
          <w:p w14:paraId="52E621B3" w14:textId="77777777" w:rsidR="00B54F4E" w:rsidRPr="00AF6323" w:rsidRDefault="00B54F4E" w:rsidP="006504C4">
            <w:pPr>
              <w:spacing w:before="0" w:after="0"/>
              <w:jc w:val="lef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 </w:t>
            </w:r>
          </w:p>
        </w:tc>
        <w:tc>
          <w:tcPr>
            <w:tcW w:w="309" w:type="pct"/>
            <w:tcBorders>
              <w:top w:val="nil"/>
              <w:left w:val="nil"/>
              <w:bottom w:val="single" w:sz="4" w:space="0" w:color="auto"/>
              <w:right w:val="nil"/>
            </w:tcBorders>
            <w:shd w:val="clear" w:color="000000" w:fill="E7E6E6"/>
            <w:noWrap/>
            <w:vAlign w:val="bottom"/>
            <w:hideMark/>
          </w:tcPr>
          <w:p w14:paraId="61A7BAA6"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165</w:t>
            </w:r>
          </w:p>
        </w:tc>
        <w:tc>
          <w:tcPr>
            <w:tcW w:w="309" w:type="pct"/>
            <w:tcBorders>
              <w:top w:val="nil"/>
              <w:left w:val="nil"/>
              <w:bottom w:val="single" w:sz="4" w:space="0" w:color="auto"/>
              <w:right w:val="nil"/>
            </w:tcBorders>
            <w:shd w:val="clear" w:color="000000" w:fill="E7E6E6"/>
            <w:noWrap/>
            <w:vAlign w:val="bottom"/>
            <w:hideMark/>
          </w:tcPr>
          <w:p w14:paraId="7AB05E59"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293</w:t>
            </w:r>
          </w:p>
        </w:tc>
        <w:tc>
          <w:tcPr>
            <w:tcW w:w="309" w:type="pct"/>
            <w:tcBorders>
              <w:top w:val="nil"/>
              <w:left w:val="nil"/>
              <w:bottom w:val="single" w:sz="4" w:space="0" w:color="auto"/>
              <w:right w:val="nil"/>
            </w:tcBorders>
            <w:shd w:val="clear" w:color="000000" w:fill="E7E6E6"/>
            <w:noWrap/>
            <w:vAlign w:val="bottom"/>
            <w:hideMark/>
          </w:tcPr>
          <w:p w14:paraId="5B2079B0"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436</w:t>
            </w:r>
          </w:p>
        </w:tc>
        <w:tc>
          <w:tcPr>
            <w:tcW w:w="288" w:type="pct"/>
            <w:tcBorders>
              <w:top w:val="nil"/>
              <w:left w:val="nil"/>
              <w:bottom w:val="single" w:sz="4" w:space="0" w:color="auto"/>
              <w:right w:val="nil"/>
            </w:tcBorders>
            <w:shd w:val="clear" w:color="000000" w:fill="E7E6E6"/>
            <w:noWrap/>
            <w:vAlign w:val="bottom"/>
            <w:hideMark/>
          </w:tcPr>
          <w:p w14:paraId="07E92A6F"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601</w:t>
            </w:r>
          </w:p>
        </w:tc>
        <w:tc>
          <w:tcPr>
            <w:tcW w:w="288" w:type="pct"/>
            <w:tcBorders>
              <w:top w:val="nil"/>
              <w:left w:val="nil"/>
              <w:bottom w:val="single" w:sz="4" w:space="0" w:color="auto"/>
              <w:right w:val="nil"/>
            </w:tcBorders>
            <w:shd w:val="clear" w:color="000000" w:fill="E7E6E6"/>
            <w:noWrap/>
            <w:vAlign w:val="bottom"/>
            <w:hideMark/>
          </w:tcPr>
          <w:p w14:paraId="170DA178"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753</w:t>
            </w:r>
          </w:p>
        </w:tc>
        <w:tc>
          <w:tcPr>
            <w:tcW w:w="305" w:type="pct"/>
            <w:tcBorders>
              <w:top w:val="nil"/>
              <w:left w:val="nil"/>
              <w:bottom w:val="single" w:sz="4" w:space="0" w:color="auto"/>
              <w:right w:val="nil"/>
            </w:tcBorders>
            <w:shd w:val="clear" w:color="000000" w:fill="E7E6E6"/>
            <w:noWrap/>
            <w:vAlign w:val="bottom"/>
            <w:hideMark/>
          </w:tcPr>
          <w:p w14:paraId="00F83477"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905</w:t>
            </w:r>
          </w:p>
        </w:tc>
        <w:tc>
          <w:tcPr>
            <w:tcW w:w="309" w:type="pct"/>
            <w:tcBorders>
              <w:top w:val="nil"/>
              <w:left w:val="nil"/>
              <w:bottom w:val="single" w:sz="4" w:space="0" w:color="auto"/>
              <w:right w:val="nil"/>
            </w:tcBorders>
            <w:shd w:val="clear" w:color="000000" w:fill="E7E6E6"/>
            <w:noWrap/>
            <w:vAlign w:val="bottom"/>
            <w:hideMark/>
          </w:tcPr>
          <w:p w14:paraId="4D0171BA"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1.058</w:t>
            </w:r>
          </w:p>
        </w:tc>
        <w:tc>
          <w:tcPr>
            <w:tcW w:w="309" w:type="pct"/>
            <w:tcBorders>
              <w:top w:val="nil"/>
              <w:left w:val="nil"/>
              <w:bottom w:val="single" w:sz="4" w:space="0" w:color="auto"/>
              <w:right w:val="nil"/>
            </w:tcBorders>
            <w:shd w:val="clear" w:color="000000" w:fill="E7E6E6"/>
            <w:noWrap/>
            <w:vAlign w:val="bottom"/>
            <w:hideMark/>
          </w:tcPr>
          <w:p w14:paraId="4B74C4C3"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1.210</w:t>
            </w:r>
          </w:p>
        </w:tc>
        <w:tc>
          <w:tcPr>
            <w:tcW w:w="304" w:type="pct"/>
            <w:tcBorders>
              <w:top w:val="nil"/>
              <w:left w:val="nil"/>
              <w:bottom w:val="single" w:sz="4" w:space="0" w:color="auto"/>
              <w:right w:val="nil"/>
            </w:tcBorders>
            <w:shd w:val="clear" w:color="000000" w:fill="E7E6E6"/>
            <w:noWrap/>
            <w:vAlign w:val="bottom"/>
            <w:hideMark/>
          </w:tcPr>
          <w:p w14:paraId="59AD4A20"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1.421</w:t>
            </w:r>
          </w:p>
        </w:tc>
      </w:tr>
      <w:tr w:rsidR="00B54F4E" w:rsidRPr="00AF6323" w14:paraId="2E20CD56" w14:textId="77777777" w:rsidTr="006504C4">
        <w:trPr>
          <w:trHeight w:val="315"/>
        </w:trPr>
        <w:tc>
          <w:tcPr>
            <w:tcW w:w="1962" w:type="pct"/>
            <w:tcBorders>
              <w:top w:val="nil"/>
              <w:left w:val="nil"/>
              <w:bottom w:val="single" w:sz="8" w:space="0" w:color="auto"/>
              <w:right w:val="nil"/>
            </w:tcBorders>
            <w:shd w:val="clear" w:color="000000" w:fill="E7E6E6"/>
            <w:noWrap/>
            <w:vAlign w:val="bottom"/>
            <w:hideMark/>
          </w:tcPr>
          <w:p w14:paraId="1E888877" w14:textId="77777777" w:rsidR="00B54F4E" w:rsidRPr="00AF6323" w:rsidRDefault="00B54F4E" w:rsidP="006504C4">
            <w:pPr>
              <w:spacing w:before="0" w:after="0"/>
              <w:jc w:val="lef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Ahorro energético acumulado (GWh)</w:t>
            </w:r>
          </w:p>
        </w:tc>
        <w:tc>
          <w:tcPr>
            <w:tcW w:w="307" w:type="pct"/>
            <w:tcBorders>
              <w:top w:val="nil"/>
              <w:left w:val="nil"/>
              <w:bottom w:val="single" w:sz="8" w:space="0" w:color="auto"/>
              <w:right w:val="nil"/>
            </w:tcBorders>
            <w:shd w:val="clear" w:color="000000" w:fill="E7E6E6"/>
            <w:noWrap/>
            <w:vAlign w:val="bottom"/>
            <w:hideMark/>
          </w:tcPr>
          <w:p w14:paraId="76E7F653" w14:textId="77777777" w:rsidR="00B54F4E" w:rsidRPr="00AF6323" w:rsidRDefault="00B54F4E" w:rsidP="006504C4">
            <w:pPr>
              <w:spacing w:before="0" w:after="0"/>
              <w:jc w:val="lef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 </w:t>
            </w:r>
          </w:p>
        </w:tc>
        <w:tc>
          <w:tcPr>
            <w:tcW w:w="309" w:type="pct"/>
            <w:tcBorders>
              <w:top w:val="nil"/>
              <w:left w:val="nil"/>
              <w:bottom w:val="single" w:sz="8" w:space="0" w:color="auto"/>
              <w:right w:val="nil"/>
            </w:tcBorders>
            <w:shd w:val="clear" w:color="000000" w:fill="E7E6E6"/>
            <w:noWrap/>
            <w:vAlign w:val="bottom"/>
            <w:hideMark/>
          </w:tcPr>
          <w:p w14:paraId="3BE1B7BA"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199</w:t>
            </w:r>
          </w:p>
        </w:tc>
        <w:tc>
          <w:tcPr>
            <w:tcW w:w="309" w:type="pct"/>
            <w:tcBorders>
              <w:top w:val="nil"/>
              <w:left w:val="nil"/>
              <w:bottom w:val="single" w:sz="8" w:space="0" w:color="auto"/>
              <w:right w:val="nil"/>
            </w:tcBorders>
            <w:shd w:val="clear" w:color="000000" w:fill="E7E6E6"/>
            <w:noWrap/>
            <w:vAlign w:val="bottom"/>
            <w:hideMark/>
          </w:tcPr>
          <w:p w14:paraId="5D5231DC"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492</w:t>
            </w:r>
          </w:p>
        </w:tc>
        <w:tc>
          <w:tcPr>
            <w:tcW w:w="309" w:type="pct"/>
            <w:tcBorders>
              <w:top w:val="nil"/>
              <w:left w:val="nil"/>
              <w:bottom w:val="single" w:sz="8" w:space="0" w:color="auto"/>
              <w:right w:val="nil"/>
            </w:tcBorders>
            <w:shd w:val="clear" w:color="000000" w:fill="E7E6E6"/>
            <w:noWrap/>
            <w:vAlign w:val="bottom"/>
            <w:hideMark/>
          </w:tcPr>
          <w:p w14:paraId="354FB637"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928</w:t>
            </w:r>
          </w:p>
        </w:tc>
        <w:tc>
          <w:tcPr>
            <w:tcW w:w="288" w:type="pct"/>
            <w:tcBorders>
              <w:top w:val="nil"/>
              <w:left w:val="nil"/>
              <w:bottom w:val="single" w:sz="8" w:space="0" w:color="auto"/>
              <w:right w:val="nil"/>
            </w:tcBorders>
            <w:shd w:val="clear" w:color="000000" w:fill="E7E6E6"/>
            <w:noWrap/>
            <w:vAlign w:val="bottom"/>
            <w:hideMark/>
          </w:tcPr>
          <w:p w14:paraId="4E0E2808"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1.529</w:t>
            </w:r>
          </w:p>
        </w:tc>
        <w:tc>
          <w:tcPr>
            <w:tcW w:w="288" w:type="pct"/>
            <w:tcBorders>
              <w:top w:val="nil"/>
              <w:left w:val="nil"/>
              <w:bottom w:val="single" w:sz="8" w:space="0" w:color="auto"/>
              <w:right w:val="nil"/>
            </w:tcBorders>
            <w:shd w:val="clear" w:color="000000" w:fill="E7E6E6"/>
            <w:noWrap/>
            <w:vAlign w:val="bottom"/>
            <w:hideMark/>
          </w:tcPr>
          <w:p w14:paraId="1022A2C3"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2.282</w:t>
            </w:r>
          </w:p>
        </w:tc>
        <w:tc>
          <w:tcPr>
            <w:tcW w:w="305" w:type="pct"/>
            <w:tcBorders>
              <w:top w:val="nil"/>
              <w:left w:val="nil"/>
              <w:bottom w:val="single" w:sz="8" w:space="0" w:color="auto"/>
              <w:right w:val="nil"/>
            </w:tcBorders>
            <w:shd w:val="clear" w:color="000000" w:fill="E7E6E6"/>
            <w:noWrap/>
            <w:vAlign w:val="bottom"/>
            <w:hideMark/>
          </w:tcPr>
          <w:p w14:paraId="1BCABCE1"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3.188</w:t>
            </w:r>
          </w:p>
        </w:tc>
        <w:tc>
          <w:tcPr>
            <w:tcW w:w="309" w:type="pct"/>
            <w:tcBorders>
              <w:top w:val="nil"/>
              <w:left w:val="nil"/>
              <w:bottom w:val="single" w:sz="8" w:space="0" w:color="auto"/>
              <w:right w:val="nil"/>
            </w:tcBorders>
            <w:shd w:val="clear" w:color="000000" w:fill="E7E6E6"/>
            <w:noWrap/>
            <w:vAlign w:val="bottom"/>
            <w:hideMark/>
          </w:tcPr>
          <w:p w14:paraId="4BBCB364"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4.245</w:t>
            </w:r>
          </w:p>
        </w:tc>
        <w:tc>
          <w:tcPr>
            <w:tcW w:w="309" w:type="pct"/>
            <w:tcBorders>
              <w:top w:val="nil"/>
              <w:left w:val="nil"/>
              <w:bottom w:val="single" w:sz="8" w:space="0" w:color="auto"/>
              <w:right w:val="nil"/>
            </w:tcBorders>
            <w:shd w:val="clear" w:color="000000" w:fill="E7E6E6"/>
            <w:noWrap/>
            <w:vAlign w:val="bottom"/>
            <w:hideMark/>
          </w:tcPr>
          <w:p w14:paraId="213AF140"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5.455</w:t>
            </w:r>
          </w:p>
        </w:tc>
        <w:tc>
          <w:tcPr>
            <w:tcW w:w="304" w:type="pct"/>
            <w:tcBorders>
              <w:top w:val="nil"/>
              <w:left w:val="nil"/>
              <w:bottom w:val="single" w:sz="8" w:space="0" w:color="auto"/>
              <w:right w:val="nil"/>
            </w:tcBorders>
            <w:shd w:val="clear" w:color="000000" w:fill="E7E6E6"/>
            <w:noWrap/>
            <w:vAlign w:val="bottom"/>
            <w:hideMark/>
          </w:tcPr>
          <w:p w14:paraId="6D45E9A2" w14:textId="77777777" w:rsidR="00B54F4E" w:rsidRPr="00AF6323" w:rsidRDefault="00B54F4E" w:rsidP="006504C4">
            <w:pPr>
              <w:spacing w:before="0" w:after="0"/>
              <w:jc w:val="right"/>
              <w:rPr>
                <w:rFonts w:ascii="Calibri" w:hAnsi="Calibri" w:cs="Calibri"/>
                <w:b/>
                <w:bCs/>
                <w:color w:val="000000"/>
                <w:sz w:val="16"/>
                <w:szCs w:val="22"/>
                <w:lang w:eastAsia="es-CO"/>
              </w:rPr>
            </w:pPr>
            <w:r w:rsidRPr="00AF6323">
              <w:rPr>
                <w:rFonts w:ascii="Calibri" w:hAnsi="Calibri" w:cs="Calibri"/>
                <w:b/>
                <w:bCs/>
                <w:color w:val="000000"/>
                <w:sz w:val="16"/>
                <w:szCs w:val="22"/>
                <w:lang w:eastAsia="es-CO"/>
              </w:rPr>
              <w:t>6.876</w:t>
            </w:r>
          </w:p>
        </w:tc>
      </w:tr>
    </w:tbl>
    <w:p w14:paraId="3B721BDB" w14:textId="77777777" w:rsidR="00B54F4E" w:rsidRPr="00795F1D" w:rsidRDefault="00B54F4E" w:rsidP="00B54F4E">
      <w:pPr>
        <w:spacing w:before="0" w:after="0"/>
        <w:jc w:val="center"/>
        <w:rPr>
          <w:sz w:val="18"/>
          <w:lang w:val="es-ES"/>
        </w:rPr>
      </w:pPr>
      <w:r w:rsidRPr="00795F1D">
        <w:rPr>
          <w:sz w:val="18"/>
          <w:lang w:val="es-ES"/>
        </w:rPr>
        <w:t>Nota: la proyección completa de flujos fue realizada a 2030, para efecto de presentación de resultados</w:t>
      </w:r>
      <w:r>
        <w:rPr>
          <w:sz w:val="18"/>
          <w:lang w:val="es-ES"/>
        </w:rPr>
        <w:t xml:space="preserve"> en el informe escrito</w:t>
      </w:r>
      <w:r w:rsidRPr="00795F1D">
        <w:rPr>
          <w:sz w:val="18"/>
          <w:lang w:val="es-ES"/>
        </w:rPr>
        <w:t xml:space="preserve"> solo se muestran resultados a 202</w:t>
      </w:r>
      <w:r>
        <w:rPr>
          <w:sz w:val="18"/>
          <w:lang w:val="es-ES"/>
        </w:rPr>
        <w:t>5</w:t>
      </w:r>
    </w:p>
    <w:p w14:paraId="23A38291" w14:textId="77777777" w:rsidR="00B54F4E" w:rsidRDefault="00B54F4E" w:rsidP="00B54F4E">
      <w:pPr>
        <w:keepNext/>
        <w:jc w:val="center"/>
        <w:rPr>
          <w:b/>
        </w:rPr>
      </w:pPr>
      <w:bookmarkStart w:id="104" w:name="_Ref476135215"/>
      <w:bookmarkStart w:id="105" w:name="_Toc476136981"/>
      <w:bookmarkStart w:id="106" w:name="_Toc484097058"/>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18</w:t>
      </w:r>
      <w:r w:rsidRPr="008C12BC">
        <w:rPr>
          <w:b/>
        </w:rPr>
        <w:fldChar w:fldCharType="end"/>
      </w:r>
      <w:bookmarkEnd w:id="102"/>
      <w:bookmarkEnd w:id="104"/>
      <w:r>
        <w:rPr>
          <w:b/>
        </w:rPr>
        <w:t xml:space="preserve"> – Potencial de emisiones de CO</w:t>
      </w:r>
      <w:r w:rsidRPr="0035199D">
        <w:rPr>
          <w:b/>
          <w:vertAlign w:val="subscript"/>
        </w:rPr>
        <w:t>2</w:t>
      </w:r>
      <w:r>
        <w:rPr>
          <w:b/>
        </w:rPr>
        <w:t xml:space="preserve"> evitadas por implementación de medidas de eficiencia energética (TonCO</w:t>
      </w:r>
      <w:r w:rsidRPr="0035199D">
        <w:rPr>
          <w:b/>
          <w:vertAlign w:val="subscript"/>
        </w:rPr>
        <w:t>2</w:t>
      </w:r>
      <w:r>
        <w:rPr>
          <w:b/>
        </w:rPr>
        <w:t>)</w:t>
      </w:r>
      <w:bookmarkEnd w:id="103"/>
      <w:bookmarkEnd w:id="105"/>
      <w:bookmarkEnd w:id="106"/>
    </w:p>
    <w:tbl>
      <w:tblPr>
        <w:tblW w:w="5000" w:type="pct"/>
        <w:tblCellMar>
          <w:left w:w="70" w:type="dxa"/>
          <w:right w:w="70" w:type="dxa"/>
        </w:tblCellMar>
        <w:tblLook w:val="04A0" w:firstRow="1" w:lastRow="0" w:firstColumn="1" w:lastColumn="0" w:noHBand="0" w:noVBand="1"/>
      </w:tblPr>
      <w:tblGrid>
        <w:gridCol w:w="2778"/>
        <w:gridCol w:w="200"/>
        <w:gridCol w:w="650"/>
        <w:gridCol w:w="652"/>
        <w:gridCol w:w="652"/>
        <w:gridCol w:w="650"/>
        <w:gridCol w:w="652"/>
        <w:gridCol w:w="652"/>
        <w:gridCol w:w="650"/>
        <w:gridCol w:w="652"/>
        <w:gridCol w:w="645"/>
      </w:tblGrid>
      <w:tr w:rsidR="00B54F4E" w:rsidRPr="00396346" w14:paraId="3EF3E13E"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52D4BEA1"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113" w:type="pct"/>
            <w:tcBorders>
              <w:top w:val="nil"/>
              <w:left w:val="nil"/>
              <w:bottom w:val="single" w:sz="4" w:space="0" w:color="auto"/>
              <w:right w:val="nil"/>
            </w:tcBorders>
            <w:shd w:val="clear" w:color="auto" w:fill="auto"/>
            <w:noWrap/>
            <w:vAlign w:val="bottom"/>
            <w:hideMark/>
          </w:tcPr>
          <w:p w14:paraId="46A20B0B"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single" w:sz="4" w:space="0" w:color="FFFFFF"/>
              <w:left w:val="nil"/>
              <w:bottom w:val="single" w:sz="4" w:space="0" w:color="auto"/>
              <w:right w:val="single" w:sz="4" w:space="0" w:color="FFFFFF"/>
            </w:tcBorders>
            <w:shd w:val="clear" w:color="000000" w:fill="203764"/>
            <w:noWrap/>
            <w:vAlign w:val="bottom"/>
            <w:hideMark/>
          </w:tcPr>
          <w:p w14:paraId="518E75B1"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2017</w:t>
            </w:r>
          </w:p>
        </w:tc>
        <w:tc>
          <w:tcPr>
            <w:tcW w:w="369" w:type="pct"/>
            <w:tcBorders>
              <w:top w:val="single" w:sz="4" w:space="0" w:color="FFFFFF"/>
              <w:left w:val="nil"/>
              <w:bottom w:val="single" w:sz="4" w:space="0" w:color="auto"/>
              <w:right w:val="single" w:sz="4" w:space="0" w:color="FFFFFF"/>
            </w:tcBorders>
            <w:shd w:val="clear" w:color="000000" w:fill="203764"/>
            <w:noWrap/>
            <w:vAlign w:val="bottom"/>
            <w:hideMark/>
          </w:tcPr>
          <w:p w14:paraId="6145F931"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2018</w:t>
            </w:r>
          </w:p>
        </w:tc>
        <w:tc>
          <w:tcPr>
            <w:tcW w:w="369" w:type="pct"/>
            <w:tcBorders>
              <w:top w:val="single" w:sz="4" w:space="0" w:color="FFFFFF"/>
              <w:left w:val="nil"/>
              <w:bottom w:val="single" w:sz="4" w:space="0" w:color="auto"/>
              <w:right w:val="single" w:sz="4" w:space="0" w:color="FFFFFF"/>
            </w:tcBorders>
            <w:shd w:val="clear" w:color="000000" w:fill="203764"/>
            <w:noWrap/>
            <w:vAlign w:val="bottom"/>
            <w:hideMark/>
          </w:tcPr>
          <w:p w14:paraId="5475AA3C"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2019</w:t>
            </w:r>
          </w:p>
        </w:tc>
        <w:tc>
          <w:tcPr>
            <w:tcW w:w="368" w:type="pct"/>
            <w:tcBorders>
              <w:top w:val="single" w:sz="4" w:space="0" w:color="FFFFFF"/>
              <w:left w:val="nil"/>
              <w:bottom w:val="single" w:sz="4" w:space="0" w:color="auto"/>
              <w:right w:val="single" w:sz="4" w:space="0" w:color="FFFFFF"/>
            </w:tcBorders>
            <w:shd w:val="clear" w:color="000000" w:fill="203764"/>
            <w:noWrap/>
            <w:vAlign w:val="bottom"/>
            <w:hideMark/>
          </w:tcPr>
          <w:p w14:paraId="4110AD0B"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2020</w:t>
            </w:r>
          </w:p>
        </w:tc>
        <w:tc>
          <w:tcPr>
            <w:tcW w:w="369" w:type="pct"/>
            <w:tcBorders>
              <w:top w:val="single" w:sz="4" w:space="0" w:color="FFFFFF"/>
              <w:left w:val="nil"/>
              <w:bottom w:val="single" w:sz="4" w:space="0" w:color="auto"/>
              <w:right w:val="single" w:sz="4" w:space="0" w:color="FFFFFF"/>
            </w:tcBorders>
            <w:shd w:val="clear" w:color="000000" w:fill="203764"/>
            <w:noWrap/>
            <w:vAlign w:val="bottom"/>
            <w:hideMark/>
          </w:tcPr>
          <w:p w14:paraId="37CB5264"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2021</w:t>
            </w:r>
          </w:p>
        </w:tc>
        <w:tc>
          <w:tcPr>
            <w:tcW w:w="369" w:type="pct"/>
            <w:tcBorders>
              <w:top w:val="single" w:sz="4" w:space="0" w:color="FFFFFF"/>
              <w:left w:val="nil"/>
              <w:bottom w:val="single" w:sz="4" w:space="0" w:color="auto"/>
              <w:right w:val="single" w:sz="4" w:space="0" w:color="FFFFFF"/>
            </w:tcBorders>
            <w:shd w:val="clear" w:color="000000" w:fill="203764"/>
            <w:noWrap/>
            <w:vAlign w:val="bottom"/>
            <w:hideMark/>
          </w:tcPr>
          <w:p w14:paraId="0E24A68A"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2022</w:t>
            </w:r>
          </w:p>
        </w:tc>
        <w:tc>
          <w:tcPr>
            <w:tcW w:w="368" w:type="pct"/>
            <w:tcBorders>
              <w:top w:val="single" w:sz="4" w:space="0" w:color="FFFFFF"/>
              <w:left w:val="nil"/>
              <w:bottom w:val="single" w:sz="4" w:space="0" w:color="auto"/>
              <w:right w:val="single" w:sz="4" w:space="0" w:color="FFFFFF"/>
            </w:tcBorders>
            <w:shd w:val="clear" w:color="000000" w:fill="203764"/>
            <w:noWrap/>
            <w:vAlign w:val="bottom"/>
            <w:hideMark/>
          </w:tcPr>
          <w:p w14:paraId="2F15B84D"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2023</w:t>
            </w:r>
          </w:p>
        </w:tc>
        <w:tc>
          <w:tcPr>
            <w:tcW w:w="369" w:type="pct"/>
            <w:tcBorders>
              <w:top w:val="single" w:sz="4" w:space="0" w:color="FFFFFF"/>
              <w:left w:val="nil"/>
              <w:bottom w:val="single" w:sz="4" w:space="0" w:color="auto"/>
              <w:right w:val="single" w:sz="4" w:space="0" w:color="FFFFFF"/>
            </w:tcBorders>
            <w:shd w:val="clear" w:color="000000" w:fill="203764"/>
            <w:noWrap/>
            <w:vAlign w:val="bottom"/>
            <w:hideMark/>
          </w:tcPr>
          <w:p w14:paraId="6F4C3657"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2024</w:t>
            </w:r>
          </w:p>
        </w:tc>
        <w:tc>
          <w:tcPr>
            <w:tcW w:w="365" w:type="pct"/>
            <w:tcBorders>
              <w:top w:val="single" w:sz="4" w:space="0" w:color="FFFFFF"/>
              <w:left w:val="nil"/>
              <w:bottom w:val="single" w:sz="4" w:space="0" w:color="auto"/>
              <w:right w:val="single" w:sz="4" w:space="0" w:color="FFFFFF"/>
            </w:tcBorders>
            <w:shd w:val="clear" w:color="000000" w:fill="203764"/>
            <w:noWrap/>
            <w:vAlign w:val="bottom"/>
            <w:hideMark/>
          </w:tcPr>
          <w:p w14:paraId="59CD95AD" w14:textId="77777777" w:rsidR="00B54F4E" w:rsidRPr="00396346" w:rsidRDefault="00B54F4E" w:rsidP="006504C4">
            <w:pPr>
              <w:spacing w:before="0" w:after="0"/>
              <w:jc w:val="center"/>
              <w:rPr>
                <w:rFonts w:ascii="Calibri" w:hAnsi="Calibri" w:cs="Calibri"/>
                <w:color w:val="FFFFFF"/>
                <w:sz w:val="12"/>
                <w:szCs w:val="22"/>
                <w:lang w:eastAsia="es-CO"/>
              </w:rPr>
            </w:pPr>
            <w:r w:rsidRPr="00396346">
              <w:rPr>
                <w:rFonts w:ascii="Calibri" w:hAnsi="Calibri" w:cs="Calibri"/>
                <w:color w:val="FFFFFF"/>
                <w:sz w:val="12"/>
                <w:szCs w:val="22"/>
                <w:lang w:eastAsia="es-CO"/>
              </w:rPr>
              <w:t>2025</w:t>
            </w:r>
          </w:p>
        </w:tc>
      </w:tr>
      <w:tr w:rsidR="00B54F4E" w:rsidRPr="00396346" w14:paraId="585EBCC2" w14:textId="77777777" w:rsidTr="006504C4">
        <w:trPr>
          <w:trHeight w:val="300"/>
          <w:tblHeader/>
        </w:trPr>
        <w:tc>
          <w:tcPr>
            <w:tcW w:w="1573" w:type="pct"/>
            <w:tcBorders>
              <w:top w:val="nil"/>
              <w:left w:val="nil"/>
              <w:bottom w:val="single" w:sz="4" w:space="0" w:color="auto"/>
              <w:right w:val="nil"/>
            </w:tcBorders>
            <w:shd w:val="clear" w:color="000000" w:fill="E7E6E6"/>
            <w:noWrap/>
            <w:vAlign w:val="bottom"/>
            <w:hideMark/>
          </w:tcPr>
          <w:p w14:paraId="2D14E7BC" w14:textId="77777777" w:rsidR="00B54F4E" w:rsidRPr="00396346" w:rsidRDefault="00B54F4E" w:rsidP="006504C4">
            <w:pPr>
              <w:spacing w:before="0" w:after="0"/>
              <w:jc w:val="lef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Sector Residencial</w:t>
            </w:r>
          </w:p>
        </w:tc>
        <w:tc>
          <w:tcPr>
            <w:tcW w:w="113" w:type="pct"/>
            <w:tcBorders>
              <w:top w:val="nil"/>
              <w:left w:val="nil"/>
              <w:bottom w:val="single" w:sz="4" w:space="0" w:color="auto"/>
              <w:right w:val="nil"/>
            </w:tcBorders>
            <w:shd w:val="clear" w:color="000000" w:fill="E7E6E6"/>
            <w:noWrap/>
            <w:vAlign w:val="bottom"/>
            <w:hideMark/>
          </w:tcPr>
          <w:p w14:paraId="160AD378"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385F509A"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3BA3EBA7"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1A9438FE"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435B1B26"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192D6776"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7DE6C77F"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198044BB"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68D97B7E"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c>
          <w:tcPr>
            <w:tcW w:w="365" w:type="pct"/>
            <w:tcBorders>
              <w:top w:val="nil"/>
              <w:left w:val="nil"/>
              <w:bottom w:val="single" w:sz="4" w:space="0" w:color="auto"/>
              <w:right w:val="nil"/>
            </w:tcBorders>
            <w:shd w:val="clear" w:color="000000" w:fill="E7E6E6"/>
            <w:noWrap/>
            <w:vAlign w:val="bottom"/>
            <w:hideMark/>
          </w:tcPr>
          <w:p w14:paraId="7A638E80"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r>
      <w:tr w:rsidR="00B54F4E" w:rsidRPr="00396346" w14:paraId="50F0836C" w14:textId="77777777" w:rsidTr="006504C4">
        <w:trPr>
          <w:trHeight w:val="300"/>
          <w:tblHeader/>
        </w:trPr>
        <w:tc>
          <w:tcPr>
            <w:tcW w:w="1573" w:type="pct"/>
            <w:tcBorders>
              <w:top w:val="nil"/>
              <w:left w:val="nil"/>
              <w:bottom w:val="nil"/>
              <w:right w:val="nil"/>
            </w:tcBorders>
            <w:shd w:val="clear" w:color="auto" w:fill="auto"/>
            <w:noWrap/>
            <w:vAlign w:val="bottom"/>
            <w:hideMark/>
          </w:tcPr>
          <w:p w14:paraId="457C4CD9"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Cambio de bombillos</w:t>
            </w:r>
          </w:p>
        </w:tc>
        <w:tc>
          <w:tcPr>
            <w:tcW w:w="113" w:type="pct"/>
            <w:tcBorders>
              <w:top w:val="nil"/>
              <w:left w:val="nil"/>
              <w:bottom w:val="nil"/>
              <w:right w:val="nil"/>
            </w:tcBorders>
            <w:shd w:val="clear" w:color="auto" w:fill="auto"/>
            <w:noWrap/>
            <w:vAlign w:val="bottom"/>
            <w:hideMark/>
          </w:tcPr>
          <w:p w14:paraId="4C9CE9A9"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p>
        </w:tc>
        <w:tc>
          <w:tcPr>
            <w:tcW w:w="368" w:type="pct"/>
            <w:tcBorders>
              <w:top w:val="nil"/>
              <w:left w:val="nil"/>
              <w:bottom w:val="nil"/>
              <w:right w:val="nil"/>
            </w:tcBorders>
            <w:shd w:val="clear" w:color="auto" w:fill="auto"/>
            <w:noWrap/>
            <w:vAlign w:val="bottom"/>
            <w:hideMark/>
          </w:tcPr>
          <w:p w14:paraId="3ABCE784"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12.791</w:t>
            </w:r>
          </w:p>
        </w:tc>
        <w:tc>
          <w:tcPr>
            <w:tcW w:w="369" w:type="pct"/>
            <w:tcBorders>
              <w:top w:val="nil"/>
              <w:left w:val="nil"/>
              <w:bottom w:val="nil"/>
              <w:right w:val="nil"/>
            </w:tcBorders>
            <w:shd w:val="clear" w:color="auto" w:fill="auto"/>
            <w:noWrap/>
            <w:vAlign w:val="bottom"/>
            <w:hideMark/>
          </w:tcPr>
          <w:p w14:paraId="7C0A74B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19.186</w:t>
            </w:r>
          </w:p>
        </w:tc>
        <w:tc>
          <w:tcPr>
            <w:tcW w:w="369" w:type="pct"/>
            <w:tcBorders>
              <w:top w:val="nil"/>
              <w:left w:val="nil"/>
              <w:bottom w:val="nil"/>
              <w:right w:val="nil"/>
            </w:tcBorders>
            <w:shd w:val="clear" w:color="auto" w:fill="auto"/>
            <w:noWrap/>
            <w:vAlign w:val="bottom"/>
            <w:hideMark/>
          </w:tcPr>
          <w:p w14:paraId="382D62E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25.581</w:t>
            </w:r>
          </w:p>
        </w:tc>
        <w:tc>
          <w:tcPr>
            <w:tcW w:w="368" w:type="pct"/>
            <w:tcBorders>
              <w:top w:val="nil"/>
              <w:left w:val="nil"/>
              <w:bottom w:val="nil"/>
              <w:right w:val="nil"/>
            </w:tcBorders>
            <w:shd w:val="clear" w:color="auto" w:fill="auto"/>
            <w:noWrap/>
            <w:vAlign w:val="bottom"/>
            <w:hideMark/>
          </w:tcPr>
          <w:p w14:paraId="4039306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32.836</w:t>
            </w:r>
          </w:p>
        </w:tc>
        <w:tc>
          <w:tcPr>
            <w:tcW w:w="369" w:type="pct"/>
            <w:tcBorders>
              <w:top w:val="nil"/>
              <w:left w:val="nil"/>
              <w:bottom w:val="nil"/>
              <w:right w:val="nil"/>
            </w:tcBorders>
            <w:shd w:val="clear" w:color="auto" w:fill="auto"/>
            <w:noWrap/>
            <w:vAlign w:val="bottom"/>
            <w:hideMark/>
          </w:tcPr>
          <w:p w14:paraId="6D03E258"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36.818</w:t>
            </w:r>
          </w:p>
        </w:tc>
        <w:tc>
          <w:tcPr>
            <w:tcW w:w="369" w:type="pct"/>
            <w:tcBorders>
              <w:top w:val="nil"/>
              <w:left w:val="nil"/>
              <w:bottom w:val="nil"/>
              <w:right w:val="nil"/>
            </w:tcBorders>
            <w:shd w:val="clear" w:color="auto" w:fill="auto"/>
            <w:noWrap/>
            <w:vAlign w:val="bottom"/>
            <w:hideMark/>
          </w:tcPr>
          <w:p w14:paraId="490F49D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40.825</w:t>
            </w:r>
          </w:p>
        </w:tc>
        <w:tc>
          <w:tcPr>
            <w:tcW w:w="368" w:type="pct"/>
            <w:tcBorders>
              <w:top w:val="nil"/>
              <w:left w:val="nil"/>
              <w:bottom w:val="nil"/>
              <w:right w:val="nil"/>
            </w:tcBorders>
            <w:shd w:val="clear" w:color="auto" w:fill="auto"/>
            <w:noWrap/>
            <w:vAlign w:val="bottom"/>
            <w:hideMark/>
          </w:tcPr>
          <w:p w14:paraId="6A91CC3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44.859</w:t>
            </w:r>
          </w:p>
        </w:tc>
        <w:tc>
          <w:tcPr>
            <w:tcW w:w="369" w:type="pct"/>
            <w:tcBorders>
              <w:top w:val="nil"/>
              <w:left w:val="nil"/>
              <w:bottom w:val="nil"/>
              <w:right w:val="nil"/>
            </w:tcBorders>
            <w:shd w:val="clear" w:color="auto" w:fill="auto"/>
            <w:noWrap/>
            <w:vAlign w:val="bottom"/>
            <w:hideMark/>
          </w:tcPr>
          <w:p w14:paraId="76557DB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48.920</w:t>
            </w:r>
          </w:p>
        </w:tc>
        <w:tc>
          <w:tcPr>
            <w:tcW w:w="365" w:type="pct"/>
            <w:tcBorders>
              <w:top w:val="nil"/>
              <w:left w:val="nil"/>
              <w:bottom w:val="nil"/>
              <w:right w:val="nil"/>
            </w:tcBorders>
            <w:shd w:val="clear" w:color="auto" w:fill="auto"/>
            <w:noWrap/>
            <w:vAlign w:val="bottom"/>
            <w:hideMark/>
          </w:tcPr>
          <w:p w14:paraId="48C5378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53.008</w:t>
            </w:r>
          </w:p>
        </w:tc>
      </w:tr>
      <w:tr w:rsidR="00B54F4E" w:rsidRPr="00396346" w14:paraId="1B876C1D" w14:textId="77777777" w:rsidTr="006504C4">
        <w:trPr>
          <w:trHeight w:val="300"/>
          <w:tblHeader/>
        </w:trPr>
        <w:tc>
          <w:tcPr>
            <w:tcW w:w="1573" w:type="pct"/>
            <w:tcBorders>
              <w:top w:val="nil"/>
              <w:left w:val="nil"/>
              <w:bottom w:val="single" w:sz="4" w:space="0" w:color="000000"/>
              <w:right w:val="nil"/>
            </w:tcBorders>
            <w:shd w:val="clear" w:color="auto" w:fill="auto"/>
            <w:noWrap/>
            <w:vAlign w:val="bottom"/>
            <w:hideMark/>
          </w:tcPr>
          <w:p w14:paraId="35EE9B5B"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Cambio de neveras</w:t>
            </w:r>
          </w:p>
        </w:tc>
        <w:tc>
          <w:tcPr>
            <w:tcW w:w="113" w:type="pct"/>
            <w:tcBorders>
              <w:top w:val="nil"/>
              <w:left w:val="nil"/>
              <w:bottom w:val="single" w:sz="4" w:space="0" w:color="000000"/>
              <w:right w:val="nil"/>
            </w:tcBorders>
            <w:shd w:val="clear" w:color="auto" w:fill="auto"/>
            <w:noWrap/>
            <w:vAlign w:val="bottom"/>
            <w:hideMark/>
          </w:tcPr>
          <w:p w14:paraId="1DCAB2B9"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000000"/>
              <w:right w:val="nil"/>
            </w:tcBorders>
            <w:shd w:val="clear" w:color="auto" w:fill="auto"/>
            <w:noWrap/>
            <w:vAlign w:val="bottom"/>
            <w:hideMark/>
          </w:tcPr>
          <w:p w14:paraId="043733A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7.228</w:t>
            </w:r>
          </w:p>
        </w:tc>
        <w:tc>
          <w:tcPr>
            <w:tcW w:w="369" w:type="pct"/>
            <w:tcBorders>
              <w:top w:val="nil"/>
              <w:left w:val="nil"/>
              <w:bottom w:val="single" w:sz="4" w:space="0" w:color="000000"/>
              <w:right w:val="nil"/>
            </w:tcBorders>
            <w:shd w:val="clear" w:color="auto" w:fill="auto"/>
            <w:noWrap/>
            <w:vAlign w:val="bottom"/>
            <w:hideMark/>
          </w:tcPr>
          <w:p w14:paraId="54C67732"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14.456</w:t>
            </w:r>
          </w:p>
        </w:tc>
        <w:tc>
          <w:tcPr>
            <w:tcW w:w="369" w:type="pct"/>
            <w:tcBorders>
              <w:top w:val="nil"/>
              <w:left w:val="nil"/>
              <w:bottom w:val="single" w:sz="4" w:space="0" w:color="000000"/>
              <w:right w:val="nil"/>
            </w:tcBorders>
            <w:shd w:val="clear" w:color="auto" w:fill="auto"/>
            <w:noWrap/>
            <w:vAlign w:val="bottom"/>
            <w:hideMark/>
          </w:tcPr>
          <w:p w14:paraId="5CD7A2F6"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21.684</w:t>
            </w:r>
          </w:p>
        </w:tc>
        <w:tc>
          <w:tcPr>
            <w:tcW w:w="368" w:type="pct"/>
            <w:tcBorders>
              <w:top w:val="nil"/>
              <w:left w:val="nil"/>
              <w:bottom w:val="single" w:sz="4" w:space="0" w:color="000000"/>
              <w:right w:val="nil"/>
            </w:tcBorders>
            <w:shd w:val="clear" w:color="auto" w:fill="auto"/>
            <w:noWrap/>
            <w:vAlign w:val="bottom"/>
            <w:hideMark/>
          </w:tcPr>
          <w:p w14:paraId="5793A37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28.912</w:t>
            </w:r>
          </w:p>
        </w:tc>
        <w:tc>
          <w:tcPr>
            <w:tcW w:w="369" w:type="pct"/>
            <w:tcBorders>
              <w:top w:val="nil"/>
              <w:left w:val="nil"/>
              <w:bottom w:val="single" w:sz="4" w:space="0" w:color="000000"/>
              <w:right w:val="nil"/>
            </w:tcBorders>
            <w:shd w:val="clear" w:color="auto" w:fill="auto"/>
            <w:noWrap/>
            <w:vAlign w:val="bottom"/>
            <w:hideMark/>
          </w:tcPr>
          <w:p w14:paraId="55F3D05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36.140</w:t>
            </w:r>
          </w:p>
        </w:tc>
        <w:tc>
          <w:tcPr>
            <w:tcW w:w="369" w:type="pct"/>
            <w:tcBorders>
              <w:top w:val="nil"/>
              <w:left w:val="nil"/>
              <w:bottom w:val="single" w:sz="4" w:space="0" w:color="000000"/>
              <w:right w:val="nil"/>
            </w:tcBorders>
            <w:shd w:val="clear" w:color="auto" w:fill="auto"/>
            <w:noWrap/>
            <w:vAlign w:val="bottom"/>
            <w:hideMark/>
          </w:tcPr>
          <w:p w14:paraId="058D9DD0"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43.368</w:t>
            </w:r>
          </w:p>
        </w:tc>
        <w:tc>
          <w:tcPr>
            <w:tcW w:w="368" w:type="pct"/>
            <w:tcBorders>
              <w:top w:val="nil"/>
              <w:left w:val="nil"/>
              <w:bottom w:val="single" w:sz="4" w:space="0" w:color="000000"/>
              <w:right w:val="nil"/>
            </w:tcBorders>
            <w:shd w:val="clear" w:color="auto" w:fill="auto"/>
            <w:noWrap/>
            <w:vAlign w:val="bottom"/>
            <w:hideMark/>
          </w:tcPr>
          <w:p w14:paraId="24EBEB1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50.596</w:t>
            </w:r>
          </w:p>
        </w:tc>
        <w:tc>
          <w:tcPr>
            <w:tcW w:w="369" w:type="pct"/>
            <w:tcBorders>
              <w:top w:val="nil"/>
              <w:left w:val="nil"/>
              <w:bottom w:val="single" w:sz="4" w:space="0" w:color="000000"/>
              <w:right w:val="nil"/>
            </w:tcBorders>
            <w:shd w:val="clear" w:color="auto" w:fill="auto"/>
            <w:noWrap/>
            <w:vAlign w:val="bottom"/>
            <w:hideMark/>
          </w:tcPr>
          <w:p w14:paraId="09A77402"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57.824</w:t>
            </w:r>
          </w:p>
        </w:tc>
        <w:tc>
          <w:tcPr>
            <w:tcW w:w="365" w:type="pct"/>
            <w:tcBorders>
              <w:top w:val="nil"/>
              <w:left w:val="nil"/>
              <w:bottom w:val="single" w:sz="4" w:space="0" w:color="000000"/>
              <w:right w:val="nil"/>
            </w:tcBorders>
            <w:shd w:val="clear" w:color="auto" w:fill="auto"/>
            <w:noWrap/>
            <w:vAlign w:val="bottom"/>
            <w:hideMark/>
          </w:tcPr>
          <w:p w14:paraId="781A143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65.052</w:t>
            </w:r>
          </w:p>
        </w:tc>
      </w:tr>
      <w:tr w:rsidR="00B54F4E" w:rsidRPr="00396346" w14:paraId="619BF0FC"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354B4311"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Total ahorro anual Sector Residencial (TonCO2)</w:t>
            </w:r>
          </w:p>
        </w:tc>
        <w:tc>
          <w:tcPr>
            <w:tcW w:w="113" w:type="pct"/>
            <w:tcBorders>
              <w:top w:val="nil"/>
              <w:left w:val="nil"/>
              <w:bottom w:val="single" w:sz="4" w:space="0" w:color="auto"/>
              <w:right w:val="nil"/>
            </w:tcBorders>
            <w:shd w:val="clear" w:color="auto" w:fill="auto"/>
            <w:noWrap/>
            <w:vAlign w:val="bottom"/>
            <w:hideMark/>
          </w:tcPr>
          <w:p w14:paraId="2358B54D"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auto" w:fill="auto"/>
            <w:noWrap/>
            <w:vAlign w:val="bottom"/>
            <w:hideMark/>
          </w:tcPr>
          <w:p w14:paraId="1D30017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20.019</w:t>
            </w:r>
          </w:p>
        </w:tc>
        <w:tc>
          <w:tcPr>
            <w:tcW w:w="369" w:type="pct"/>
            <w:tcBorders>
              <w:top w:val="nil"/>
              <w:left w:val="nil"/>
              <w:bottom w:val="single" w:sz="4" w:space="0" w:color="auto"/>
              <w:right w:val="nil"/>
            </w:tcBorders>
            <w:shd w:val="clear" w:color="auto" w:fill="auto"/>
            <w:noWrap/>
            <w:vAlign w:val="bottom"/>
            <w:hideMark/>
          </w:tcPr>
          <w:p w14:paraId="55B44E46"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33.642</w:t>
            </w:r>
          </w:p>
        </w:tc>
        <w:tc>
          <w:tcPr>
            <w:tcW w:w="369" w:type="pct"/>
            <w:tcBorders>
              <w:top w:val="nil"/>
              <w:left w:val="nil"/>
              <w:bottom w:val="single" w:sz="4" w:space="0" w:color="auto"/>
              <w:right w:val="nil"/>
            </w:tcBorders>
            <w:shd w:val="clear" w:color="auto" w:fill="auto"/>
            <w:noWrap/>
            <w:vAlign w:val="bottom"/>
            <w:hideMark/>
          </w:tcPr>
          <w:p w14:paraId="012BC7C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47.265</w:t>
            </w:r>
          </w:p>
        </w:tc>
        <w:tc>
          <w:tcPr>
            <w:tcW w:w="368" w:type="pct"/>
            <w:tcBorders>
              <w:top w:val="nil"/>
              <w:left w:val="nil"/>
              <w:bottom w:val="single" w:sz="4" w:space="0" w:color="auto"/>
              <w:right w:val="nil"/>
            </w:tcBorders>
            <w:shd w:val="clear" w:color="auto" w:fill="auto"/>
            <w:noWrap/>
            <w:vAlign w:val="bottom"/>
            <w:hideMark/>
          </w:tcPr>
          <w:p w14:paraId="079C93F6"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61.748</w:t>
            </w:r>
          </w:p>
        </w:tc>
        <w:tc>
          <w:tcPr>
            <w:tcW w:w="369" w:type="pct"/>
            <w:tcBorders>
              <w:top w:val="nil"/>
              <w:left w:val="nil"/>
              <w:bottom w:val="single" w:sz="4" w:space="0" w:color="auto"/>
              <w:right w:val="nil"/>
            </w:tcBorders>
            <w:shd w:val="clear" w:color="auto" w:fill="auto"/>
            <w:noWrap/>
            <w:vAlign w:val="bottom"/>
            <w:hideMark/>
          </w:tcPr>
          <w:p w14:paraId="1CE4F659"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72.958</w:t>
            </w:r>
          </w:p>
        </w:tc>
        <w:tc>
          <w:tcPr>
            <w:tcW w:w="369" w:type="pct"/>
            <w:tcBorders>
              <w:top w:val="nil"/>
              <w:left w:val="nil"/>
              <w:bottom w:val="single" w:sz="4" w:space="0" w:color="auto"/>
              <w:right w:val="nil"/>
            </w:tcBorders>
            <w:shd w:val="clear" w:color="auto" w:fill="auto"/>
            <w:noWrap/>
            <w:vAlign w:val="bottom"/>
            <w:hideMark/>
          </w:tcPr>
          <w:p w14:paraId="16CB793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84.193</w:t>
            </w:r>
          </w:p>
        </w:tc>
        <w:tc>
          <w:tcPr>
            <w:tcW w:w="368" w:type="pct"/>
            <w:tcBorders>
              <w:top w:val="nil"/>
              <w:left w:val="nil"/>
              <w:bottom w:val="single" w:sz="4" w:space="0" w:color="auto"/>
              <w:right w:val="nil"/>
            </w:tcBorders>
            <w:shd w:val="clear" w:color="auto" w:fill="auto"/>
            <w:noWrap/>
            <w:vAlign w:val="bottom"/>
            <w:hideMark/>
          </w:tcPr>
          <w:p w14:paraId="16F693CE"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95.455</w:t>
            </w:r>
          </w:p>
        </w:tc>
        <w:tc>
          <w:tcPr>
            <w:tcW w:w="369" w:type="pct"/>
            <w:tcBorders>
              <w:top w:val="nil"/>
              <w:left w:val="nil"/>
              <w:bottom w:val="single" w:sz="4" w:space="0" w:color="auto"/>
              <w:right w:val="nil"/>
            </w:tcBorders>
            <w:shd w:val="clear" w:color="auto" w:fill="auto"/>
            <w:noWrap/>
            <w:vAlign w:val="bottom"/>
            <w:hideMark/>
          </w:tcPr>
          <w:p w14:paraId="0C910CF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106.744</w:t>
            </w:r>
          </w:p>
        </w:tc>
        <w:tc>
          <w:tcPr>
            <w:tcW w:w="365" w:type="pct"/>
            <w:tcBorders>
              <w:top w:val="nil"/>
              <w:left w:val="nil"/>
              <w:bottom w:val="single" w:sz="4" w:space="0" w:color="auto"/>
              <w:right w:val="nil"/>
            </w:tcBorders>
            <w:shd w:val="clear" w:color="auto" w:fill="auto"/>
            <w:noWrap/>
            <w:vAlign w:val="bottom"/>
            <w:hideMark/>
          </w:tcPr>
          <w:p w14:paraId="33ABD1C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118.060</w:t>
            </w:r>
          </w:p>
        </w:tc>
      </w:tr>
      <w:tr w:rsidR="00B54F4E" w:rsidRPr="00396346" w14:paraId="3FD7CE44"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3678D764"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Ahorro energético acumulado S. Residencial (TonCO2)</w:t>
            </w:r>
          </w:p>
        </w:tc>
        <w:tc>
          <w:tcPr>
            <w:tcW w:w="113" w:type="pct"/>
            <w:tcBorders>
              <w:top w:val="nil"/>
              <w:left w:val="nil"/>
              <w:bottom w:val="single" w:sz="4" w:space="0" w:color="auto"/>
              <w:right w:val="nil"/>
            </w:tcBorders>
            <w:shd w:val="clear" w:color="auto" w:fill="auto"/>
            <w:noWrap/>
            <w:vAlign w:val="bottom"/>
            <w:hideMark/>
          </w:tcPr>
          <w:p w14:paraId="54EBDF68"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auto" w:fill="auto"/>
            <w:noWrap/>
            <w:vAlign w:val="bottom"/>
            <w:hideMark/>
          </w:tcPr>
          <w:p w14:paraId="77E68EF1"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26.414</w:t>
            </w:r>
          </w:p>
        </w:tc>
        <w:tc>
          <w:tcPr>
            <w:tcW w:w="369" w:type="pct"/>
            <w:tcBorders>
              <w:top w:val="nil"/>
              <w:left w:val="nil"/>
              <w:bottom w:val="single" w:sz="4" w:space="0" w:color="auto"/>
              <w:right w:val="nil"/>
            </w:tcBorders>
            <w:shd w:val="clear" w:color="auto" w:fill="auto"/>
            <w:noWrap/>
            <w:vAlign w:val="bottom"/>
            <w:hideMark/>
          </w:tcPr>
          <w:p w14:paraId="63069E8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60.056</w:t>
            </w:r>
          </w:p>
        </w:tc>
        <w:tc>
          <w:tcPr>
            <w:tcW w:w="369" w:type="pct"/>
            <w:tcBorders>
              <w:top w:val="nil"/>
              <w:left w:val="nil"/>
              <w:bottom w:val="single" w:sz="4" w:space="0" w:color="auto"/>
              <w:right w:val="nil"/>
            </w:tcBorders>
            <w:shd w:val="clear" w:color="auto" w:fill="auto"/>
            <w:noWrap/>
            <w:vAlign w:val="bottom"/>
            <w:hideMark/>
          </w:tcPr>
          <w:p w14:paraId="0FFD496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107.321</w:t>
            </w:r>
          </w:p>
        </w:tc>
        <w:tc>
          <w:tcPr>
            <w:tcW w:w="368" w:type="pct"/>
            <w:tcBorders>
              <w:top w:val="nil"/>
              <w:left w:val="nil"/>
              <w:bottom w:val="single" w:sz="4" w:space="0" w:color="auto"/>
              <w:right w:val="nil"/>
            </w:tcBorders>
            <w:shd w:val="clear" w:color="auto" w:fill="auto"/>
            <w:noWrap/>
            <w:vAlign w:val="bottom"/>
            <w:hideMark/>
          </w:tcPr>
          <w:p w14:paraId="02F51D5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169.069</w:t>
            </w:r>
          </w:p>
        </w:tc>
        <w:tc>
          <w:tcPr>
            <w:tcW w:w="369" w:type="pct"/>
            <w:tcBorders>
              <w:top w:val="nil"/>
              <w:left w:val="nil"/>
              <w:bottom w:val="single" w:sz="4" w:space="0" w:color="auto"/>
              <w:right w:val="nil"/>
            </w:tcBorders>
            <w:shd w:val="clear" w:color="auto" w:fill="auto"/>
            <w:noWrap/>
            <w:vAlign w:val="bottom"/>
            <w:hideMark/>
          </w:tcPr>
          <w:p w14:paraId="1073DCF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242.027</w:t>
            </w:r>
          </w:p>
        </w:tc>
        <w:tc>
          <w:tcPr>
            <w:tcW w:w="369" w:type="pct"/>
            <w:tcBorders>
              <w:top w:val="nil"/>
              <w:left w:val="nil"/>
              <w:bottom w:val="single" w:sz="4" w:space="0" w:color="auto"/>
              <w:right w:val="nil"/>
            </w:tcBorders>
            <w:shd w:val="clear" w:color="auto" w:fill="auto"/>
            <w:noWrap/>
            <w:vAlign w:val="bottom"/>
            <w:hideMark/>
          </w:tcPr>
          <w:p w14:paraId="47F1A0D7"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326.220</w:t>
            </w:r>
          </w:p>
        </w:tc>
        <w:tc>
          <w:tcPr>
            <w:tcW w:w="368" w:type="pct"/>
            <w:tcBorders>
              <w:top w:val="nil"/>
              <w:left w:val="nil"/>
              <w:bottom w:val="single" w:sz="4" w:space="0" w:color="auto"/>
              <w:right w:val="nil"/>
            </w:tcBorders>
            <w:shd w:val="clear" w:color="auto" w:fill="auto"/>
            <w:noWrap/>
            <w:vAlign w:val="bottom"/>
            <w:hideMark/>
          </w:tcPr>
          <w:p w14:paraId="1BB43B2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421.676</w:t>
            </w:r>
          </w:p>
        </w:tc>
        <w:tc>
          <w:tcPr>
            <w:tcW w:w="369" w:type="pct"/>
            <w:tcBorders>
              <w:top w:val="nil"/>
              <w:left w:val="nil"/>
              <w:bottom w:val="single" w:sz="4" w:space="0" w:color="auto"/>
              <w:right w:val="nil"/>
            </w:tcBorders>
            <w:shd w:val="clear" w:color="auto" w:fill="auto"/>
            <w:noWrap/>
            <w:vAlign w:val="bottom"/>
            <w:hideMark/>
          </w:tcPr>
          <w:p w14:paraId="6C4E72A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528.420</w:t>
            </w:r>
          </w:p>
        </w:tc>
        <w:tc>
          <w:tcPr>
            <w:tcW w:w="365" w:type="pct"/>
            <w:tcBorders>
              <w:top w:val="nil"/>
              <w:left w:val="nil"/>
              <w:bottom w:val="single" w:sz="4" w:space="0" w:color="auto"/>
              <w:right w:val="nil"/>
            </w:tcBorders>
            <w:shd w:val="clear" w:color="auto" w:fill="auto"/>
            <w:noWrap/>
            <w:vAlign w:val="bottom"/>
            <w:hideMark/>
          </w:tcPr>
          <w:p w14:paraId="18924E70"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646.480</w:t>
            </w:r>
          </w:p>
        </w:tc>
      </w:tr>
      <w:tr w:rsidR="00B54F4E" w:rsidRPr="00396346" w14:paraId="7BA93EF6" w14:textId="77777777" w:rsidTr="006504C4">
        <w:trPr>
          <w:trHeight w:val="300"/>
          <w:tblHeader/>
        </w:trPr>
        <w:tc>
          <w:tcPr>
            <w:tcW w:w="1573" w:type="pct"/>
            <w:tcBorders>
              <w:top w:val="nil"/>
              <w:left w:val="nil"/>
              <w:bottom w:val="single" w:sz="4" w:space="0" w:color="auto"/>
              <w:right w:val="nil"/>
            </w:tcBorders>
            <w:shd w:val="clear" w:color="000000" w:fill="E7E6E6"/>
            <w:noWrap/>
            <w:vAlign w:val="bottom"/>
            <w:hideMark/>
          </w:tcPr>
          <w:p w14:paraId="5510EDA7" w14:textId="77777777" w:rsidR="00B54F4E" w:rsidRPr="00396346" w:rsidRDefault="00B54F4E" w:rsidP="006504C4">
            <w:pPr>
              <w:spacing w:before="0" w:after="0"/>
              <w:jc w:val="lef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Sector Comercial</w:t>
            </w:r>
          </w:p>
        </w:tc>
        <w:tc>
          <w:tcPr>
            <w:tcW w:w="113" w:type="pct"/>
            <w:tcBorders>
              <w:top w:val="nil"/>
              <w:left w:val="nil"/>
              <w:bottom w:val="single" w:sz="4" w:space="0" w:color="auto"/>
              <w:right w:val="nil"/>
            </w:tcBorders>
            <w:shd w:val="clear" w:color="000000" w:fill="E7E6E6"/>
            <w:noWrap/>
            <w:vAlign w:val="bottom"/>
            <w:hideMark/>
          </w:tcPr>
          <w:p w14:paraId="057A0F8A"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36B2DBE1"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06AA09CE"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4446C6C1"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6A43A650"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405040DA"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61D4B359"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37F15A77"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412847BE"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c>
          <w:tcPr>
            <w:tcW w:w="365" w:type="pct"/>
            <w:tcBorders>
              <w:top w:val="nil"/>
              <w:left w:val="nil"/>
              <w:bottom w:val="single" w:sz="4" w:space="0" w:color="auto"/>
              <w:right w:val="nil"/>
            </w:tcBorders>
            <w:shd w:val="clear" w:color="000000" w:fill="E7E6E6"/>
            <w:noWrap/>
            <w:vAlign w:val="bottom"/>
            <w:hideMark/>
          </w:tcPr>
          <w:p w14:paraId="41552CEC"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r>
      <w:tr w:rsidR="00B54F4E" w:rsidRPr="00396346" w14:paraId="29197B56" w14:textId="77777777" w:rsidTr="006504C4">
        <w:trPr>
          <w:trHeight w:val="300"/>
          <w:tblHeader/>
        </w:trPr>
        <w:tc>
          <w:tcPr>
            <w:tcW w:w="1573" w:type="pct"/>
            <w:tcBorders>
              <w:top w:val="nil"/>
              <w:left w:val="nil"/>
              <w:bottom w:val="nil"/>
              <w:right w:val="nil"/>
            </w:tcBorders>
            <w:shd w:val="clear" w:color="auto" w:fill="auto"/>
            <w:noWrap/>
            <w:vAlign w:val="bottom"/>
            <w:hideMark/>
          </w:tcPr>
          <w:p w14:paraId="26E14C6B"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Cambio equipos de bombillos</w:t>
            </w:r>
          </w:p>
        </w:tc>
        <w:tc>
          <w:tcPr>
            <w:tcW w:w="113" w:type="pct"/>
            <w:tcBorders>
              <w:top w:val="nil"/>
              <w:left w:val="nil"/>
              <w:bottom w:val="nil"/>
              <w:right w:val="nil"/>
            </w:tcBorders>
            <w:shd w:val="clear" w:color="auto" w:fill="auto"/>
            <w:noWrap/>
            <w:vAlign w:val="bottom"/>
            <w:hideMark/>
          </w:tcPr>
          <w:p w14:paraId="2C3D71D3"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p>
        </w:tc>
        <w:tc>
          <w:tcPr>
            <w:tcW w:w="368" w:type="pct"/>
            <w:tcBorders>
              <w:top w:val="nil"/>
              <w:left w:val="nil"/>
              <w:bottom w:val="nil"/>
              <w:right w:val="nil"/>
            </w:tcBorders>
            <w:shd w:val="clear" w:color="auto" w:fill="auto"/>
            <w:noWrap/>
            <w:vAlign w:val="bottom"/>
            <w:hideMark/>
          </w:tcPr>
          <w:p w14:paraId="4C447408"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2.132</w:t>
            </w:r>
          </w:p>
        </w:tc>
        <w:tc>
          <w:tcPr>
            <w:tcW w:w="369" w:type="pct"/>
            <w:tcBorders>
              <w:top w:val="nil"/>
              <w:left w:val="nil"/>
              <w:bottom w:val="nil"/>
              <w:right w:val="nil"/>
            </w:tcBorders>
            <w:shd w:val="clear" w:color="auto" w:fill="auto"/>
            <w:noWrap/>
            <w:vAlign w:val="bottom"/>
            <w:hideMark/>
          </w:tcPr>
          <w:p w14:paraId="7924429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4.265</w:t>
            </w:r>
          </w:p>
        </w:tc>
        <w:tc>
          <w:tcPr>
            <w:tcW w:w="369" w:type="pct"/>
            <w:tcBorders>
              <w:top w:val="nil"/>
              <w:left w:val="nil"/>
              <w:bottom w:val="nil"/>
              <w:right w:val="nil"/>
            </w:tcBorders>
            <w:shd w:val="clear" w:color="auto" w:fill="auto"/>
            <w:noWrap/>
            <w:vAlign w:val="bottom"/>
            <w:hideMark/>
          </w:tcPr>
          <w:p w14:paraId="7F1B0247"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6.397</w:t>
            </w:r>
          </w:p>
        </w:tc>
        <w:tc>
          <w:tcPr>
            <w:tcW w:w="368" w:type="pct"/>
            <w:tcBorders>
              <w:top w:val="nil"/>
              <w:left w:val="nil"/>
              <w:bottom w:val="nil"/>
              <w:right w:val="nil"/>
            </w:tcBorders>
            <w:shd w:val="clear" w:color="auto" w:fill="auto"/>
            <w:noWrap/>
            <w:vAlign w:val="bottom"/>
            <w:hideMark/>
          </w:tcPr>
          <w:p w14:paraId="4A3347D1"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11.969</w:t>
            </w:r>
          </w:p>
        </w:tc>
        <w:tc>
          <w:tcPr>
            <w:tcW w:w="369" w:type="pct"/>
            <w:tcBorders>
              <w:top w:val="nil"/>
              <w:left w:val="nil"/>
              <w:bottom w:val="nil"/>
              <w:right w:val="nil"/>
            </w:tcBorders>
            <w:shd w:val="clear" w:color="auto" w:fill="auto"/>
            <w:noWrap/>
            <w:vAlign w:val="bottom"/>
            <w:hideMark/>
          </w:tcPr>
          <w:p w14:paraId="2C56F7A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17.541</w:t>
            </w:r>
          </w:p>
        </w:tc>
        <w:tc>
          <w:tcPr>
            <w:tcW w:w="369" w:type="pct"/>
            <w:tcBorders>
              <w:top w:val="nil"/>
              <w:left w:val="nil"/>
              <w:bottom w:val="nil"/>
              <w:right w:val="nil"/>
            </w:tcBorders>
            <w:shd w:val="clear" w:color="auto" w:fill="auto"/>
            <w:noWrap/>
            <w:vAlign w:val="bottom"/>
            <w:hideMark/>
          </w:tcPr>
          <w:p w14:paraId="1F680D5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23.113</w:t>
            </w:r>
          </w:p>
        </w:tc>
        <w:tc>
          <w:tcPr>
            <w:tcW w:w="368" w:type="pct"/>
            <w:tcBorders>
              <w:top w:val="nil"/>
              <w:left w:val="nil"/>
              <w:bottom w:val="nil"/>
              <w:right w:val="nil"/>
            </w:tcBorders>
            <w:shd w:val="clear" w:color="auto" w:fill="auto"/>
            <w:noWrap/>
            <w:vAlign w:val="bottom"/>
            <w:hideMark/>
          </w:tcPr>
          <w:p w14:paraId="75D3F77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28.685</w:t>
            </w:r>
          </w:p>
        </w:tc>
        <w:tc>
          <w:tcPr>
            <w:tcW w:w="369" w:type="pct"/>
            <w:tcBorders>
              <w:top w:val="nil"/>
              <w:left w:val="nil"/>
              <w:bottom w:val="nil"/>
              <w:right w:val="nil"/>
            </w:tcBorders>
            <w:shd w:val="clear" w:color="auto" w:fill="auto"/>
            <w:noWrap/>
            <w:vAlign w:val="bottom"/>
            <w:hideMark/>
          </w:tcPr>
          <w:p w14:paraId="5FC8EFD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34.257</w:t>
            </w:r>
          </w:p>
        </w:tc>
        <w:tc>
          <w:tcPr>
            <w:tcW w:w="365" w:type="pct"/>
            <w:tcBorders>
              <w:top w:val="nil"/>
              <w:left w:val="nil"/>
              <w:bottom w:val="nil"/>
              <w:right w:val="nil"/>
            </w:tcBorders>
            <w:shd w:val="clear" w:color="auto" w:fill="auto"/>
            <w:noWrap/>
            <w:vAlign w:val="bottom"/>
            <w:hideMark/>
          </w:tcPr>
          <w:p w14:paraId="3AA6B924"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39.829</w:t>
            </w:r>
          </w:p>
        </w:tc>
      </w:tr>
      <w:tr w:rsidR="00B54F4E" w:rsidRPr="00396346" w14:paraId="551055F9"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519D633D"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Medidas arquitectónicas eficientes</w:t>
            </w:r>
          </w:p>
        </w:tc>
        <w:tc>
          <w:tcPr>
            <w:tcW w:w="113" w:type="pct"/>
            <w:tcBorders>
              <w:top w:val="nil"/>
              <w:left w:val="nil"/>
              <w:bottom w:val="single" w:sz="4" w:space="0" w:color="auto"/>
              <w:right w:val="nil"/>
            </w:tcBorders>
            <w:shd w:val="clear" w:color="auto" w:fill="auto"/>
            <w:noWrap/>
            <w:vAlign w:val="bottom"/>
            <w:hideMark/>
          </w:tcPr>
          <w:p w14:paraId="1DF50290"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auto" w:fill="auto"/>
            <w:noWrap/>
            <w:vAlign w:val="bottom"/>
            <w:hideMark/>
          </w:tcPr>
          <w:p w14:paraId="5B701B4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7.858</w:t>
            </w:r>
          </w:p>
        </w:tc>
        <w:tc>
          <w:tcPr>
            <w:tcW w:w="369" w:type="pct"/>
            <w:tcBorders>
              <w:top w:val="nil"/>
              <w:left w:val="nil"/>
              <w:bottom w:val="single" w:sz="4" w:space="0" w:color="auto"/>
              <w:right w:val="nil"/>
            </w:tcBorders>
            <w:shd w:val="clear" w:color="auto" w:fill="auto"/>
            <w:noWrap/>
            <w:vAlign w:val="bottom"/>
            <w:hideMark/>
          </w:tcPr>
          <w:p w14:paraId="76D2C815"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15.716</w:t>
            </w:r>
          </w:p>
        </w:tc>
        <w:tc>
          <w:tcPr>
            <w:tcW w:w="369" w:type="pct"/>
            <w:tcBorders>
              <w:top w:val="nil"/>
              <w:left w:val="nil"/>
              <w:bottom w:val="single" w:sz="4" w:space="0" w:color="auto"/>
              <w:right w:val="nil"/>
            </w:tcBorders>
            <w:shd w:val="clear" w:color="auto" w:fill="auto"/>
            <w:noWrap/>
            <w:vAlign w:val="bottom"/>
            <w:hideMark/>
          </w:tcPr>
          <w:p w14:paraId="0F52B94E"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26.194</w:t>
            </w:r>
          </w:p>
        </w:tc>
        <w:tc>
          <w:tcPr>
            <w:tcW w:w="368" w:type="pct"/>
            <w:tcBorders>
              <w:top w:val="nil"/>
              <w:left w:val="nil"/>
              <w:bottom w:val="single" w:sz="4" w:space="0" w:color="auto"/>
              <w:right w:val="nil"/>
            </w:tcBorders>
            <w:shd w:val="clear" w:color="auto" w:fill="auto"/>
            <w:noWrap/>
            <w:vAlign w:val="bottom"/>
            <w:hideMark/>
          </w:tcPr>
          <w:p w14:paraId="739B998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36.671</w:t>
            </w:r>
          </w:p>
        </w:tc>
        <w:tc>
          <w:tcPr>
            <w:tcW w:w="369" w:type="pct"/>
            <w:tcBorders>
              <w:top w:val="nil"/>
              <w:left w:val="nil"/>
              <w:bottom w:val="single" w:sz="4" w:space="0" w:color="auto"/>
              <w:right w:val="nil"/>
            </w:tcBorders>
            <w:shd w:val="clear" w:color="auto" w:fill="auto"/>
            <w:noWrap/>
            <w:vAlign w:val="bottom"/>
            <w:hideMark/>
          </w:tcPr>
          <w:p w14:paraId="335EF3F1"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47.789</w:t>
            </w:r>
          </w:p>
        </w:tc>
        <w:tc>
          <w:tcPr>
            <w:tcW w:w="369" w:type="pct"/>
            <w:tcBorders>
              <w:top w:val="nil"/>
              <w:left w:val="nil"/>
              <w:bottom w:val="single" w:sz="4" w:space="0" w:color="auto"/>
              <w:right w:val="nil"/>
            </w:tcBorders>
            <w:shd w:val="clear" w:color="auto" w:fill="auto"/>
            <w:noWrap/>
            <w:vAlign w:val="bottom"/>
            <w:hideMark/>
          </w:tcPr>
          <w:p w14:paraId="5CC13B17"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58.906</w:t>
            </w:r>
          </w:p>
        </w:tc>
        <w:tc>
          <w:tcPr>
            <w:tcW w:w="368" w:type="pct"/>
            <w:tcBorders>
              <w:top w:val="nil"/>
              <w:left w:val="nil"/>
              <w:bottom w:val="single" w:sz="4" w:space="0" w:color="auto"/>
              <w:right w:val="nil"/>
            </w:tcBorders>
            <w:shd w:val="clear" w:color="auto" w:fill="auto"/>
            <w:noWrap/>
            <w:vAlign w:val="bottom"/>
            <w:hideMark/>
          </w:tcPr>
          <w:p w14:paraId="7C04D9B0"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70.024</w:t>
            </w:r>
          </w:p>
        </w:tc>
        <w:tc>
          <w:tcPr>
            <w:tcW w:w="369" w:type="pct"/>
            <w:tcBorders>
              <w:top w:val="nil"/>
              <w:left w:val="nil"/>
              <w:bottom w:val="single" w:sz="4" w:space="0" w:color="auto"/>
              <w:right w:val="nil"/>
            </w:tcBorders>
            <w:shd w:val="clear" w:color="auto" w:fill="auto"/>
            <w:noWrap/>
            <w:vAlign w:val="bottom"/>
            <w:hideMark/>
          </w:tcPr>
          <w:p w14:paraId="61202A3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81.141</w:t>
            </w:r>
          </w:p>
        </w:tc>
        <w:tc>
          <w:tcPr>
            <w:tcW w:w="365" w:type="pct"/>
            <w:tcBorders>
              <w:top w:val="nil"/>
              <w:left w:val="nil"/>
              <w:bottom w:val="single" w:sz="4" w:space="0" w:color="auto"/>
              <w:right w:val="nil"/>
            </w:tcBorders>
            <w:shd w:val="clear" w:color="auto" w:fill="auto"/>
            <w:noWrap/>
            <w:vAlign w:val="bottom"/>
            <w:hideMark/>
          </w:tcPr>
          <w:p w14:paraId="29FFCAB5"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103.376</w:t>
            </w:r>
          </w:p>
        </w:tc>
      </w:tr>
      <w:tr w:rsidR="00B54F4E" w:rsidRPr="00396346" w14:paraId="2FCF8C3F"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6EBF1196"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Total ahorro anual Sector Comercial (TonCO2)</w:t>
            </w:r>
          </w:p>
        </w:tc>
        <w:tc>
          <w:tcPr>
            <w:tcW w:w="113" w:type="pct"/>
            <w:tcBorders>
              <w:top w:val="nil"/>
              <w:left w:val="nil"/>
              <w:bottom w:val="single" w:sz="4" w:space="0" w:color="auto"/>
              <w:right w:val="nil"/>
            </w:tcBorders>
            <w:shd w:val="clear" w:color="auto" w:fill="auto"/>
            <w:noWrap/>
            <w:vAlign w:val="bottom"/>
            <w:hideMark/>
          </w:tcPr>
          <w:p w14:paraId="3312A96B"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auto" w:fill="auto"/>
            <w:noWrap/>
            <w:vAlign w:val="bottom"/>
            <w:hideMark/>
          </w:tcPr>
          <w:p w14:paraId="6DFA4682"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9.991</w:t>
            </w:r>
          </w:p>
        </w:tc>
        <w:tc>
          <w:tcPr>
            <w:tcW w:w="369" w:type="pct"/>
            <w:tcBorders>
              <w:top w:val="nil"/>
              <w:left w:val="nil"/>
              <w:bottom w:val="single" w:sz="4" w:space="0" w:color="auto"/>
              <w:right w:val="nil"/>
            </w:tcBorders>
            <w:shd w:val="clear" w:color="auto" w:fill="auto"/>
            <w:noWrap/>
            <w:vAlign w:val="bottom"/>
            <w:hideMark/>
          </w:tcPr>
          <w:p w14:paraId="356FE4D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19.981</w:t>
            </w:r>
          </w:p>
        </w:tc>
        <w:tc>
          <w:tcPr>
            <w:tcW w:w="369" w:type="pct"/>
            <w:tcBorders>
              <w:top w:val="nil"/>
              <w:left w:val="nil"/>
              <w:bottom w:val="single" w:sz="4" w:space="0" w:color="auto"/>
              <w:right w:val="nil"/>
            </w:tcBorders>
            <w:shd w:val="clear" w:color="auto" w:fill="auto"/>
            <w:noWrap/>
            <w:vAlign w:val="bottom"/>
            <w:hideMark/>
          </w:tcPr>
          <w:p w14:paraId="20AB9AA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32.591</w:t>
            </w:r>
          </w:p>
        </w:tc>
        <w:tc>
          <w:tcPr>
            <w:tcW w:w="368" w:type="pct"/>
            <w:tcBorders>
              <w:top w:val="nil"/>
              <w:left w:val="nil"/>
              <w:bottom w:val="single" w:sz="4" w:space="0" w:color="auto"/>
              <w:right w:val="nil"/>
            </w:tcBorders>
            <w:shd w:val="clear" w:color="auto" w:fill="auto"/>
            <w:noWrap/>
            <w:vAlign w:val="bottom"/>
            <w:hideMark/>
          </w:tcPr>
          <w:p w14:paraId="72598EA6"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48.641</w:t>
            </w:r>
          </w:p>
        </w:tc>
        <w:tc>
          <w:tcPr>
            <w:tcW w:w="369" w:type="pct"/>
            <w:tcBorders>
              <w:top w:val="nil"/>
              <w:left w:val="nil"/>
              <w:bottom w:val="single" w:sz="4" w:space="0" w:color="auto"/>
              <w:right w:val="nil"/>
            </w:tcBorders>
            <w:shd w:val="clear" w:color="auto" w:fill="auto"/>
            <w:noWrap/>
            <w:vAlign w:val="bottom"/>
            <w:hideMark/>
          </w:tcPr>
          <w:p w14:paraId="70C27229"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65.330</w:t>
            </w:r>
          </w:p>
        </w:tc>
        <w:tc>
          <w:tcPr>
            <w:tcW w:w="369" w:type="pct"/>
            <w:tcBorders>
              <w:top w:val="nil"/>
              <w:left w:val="nil"/>
              <w:bottom w:val="single" w:sz="4" w:space="0" w:color="auto"/>
              <w:right w:val="nil"/>
            </w:tcBorders>
            <w:shd w:val="clear" w:color="auto" w:fill="auto"/>
            <w:noWrap/>
            <w:vAlign w:val="bottom"/>
            <w:hideMark/>
          </w:tcPr>
          <w:p w14:paraId="6EA27279"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82.020</w:t>
            </w:r>
          </w:p>
        </w:tc>
        <w:tc>
          <w:tcPr>
            <w:tcW w:w="368" w:type="pct"/>
            <w:tcBorders>
              <w:top w:val="nil"/>
              <w:left w:val="nil"/>
              <w:bottom w:val="single" w:sz="4" w:space="0" w:color="auto"/>
              <w:right w:val="nil"/>
            </w:tcBorders>
            <w:shd w:val="clear" w:color="auto" w:fill="auto"/>
            <w:noWrap/>
            <w:vAlign w:val="bottom"/>
            <w:hideMark/>
          </w:tcPr>
          <w:p w14:paraId="690E753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98.709</w:t>
            </w:r>
          </w:p>
        </w:tc>
        <w:tc>
          <w:tcPr>
            <w:tcW w:w="369" w:type="pct"/>
            <w:tcBorders>
              <w:top w:val="nil"/>
              <w:left w:val="nil"/>
              <w:bottom w:val="single" w:sz="4" w:space="0" w:color="auto"/>
              <w:right w:val="nil"/>
            </w:tcBorders>
            <w:shd w:val="clear" w:color="auto" w:fill="auto"/>
            <w:noWrap/>
            <w:vAlign w:val="bottom"/>
            <w:hideMark/>
          </w:tcPr>
          <w:p w14:paraId="6AB43A36"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115.399</w:t>
            </w:r>
          </w:p>
        </w:tc>
        <w:tc>
          <w:tcPr>
            <w:tcW w:w="365" w:type="pct"/>
            <w:tcBorders>
              <w:top w:val="nil"/>
              <w:left w:val="nil"/>
              <w:bottom w:val="single" w:sz="4" w:space="0" w:color="auto"/>
              <w:right w:val="nil"/>
            </w:tcBorders>
            <w:shd w:val="clear" w:color="auto" w:fill="auto"/>
            <w:noWrap/>
            <w:vAlign w:val="bottom"/>
            <w:hideMark/>
          </w:tcPr>
          <w:p w14:paraId="1F2A2B65"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143.206</w:t>
            </w:r>
          </w:p>
        </w:tc>
      </w:tr>
      <w:tr w:rsidR="00B54F4E" w:rsidRPr="00396346" w14:paraId="1489D5C5"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48441C76"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Ahorro energético acumulado S. Comercial (TonCO2)</w:t>
            </w:r>
          </w:p>
        </w:tc>
        <w:tc>
          <w:tcPr>
            <w:tcW w:w="113" w:type="pct"/>
            <w:tcBorders>
              <w:top w:val="nil"/>
              <w:left w:val="nil"/>
              <w:bottom w:val="single" w:sz="4" w:space="0" w:color="auto"/>
              <w:right w:val="nil"/>
            </w:tcBorders>
            <w:shd w:val="clear" w:color="auto" w:fill="auto"/>
            <w:noWrap/>
            <w:vAlign w:val="bottom"/>
            <w:hideMark/>
          </w:tcPr>
          <w:p w14:paraId="7804B0F5"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auto" w:fill="auto"/>
            <w:noWrap/>
            <w:vAlign w:val="bottom"/>
            <w:hideMark/>
          </w:tcPr>
          <w:p w14:paraId="67059BE4"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9.991</w:t>
            </w:r>
          </w:p>
        </w:tc>
        <w:tc>
          <w:tcPr>
            <w:tcW w:w="369" w:type="pct"/>
            <w:tcBorders>
              <w:top w:val="nil"/>
              <w:left w:val="nil"/>
              <w:bottom w:val="single" w:sz="4" w:space="0" w:color="auto"/>
              <w:right w:val="nil"/>
            </w:tcBorders>
            <w:shd w:val="clear" w:color="auto" w:fill="auto"/>
            <w:noWrap/>
            <w:vAlign w:val="bottom"/>
            <w:hideMark/>
          </w:tcPr>
          <w:p w14:paraId="5D3A6174"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29.972</w:t>
            </w:r>
          </w:p>
        </w:tc>
        <w:tc>
          <w:tcPr>
            <w:tcW w:w="369" w:type="pct"/>
            <w:tcBorders>
              <w:top w:val="nil"/>
              <w:left w:val="nil"/>
              <w:bottom w:val="single" w:sz="4" w:space="0" w:color="auto"/>
              <w:right w:val="nil"/>
            </w:tcBorders>
            <w:shd w:val="clear" w:color="auto" w:fill="auto"/>
            <w:noWrap/>
            <w:vAlign w:val="bottom"/>
            <w:hideMark/>
          </w:tcPr>
          <w:p w14:paraId="23B98100"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62.563</w:t>
            </w:r>
          </w:p>
        </w:tc>
        <w:tc>
          <w:tcPr>
            <w:tcW w:w="368" w:type="pct"/>
            <w:tcBorders>
              <w:top w:val="nil"/>
              <w:left w:val="nil"/>
              <w:bottom w:val="single" w:sz="4" w:space="0" w:color="auto"/>
              <w:right w:val="nil"/>
            </w:tcBorders>
            <w:shd w:val="clear" w:color="auto" w:fill="auto"/>
            <w:noWrap/>
            <w:vAlign w:val="bottom"/>
            <w:hideMark/>
          </w:tcPr>
          <w:p w14:paraId="1E969905"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111.204</w:t>
            </w:r>
          </w:p>
        </w:tc>
        <w:tc>
          <w:tcPr>
            <w:tcW w:w="369" w:type="pct"/>
            <w:tcBorders>
              <w:top w:val="nil"/>
              <w:left w:val="nil"/>
              <w:bottom w:val="single" w:sz="4" w:space="0" w:color="auto"/>
              <w:right w:val="nil"/>
            </w:tcBorders>
            <w:shd w:val="clear" w:color="auto" w:fill="auto"/>
            <w:noWrap/>
            <w:vAlign w:val="bottom"/>
            <w:hideMark/>
          </w:tcPr>
          <w:p w14:paraId="12791B41"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176.534</w:t>
            </w:r>
          </w:p>
        </w:tc>
        <w:tc>
          <w:tcPr>
            <w:tcW w:w="369" w:type="pct"/>
            <w:tcBorders>
              <w:top w:val="nil"/>
              <w:left w:val="nil"/>
              <w:bottom w:val="single" w:sz="4" w:space="0" w:color="auto"/>
              <w:right w:val="nil"/>
            </w:tcBorders>
            <w:shd w:val="clear" w:color="auto" w:fill="auto"/>
            <w:noWrap/>
            <w:vAlign w:val="bottom"/>
            <w:hideMark/>
          </w:tcPr>
          <w:p w14:paraId="4B17363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258.554</w:t>
            </w:r>
          </w:p>
        </w:tc>
        <w:tc>
          <w:tcPr>
            <w:tcW w:w="368" w:type="pct"/>
            <w:tcBorders>
              <w:top w:val="nil"/>
              <w:left w:val="nil"/>
              <w:bottom w:val="single" w:sz="4" w:space="0" w:color="auto"/>
              <w:right w:val="nil"/>
            </w:tcBorders>
            <w:shd w:val="clear" w:color="auto" w:fill="auto"/>
            <w:noWrap/>
            <w:vAlign w:val="bottom"/>
            <w:hideMark/>
          </w:tcPr>
          <w:p w14:paraId="54871519"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357.263</w:t>
            </w:r>
          </w:p>
        </w:tc>
        <w:tc>
          <w:tcPr>
            <w:tcW w:w="369" w:type="pct"/>
            <w:tcBorders>
              <w:top w:val="nil"/>
              <w:left w:val="nil"/>
              <w:bottom w:val="single" w:sz="4" w:space="0" w:color="auto"/>
              <w:right w:val="nil"/>
            </w:tcBorders>
            <w:shd w:val="clear" w:color="auto" w:fill="auto"/>
            <w:noWrap/>
            <w:vAlign w:val="bottom"/>
            <w:hideMark/>
          </w:tcPr>
          <w:p w14:paraId="5D41405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472.662</w:t>
            </w:r>
          </w:p>
        </w:tc>
        <w:tc>
          <w:tcPr>
            <w:tcW w:w="365" w:type="pct"/>
            <w:tcBorders>
              <w:top w:val="nil"/>
              <w:left w:val="nil"/>
              <w:bottom w:val="single" w:sz="4" w:space="0" w:color="auto"/>
              <w:right w:val="nil"/>
            </w:tcBorders>
            <w:shd w:val="clear" w:color="auto" w:fill="auto"/>
            <w:noWrap/>
            <w:vAlign w:val="bottom"/>
            <w:hideMark/>
          </w:tcPr>
          <w:p w14:paraId="2B4F1949"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615.868</w:t>
            </w:r>
          </w:p>
        </w:tc>
      </w:tr>
      <w:tr w:rsidR="00B54F4E" w:rsidRPr="00396346" w14:paraId="410E8084" w14:textId="77777777" w:rsidTr="006504C4">
        <w:trPr>
          <w:trHeight w:val="300"/>
          <w:tblHeader/>
        </w:trPr>
        <w:tc>
          <w:tcPr>
            <w:tcW w:w="1573" w:type="pct"/>
            <w:tcBorders>
              <w:top w:val="nil"/>
              <w:left w:val="nil"/>
              <w:bottom w:val="single" w:sz="4" w:space="0" w:color="auto"/>
              <w:right w:val="nil"/>
            </w:tcBorders>
            <w:shd w:val="clear" w:color="000000" w:fill="E7E6E6"/>
            <w:noWrap/>
            <w:vAlign w:val="bottom"/>
            <w:hideMark/>
          </w:tcPr>
          <w:p w14:paraId="06DAAEA7" w14:textId="77777777" w:rsidR="00B54F4E" w:rsidRPr="00396346" w:rsidRDefault="00B54F4E" w:rsidP="006504C4">
            <w:pPr>
              <w:spacing w:before="0" w:after="0"/>
              <w:jc w:val="lef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Sector Público</w:t>
            </w:r>
          </w:p>
        </w:tc>
        <w:tc>
          <w:tcPr>
            <w:tcW w:w="113" w:type="pct"/>
            <w:tcBorders>
              <w:top w:val="nil"/>
              <w:left w:val="nil"/>
              <w:bottom w:val="single" w:sz="4" w:space="0" w:color="auto"/>
              <w:right w:val="nil"/>
            </w:tcBorders>
            <w:shd w:val="clear" w:color="000000" w:fill="E7E6E6"/>
            <w:noWrap/>
            <w:vAlign w:val="bottom"/>
            <w:hideMark/>
          </w:tcPr>
          <w:p w14:paraId="0E6AE61B"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360A5E72"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46D5FD93"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1A6DD928"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03308477"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77566DCB"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49BEF72A"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3E1CDEC0"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c>
          <w:tcPr>
            <w:tcW w:w="369" w:type="pct"/>
            <w:tcBorders>
              <w:top w:val="nil"/>
              <w:left w:val="nil"/>
              <w:bottom w:val="single" w:sz="4" w:space="0" w:color="auto"/>
              <w:right w:val="nil"/>
            </w:tcBorders>
            <w:shd w:val="clear" w:color="000000" w:fill="E7E6E6"/>
            <w:noWrap/>
            <w:vAlign w:val="bottom"/>
            <w:hideMark/>
          </w:tcPr>
          <w:p w14:paraId="749A3314"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c>
          <w:tcPr>
            <w:tcW w:w="365" w:type="pct"/>
            <w:tcBorders>
              <w:top w:val="nil"/>
              <w:left w:val="nil"/>
              <w:bottom w:val="single" w:sz="4" w:space="0" w:color="auto"/>
              <w:right w:val="nil"/>
            </w:tcBorders>
            <w:shd w:val="clear" w:color="000000" w:fill="E7E6E6"/>
            <w:noWrap/>
            <w:vAlign w:val="bottom"/>
            <w:hideMark/>
          </w:tcPr>
          <w:p w14:paraId="5AA68378" w14:textId="77777777" w:rsidR="00B54F4E" w:rsidRPr="00396346" w:rsidRDefault="00B54F4E" w:rsidP="006504C4">
            <w:pPr>
              <w:spacing w:before="0" w:after="0"/>
              <w:jc w:val="left"/>
              <w:rPr>
                <w:rFonts w:ascii="Calibri" w:hAnsi="Calibri" w:cs="Calibri"/>
                <w:color w:val="806000"/>
                <w:sz w:val="12"/>
                <w:szCs w:val="22"/>
                <w:lang w:eastAsia="es-CO"/>
              </w:rPr>
            </w:pPr>
            <w:r w:rsidRPr="00396346">
              <w:rPr>
                <w:rFonts w:ascii="Calibri" w:hAnsi="Calibri" w:cs="Calibri"/>
                <w:color w:val="806000"/>
                <w:sz w:val="12"/>
                <w:szCs w:val="22"/>
                <w:lang w:eastAsia="es-CO"/>
              </w:rPr>
              <w:t> </w:t>
            </w:r>
          </w:p>
        </w:tc>
      </w:tr>
      <w:tr w:rsidR="00B54F4E" w:rsidRPr="00396346" w14:paraId="0A5C1F15" w14:textId="77777777" w:rsidTr="006504C4">
        <w:trPr>
          <w:trHeight w:val="300"/>
          <w:tblHeader/>
        </w:trPr>
        <w:tc>
          <w:tcPr>
            <w:tcW w:w="1573" w:type="pct"/>
            <w:tcBorders>
              <w:top w:val="nil"/>
              <w:left w:val="nil"/>
              <w:bottom w:val="nil"/>
              <w:right w:val="nil"/>
            </w:tcBorders>
            <w:shd w:val="clear" w:color="auto" w:fill="auto"/>
            <w:noWrap/>
            <w:vAlign w:val="bottom"/>
            <w:hideMark/>
          </w:tcPr>
          <w:p w14:paraId="64650D56"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Cambio equipos de bombillos</w:t>
            </w:r>
          </w:p>
        </w:tc>
        <w:tc>
          <w:tcPr>
            <w:tcW w:w="113" w:type="pct"/>
            <w:tcBorders>
              <w:top w:val="nil"/>
              <w:left w:val="nil"/>
              <w:bottom w:val="nil"/>
              <w:right w:val="nil"/>
            </w:tcBorders>
            <w:shd w:val="clear" w:color="auto" w:fill="auto"/>
            <w:noWrap/>
            <w:vAlign w:val="bottom"/>
            <w:hideMark/>
          </w:tcPr>
          <w:p w14:paraId="13BD7DBA"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p>
        </w:tc>
        <w:tc>
          <w:tcPr>
            <w:tcW w:w="368" w:type="pct"/>
            <w:tcBorders>
              <w:top w:val="nil"/>
              <w:left w:val="nil"/>
              <w:bottom w:val="nil"/>
              <w:right w:val="nil"/>
            </w:tcBorders>
            <w:shd w:val="clear" w:color="auto" w:fill="auto"/>
            <w:noWrap/>
            <w:vAlign w:val="bottom"/>
            <w:hideMark/>
          </w:tcPr>
          <w:p w14:paraId="678D081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519</w:t>
            </w:r>
          </w:p>
        </w:tc>
        <w:tc>
          <w:tcPr>
            <w:tcW w:w="369" w:type="pct"/>
            <w:tcBorders>
              <w:top w:val="nil"/>
              <w:left w:val="nil"/>
              <w:bottom w:val="nil"/>
              <w:right w:val="nil"/>
            </w:tcBorders>
            <w:shd w:val="clear" w:color="auto" w:fill="auto"/>
            <w:noWrap/>
            <w:vAlign w:val="bottom"/>
            <w:hideMark/>
          </w:tcPr>
          <w:p w14:paraId="287CF536"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1.039</w:t>
            </w:r>
          </w:p>
        </w:tc>
        <w:tc>
          <w:tcPr>
            <w:tcW w:w="369" w:type="pct"/>
            <w:tcBorders>
              <w:top w:val="nil"/>
              <w:left w:val="nil"/>
              <w:bottom w:val="nil"/>
              <w:right w:val="nil"/>
            </w:tcBorders>
            <w:shd w:val="clear" w:color="auto" w:fill="auto"/>
            <w:noWrap/>
            <w:vAlign w:val="bottom"/>
            <w:hideMark/>
          </w:tcPr>
          <w:p w14:paraId="5CD7E6B1"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1.558</w:t>
            </w:r>
          </w:p>
        </w:tc>
        <w:tc>
          <w:tcPr>
            <w:tcW w:w="368" w:type="pct"/>
            <w:tcBorders>
              <w:top w:val="nil"/>
              <w:left w:val="nil"/>
              <w:bottom w:val="nil"/>
              <w:right w:val="nil"/>
            </w:tcBorders>
            <w:shd w:val="clear" w:color="auto" w:fill="auto"/>
            <w:noWrap/>
            <w:vAlign w:val="bottom"/>
            <w:hideMark/>
          </w:tcPr>
          <w:p w14:paraId="61B9F87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2.224</w:t>
            </w:r>
          </w:p>
        </w:tc>
        <w:tc>
          <w:tcPr>
            <w:tcW w:w="369" w:type="pct"/>
            <w:tcBorders>
              <w:top w:val="nil"/>
              <w:left w:val="nil"/>
              <w:bottom w:val="nil"/>
              <w:right w:val="nil"/>
            </w:tcBorders>
            <w:shd w:val="clear" w:color="auto" w:fill="auto"/>
            <w:noWrap/>
            <w:vAlign w:val="bottom"/>
            <w:hideMark/>
          </w:tcPr>
          <w:p w14:paraId="367E5AE7"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2.890</w:t>
            </w:r>
          </w:p>
        </w:tc>
        <w:tc>
          <w:tcPr>
            <w:tcW w:w="369" w:type="pct"/>
            <w:tcBorders>
              <w:top w:val="nil"/>
              <w:left w:val="nil"/>
              <w:bottom w:val="nil"/>
              <w:right w:val="nil"/>
            </w:tcBorders>
            <w:shd w:val="clear" w:color="auto" w:fill="auto"/>
            <w:noWrap/>
            <w:vAlign w:val="bottom"/>
            <w:hideMark/>
          </w:tcPr>
          <w:p w14:paraId="2872300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3.556</w:t>
            </w:r>
          </w:p>
        </w:tc>
        <w:tc>
          <w:tcPr>
            <w:tcW w:w="368" w:type="pct"/>
            <w:tcBorders>
              <w:top w:val="nil"/>
              <w:left w:val="nil"/>
              <w:bottom w:val="nil"/>
              <w:right w:val="nil"/>
            </w:tcBorders>
            <w:shd w:val="clear" w:color="auto" w:fill="auto"/>
            <w:noWrap/>
            <w:vAlign w:val="bottom"/>
            <w:hideMark/>
          </w:tcPr>
          <w:p w14:paraId="3FAA3E49"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4.222</w:t>
            </w:r>
          </w:p>
        </w:tc>
        <w:tc>
          <w:tcPr>
            <w:tcW w:w="369" w:type="pct"/>
            <w:tcBorders>
              <w:top w:val="nil"/>
              <w:left w:val="nil"/>
              <w:bottom w:val="nil"/>
              <w:right w:val="nil"/>
            </w:tcBorders>
            <w:shd w:val="clear" w:color="auto" w:fill="auto"/>
            <w:noWrap/>
            <w:vAlign w:val="bottom"/>
            <w:hideMark/>
          </w:tcPr>
          <w:p w14:paraId="01244F04"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4.888</w:t>
            </w:r>
          </w:p>
        </w:tc>
        <w:tc>
          <w:tcPr>
            <w:tcW w:w="365" w:type="pct"/>
            <w:tcBorders>
              <w:top w:val="nil"/>
              <w:left w:val="nil"/>
              <w:bottom w:val="nil"/>
              <w:right w:val="nil"/>
            </w:tcBorders>
            <w:shd w:val="clear" w:color="auto" w:fill="auto"/>
            <w:noWrap/>
            <w:vAlign w:val="bottom"/>
            <w:hideMark/>
          </w:tcPr>
          <w:p w14:paraId="68F7ED6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5.554</w:t>
            </w:r>
          </w:p>
        </w:tc>
      </w:tr>
      <w:tr w:rsidR="00B54F4E" w:rsidRPr="00396346" w14:paraId="725ED26E"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0B211537" w14:textId="77777777" w:rsidR="00B54F4E" w:rsidRPr="00396346" w:rsidRDefault="00B54F4E" w:rsidP="006504C4">
            <w:pPr>
              <w:spacing w:before="0" w:after="0"/>
              <w:ind w:firstLineChars="100" w:firstLine="12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Medidas arquitectónicas eficientes</w:t>
            </w:r>
          </w:p>
        </w:tc>
        <w:tc>
          <w:tcPr>
            <w:tcW w:w="113" w:type="pct"/>
            <w:tcBorders>
              <w:top w:val="nil"/>
              <w:left w:val="nil"/>
              <w:bottom w:val="single" w:sz="4" w:space="0" w:color="auto"/>
              <w:right w:val="nil"/>
            </w:tcBorders>
            <w:shd w:val="clear" w:color="auto" w:fill="auto"/>
            <w:noWrap/>
            <w:vAlign w:val="bottom"/>
            <w:hideMark/>
          </w:tcPr>
          <w:p w14:paraId="0F379562"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auto" w:fill="auto"/>
            <w:noWrap/>
            <w:vAlign w:val="bottom"/>
            <w:hideMark/>
          </w:tcPr>
          <w:p w14:paraId="626A7F21"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1.098</w:t>
            </w:r>
          </w:p>
        </w:tc>
        <w:tc>
          <w:tcPr>
            <w:tcW w:w="369" w:type="pct"/>
            <w:tcBorders>
              <w:top w:val="nil"/>
              <w:left w:val="nil"/>
              <w:bottom w:val="single" w:sz="4" w:space="0" w:color="auto"/>
              <w:right w:val="nil"/>
            </w:tcBorders>
            <w:shd w:val="clear" w:color="auto" w:fill="auto"/>
            <w:noWrap/>
            <w:vAlign w:val="bottom"/>
            <w:hideMark/>
          </w:tcPr>
          <w:p w14:paraId="2A9C0D79"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1.437</w:t>
            </w:r>
          </w:p>
        </w:tc>
        <w:tc>
          <w:tcPr>
            <w:tcW w:w="369" w:type="pct"/>
            <w:tcBorders>
              <w:top w:val="nil"/>
              <w:left w:val="nil"/>
              <w:bottom w:val="single" w:sz="4" w:space="0" w:color="auto"/>
              <w:right w:val="nil"/>
            </w:tcBorders>
            <w:shd w:val="clear" w:color="auto" w:fill="auto"/>
            <w:noWrap/>
            <w:vAlign w:val="bottom"/>
            <w:hideMark/>
          </w:tcPr>
          <w:p w14:paraId="3FBDB7C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1.901</w:t>
            </w:r>
          </w:p>
        </w:tc>
        <w:tc>
          <w:tcPr>
            <w:tcW w:w="368" w:type="pct"/>
            <w:tcBorders>
              <w:top w:val="nil"/>
              <w:left w:val="nil"/>
              <w:bottom w:val="single" w:sz="4" w:space="0" w:color="auto"/>
              <w:right w:val="nil"/>
            </w:tcBorders>
            <w:shd w:val="clear" w:color="auto" w:fill="auto"/>
            <w:noWrap/>
            <w:vAlign w:val="bottom"/>
            <w:hideMark/>
          </w:tcPr>
          <w:p w14:paraId="6C40C29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2.376</w:t>
            </w:r>
          </w:p>
        </w:tc>
        <w:tc>
          <w:tcPr>
            <w:tcW w:w="369" w:type="pct"/>
            <w:tcBorders>
              <w:top w:val="nil"/>
              <w:left w:val="nil"/>
              <w:bottom w:val="single" w:sz="4" w:space="0" w:color="auto"/>
              <w:right w:val="nil"/>
            </w:tcBorders>
            <w:shd w:val="clear" w:color="auto" w:fill="auto"/>
            <w:noWrap/>
            <w:vAlign w:val="bottom"/>
            <w:hideMark/>
          </w:tcPr>
          <w:p w14:paraId="0B76A8A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2.863</w:t>
            </w:r>
          </w:p>
        </w:tc>
        <w:tc>
          <w:tcPr>
            <w:tcW w:w="369" w:type="pct"/>
            <w:tcBorders>
              <w:top w:val="nil"/>
              <w:left w:val="nil"/>
              <w:bottom w:val="single" w:sz="4" w:space="0" w:color="auto"/>
              <w:right w:val="nil"/>
            </w:tcBorders>
            <w:shd w:val="clear" w:color="auto" w:fill="auto"/>
            <w:noWrap/>
            <w:vAlign w:val="bottom"/>
            <w:hideMark/>
          </w:tcPr>
          <w:p w14:paraId="6231ABC5"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3.362</w:t>
            </w:r>
          </w:p>
        </w:tc>
        <w:tc>
          <w:tcPr>
            <w:tcW w:w="368" w:type="pct"/>
            <w:tcBorders>
              <w:top w:val="nil"/>
              <w:left w:val="nil"/>
              <w:bottom w:val="single" w:sz="4" w:space="0" w:color="auto"/>
              <w:right w:val="nil"/>
            </w:tcBorders>
            <w:shd w:val="clear" w:color="auto" w:fill="auto"/>
            <w:noWrap/>
            <w:vAlign w:val="bottom"/>
            <w:hideMark/>
          </w:tcPr>
          <w:p w14:paraId="269783E1"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3.874</w:t>
            </w:r>
          </w:p>
        </w:tc>
        <w:tc>
          <w:tcPr>
            <w:tcW w:w="369" w:type="pct"/>
            <w:tcBorders>
              <w:top w:val="nil"/>
              <w:left w:val="nil"/>
              <w:bottom w:val="single" w:sz="4" w:space="0" w:color="auto"/>
              <w:right w:val="nil"/>
            </w:tcBorders>
            <w:shd w:val="clear" w:color="auto" w:fill="auto"/>
            <w:noWrap/>
            <w:vAlign w:val="bottom"/>
            <w:hideMark/>
          </w:tcPr>
          <w:p w14:paraId="1DAB0404"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4.399</w:t>
            </w:r>
          </w:p>
        </w:tc>
        <w:tc>
          <w:tcPr>
            <w:tcW w:w="365" w:type="pct"/>
            <w:tcBorders>
              <w:top w:val="nil"/>
              <w:left w:val="nil"/>
              <w:bottom w:val="single" w:sz="4" w:space="0" w:color="auto"/>
              <w:right w:val="nil"/>
            </w:tcBorders>
            <w:shd w:val="clear" w:color="auto" w:fill="auto"/>
            <w:noWrap/>
            <w:vAlign w:val="bottom"/>
            <w:hideMark/>
          </w:tcPr>
          <w:p w14:paraId="44C5C68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4.937</w:t>
            </w:r>
          </w:p>
        </w:tc>
      </w:tr>
      <w:tr w:rsidR="00B54F4E" w:rsidRPr="00396346" w14:paraId="75C21D56" w14:textId="77777777" w:rsidTr="006504C4">
        <w:trPr>
          <w:trHeight w:val="300"/>
          <w:tblHeader/>
        </w:trPr>
        <w:tc>
          <w:tcPr>
            <w:tcW w:w="1573" w:type="pct"/>
            <w:tcBorders>
              <w:top w:val="nil"/>
              <w:left w:val="nil"/>
              <w:bottom w:val="single" w:sz="4" w:space="0" w:color="auto"/>
              <w:right w:val="nil"/>
            </w:tcBorders>
            <w:shd w:val="clear" w:color="auto" w:fill="auto"/>
            <w:noWrap/>
            <w:vAlign w:val="bottom"/>
            <w:hideMark/>
          </w:tcPr>
          <w:p w14:paraId="3ABBC38B"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Total, ahorro anual Sector Público (TonCO2)</w:t>
            </w:r>
          </w:p>
        </w:tc>
        <w:tc>
          <w:tcPr>
            <w:tcW w:w="113" w:type="pct"/>
            <w:tcBorders>
              <w:top w:val="nil"/>
              <w:left w:val="nil"/>
              <w:bottom w:val="single" w:sz="4" w:space="0" w:color="auto"/>
              <w:right w:val="nil"/>
            </w:tcBorders>
            <w:shd w:val="clear" w:color="auto" w:fill="auto"/>
            <w:noWrap/>
            <w:vAlign w:val="bottom"/>
            <w:hideMark/>
          </w:tcPr>
          <w:p w14:paraId="50496F75"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4" w:space="0" w:color="auto"/>
              <w:right w:val="nil"/>
            </w:tcBorders>
            <w:shd w:val="clear" w:color="auto" w:fill="auto"/>
            <w:noWrap/>
            <w:vAlign w:val="bottom"/>
            <w:hideMark/>
          </w:tcPr>
          <w:p w14:paraId="2C45ABAE"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1.617</w:t>
            </w:r>
          </w:p>
        </w:tc>
        <w:tc>
          <w:tcPr>
            <w:tcW w:w="369" w:type="pct"/>
            <w:tcBorders>
              <w:top w:val="nil"/>
              <w:left w:val="nil"/>
              <w:bottom w:val="single" w:sz="4" w:space="0" w:color="auto"/>
              <w:right w:val="nil"/>
            </w:tcBorders>
            <w:shd w:val="clear" w:color="auto" w:fill="auto"/>
            <w:noWrap/>
            <w:vAlign w:val="bottom"/>
            <w:hideMark/>
          </w:tcPr>
          <w:p w14:paraId="07D7F354"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2.476</w:t>
            </w:r>
          </w:p>
        </w:tc>
        <w:tc>
          <w:tcPr>
            <w:tcW w:w="369" w:type="pct"/>
            <w:tcBorders>
              <w:top w:val="nil"/>
              <w:left w:val="nil"/>
              <w:bottom w:val="single" w:sz="4" w:space="0" w:color="auto"/>
              <w:right w:val="nil"/>
            </w:tcBorders>
            <w:shd w:val="clear" w:color="auto" w:fill="auto"/>
            <w:noWrap/>
            <w:vAlign w:val="bottom"/>
            <w:hideMark/>
          </w:tcPr>
          <w:p w14:paraId="029E8B1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3.459</w:t>
            </w:r>
          </w:p>
        </w:tc>
        <w:tc>
          <w:tcPr>
            <w:tcW w:w="368" w:type="pct"/>
            <w:tcBorders>
              <w:top w:val="nil"/>
              <w:left w:val="nil"/>
              <w:bottom w:val="single" w:sz="4" w:space="0" w:color="auto"/>
              <w:right w:val="nil"/>
            </w:tcBorders>
            <w:shd w:val="clear" w:color="auto" w:fill="auto"/>
            <w:noWrap/>
            <w:vAlign w:val="bottom"/>
            <w:hideMark/>
          </w:tcPr>
          <w:p w14:paraId="174A1C2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4.600</w:t>
            </w:r>
          </w:p>
        </w:tc>
        <w:tc>
          <w:tcPr>
            <w:tcW w:w="369" w:type="pct"/>
            <w:tcBorders>
              <w:top w:val="nil"/>
              <w:left w:val="nil"/>
              <w:bottom w:val="single" w:sz="4" w:space="0" w:color="auto"/>
              <w:right w:val="nil"/>
            </w:tcBorders>
            <w:shd w:val="clear" w:color="auto" w:fill="auto"/>
            <w:noWrap/>
            <w:vAlign w:val="bottom"/>
            <w:hideMark/>
          </w:tcPr>
          <w:p w14:paraId="11273CF2"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5.753</w:t>
            </w:r>
          </w:p>
        </w:tc>
        <w:tc>
          <w:tcPr>
            <w:tcW w:w="369" w:type="pct"/>
            <w:tcBorders>
              <w:top w:val="nil"/>
              <w:left w:val="nil"/>
              <w:bottom w:val="single" w:sz="4" w:space="0" w:color="auto"/>
              <w:right w:val="nil"/>
            </w:tcBorders>
            <w:shd w:val="clear" w:color="auto" w:fill="auto"/>
            <w:noWrap/>
            <w:vAlign w:val="bottom"/>
            <w:hideMark/>
          </w:tcPr>
          <w:p w14:paraId="2959D78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6.918</w:t>
            </w:r>
          </w:p>
        </w:tc>
        <w:tc>
          <w:tcPr>
            <w:tcW w:w="368" w:type="pct"/>
            <w:tcBorders>
              <w:top w:val="nil"/>
              <w:left w:val="nil"/>
              <w:bottom w:val="single" w:sz="4" w:space="0" w:color="auto"/>
              <w:right w:val="nil"/>
            </w:tcBorders>
            <w:shd w:val="clear" w:color="auto" w:fill="auto"/>
            <w:noWrap/>
            <w:vAlign w:val="bottom"/>
            <w:hideMark/>
          </w:tcPr>
          <w:p w14:paraId="76AEE235"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8.096</w:t>
            </w:r>
          </w:p>
        </w:tc>
        <w:tc>
          <w:tcPr>
            <w:tcW w:w="369" w:type="pct"/>
            <w:tcBorders>
              <w:top w:val="nil"/>
              <w:left w:val="nil"/>
              <w:bottom w:val="single" w:sz="4" w:space="0" w:color="auto"/>
              <w:right w:val="nil"/>
            </w:tcBorders>
            <w:shd w:val="clear" w:color="auto" w:fill="auto"/>
            <w:noWrap/>
            <w:vAlign w:val="bottom"/>
            <w:hideMark/>
          </w:tcPr>
          <w:p w14:paraId="2E290EFB"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9.287</w:t>
            </w:r>
          </w:p>
        </w:tc>
        <w:tc>
          <w:tcPr>
            <w:tcW w:w="365" w:type="pct"/>
            <w:tcBorders>
              <w:top w:val="nil"/>
              <w:left w:val="nil"/>
              <w:bottom w:val="single" w:sz="4" w:space="0" w:color="auto"/>
              <w:right w:val="nil"/>
            </w:tcBorders>
            <w:shd w:val="clear" w:color="auto" w:fill="auto"/>
            <w:noWrap/>
            <w:vAlign w:val="bottom"/>
            <w:hideMark/>
          </w:tcPr>
          <w:p w14:paraId="7830733F"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10.490</w:t>
            </w:r>
          </w:p>
        </w:tc>
      </w:tr>
      <w:tr w:rsidR="00B54F4E" w:rsidRPr="00396346" w14:paraId="3E36F6E0" w14:textId="77777777" w:rsidTr="006504C4">
        <w:trPr>
          <w:trHeight w:val="315"/>
          <w:tblHeader/>
        </w:trPr>
        <w:tc>
          <w:tcPr>
            <w:tcW w:w="1573" w:type="pct"/>
            <w:tcBorders>
              <w:top w:val="nil"/>
              <w:left w:val="nil"/>
              <w:bottom w:val="single" w:sz="8" w:space="0" w:color="auto"/>
              <w:right w:val="nil"/>
            </w:tcBorders>
            <w:shd w:val="clear" w:color="auto" w:fill="auto"/>
            <w:noWrap/>
            <w:vAlign w:val="bottom"/>
            <w:hideMark/>
          </w:tcPr>
          <w:p w14:paraId="32EC6A59"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Ahorro energético acumulado S. Público (TonCO2)</w:t>
            </w:r>
          </w:p>
        </w:tc>
        <w:tc>
          <w:tcPr>
            <w:tcW w:w="113" w:type="pct"/>
            <w:tcBorders>
              <w:top w:val="nil"/>
              <w:left w:val="nil"/>
              <w:bottom w:val="single" w:sz="8" w:space="0" w:color="auto"/>
              <w:right w:val="nil"/>
            </w:tcBorders>
            <w:shd w:val="clear" w:color="auto" w:fill="auto"/>
            <w:noWrap/>
            <w:vAlign w:val="bottom"/>
            <w:hideMark/>
          </w:tcPr>
          <w:p w14:paraId="32B8A6C8" w14:textId="77777777" w:rsidR="00B54F4E" w:rsidRPr="00396346" w:rsidRDefault="00B54F4E" w:rsidP="006504C4">
            <w:pPr>
              <w:spacing w:before="0" w:after="0"/>
              <w:jc w:val="left"/>
              <w:rPr>
                <w:rFonts w:ascii="Calibri" w:hAnsi="Calibri" w:cs="Calibri"/>
                <w:color w:val="000000"/>
                <w:sz w:val="12"/>
                <w:szCs w:val="22"/>
                <w:lang w:eastAsia="es-CO"/>
              </w:rPr>
            </w:pPr>
            <w:r w:rsidRPr="00396346">
              <w:rPr>
                <w:rFonts w:ascii="Calibri" w:hAnsi="Calibri" w:cs="Calibri"/>
                <w:color w:val="000000"/>
                <w:sz w:val="12"/>
                <w:szCs w:val="22"/>
                <w:lang w:eastAsia="es-CO"/>
              </w:rPr>
              <w:t> </w:t>
            </w:r>
          </w:p>
        </w:tc>
        <w:tc>
          <w:tcPr>
            <w:tcW w:w="368" w:type="pct"/>
            <w:tcBorders>
              <w:top w:val="nil"/>
              <w:left w:val="nil"/>
              <w:bottom w:val="single" w:sz="8" w:space="0" w:color="auto"/>
              <w:right w:val="nil"/>
            </w:tcBorders>
            <w:shd w:val="clear" w:color="auto" w:fill="auto"/>
            <w:noWrap/>
            <w:vAlign w:val="bottom"/>
            <w:hideMark/>
          </w:tcPr>
          <w:p w14:paraId="70E32750"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1.617</w:t>
            </w:r>
          </w:p>
        </w:tc>
        <w:tc>
          <w:tcPr>
            <w:tcW w:w="369" w:type="pct"/>
            <w:tcBorders>
              <w:top w:val="nil"/>
              <w:left w:val="nil"/>
              <w:bottom w:val="single" w:sz="8" w:space="0" w:color="auto"/>
              <w:right w:val="nil"/>
            </w:tcBorders>
            <w:shd w:val="clear" w:color="auto" w:fill="auto"/>
            <w:noWrap/>
            <w:vAlign w:val="bottom"/>
            <w:hideMark/>
          </w:tcPr>
          <w:p w14:paraId="55680E0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4.093</w:t>
            </w:r>
          </w:p>
        </w:tc>
        <w:tc>
          <w:tcPr>
            <w:tcW w:w="369" w:type="pct"/>
            <w:tcBorders>
              <w:top w:val="nil"/>
              <w:left w:val="nil"/>
              <w:bottom w:val="single" w:sz="8" w:space="0" w:color="auto"/>
              <w:right w:val="nil"/>
            </w:tcBorders>
            <w:shd w:val="clear" w:color="auto" w:fill="auto"/>
            <w:noWrap/>
            <w:vAlign w:val="bottom"/>
            <w:hideMark/>
          </w:tcPr>
          <w:p w14:paraId="13EF77B8"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7.551</w:t>
            </w:r>
          </w:p>
        </w:tc>
        <w:tc>
          <w:tcPr>
            <w:tcW w:w="368" w:type="pct"/>
            <w:tcBorders>
              <w:top w:val="nil"/>
              <w:left w:val="nil"/>
              <w:bottom w:val="single" w:sz="8" w:space="0" w:color="auto"/>
              <w:right w:val="nil"/>
            </w:tcBorders>
            <w:shd w:val="clear" w:color="auto" w:fill="auto"/>
            <w:noWrap/>
            <w:vAlign w:val="bottom"/>
            <w:hideMark/>
          </w:tcPr>
          <w:p w14:paraId="64D07867"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12.151</w:t>
            </w:r>
          </w:p>
        </w:tc>
        <w:tc>
          <w:tcPr>
            <w:tcW w:w="369" w:type="pct"/>
            <w:tcBorders>
              <w:top w:val="nil"/>
              <w:left w:val="nil"/>
              <w:bottom w:val="single" w:sz="8" w:space="0" w:color="auto"/>
              <w:right w:val="nil"/>
            </w:tcBorders>
            <w:shd w:val="clear" w:color="auto" w:fill="auto"/>
            <w:noWrap/>
            <w:vAlign w:val="bottom"/>
            <w:hideMark/>
          </w:tcPr>
          <w:p w14:paraId="2CA7E7DA"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17.904</w:t>
            </w:r>
          </w:p>
        </w:tc>
        <w:tc>
          <w:tcPr>
            <w:tcW w:w="369" w:type="pct"/>
            <w:tcBorders>
              <w:top w:val="nil"/>
              <w:left w:val="nil"/>
              <w:bottom w:val="single" w:sz="8" w:space="0" w:color="auto"/>
              <w:right w:val="nil"/>
            </w:tcBorders>
            <w:shd w:val="clear" w:color="auto" w:fill="auto"/>
            <w:noWrap/>
            <w:vAlign w:val="bottom"/>
            <w:hideMark/>
          </w:tcPr>
          <w:p w14:paraId="40766745"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24.822</w:t>
            </w:r>
          </w:p>
        </w:tc>
        <w:tc>
          <w:tcPr>
            <w:tcW w:w="368" w:type="pct"/>
            <w:tcBorders>
              <w:top w:val="nil"/>
              <w:left w:val="nil"/>
              <w:bottom w:val="single" w:sz="8" w:space="0" w:color="auto"/>
              <w:right w:val="nil"/>
            </w:tcBorders>
            <w:shd w:val="clear" w:color="auto" w:fill="auto"/>
            <w:noWrap/>
            <w:vAlign w:val="bottom"/>
            <w:hideMark/>
          </w:tcPr>
          <w:p w14:paraId="19648A13"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32.918</w:t>
            </w:r>
          </w:p>
        </w:tc>
        <w:tc>
          <w:tcPr>
            <w:tcW w:w="369" w:type="pct"/>
            <w:tcBorders>
              <w:top w:val="nil"/>
              <w:left w:val="nil"/>
              <w:bottom w:val="single" w:sz="8" w:space="0" w:color="auto"/>
              <w:right w:val="nil"/>
            </w:tcBorders>
            <w:shd w:val="clear" w:color="auto" w:fill="auto"/>
            <w:noWrap/>
            <w:vAlign w:val="bottom"/>
            <w:hideMark/>
          </w:tcPr>
          <w:p w14:paraId="4111C3BC"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42.205</w:t>
            </w:r>
          </w:p>
        </w:tc>
        <w:tc>
          <w:tcPr>
            <w:tcW w:w="365" w:type="pct"/>
            <w:tcBorders>
              <w:top w:val="nil"/>
              <w:left w:val="nil"/>
              <w:bottom w:val="single" w:sz="8" w:space="0" w:color="auto"/>
              <w:right w:val="nil"/>
            </w:tcBorders>
            <w:shd w:val="clear" w:color="auto" w:fill="auto"/>
            <w:noWrap/>
            <w:vAlign w:val="bottom"/>
            <w:hideMark/>
          </w:tcPr>
          <w:p w14:paraId="618ECC0D" w14:textId="77777777" w:rsidR="00B54F4E" w:rsidRPr="00396346" w:rsidRDefault="00B54F4E" w:rsidP="006504C4">
            <w:pPr>
              <w:spacing w:before="0" w:after="0"/>
              <w:jc w:val="right"/>
              <w:rPr>
                <w:rFonts w:ascii="Calibri" w:hAnsi="Calibri" w:cs="Calibri"/>
                <w:color w:val="000000"/>
                <w:sz w:val="12"/>
                <w:szCs w:val="22"/>
                <w:lang w:eastAsia="es-CO"/>
              </w:rPr>
            </w:pPr>
            <w:r w:rsidRPr="00396346">
              <w:rPr>
                <w:rFonts w:ascii="Calibri" w:hAnsi="Calibri" w:cs="Calibri"/>
                <w:color w:val="000000"/>
                <w:sz w:val="12"/>
                <w:szCs w:val="22"/>
                <w:lang w:eastAsia="es-CO"/>
              </w:rPr>
              <w:t>52.695</w:t>
            </w:r>
          </w:p>
        </w:tc>
      </w:tr>
      <w:tr w:rsidR="00B54F4E" w:rsidRPr="00396346" w14:paraId="5A658EE8" w14:textId="77777777" w:rsidTr="006504C4">
        <w:trPr>
          <w:trHeight w:val="300"/>
          <w:tblHeader/>
        </w:trPr>
        <w:tc>
          <w:tcPr>
            <w:tcW w:w="1573" w:type="pct"/>
            <w:tcBorders>
              <w:top w:val="nil"/>
              <w:left w:val="nil"/>
              <w:bottom w:val="single" w:sz="4" w:space="0" w:color="auto"/>
              <w:right w:val="nil"/>
            </w:tcBorders>
            <w:shd w:val="clear" w:color="000000" w:fill="E7E6E6"/>
            <w:noWrap/>
            <w:vAlign w:val="bottom"/>
            <w:hideMark/>
          </w:tcPr>
          <w:p w14:paraId="5DA9B548" w14:textId="77777777" w:rsidR="00B54F4E" w:rsidRPr="00396346" w:rsidRDefault="00B54F4E" w:rsidP="006504C4">
            <w:pPr>
              <w:spacing w:before="0" w:after="0"/>
              <w:jc w:val="lef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Total, emisiones evitadas anuales (TonCO2)</w:t>
            </w:r>
          </w:p>
        </w:tc>
        <w:tc>
          <w:tcPr>
            <w:tcW w:w="113" w:type="pct"/>
            <w:tcBorders>
              <w:top w:val="nil"/>
              <w:left w:val="nil"/>
              <w:bottom w:val="single" w:sz="4" w:space="0" w:color="auto"/>
              <w:right w:val="nil"/>
            </w:tcBorders>
            <w:shd w:val="clear" w:color="000000" w:fill="E7E6E6"/>
            <w:noWrap/>
            <w:vAlign w:val="bottom"/>
            <w:hideMark/>
          </w:tcPr>
          <w:p w14:paraId="529C770D" w14:textId="77777777" w:rsidR="00B54F4E" w:rsidRPr="00396346" w:rsidRDefault="00B54F4E" w:rsidP="006504C4">
            <w:pPr>
              <w:spacing w:before="0" w:after="0"/>
              <w:jc w:val="lef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 </w:t>
            </w:r>
          </w:p>
        </w:tc>
        <w:tc>
          <w:tcPr>
            <w:tcW w:w="368" w:type="pct"/>
            <w:tcBorders>
              <w:top w:val="nil"/>
              <w:left w:val="nil"/>
              <w:bottom w:val="single" w:sz="4" w:space="0" w:color="auto"/>
              <w:right w:val="nil"/>
            </w:tcBorders>
            <w:shd w:val="clear" w:color="000000" w:fill="E7E6E6"/>
            <w:noWrap/>
            <w:vAlign w:val="bottom"/>
            <w:hideMark/>
          </w:tcPr>
          <w:p w14:paraId="57901D24"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31.626</w:t>
            </w:r>
          </w:p>
        </w:tc>
        <w:tc>
          <w:tcPr>
            <w:tcW w:w="369" w:type="pct"/>
            <w:tcBorders>
              <w:top w:val="nil"/>
              <w:left w:val="nil"/>
              <w:bottom w:val="single" w:sz="4" w:space="0" w:color="auto"/>
              <w:right w:val="nil"/>
            </w:tcBorders>
            <w:shd w:val="clear" w:color="000000" w:fill="E7E6E6"/>
            <w:noWrap/>
            <w:vAlign w:val="bottom"/>
            <w:hideMark/>
          </w:tcPr>
          <w:p w14:paraId="4EBACBBD"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56.099</w:t>
            </w:r>
          </w:p>
        </w:tc>
        <w:tc>
          <w:tcPr>
            <w:tcW w:w="369" w:type="pct"/>
            <w:tcBorders>
              <w:top w:val="nil"/>
              <w:left w:val="nil"/>
              <w:bottom w:val="single" w:sz="4" w:space="0" w:color="auto"/>
              <w:right w:val="nil"/>
            </w:tcBorders>
            <w:shd w:val="clear" w:color="000000" w:fill="E7E6E6"/>
            <w:noWrap/>
            <w:vAlign w:val="bottom"/>
            <w:hideMark/>
          </w:tcPr>
          <w:p w14:paraId="6F26ED72"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83.315</w:t>
            </w:r>
          </w:p>
        </w:tc>
        <w:tc>
          <w:tcPr>
            <w:tcW w:w="368" w:type="pct"/>
            <w:tcBorders>
              <w:top w:val="nil"/>
              <w:left w:val="nil"/>
              <w:bottom w:val="single" w:sz="4" w:space="0" w:color="auto"/>
              <w:right w:val="nil"/>
            </w:tcBorders>
            <w:shd w:val="clear" w:color="000000" w:fill="E7E6E6"/>
            <w:noWrap/>
            <w:vAlign w:val="bottom"/>
            <w:hideMark/>
          </w:tcPr>
          <w:p w14:paraId="43701BCF"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114.989</w:t>
            </w:r>
          </w:p>
        </w:tc>
        <w:tc>
          <w:tcPr>
            <w:tcW w:w="369" w:type="pct"/>
            <w:tcBorders>
              <w:top w:val="nil"/>
              <w:left w:val="nil"/>
              <w:bottom w:val="single" w:sz="4" w:space="0" w:color="auto"/>
              <w:right w:val="nil"/>
            </w:tcBorders>
            <w:shd w:val="clear" w:color="000000" w:fill="E7E6E6"/>
            <w:noWrap/>
            <w:vAlign w:val="bottom"/>
            <w:hideMark/>
          </w:tcPr>
          <w:p w14:paraId="3EE7B588"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144.041</w:t>
            </w:r>
          </w:p>
        </w:tc>
        <w:tc>
          <w:tcPr>
            <w:tcW w:w="369" w:type="pct"/>
            <w:tcBorders>
              <w:top w:val="nil"/>
              <w:left w:val="nil"/>
              <w:bottom w:val="single" w:sz="4" w:space="0" w:color="auto"/>
              <w:right w:val="nil"/>
            </w:tcBorders>
            <w:shd w:val="clear" w:color="000000" w:fill="E7E6E6"/>
            <w:noWrap/>
            <w:vAlign w:val="bottom"/>
            <w:hideMark/>
          </w:tcPr>
          <w:p w14:paraId="5A2BFA5F"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173.131</w:t>
            </w:r>
          </w:p>
        </w:tc>
        <w:tc>
          <w:tcPr>
            <w:tcW w:w="368" w:type="pct"/>
            <w:tcBorders>
              <w:top w:val="nil"/>
              <w:left w:val="nil"/>
              <w:bottom w:val="single" w:sz="4" w:space="0" w:color="auto"/>
              <w:right w:val="nil"/>
            </w:tcBorders>
            <w:shd w:val="clear" w:color="000000" w:fill="E7E6E6"/>
            <w:noWrap/>
            <w:vAlign w:val="bottom"/>
            <w:hideMark/>
          </w:tcPr>
          <w:p w14:paraId="6430F1CA"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202.261</w:t>
            </w:r>
          </w:p>
        </w:tc>
        <w:tc>
          <w:tcPr>
            <w:tcW w:w="369" w:type="pct"/>
            <w:tcBorders>
              <w:top w:val="nil"/>
              <w:left w:val="nil"/>
              <w:bottom w:val="single" w:sz="4" w:space="0" w:color="auto"/>
              <w:right w:val="nil"/>
            </w:tcBorders>
            <w:shd w:val="clear" w:color="000000" w:fill="E7E6E6"/>
            <w:noWrap/>
            <w:vAlign w:val="bottom"/>
            <w:hideMark/>
          </w:tcPr>
          <w:p w14:paraId="44B8C612"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231.430</w:t>
            </w:r>
          </w:p>
        </w:tc>
        <w:tc>
          <w:tcPr>
            <w:tcW w:w="365" w:type="pct"/>
            <w:tcBorders>
              <w:top w:val="nil"/>
              <w:left w:val="nil"/>
              <w:bottom w:val="single" w:sz="4" w:space="0" w:color="auto"/>
              <w:right w:val="nil"/>
            </w:tcBorders>
            <w:shd w:val="clear" w:color="000000" w:fill="E7E6E6"/>
            <w:noWrap/>
            <w:vAlign w:val="bottom"/>
            <w:hideMark/>
          </w:tcPr>
          <w:p w14:paraId="7F938BC2"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271.756</w:t>
            </w:r>
          </w:p>
        </w:tc>
      </w:tr>
      <w:tr w:rsidR="00B54F4E" w:rsidRPr="00396346" w14:paraId="44F8F15D" w14:textId="77777777" w:rsidTr="006504C4">
        <w:trPr>
          <w:trHeight w:val="315"/>
          <w:tblHeader/>
        </w:trPr>
        <w:tc>
          <w:tcPr>
            <w:tcW w:w="1573" w:type="pct"/>
            <w:tcBorders>
              <w:top w:val="nil"/>
              <w:left w:val="nil"/>
              <w:bottom w:val="single" w:sz="8" w:space="0" w:color="auto"/>
              <w:right w:val="nil"/>
            </w:tcBorders>
            <w:shd w:val="clear" w:color="000000" w:fill="E7E6E6"/>
            <w:noWrap/>
            <w:vAlign w:val="bottom"/>
            <w:hideMark/>
          </w:tcPr>
          <w:p w14:paraId="052836D2" w14:textId="77777777" w:rsidR="00B54F4E" w:rsidRPr="00396346" w:rsidRDefault="00B54F4E" w:rsidP="006504C4">
            <w:pPr>
              <w:spacing w:before="0" w:after="0"/>
              <w:jc w:val="lef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Ahorro emisiones evitadas acumuladas (TonCO2)</w:t>
            </w:r>
          </w:p>
        </w:tc>
        <w:tc>
          <w:tcPr>
            <w:tcW w:w="113" w:type="pct"/>
            <w:tcBorders>
              <w:top w:val="nil"/>
              <w:left w:val="nil"/>
              <w:bottom w:val="single" w:sz="8" w:space="0" w:color="auto"/>
              <w:right w:val="nil"/>
            </w:tcBorders>
            <w:shd w:val="clear" w:color="000000" w:fill="E7E6E6"/>
            <w:noWrap/>
            <w:vAlign w:val="bottom"/>
            <w:hideMark/>
          </w:tcPr>
          <w:p w14:paraId="72CBD646" w14:textId="77777777" w:rsidR="00B54F4E" w:rsidRPr="00396346" w:rsidRDefault="00B54F4E" w:rsidP="006504C4">
            <w:pPr>
              <w:spacing w:before="0" w:after="0"/>
              <w:jc w:val="lef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 </w:t>
            </w:r>
          </w:p>
        </w:tc>
        <w:tc>
          <w:tcPr>
            <w:tcW w:w="368" w:type="pct"/>
            <w:tcBorders>
              <w:top w:val="nil"/>
              <w:left w:val="nil"/>
              <w:bottom w:val="single" w:sz="8" w:space="0" w:color="auto"/>
              <w:right w:val="nil"/>
            </w:tcBorders>
            <w:shd w:val="clear" w:color="000000" w:fill="E7E6E6"/>
            <w:noWrap/>
            <w:vAlign w:val="bottom"/>
            <w:hideMark/>
          </w:tcPr>
          <w:p w14:paraId="10E84048"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38.022</w:t>
            </w:r>
          </w:p>
        </w:tc>
        <w:tc>
          <w:tcPr>
            <w:tcW w:w="369" w:type="pct"/>
            <w:tcBorders>
              <w:top w:val="nil"/>
              <w:left w:val="nil"/>
              <w:bottom w:val="single" w:sz="8" w:space="0" w:color="auto"/>
              <w:right w:val="nil"/>
            </w:tcBorders>
            <w:shd w:val="clear" w:color="000000" w:fill="E7E6E6"/>
            <w:noWrap/>
            <w:vAlign w:val="bottom"/>
            <w:hideMark/>
          </w:tcPr>
          <w:p w14:paraId="38F6BF95"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94.120</w:t>
            </w:r>
          </w:p>
        </w:tc>
        <w:tc>
          <w:tcPr>
            <w:tcW w:w="369" w:type="pct"/>
            <w:tcBorders>
              <w:top w:val="nil"/>
              <w:left w:val="nil"/>
              <w:bottom w:val="single" w:sz="8" w:space="0" w:color="auto"/>
              <w:right w:val="nil"/>
            </w:tcBorders>
            <w:shd w:val="clear" w:color="000000" w:fill="E7E6E6"/>
            <w:noWrap/>
            <w:vAlign w:val="bottom"/>
            <w:hideMark/>
          </w:tcPr>
          <w:p w14:paraId="6D207E29"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177.436</w:t>
            </w:r>
          </w:p>
        </w:tc>
        <w:tc>
          <w:tcPr>
            <w:tcW w:w="368" w:type="pct"/>
            <w:tcBorders>
              <w:top w:val="nil"/>
              <w:left w:val="nil"/>
              <w:bottom w:val="single" w:sz="8" w:space="0" w:color="auto"/>
              <w:right w:val="nil"/>
            </w:tcBorders>
            <w:shd w:val="clear" w:color="000000" w:fill="E7E6E6"/>
            <w:noWrap/>
            <w:vAlign w:val="bottom"/>
            <w:hideMark/>
          </w:tcPr>
          <w:p w14:paraId="1294CC3B"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292.424</w:t>
            </w:r>
          </w:p>
        </w:tc>
        <w:tc>
          <w:tcPr>
            <w:tcW w:w="369" w:type="pct"/>
            <w:tcBorders>
              <w:top w:val="nil"/>
              <w:left w:val="nil"/>
              <w:bottom w:val="single" w:sz="8" w:space="0" w:color="auto"/>
              <w:right w:val="nil"/>
            </w:tcBorders>
            <w:shd w:val="clear" w:color="000000" w:fill="E7E6E6"/>
            <w:noWrap/>
            <w:vAlign w:val="bottom"/>
            <w:hideMark/>
          </w:tcPr>
          <w:p w14:paraId="716BA51C"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436.465</w:t>
            </w:r>
          </w:p>
        </w:tc>
        <w:tc>
          <w:tcPr>
            <w:tcW w:w="369" w:type="pct"/>
            <w:tcBorders>
              <w:top w:val="nil"/>
              <w:left w:val="nil"/>
              <w:bottom w:val="single" w:sz="8" w:space="0" w:color="auto"/>
              <w:right w:val="nil"/>
            </w:tcBorders>
            <w:shd w:val="clear" w:color="000000" w:fill="E7E6E6"/>
            <w:noWrap/>
            <w:vAlign w:val="bottom"/>
            <w:hideMark/>
          </w:tcPr>
          <w:p w14:paraId="49AA0D6C"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609.596</w:t>
            </w:r>
          </w:p>
        </w:tc>
        <w:tc>
          <w:tcPr>
            <w:tcW w:w="368" w:type="pct"/>
            <w:tcBorders>
              <w:top w:val="nil"/>
              <w:left w:val="nil"/>
              <w:bottom w:val="single" w:sz="8" w:space="0" w:color="auto"/>
              <w:right w:val="nil"/>
            </w:tcBorders>
            <w:shd w:val="clear" w:color="000000" w:fill="E7E6E6"/>
            <w:noWrap/>
            <w:vAlign w:val="bottom"/>
            <w:hideMark/>
          </w:tcPr>
          <w:p w14:paraId="1BD1B197"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811.857</w:t>
            </w:r>
          </w:p>
        </w:tc>
        <w:tc>
          <w:tcPr>
            <w:tcW w:w="369" w:type="pct"/>
            <w:tcBorders>
              <w:top w:val="nil"/>
              <w:left w:val="nil"/>
              <w:bottom w:val="single" w:sz="8" w:space="0" w:color="auto"/>
              <w:right w:val="nil"/>
            </w:tcBorders>
            <w:shd w:val="clear" w:color="000000" w:fill="E7E6E6"/>
            <w:noWrap/>
            <w:vAlign w:val="bottom"/>
            <w:hideMark/>
          </w:tcPr>
          <w:p w14:paraId="5696C106"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1.043.287</w:t>
            </w:r>
          </w:p>
        </w:tc>
        <w:tc>
          <w:tcPr>
            <w:tcW w:w="365" w:type="pct"/>
            <w:tcBorders>
              <w:top w:val="nil"/>
              <w:left w:val="nil"/>
              <w:bottom w:val="single" w:sz="8" w:space="0" w:color="auto"/>
              <w:right w:val="nil"/>
            </w:tcBorders>
            <w:shd w:val="clear" w:color="000000" w:fill="E7E6E6"/>
            <w:noWrap/>
            <w:vAlign w:val="bottom"/>
            <w:hideMark/>
          </w:tcPr>
          <w:p w14:paraId="7077F4D8" w14:textId="77777777" w:rsidR="00B54F4E" w:rsidRPr="00396346" w:rsidRDefault="00B54F4E" w:rsidP="006504C4">
            <w:pPr>
              <w:spacing w:before="0" w:after="0"/>
              <w:jc w:val="right"/>
              <w:rPr>
                <w:rFonts w:ascii="Calibri" w:hAnsi="Calibri" w:cs="Calibri"/>
                <w:b/>
                <w:bCs/>
                <w:color w:val="000000"/>
                <w:sz w:val="12"/>
                <w:szCs w:val="22"/>
                <w:lang w:eastAsia="es-CO"/>
              </w:rPr>
            </w:pPr>
            <w:r w:rsidRPr="00396346">
              <w:rPr>
                <w:rFonts w:ascii="Calibri" w:hAnsi="Calibri" w:cs="Calibri"/>
                <w:b/>
                <w:bCs/>
                <w:color w:val="000000"/>
                <w:sz w:val="12"/>
                <w:szCs w:val="22"/>
                <w:lang w:eastAsia="es-CO"/>
              </w:rPr>
              <w:t>1.315.042</w:t>
            </w:r>
          </w:p>
        </w:tc>
      </w:tr>
    </w:tbl>
    <w:p w14:paraId="1D505008" w14:textId="77777777" w:rsidR="00B54F4E" w:rsidRPr="00795F1D" w:rsidRDefault="00B54F4E" w:rsidP="00B54F4E">
      <w:pPr>
        <w:spacing w:before="0" w:after="0"/>
        <w:jc w:val="center"/>
        <w:rPr>
          <w:sz w:val="18"/>
          <w:lang w:val="es-ES"/>
        </w:rPr>
      </w:pPr>
      <w:bookmarkStart w:id="107" w:name="_Toc473268561"/>
      <w:bookmarkStart w:id="108" w:name="_Toc476136982"/>
      <w:r w:rsidRPr="00795F1D">
        <w:rPr>
          <w:sz w:val="18"/>
          <w:lang w:val="es-ES"/>
        </w:rPr>
        <w:t>Nota: la proyección completa de flujos fue realizada a 2030, para efecto de presentación de resultados</w:t>
      </w:r>
      <w:r>
        <w:rPr>
          <w:sz w:val="18"/>
          <w:lang w:val="es-ES"/>
        </w:rPr>
        <w:t xml:space="preserve"> en el informe escrito</w:t>
      </w:r>
      <w:r w:rsidRPr="00795F1D">
        <w:rPr>
          <w:sz w:val="18"/>
          <w:lang w:val="es-ES"/>
        </w:rPr>
        <w:t xml:space="preserve"> solo se muestran resultados a 202</w:t>
      </w:r>
      <w:r>
        <w:rPr>
          <w:sz w:val="18"/>
          <w:lang w:val="es-ES"/>
        </w:rPr>
        <w:t>5</w:t>
      </w:r>
    </w:p>
    <w:p w14:paraId="2D1B152E" w14:textId="77777777" w:rsidR="00B54F4E" w:rsidRDefault="00B54F4E" w:rsidP="00B54F4E">
      <w:pPr>
        <w:spacing w:before="120" w:after="0"/>
      </w:pPr>
      <w:bookmarkStart w:id="109" w:name="_Ref482030623"/>
      <w:bookmarkStart w:id="110" w:name="_Toc484097059"/>
      <w:r>
        <w:t xml:space="preserve">Se debe precisar que, con excepción de las medidas arquitectónicas, el ritmo de implementación de las medidas de eficiencia energética se ha estimado a discreción del consultor por cuanto no se conoce de un plan detallado para la ejecución de medidas de EE en cada campo. Sin embargo, se ha buscado que el análisis guarde consistencia con las expectativas de ahorro del PEN. En las </w:t>
      </w:r>
      <w:r w:rsidRPr="00A967D2">
        <w:rPr>
          <w:b/>
        </w:rPr>
        <w:t>Tablas 17 y 18</w:t>
      </w:r>
      <w:r>
        <w:t xml:space="preserve"> se resumen los efectos energéticos y ambientales por la implementación de las medidas anteriormente descritas</w:t>
      </w:r>
      <w:r>
        <w:rPr>
          <w:rStyle w:val="FootnoteReference"/>
        </w:rPr>
        <w:footnoteReference w:id="17"/>
      </w:r>
      <w:r>
        <w:t>.</w:t>
      </w:r>
    </w:p>
    <w:p w14:paraId="03084A20" w14:textId="77777777" w:rsidR="00B54F4E" w:rsidRDefault="00B54F4E" w:rsidP="00B54F4E">
      <w:r>
        <w:t>Se destaca cómo las medidas arquitectónicas en el sector comercial constituyen la medida de mayor impacto en el consumo energético panameño (lo cual está en línea con lo dispuesto en el PEN). El ahorro energético total asociado con las medidas de eficiencia energética valoradas asciende a cerca de 600 GWh/Año en 2020, que corresponde a cerca del 53% de la meta indicativa del escenario alternativo del PEN. El ahorro adicional corresponde a medidas no cuantificadas como lo son la implementación de retrofit o la instalación de aires acondicionados centralizados en edificaciones existentes.</w:t>
      </w:r>
    </w:p>
    <w:p w14:paraId="70105AE1" w14:textId="77777777" w:rsidR="00B54F4E" w:rsidRDefault="00B54F4E" w:rsidP="00B54F4E">
      <w:r>
        <w:t xml:space="preserve">La </w:t>
      </w:r>
      <w:r>
        <w:fldChar w:fldCharType="begin"/>
      </w:r>
      <w:r>
        <w:instrText xml:space="preserve"> REF _Ref482030623 \h </w:instrText>
      </w:r>
      <w:r>
        <w:fldChar w:fldCharType="separate"/>
      </w:r>
      <w:r w:rsidRPr="008C12BC">
        <w:rPr>
          <w:b/>
        </w:rPr>
        <w:t xml:space="preserve">Tabla </w:t>
      </w:r>
      <w:r>
        <w:rPr>
          <w:b/>
          <w:noProof/>
        </w:rPr>
        <w:t>19</w:t>
      </w:r>
      <w:r>
        <w:fldChar w:fldCharType="end"/>
      </w:r>
      <w:r>
        <w:t xml:space="preserve"> resume los beneficios, costos y flujos netos por sector a 2025 (la proyección completa a 2030 se encuentra en el </w:t>
      </w:r>
      <w:r w:rsidRPr="005E0838">
        <w:t>Anexo</w:t>
      </w:r>
      <w:r>
        <w:t xml:space="preserve">). Los beneficios cuantificados corresponden al ahorro percibido por los usuarios en cada sector, por el menor valor de la energía pagada, </w:t>
      </w:r>
      <w:r>
        <w:lastRenderedPageBreak/>
        <w:t>toneladas de CO</w:t>
      </w:r>
      <w:r w:rsidRPr="0035199D">
        <w:rPr>
          <w:vertAlign w:val="subscript"/>
        </w:rPr>
        <w:t>2</w:t>
      </w:r>
      <w:r>
        <w:t xml:space="preserve"> evitadas (considerando factor de emisión actual del SIN) y valoradas al precio de los Certificado de Reducción de Emisiones (CRE), y al costo evitado de la capacidad instalada que se requeriría para atender la demanda energética de no ser ahorrada (CAPEX de una planta a carbón para atender la energía no ahorrada a partir de 2020). El detalle de los parámetros utilizados para la estimación de flujos de cada medida es presentado en el Anexo 2.</w:t>
      </w:r>
    </w:p>
    <w:p w14:paraId="3E7B5EDB" w14:textId="77777777" w:rsidR="00B54F4E" w:rsidRPr="006420E6" w:rsidRDefault="00B54F4E" w:rsidP="00B54F4E">
      <w:pPr>
        <w:spacing w:after="120"/>
        <w:jc w:val="center"/>
        <w:rPr>
          <w:b/>
          <w:szCs w:val="22"/>
        </w:rPr>
      </w:pPr>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19</w:t>
      </w:r>
      <w:r w:rsidRPr="008C12BC">
        <w:rPr>
          <w:b/>
        </w:rPr>
        <w:fldChar w:fldCharType="end"/>
      </w:r>
      <w:bookmarkEnd w:id="109"/>
      <w:r>
        <w:rPr>
          <w:b/>
        </w:rPr>
        <w:t xml:space="preserve"> </w:t>
      </w:r>
      <w:r w:rsidRPr="006420E6">
        <w:rPr>
          <w:b/>
          <w:szCs w:val="22"/>
        </w:rPr>
        <w:t>– Resumen de beneficios y costos por la implementación de medidas de eficiencia energética en el sector eléctrico ($USD Millones)</w:t>
      </w:r>
      <w:bookmarkEnd w:id="107"/>
      <w:bookmarkEnd w:id="108"/>
      <w:bookmarkEnd w:id="110"/>
    </w:p>
    <w:tbl>
      <w:tblPr>
        <w:tblW w:w="5000" w:type="pct"/>
        <w:tblCellMar>
          <w:left w:w="70" w:type="dxa"/>
          <w:right w:w="70" w:type="dxa"/>
        </w:tblCellMar>
        <w:tblLook w:val="04A0" w:firstRow="1" w:lastRow="0" w:firstColumn="1" w:lastColumn="0" w:noHBand="0" w:noVBand="1"/>
      </w:tblPr>
      <w:tblGrid>
        <w:gridCol w:w="3487"/>
        <w:gridCol w:w="432"/>
        <w:gridCol w:w="546"/>
        <w:gridCol w:w="546"/>
        <w:gridCol w:w="546"/>
        <w:gridCol w:w="546"/>
        <w:gridCol w:w="546"/>
        <w:gridCol w:w="546"/>
        <w:gridCol w:w="546"/>
        <w:gridCol w:w="546"/>
        <w:gridCol w:w="546"/>
      </w:tblGrid>
      <w:tr w:rsidR="00B54F4E" w:rsidRPr="006420E6" w14:paraId="5B3C745A" w14:textId="77777777" w:rsidTr="006504C4">
        <w:trPr>
          <w:trHeight w:val="300"/>
        </w:trPr>
        <w:tc>
          <w:tcPr>
            <w:tcW w:w="1566" w:type="pct"/>
            <w:tcBorders>
              <w:top w:val="nil"/>
              <w:left w:val="nil"/>
              <w:bottom w:val="single" w:sz="4" w:space="0" w:color="auto"/>
              <w:right w:val="nil"/>
            </w:tcBorders>
            <w:shd w:val="clear" w:color="auto" w:fill="auto"/>
            <w:noWrap/>
            <w:vAlign w:val="bottom"/>
            <w:hideMark/>
          </w:tcPr>
          <w:p w14:paraId="1DF2BE5E" w14:textId="77777777" w:rsidR="00B54F4E" w:rsidRPr="006420E6" w:rsidRDefault="00B54F4E" w:rsidP="006504C4">
            <w:pPr>
              <w:spacing w:before="0" w:after="0"/>
              <w:jc w:val="left"/>
              <w:rPr>
                <w:rFonts w:ascii="Calibri" w:hAnsi="Calibri" w:cs="Calibri"/>
                <w:color w:val="000000"/>
                <w:szCs w:val="22"/>
                <w:lang w:eastAsia="es-CO"/>
              </w:rPr>
            </w:pPr>
            <w:r w:rsidRPr="006420E6">
              <w:rPr>
                <w:rFonts w:ascii="Calibri" w:hAnsi="Calibri" w:cs="Calibri"/>
                <w:color w:val="000000"/>
                <w:szCs w:val="22"/>
                <w:lang w:eastAsia="es-CO"/>
              </w:rPr>
              <w:t> </w:t>
            </w:r>
          </w:p>
        </w:tc>
        <w:tc>
          <w:tcPr>
            <w:tcW w:w="348" w:type="pct"/>
            <w:tcBorders>
              <w:top w:val="nil"/>
              <w:left w:val="nil"/>
              <w:bottom w:val="single" w:sz="4" w:space="0" w:color="auto"/>
              <w:right w:val="nil"/>
            </w:tcBorders>
            <w:shd w:val="clear" w:color="auto" w:fill="auto"/>
            <w:noWrap/>
            <w:vAlign w:val="bottom"/>
            <w:hideMark/>
          </w:tcPr>
          <w:p w14:paraId="047DE894" w14:textId="77777777" w:rsidR="00B54F4E" w:rsidRPr="006420E6" w:rsidRDefault="00B54F4E" w:rsidP="006504C4">
            <w:pPr>
              <w:spacing w:before="0" w:after="0"/>
              <w:jc w:val="left"/>
              <w:rPr>
                <w:rFonts w:ascii="Calibri" w:hAnsi="Calibri" w:cs="Calibri"/>
                <w:color w:val="000000"/>
                <w:szCs w:val="22"/>
                <w:lang w:eastAsia="es-CO"/>
              </w:rPr>
            </w:pPr>
            <w:r w:rsidRPr="006420E6">
              <w:rPr>
                <w:rFonts w:ascii="Calibri" w:hAnsi="Calibri" w:cs="Calibri"/>
                <w:color w:val="000000"/>
                <w:szCs w:val="22"/>
                <w:lang w:eastAsia="es-CO"/>
              </w:rPr>
              <w:t> </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6D5033BB"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2017</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38DD6F17"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2018</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21FB9D66"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2019</w:t>
            </w:r>
          </w:p>
        </w:tc>
        <w:tc>
          <w:tcPr>
            <w:tcW w:w="303" w:type="pct"/>
            <w:tcBorders>
              <w:top w:val="single" w:sz="4" w:space="0" w:color="FFFFFF"/>
              <w:left w:val="nil"/>
              <w:bottom w:val="single" w:sz="4" w:space="0" w:color="auto"/>
              <w:right w:val="single" w:sz="4" w:space="0" w:color="FFFFFF"/>
            </w:tcBorders>
            <w:shd w:val="clear" w:color="000000" w:fill="203764"/>
            <w:noWrap/>
            <w:vAlign w:val="bottom"/>
            <w:hideMark/>
          </w:tcPr>
          <w:p w14:paraId="4CD215F0"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2020</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32A087C2"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2021</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5384E2B6"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2022</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2BFA33AA"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2023</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389CC88A"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2024</w:t>
            </w:r>
          </w:p>
        </w:tc>
        <w:tc>
          <w:tcPr>
            <w:tcW w:w="348" w:type="pct"/>
            <w:tcBorders>
              <w:top w:val="single" w:sz="4" w:space="0" w:color="FFFFFF"/>
              <w:left w:val="nil"/>
              <w:bottom w:val="single" w:sz="4" w:space="0" w:color="auto"/>
              <w:right w:val="single" w:sz="4" w:space="0" w:color="FFFFFF"/>
            </w:tcBorders>
            <w:shd w:val="clear" w:color="000000" w:fill="203764"/>
            <w:noWrap/>
            <w:vAlign w:val="bottom"/>
            <w:hideMark/>
          </w:tcPr>
          <w:p w14:paraId="71C6306B" w14:textId="77777777" w:rsidR="00B54F4E" w:rsidRPr="00FE090C" w:rsidRDefault="00B54F4E" w:rsidP="006504C4">
            <w:pPr>
              <w:spacing w:before="0" w:after="0"/>
              <w:jc w:val="center"/>
              <w:rPr>
                <w:rFonts w:ascii="Calibri" w:hAnsi="Calibri" w:cs="Calibri"/>
                <w:color w:val="FFFFFF"/>
                <w:sz w:val="20"/>
                <w:szCs w:val="22"/>
                <w:lang w:eastAsia="es-CO"/>
              </w:rPr>
            </w:pPr>
            <w:r w:rsidRPr="00FE090C">
              <w:rPr>
                <w:rFonts w:ascii="Calibri" w:hAnsi="Calibri" w:cs="Calibri"/>
                <w:color w:val="FFFFFF"/>
                <w:sz w:val="20"/>
                <w:szCs w:val="22"/>
                <w:lang w:eastAsia="es-CO"/>
              </w:rPr>
              <w:t>2025</w:t>
            </w:r>
          </w:p>
        </w:tc>
      </w:tr>
      <w:tr w:rsidR="00B54F4E" w:rsidRPr="00636F6A" w14:paraId="489AE382" w14:textId="77777777" w:rsidTr="006504C4">
        <w:trPr>
          <w:trHeight w:val="300"/>
        </w:trPr>
        <w:tc>
          <w:tcPr>
            <w:tcW w:w="1566" w:type="pct"/>
            <w:tcBorders>
              <w:top w:val="nil"/>
              <w:left w:val="nil"/>
              <w:bottom w:val="single" w:sz="4" w:space="0" w:color="auto"/>
              <w:right w:val="nil"/>
            </w:tcBorders>
            <w:shd w:val="clear" w:color="000000" w:fill="E7E6E6"/>
            <w:noWrap/>
            <w:vAlign w:val="bottom"/>
            <w:hideMark/>
          </w:tcPr>
          <w:p w14:paraId="394887B9"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Sector Residencial</w:t>
            </w:r>
          </w:p>
        </w:tc>
        <w:tc>
          <w:tcPr>
            <w:tcW w:w="348" w:type="pct"/>
            <w:tcBorders>
              <w:top w:val="nil"/>
              <w:left w:val="nil"/>
              <w:bottom w:val="single" w:sz="4" w:space="0" w:color="auto"/>
              <w:right w:val="nil"/>
            </w:tcBorders>
            <w:shd w:val="clear" w:color="000000" w:fill="E7E6E6"/>
            <w:noWrap/>
            <w:vAlign w:val="bottom"/>
            <w:hideMark/>
          </w:tcPr>
          <w:p w14:paraId="2E8B94AE"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3BD3B433"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43B4CBF7"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0A01887E"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03" w:type="pct"/>
            <w:tcBorders>
              <w:top w:val="nil"/>
              <w:left w:val="nil"/>
              <w:bottom w:val="single" w:sz="4" w:space="0" w:color="auto"/>
              <w:right w:val="nil"/>
            </w:tcBorders>
            <w:shd w:val="clear" w:color="000000" w:fill="E7E6E6"/>
            <w:noWrap/>
            <w:vAlign w:val="bottom"/>
            <w:hideMark/>
          </w:tcPr>
          <w:p w14:paraId="77DE015E"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1AE76AD0"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3AF96430"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0C8548E0"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70497F21"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4E9F1950"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r>
      <w:tr w:rsidR="00B54F4E" w:rsidRPr="00636F6A" w14:paraId="02AD121B" w14:textId="77777777" w:rsidTr="006504C4">
        <w:trPr>
          <w:trHeight w:val="300"/>
        </w:trPr>
        <w:tc>
          <w:tcPr>
            <w:tcW w:w="1566" w:type="pct"/>
            <w:tcBorders>
              <w:top w:val="nil"/>
              <w:left w:val="nil"/>
              <w:bottom w:val="nil"/>
              <w:right w:val="nil"/>
            </w:tcBorders>
            <w:shd w:val="clear" w:color="auto" w:fill="auto"/>
            <w:noWrap/>
            <w:vAlign w:val="bottom"/>
            <w:hideMark/>
          </w:tcPr>
          <w:p w14:paraId="7916DD12"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Beneficios</w:t>
            </w:r>
          </w:p>
        </w:tc>
        <w:tc>
          <w:tcPr>
            <w:tcW w:w="348" w:type="pct"/>
            <w:tcBorders>
              <w:top w:val="nil"/>
              <w:left w:val="nil"/>
              <w:bottom w:val="nil"/>
              <w:right w:val="nil"/>
            </w:tcBorders>
            <w:shd w:val="clear" w:color="auto" w:fill="auto"/>
            <w:noWrap/>
            <w:vAlign w:val="bottom"/>
            <w:hideMark/>
          </w:tcPr>
          <w:p w14:paraId="7D2BFC7D"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p>
        </w:tc>
        <w:tc>
          <w:tcPr>
            <w:tcW w:w="348" w:type="pct"/>
            <w:tcBorders>
              <w:top w:val="nil"/>
              <w:left w:val="nil"/>
              <w:bottom w:val="nil"/>
              <w:right w:val="nil"/>
            </w:tcBorders>
            <w:shd w:val="clear" w:color="auto" w:fill="auto"/>
            <w:noWrap/>
            <w:vAlign w:val="bottom"/>
            <w:hideMark/>
          </w:tcPr>
          <w:p w14:paraId="1B82387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19</w:t>
            </w:r>
          </w:p>
        </w:tc>
        <w:tc>
          <w:tcPr>
            <w:tcW w:w="348" w:type="pct"/>
            <w:tcBorders>
              <w:top w:val="nil"/>
              <w:left w:val="nil"/>
              <w:bottom w:val="nil"/>
              <w:right w:val="nil"/>
            </w:tcBorders>
            <w:shd w:val="clear" w:color="auto" w:fill="auto"/>
            <w:noWrap/>
            <w:vAlign w:val="bottom"/>
            <w:hideMark/>
          </w:tcPr>
          <w:p w14:paraId="6DBD7DE7"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32</w:t>
            </w:r>
          </w:p>
        </w:tc>
        <w:tc>
          <w:tcPr>
            <w:tcW w:w="348" w:type="pct"/>
            <w:tcBorders>
              <w:top w:val="nil"/>
              <w:left w:val="nil"/>
              <w:bottom w:val="nil"/>
              <w:right w:val="nil"/>
            </w:tcBorders>
            <w:shd w:val="clear" w:color="auto" w:fill="auto"/>
            <w:noWrap/>
            <w:vAlign w:val="bottom"/>
            <w:hideMark/>
          </w:tcPr>
          <w:p w14:paraId="1994021A"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46</w:t>
            </w:r>
          </w:p>
        </w:tc>
        <w:tc>
          <w:tcPr>
            <w:tcW w:w="303" w:type="pct"/>
            <w:tcBorders>
              <w:top w:val="nil"/>
              <w:left w:val="nil"/>
              <w:bottom w:val="nil"/>
              <w:right w:val="nil"/>
            </w:tcBorders>
            <w:shd w:val="clear" w:color="auto" w:fill="auto"/>
            <w:noWrap/>
            <w:vAlign w:val="bottom"/>
            <w:hideMark/>
          </w:tcPr>
          <w:p w14:paraId="5E216A99"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351</w:t>
            </w:r>
          </w:p>
        </w:tc>
        <w:tc>
          <w:tcPr>
            <w:tcW w:w="348" w:type="pct"/>
            <w:tcBorders>
              <w:top w:val="nil"/>
              <w:left w:val="nil"/>
              <w:bottom w:val="nil"/>
              <w:right w:val="nil"/>
            </w:tcBorders>
            <w:shd w:val="clear" w:color="auto" w:fill="auto"/>
            <w:noWrap/>
            <w:vAlign w:val="bottom"/>
            <w:hideMark/>
          </w:tcPr>
          <w:p w14:paraId="4303508A"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70</w:t>
            </w:r>
          </w:p>
        </w:tc>
        <w:tc>
          <w:tcPr>
            <w:tcW w:w="348" w:type="pct"/>
            <w:tcBorders>
              <w:top w:val="nil"/>
              <w:left w:val="nil"/>
              <w:bottom w:val="nil"/>
              <w:right w:val="nil"/>
            </w:tcBorders>
            <w:shd w:val="clear" w:color="auto" w:fill="auto"/>
            <w:noWrap/>
            <w:vAlign w:val="bottom"/>
            <w:hideMark/>
          </w:tcPr>
          <w:p w14:paraId="7135999E"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81</w:t>
            </w:r>
          </w:p>
        </w:tc>
        <w:tc>
          <w:tcPr>
            <w:tcW w:w="348" w:type="pct"/>
            <w:tcBorders>
              <w:top w:val="nil"/>
              <w:left w:val="nil"/>
              <w:bottom w:val="nil"/>
              <w:right w:val="nil"/>
            </w:tcBorders>
            <w:shd w:val="clear" w:color="auto" w:fill="auto"/>
            <w:noWrap/>
            <w:vAlign w:val="bottom"/>
            <w:hideMark/>
          </w:tcPr>
          <w:p w14:paraId="30533A49"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92</w:t>
            </w:r>
          </w:p>
        </w:tc>
        <w:tc>
          <w:tcPr>
            <w:tcW w:w="348" w:type="pct"/>
            <w:tcBorders>
              <w:top w:val="nil"/>
              <w:left w:val="nil"/>
              <w:bottom w:val="nil"/>
              <w:right w:val="nil"/>
            </w:tcBorders>
            <w:shd w:val="clear" w:color="auto" w:fill="auto"/>
            <w:noWrap/>
            <w:vAlign w:val="bottom"/>
            <w:hideMark/>
          </w:tcPr>
          <w:p w14:paraId="03EFCDFA"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103</w:t>
            </w:r>
          </w:p>
        </w:tc>
        <w:tc>
          <w:tcPr>
            <w:tcW w:w="348" w:type="pct"/>
            <w:tcBorders>
              <w:top w:val="nil"/>
              <w:left w:val="nil"/>
              <w:bottom w:val="nil"/>
              <w:right w:val="nil"/>
            </w:tcBorders>
            <w:shd w:val="clear" w:color="auto" w:fill="auto"/>
            <w:noWrap/>
            <w:vAlign w:val="bottom"/>
            <w:hideMark/>
          </w:tcPr>
          <w:p w14:paraId="21BD9FE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114</w:t>
            </w:r>
          </w:p>
        </w:tc>
      </w:tr>
      <w:tr w:rsidR="00B54F4E" w:rsidRPr="00636F6A" w14:paraId="42979423" w14:textId="77777777" w:rsidTr="006504C4">
        <w:trPr>
          <w:trHeight w:val="300"/>
        </w:trPr>
        <w:tc>
          <w:tcPr>
            <w:tcW w:w="1566" w:type="pct"/>
            <w:tcBorders>
              <w:top w:val="nil"/>
              <w:left w:val="nil"/>
              <w:bottom w:val="single" w:sz="4" w:space="0" w:color="auto"/>
              <w:right w:val="nil"/>
            </w:tcBorders>
            <w:shd w:val="clear" w:color="auto" w:fill="auto"/>
            <w:noWrap/>
            <w:vAlign w:val="bottom"/>
            <w:hideMark/>
          </w:tcPr>
          <w:p w14:paraId="449C4277"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Costos</w:t>
            </w:r>
          </w:p>
        </w:tc>
        <w:tc>
          <w:tcPr>
            <w:tcW w:w="348" w:type="pct"/>
            <w:tcBorders>
              <w:top w:val="nil"/>
              <w:left w:val="nil"/>
              <w:bottom w:val="single" w:sz="4" w:space="0" w:color="auto"/>
              <w:right w:val="nil"/>
            </w:tcBorders>
            <w:shd w:val="clear" w:color="auto" w:fill="auto"/>
            <w:noWrap/>
            <w:vAlign w:val="bottom"/>
            <w:hideMark/>
          </w:tcPr>
          <w:p w14:paraId="39AEB2F7"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auto" w:fill="auto"/>
            <w:noWrap/>
            <w:vAlign w:val="bottom"/>
            <w:hideMark/>
          </w:tcPr>
          <w:p w14:paraId="7E146F2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40</w:t>
            </w:r>
          </w:p>
        </w:tc>
        <w:tc>
          <w:tcPr>
            <w:tcW w:w="348" w:type="pct"/>
            <w:tcBorders>
              <w:top w:val="nil"/>
              <w:left w:val="nil"/>
              <w:bottom w:val="single" w:sz="4" w:space="0" w:color="auto"/>
              <w:right w:val="nil"/>
            </w:tcBorders>
            <w:shd w:val="clear" w:color="auto" w:fill="auto"/>
            <w:noWrap/>
            <w:vAlign w:val="bottom"/>
            <w:hideMark/>
          </w:tcPr>
          <w:p w14:paraId="70F8A7DE"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40</w:t>
            </w:r>
          </w:p>
        </w:tc>
        <w:tc>
          <w:tcPr>
            <w:tcW w:w="348" w:type="pct"/>
            <w:tcBorders>
              <w:top w:val="nil"/>
              <w:left w:val="nil"/>
              <w:bottom w:val="single" w:sz="4" w:space="0" w:color="auto"/>
              <w:right w:val="nil"/>
            </w:tcBorders>
            <w:shd w:val="clear" w:color="auto" w:fill="auto"/>
            <w:noWrap/>
            <w:vAlign w:val="bottom"/>
            <w:hideMark/>
          </w:tcPr>
          <w:p w14:paraId="0E4CF027"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40</w:t>
            </w:r>
          </w:p>
        </w:tc>
        <w:tc>
          <w:tcPr>
            <w:tcW w:w="303" w:type="pct"/>
            <w:tcBorders>
              <w:top w:val="nil"/>
              <w:left w:val="nil"/>
              <w:bottom w:val="single" w:sz="4" w:space="0" w:color="auto"/>
              <w:right w:val="nil"/>
            </w:tcBorders>
            <w:shd w:val="clear" w:color="auto" w:fill="auto"/>
            <w:noWrap/>
            <w:vAlign w:val="bottom"/>
            <w:hideMark/>
          </w:tcPr>
          <w:p w14:paraId="38A5CF6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47</w:t>
            </w:r>
          </w:p>
        </w:tc>
        <w:tc>
          <w:tcPr>
            <w:tcW w:w="348" w:type="pct"/>
            <w:tcBorders>
              <w:top w:val="nil"/>
              <w:left w:val="nil"/>
              <w:bottom w:val="single" w:sz="4" w:space="0" w:color="auto"/>
              <w:right w:val="nil"/>
            </w:tcBorders>
            <w:shd w:val="clear" w:color="auto" w:fill="auto"/>
            <w:noWrap/>
            <w:vAlign w:val="bottom"/>
            <w:hideMark/>
          </w:tcPr>
          <w:p w14:paraId="4C135879"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45</w:t>
            </w:r>
          </w:p>
        </w:tc>
        <w:tc>
          <w:tcPr>
            <w:tcW w:w="348" w:type="pct"/>
            <w:tcBorders>
              <w:top w:val="nil"/>
              <w:left w:val="nil"/>
              <w:bottom w:val="single" w:sz="4" w:space="0" w:color="auto"/>
              <w:right w:val="nil"/>
            </w:tcBorders>
            <w:shd w:val="clear" w:color="auto" w:fill="auto"/>
            <w:noWrap/>
            <w:vAlign w:val="bottom"/>
            <w:hideMark/>
          </w:tcPr>
          <w:p w14:paraId="1D35E590"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45</w:t>
            </w:r>
          </w:p>
        </w:tc>
        <w:tc>
          <w:tcPr>
            <w:tcW w:w="348" w:type="pct"/>
            <w:tcBorders>
              <w:top w:val="nil"/>
              <w:left w:val="nil"/>
              <w:bottom w:val="single" w:sz="4" w:space="0" w:color="auto"/>
              <w:right w:val="nil"/>
            </w:tcBorders>
            <w:shd w:val="clear" w:color="auto" w:fill="auto"/>
            <w:noWrap/>
            <w:vAlign w:val="bottom"/>
            <w:hideMark/>
          </w:tcPr>
          <w:p w14:paraId="37B4835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45</w:t>
            </w:r>
          </w:p>
        </w:tc>
        <w:tc>
          <w:tcPr>
            <w:tcW w:w="348" w:type="pct"/>
            <w:tcBorders>
              <w:top w:val="nil"/>
              <w:left w:val="nil"/>
              <w:bottom w:val="single" w:sz="4" w:space="0" w:color="auto"/>
              <w:right w:val="nil"/>
            </w:tcBorders>
            <w:shd w:val="clear" w:color="auto" w:fill="auto"/>
            <w:noWrap/>
            <w:vAlign w:val="bottom"/>
            <w:hideMark/>
          </w:tcPr>
          <w:p w14:paraId="231FFCD2"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45</w:t>
            </w:r>
          </w:p>
        </w:tc>
        <w:tc>
          <w:tcPr>
            <w:tcW w:w="348" w:type="pct"/>
            <w:tcBorders>
              <w:top w:val="nil"/>
              <w:left w:val="nil"/>
              <w:bottom w:val="single" w:sz="4" w:space="0" w:color="auto"/>
              <w:right w:val="nil"/>
            </w:tcBorders>
            <w:shd w:val="clear" w:color="auto" w:fill="auto"/>
            <w:noWrap/>
            <w:vAlign w:val="bottom"/>
            <w:hideMark/>
          </w:tcPr>
          <w:p w14:paraId="1D32D810"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45</w:t>
            </w:r>
          </w:p>
        </w:tc>
      </w:tr>
      <w:tr w:rsidR="00B54F4E" w:rsidRPr="00636F6A" w14:paraId="11111C6F" w14:textId="77777777" w:rsidTr="006504C4">
        <w:trPr>
          <w:trHeight w:val="300"/>
        </w:trPr>
        <w:tc>
          <w:tcPr>
            <w:tcW w:w="1566" w:type="pct"/>
            <w:tcBorders>
              <w:top w:val="nil"/>
              <w:left w:val="nil"/>
              <w:bottom w:val="single" w:sz="4" w:space="0" w:color="auto"/>
              <w:right w:val="nil"/>
            </w:tcBorders>
            <w:shd w:val="clear" w:color="auto" w:fill="auto"/>
            <w:noWrap/>
            <w:vAlign w:val="bottom"/>
            <w:hideMark/>
          </w:tcPr>
          <w:p w14:paraId="4C1AD0A4"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Flujo Neto Sector Residencial ($USD Millones)</w:t>
            </w:r>
          </w:p>
        </w:tc>
        <w:tc>
          <w:tcPr>
            <w:tcW w:w="348" w:type="pct"/>
            <w:tcBorders>
              <w:top w:val="nil"/>
              <w:left w:val="nil"/>
              <w:bottom w:val="single" w:sz="4" w:space="0" w:color="auto"/>
              <w:right w:val="nil"/>
            </w:tcBorders>
            <w:shd w:val="clear" w:color="auto" w:fill="auto"/>
            <w:noWrap/>
            <w:vAlign w:val="bottom"/>
            <w:hideMark/>
          </w:tcPr>
          <w:p w14:paraId="3BC2F9D2"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auto" w:fill="auto"/>
            <w:noWrap/>
            <w:vAlign w:val="bottom"/>
            <w:hideMark/>
          </w:tcPr>
          <w:p w14:paraId="41F6C9C0"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-21</w:t>
            </w:r>
          </w:p>
        </w:tc>
        <w:tc>
          <w:tcPr>
            <w:tcW w:w="348" w:type="pct"/>
            <w:tcBorders>
              <w:top w:val="nil"/>
              <w:left w:val="nil"/>
              <w:bottom w:val="single" w:sz="4" w:space="0" w:color="auto"/>
              <w:right w:val="nil"/>
            </w:tcBorders>
            <w:shd w:val="clear" w:color="auto" w:fill="auto"/>
            <w:noWrap/>
            <w:vAlign w:val="bottom"/>
            <w:hideMark/>
          </w:tcPr>
          <w:p w14:paraId="33A6AA23"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-8</w:t>
            </w:r>
          </w:p>
        </w:tc>
        <w:tc>
          <w:tcPr>
            <w:tcW w:w="348" w:type="pct"/>
            <w:tcBorders>
              <w:top w:val="nil"/>
              <w:left w:val="nil"/>
              <w:bottom w:val="single" w:sz="4" w:space="0" w:color="auto"/>
              <w:right w:val="nil"/>
            </w:tcBorders>
            <w:shd w:val="clear" w:color="auto" w:fill="auto"/>
            <w:noWrap/>
            <w:vAlign w:val="bottom"/>
            <w:hideMark/>
          </w:tcPr>
          <w:p w14:paraId="1BD9BCF6"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w:t>
            </w:r>
          </w:p>
        </w:tc>
        <w:tc>
          <w:tcPr>
            <w:tcW w:w="303" w:type="pct"/>
            <w:tcBorders>
              <w:top w:val="nil"/>
              <w:left w:val="nil"/>
              <w:bottom w:val="single" w:sz="4" w:space="0" w:color="auto"/>
              <w:right w:val="nil"/>
            </w:tcBorders>
            <w:shd w:val="clear" w:color="auto" w:fill="auto"/>
            <w:noWrap/>
            <w:vAlign w:val="bottom"/>
            <w:hideMark/>
          </w:tcPr>
          <w:p w14:paraId="0B32DE58"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304</w:t>
            </w:r>
          </w:p>
        </w:tc>
        <w:tc>
          <w:tcPr>
            <w:tcW w:w="348" w:type="pct"/>
            <w:tcBorders>
              <w:top w:val="nil"/>
              <w:left w:val="nil"/>
              <w:bottom w:val="single" w:sz="4" w:space="0" w:color="auto"/>
              <w:right w:val="nil"/>
            </w:tcBorders>
            <w:shd w:val="clear" w:color="auto" w:fill="auto"/>
            <w:noWrap/>
            <w:vAlign w:val="bottom"/>
            <w:hideMark/>
          </w:tcPr>
          <w:p w14:paraId="3988998E"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26</w:t>
            </w:r>
          </w:p>
        </w:tc>
        <w:tc>
          <w:tcPr>
            <w:tcW w:w="348" w:type="pct"/>
            <w:tcBorders>
              <w:top w:val="nil"/>
              <w:left w:val="nil"/>
              <w:bottom w:val="single" w:sz="4" w:space="0" w:color="auto"/>
              <w:right w:val="nil"/>
            </w:tcBorders>
            <w:shd w:val="clear" w:color="auto" w:fill="auto"/>
            <w:noWrap/>
            <w:vAlign w:val="bottom"/>
            <w:hideMark/>
          </w:tcPr>
          <w:p w14:paraId="4877B048"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36</w:t>
            </w:r>
          </w:p>
        </w:tc>
        <w:tc>
          <w:tcPr>
            <w:tcW w:w="348" w:type="pct"/>
            <w:tcBorders>
              <w:top w:val="nil"/>
              <w:left w:val="nil"/>
              <w:bottom w:val="single" w:sz="4" w:space="0" w:color="auto"/>
              <w:right w:val="nil"/>
            </w:tcBorders>
            <w:shd w:val="clear" w:color="auto" w:fill="auto"/>
            <w:noWrap/>
            <w:vAlign w:val="bottom"/>
            <w:hideMark/>
          </w:tcPr>
          <w:p w14:paraId="32B28FE0"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47</w:t>
            </w:r>
          </w:p>
        </w:tc>
        <w:tc>
          <w:tcPr>
            <w:tcW w:w="348" w:type="pct"/>
            <w:tcBorders>
              <w:top w:val="nil"/>
              <w:left w:val="nil"/>
              <w:bottom w:val="single" w:sz="4" w:space="0" w:color="auto"/>
              <w:right w:val="nil"/>
            </w:tcBorders>
            <w:shd w:val="clear" w:color="auto" w:fill="auto"/>
            <w:noWrap/>
            <w:vAlign w:val="bottom"/>
            <w:hideMark/>
          </w:tcPr>
          <w:p w14:paraId="0746566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58</w:t>
            </w:r>
          </w:p>
        </w:tc>
        <w:tc>
          <w:tcPr>
            <w:tcW w:w="348" w:type="pct"/>
            <w:tcBorders>
              <w:top w:val="nil"/>
              <w:left w:val="nil"/>
              <w:bottom w:val="single" w:sz="4" w:space="0" w:color="auto"/>
              <w:right w:val="nil"/>
            </w:tcBorders>
            <w:shd w:val="clear" w:color="auto" w:fill="auto"/>
            <w:noWrap/>
            <w:vAlign w:val="bottom"/>
            <w:hideMark/>
          </w:tcPr>
          <w:p w14:paraId="306E431A"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69</w:t>
            </w:r>
          </w:p>
        </w:tc>
      </w:tr>
      <w:tr w:rsidR="00B54F4E" w:rsidRPr="00636F6A" w14:paraId="0C757645" w14:textId="77777777" w:rsidTr="006504C4">
        <w:trPr>
          <w:trHeight w:val="300"/>
        </w:trPr>
        <w:tc>
          <w:tcPr>
            <w:tcW w:w="1566" w:type="pct"/>
            <w:tcBorders>
              <w:top w:val="nil"/>
              <w:left w:val="nil"/>
              <w:bottom w:val="single" w:sz="4" w:space="0" w:color="auto"/>
              <w:right w:val="nil"/>
            </w:tcBorders>
            <w:shd w:val="clear" w:color="000000" w:fill="E7E6E6"/>
            <w:noWrap/>
            <w:vAlign w:val="bottom"/>
            <w:hideMark/>
          </w:tcPr>
          <w:p w14:paraId="587C7596"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Sector Comercial</w:t>
            </w:r>
          </w:p>
        </w:tc>
        <w:tc>
          <w:tcPr>
            <w:tcW w:w="348" w:type="pct"/>
            <w:tcBorders>
              <w:top w:val="nil"/>
              <w:left w:val="nil"/>
              <w:bottom w:val="single" w:sz="4" w:space="0" w:color="auto"/>
              <w:right w:val="nil"/>
            </w:tcBorders>
            <w:shd w:val="clear" w:color="000000" w:fill="E7E6E6"/>
            <w:noWrap/>
            <w:vAlign w:val="bottom"/>
            <w:hideMark/>
          </w:tcPr>
          <w:p w14:paraId="39B7DC3A"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5D8863A7"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5463DB8D"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15EAA0EB"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03" w:type="pct"/>
            <w:tcBorders>
              <w:top w:val="nil"/>
              <w:left w:val="nil"/>
              <w:bottom w:val="single" w:sz="4" w:space="0" w:color="auto"/>
              <w:right w:val="nil"/>
            </w:tcBorders>
            <w:shd w:val="clear" w:color="000000" w:fill="E7E6E6"/>
            <w:noWrap/>
            <w:vAlign w:val="bottom"/>
            <w:hideMark/>
          </w:tcPr>
          <w:p w14:paraId="652C120A"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66BCEC16"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78B9FBC1"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11FC0D4F"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0D973C49"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7DF072EA"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r>
      <w:tr w:rsidR="00B54F4E" w:rsidRPr="00636F6A" w14:paraId="6E5F00F1" w14:textId="77777777" w:rsidTr="006504C4">
        <w:trPr>
          <w:trHeight w:val="300"/>
        </w:trPr>
        <w:tc>
          <w:tcPr>
            <w:tcW w:w="1566" w:type="pct"/>
            <w:tcBorders>
              <w:top w:val="nil"/>
              <w:left w:val="nil"/>
              <w:bottom w:val="nil"/>
              <w:right w:val="nil"/>
            </w:tcBorders>
            <w:shd w:val="clear" w:color="auto" w:fill="auto"/>
            <w:noWrap/>
            <w:vAlign w:val="bottom"/>
            <w:hideMark/>
          </w:tcPr>
          <w:p w14:paraId="1146E0E7"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Beneficios</w:t>
            </w:r>
          </w:p>
        </w:tc>
        <w:tc>
          <w:tcPr>
            <w:tcW w:w="348" w:type="pct"/>
            <w:tcBorders>
              <w:top w:val="nil"/>
              <w:left w:val="nil"/>
              <w:bottom w:val="nil"/>
              <w:right w:val="nil"/>
            </w:tcBorders>
            <w:shd w:val="clear" w:color="auto" w:fill="auto"/>
            <w:noWrap/>
            <w:vAlign w:val="bottom"/>
            <w:hideMark/>
          </w:tcPr>
          <w:p w14:paraId="672EBB5B"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p>
        </w:tc>
        <w:tc>
          <w:tcPr>
            <w:tcW w:w="348" w:type="pct"/>
            <w:tcBorders>
              <w:top w:val="nil"/>
              <w:left w:val="nil"/>
              <w:bottom w:val="nil"/>
              <w:right w:val="nil"/>
            </w:tcBorders>
            <w:shd w:val="clear" w:color="auto" w:fill="auto"/>
            <w:noWrap/>
            <w:vAlign w:val="bottom"/>
            <w:hideMark/>
          </w:tcPr>
          <w:p w14:paraId="06D6902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8</w:t>
            </w:r>
          </w:p>
        </w:tc>
        <w:tc>
          <w:tcPr>
            <w:tcW w:w="348" w:type="pct"/>
            <w:tcBorders>
              <w:top w:val="nil"/>
              <w:left w:val="nil"/>
              <w:bottom w:val="nil"/>
              <w:right w:val="nil"/>
            </w:tcBorders>
            <w:shd w:val="clear" w:color="auto" w:fill="auto"/>
            <w:noWrap/>
            <w:vAlign w:val="bottom"/>
            <w:hideMark/>
          </w:tcPr>
          <w:p w14:paraId="706569A1"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15</w:t>
            </w:r>
          </w:p>
        </w:tc>
        <w:tc>
          <w:tcPr>
            <w:tcW w:w="348" w:type="pct"/>
            <w:tcBorders>
              <w:top w:val="nil"/>
              <w:left w:val="nil"/>
              <w:bottom w:val="nil"/>
              <w:right w:val="nil"/>
            </w:tcBorders>
            <w:shd w:val="clear" w:color="auto" w:fill="auto"/>
            <w:noWrap/>
            <w:vAlign w:val="bottom"/>
            <w:hideMark/>
          </w:tcPr>
          <w:p w14:paraId="7D92458A"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25</w:t>
            </w:r>
          </w:p>
        </w:tc>
        <w:tc>
          <w:tcPr>
            <w:tcW w:w="303" w:type="pct"/>
            <w:tcBorders>
              <w:top w:val="nil"/>
              <w:left w:val="nil"/>
              <w:bottom w:val="nil"/>
              <w:right w:val="nil"/>
            </w:tcBorders>
            <w:shd w:val="clear" w:color="auto" w:fill="auto"/>
            <w:noWrap/>
            <w:vAlign w:val="bottom"/>
            <w:hideMark/>
          </w:tcPr>
          <w:p w14:paraId="6F82A94E"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544</w:t>
            </w:r>
          </w:p>
        </w:tc>
        <w:tc>
          <w:tcPr>
            <w:tcW w:w="348" w:type="pct"/>
            <w:tcBorders>
              <w:top w:val="nil"/>
              <w:left w:val="nil"/>
              <w:bottom w:val="nil"/>
              <w:right w:val="nil"/>
            </w:tcBorders>
            <w:shd w:val="clear" w:color="auto" w:fill="auto"/>
            <w:noWrap/>
            <w:vAlign w:val="bottom"/>
            <w:hideMark/>
          </w:tcPr>
          <w:p w14:paraId="02A5FE0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50</w:t>
            </w:r>
          </w:p>
        </w:tc>
        <w:tc>
          <w:tcPr>
            <w:tcW w:w="348" w:type="pct"/>
            <w:tcBorders>
              <w:top w:val="nil"/>
              <w:left w:val="nil"/>
              <w:bottom w:val="nil"/>
              <w:right w:val="nil"/>
            </w:tcBorders>
            <w:shd w:val="clear" w:color="auto" w:fill="auto"/>
            <w:noWrap/>
            <w:vAlign w:val="bottom"/>
            <w:hideMark/>
          </w:tcPr>
          <w:p w14:paraId="350E897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62</w:t>
            </w:r>
          </w:p>
        </w:tc>
        <w:tc>
          <w:tcPr>
            <w:tcW w:w="348" w:type="pct"/>
            <w:tcBorders>
              <w:top w:val="nil"/>
              <w:left w:val="nil"/>
              <w:bottom w:val="nil"/>
              <w:right w:val="nil"/>
            </w:tcBorders>
            <w:shd w:val="clear" w:color="auto" w:fill="auto"/>
            <w:noWrap/>
            <w:vAlign w:val="bottom"/>
            <w:hideMark/>
          </w:tcPr>
          <w:p w14:paraId="09BD566F"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75</w:t>
            </w:r>
          </w:p>
        </w:tc>
        <w:tc>
          <w:tcPr>
            <w:tcW w:w="348" w:type="pct"/>
            <w:tcBorders>
              <w:top w:val="nil"/>
              <w:left w:val="nil"/>
              <w:bottom w:val="nil"/>
              <w:right w:val="nil"/>
            </w:tcBorders>
            <w:shd w:val="clear" w:color="auto" w:fill="auto"/>
            <w:noWrap/>
            <w:vAlign w:val="bottom"/>
            <w:hideMark/>
          </w:tcPr>
          <w:p w14:paraId="3FA99885"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88</w:t>
            </w:r>
          </w:p>
        </w:tc>
        <w:tc>
          <w:tcPr>
            <w:tcW w:w="348" w:type="pct"/>
            <w:tcBorders>
              <w:top w:val="nil"/>
              <w:left w:val="nil"/>
              <w:bottom w:val="nil"/>
              <w:right w:val="nil"/>
            </w:tcBorders>
            <w:shd w:val="clear" w:color="auto" w:fill="auto"/>
            <w:noWrap/>
            <w:vAlign w:val="bottom"/>
            <w:hideMark/>
          </w:tcPr>
          <w:p w14:paraId="684D08FF"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109</w:t>
            </w:r>
          </w:p>
        </w:tc>
      </w:tr>
      <w:tr w:rsidR="00B54F4E" w:rsidRPr="00636F6A" w14:paraId="6399ECB9" w14:textId="77777777" w:rsidTr="006504C4">
        <w:trPr>
          <w:trHeight w:val="300"/>
        </w:trPr>
        <w:tc>
          <w:tcPr>
            <w:tcW w:w="1566" w:type="pct"/>
            <w:tcBorders>
              <w:top w:val="nil"/>
              <w:left w:val="nil"/>
              <w:bottom w:val="single" w:sz="4" w:space="0" w:color="auto"/>
              <w:right w:val="nil"/>
            </w:tcBorders>
            <w:shd w:val="clear" w:color="auto" w:fill="auto"/>
            <w:noWrap/>
            <w:vAlign w:val="bottom"/>
            <w:hideMark/>
          </w:tcPr>
          <w:p w14:paraId="4DB40361"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Costos</w:t>
            </w:r>
          </w:p>
        </w:tc>
        <w:tc>
          <w:tcPr>
            <w:tcW w:w="348" w:type="pct"/>
            <w:tcBorders>
              <w:top w:val="nil"/>
              <w:left w:val="nil"/>
              <w:bottom w:val="single" w:sz="4" w:space="0" w:color="auto"/>
              <w:right w:val="nil"/>
            </w:tcBorders>
            <w:shd w:val="clear" w:color="auto" w:fill="auto"/>
            <w:noWrap/>
            <w:vAlign w:val="bottom"/>
            <w:hideMark/>
          </w:tcPr>
          <w:p w14:paraId="0DF27463"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auto" w:fill="auto"/>
            <w:noWrap/>
            <w:vAlign w:val="bottom"/>
            <w:hideMark/>
          </w:tcPr>
          <w:p w14:paraId="2967ACC5"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4" w:space="0" w:color="auto"/>
              <w:right w:val="nil"/>
            </w:tcBorders>
            <w:shd w:val="clear" w:color="auto" w:fill="auto"/>
            <w:noWrap/>
            <w:vAlign w:val="bottom"/>
            <w:hideMark/>
          </w:tcPr>
          <w:p w14:paraId="095BBAE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4" w:space="0" w:color="auto"/>
              <w:right w:val="nil"/>
            </w:tcBorders>
            <w:shd w:val="clear" w:color="auto" w:fill="auto"/>
            <w:noWrap/>
            <w:vAlign w:val="bottom"/>
            <w:hideMark/>
          </w:tcPr>
          <w:p w14:paraId="1F1D6E95"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03" w:type="pct"/>
            <w:tcBorders>
              <w:top w:val="nil"/>
              <w:left w:val="nil"/>
              <w:bottom w:val="single" w:sz="4" w:space="0" w:color="auto"/>
              <w:right w:val="nil"/>
            </w:tcBorders>
            <w:shd w:val="clear" w:color="auto" w:fill="auto"/>
            <w:noWrap/>
            <w:vAlign w:val="bottom"/>
            <w:hideMark/>
          </w:tcPr>
          <w:p w14:paraId="472814F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22</w:t>
            </w:r>
          </w:p>
        </w:tc>
        <w:tc>
          <w:tcPr>
            <w:tcW w:w="348" w:type="pct"/>
            <w:tcBorders>
              <w:top w:val="nil"/>
              <w:left w:val="nil"/>
              <w:bottom w:val="single" w:sz="4" w:space="0" w:color="auto"/>
              <w:right w:val="nil"/>
            </w:tcBorders>
            <w:shd w:val="clear" w:color="auto" w:fill="auto"/>
            <w:noWrap/>
            <w:vAlign w:val="bottom"/>
            <w:hideMark/>
          </w:tcPr>
          <w:p w14:paraId="67B9CCA1"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22</w:t>
            </w:r>
          </w:p>
        </w:tc>
        <w:tc>
          <w:tcPr>
            <w:tcW w:w="348" w:type="pct"/>
            <w:tcBorders>
              <w:top w:val="nil"/>
              <w:left w:val="nil"/>
              <w:bottom w:val="single" w:sz="4" w:space="0" w:color="auto"/>
              <w:right w:val="nil"/>
            </w:tcBorders>
            <w:shd w:val="clear" w:color="auto" w:fill="auto"/>
            <w:noWrap/>
            <w:vAlign w:val="bottom"/>
            <w:hideMark/>
          </w:tcPr>
          <w:p w14:paraId="5DEC2875"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22</w:t>
            </w:r>
          </w:p>
        </w:tc>
        <w:tc>
          <w:tcPr>
            <w:tcW w:w="348" w:type="pct"/>
            <w:tcBorders>
              <w:top w:val="nil"/>
              <w:left w:val="nil"/>
              <w:bottom w:val="single" w:sz="4" w:space="0" w:color="auto"/>
              <w:right w:val="nil"/>
            </w:tcBorders>
            <w:shd w:val="clear" w:color="auto" w:fill="auto"/>
            <w:noWrap/>
            <w:vAlign w:val="bottom"/>
            <w:hideMark/>
          </w:tcPr>
          <w:p w14:paraId="47D906E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22</w:t>
            </w:r>
          </w:p>
        </w:tc>
        <w:tc>
          <w:tcPr>
            <w:tcW w:w="348" w:type="pct"/>
            <w:tcBorders>
              <w:top w:val="nil"/>
              <w:left w:val="nil"/>
              <w:bottom w:val="single" w:sz="4" w:space="0" w:color="auto"/>
              <w:right w:val="nil"/>
            </w:tcBorders>
            <w:shd w:val="clear" w:color="auto" w:fill="auto"/>
            <w:noWrap/>
            <w:vAlign w:val="bottom"/>
            <w:hideMark/>
          </w:tcPr>
          <w:p w14:paraId="6BEA325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22</w:t>
            </w:r>
          </w:p>
        </w:tc>
        <w:tc>
          <w:tcPr>
            <w:tcW w:w="348" w:type="pct"/>
            <w:tcBorders>
              <w:top w:val="nil"/>
              <w:left w:val="nil"/>
              <w:bottom w:val="single" w:sz="4" w:space="0" w:color="auto"/>
              <w:right w:val="nil"/>
            </w:tcBorders>
            <w:shd w:val="clear" w:color="auto" w:fill="auto"/>
            <w:noWrap/>
            <w:vAlign w:val="bottom"/>
            <w:hideMark/>
          </w:tcPr>
          <w:p w14:paraId="129B1C50"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22</w:t>
            </w:r>
          </w:p>
        </w:tc>
      </w:tr>
      <w:tr w:rsidR="00B54F4E" w:rsidRPr="00636F6A" w14:paraId="3A1A11FE" w14:textId="77777777" w:rsidTr="006504C4">
        <w:trPr>
          <w:trHeight w:val="300"/>
        </w:trPr>
        <w:tc>
          <w:tcPr>
            <w:tcW w:w="1566" w:type="pct"/>
            <w:tcBorders>
              <w:top w:val="nil"/>
              <w:left w:val="nil"/>
              <w:bottom w:val="single" w:sz="4" w:space="0" w:color="auto"/>
              <w:right w:val="nil"/>
            </w:tcBorders>
            <w:shd w:val="clear" w:color="auto" w:fill="auto"/>
            <w:noWrap/>
            <w:vAlign w:val="bottom"/>
            <w:hideMark/>
          </w:tcPr>
          <w:p w14:paraId="231B4FDF"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Flujo Neto Sector Comercial ($USD Millones)</w:t>
            </w:r>
          </w:p>
        </w:tc>
        <w:tc>
          <w:tcPr>
            <w:tcW w:w="348" w:type="pct"/>
            <w:tcBorders>
              <w:top w:val="nil"/>
              <w:left w:val="nil"/>
              <w:bottom w:val="single" w:sz="4" w:space="0" w:color="auto"/>
              <w:right w:val="nil"/>
            </w:tcBorders>
            <w:shd w:val="clear" w:color="auto" w:fill="auto"/>
            <w:noWrap/>
            <w:vAlign w:val="bottom"/>
            <w:hideMark/>
          </w:tcPr>
          <w:p w14:paraId="69D3EF9B"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auto" w:fill="auto"/>
            <w:noWrap/>
            <w:vAlign w:val="bottom"/>
            <w:hideMark/>
          </w:tcPr>
          <w:p w14:paraId="029C0619"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7</w:t>
            </w:r>
          </w:p>
        </w:tc>
        <w:tc>
          <w:tcPr>
            <w:tcW w:w="348" w:type="pct"/>
            <w:tcBorders>
              <w:top w:val="nil"/>
              <w:left w:val="nil"/>
              <w:bottom w:val="single" w:sz="4" w:space="0" w:color="auto"/>
              <w:right w:val="nil"/>
            </w:tcBorders>
            <w:shd w:val="clear" w:color="auto" w:fill="auto"/>
            <w:noWrap/>
            <w:vAlign w:val="bottom"/>
            <w:hideMark/>
          </w:tcPr>
          <w:p w14:paraId="36A29911"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14</w:t>
            </w:r>
          </w:p>
        </w:tc>
        <w:tc>
          <w:tcPr>
            <w:tcW w:w="348" w:type="pct"/>
            <w:tcBorders>
              <w:top w:val="nil"/>
              <w:left w:val="nil"/>
              <w:bottom w:val="single" w:sz="4" w:space="0" w:color="auto"/>
              <w:right w:val="nil"/>
            </w:tcBorders>
            <w:shd w:val="clear" w:color="auto" w:fill="auto"/>
            <w:noWrap/>
            <w:vAlign w:val="bottom"/>
            <w:hideMark/>
          </w:tcPr>
          <w:p w14:paraId="16D6EC8F"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24</w:t>
            </w:r>
          </w:p>
        </w:tc>
        <w:tc>
          <w:tcPr>
            <w:tcW w:w="303" w:type="pct"/>
            <w:tcBorders>
              <w:top w:val="nil"/>
              <w:left w:val="nil"/>
              <w:bottom w:val="single" w:sz="4" w:space="0" w:color="auto"/>
              <w:right w:val="nil"/>
            </w:tcBorders>
            <w:shd w:val="clear" w:color="auto" w:fill="auto"/>
            <w:noWrap/>
            <w:vAlign w:val="bottom"/>
            <w:hideMark/>
          </w:tcPr>
          <w:p w14:paraId="4E3DEA16"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523</w:t>
            </w:r>
          </w:p>
        </w:tc>
        <w:tc>
          <w:tcPr>
            <w:tcW w:w="348" w:type="pct"/>
            <w:tcBorders>
              <w:top w:val="nil"/>
              <w:left w:val="nil"/>
              <w:bottom w:val="single" w:sz="4" w:space="0" w:color="auto"/>
              <w:right w:val="nil"/>
            </w:tcBorders>
            <w:shd w:val="clear" w:color="auto" w:fill="auto"/>
            <w:noWrap/>
            <w:vAlign w:val="bottom"/>
            <w:hideMark/>
          </w:tcPr>
          <w:p w14:paraId="384A3A6A"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28</w:t>
            </w:r>
          </w:p>
        </w:tc>
        <w:tc>
          <w:tcPr>
            <w:tcW w:w="348" w:type="pct"/>
            <w:tcBorders>
              <w:top w:val="nil"/>
              <w:left w:val="nil"/>
              <w:bottom w:val="single" w:sz="4" w:space="0" w:color="auto"/>
              <w:right w:val="nil"/>
            </w:tcBorders>
            <w:shd w:val="clear" w:color="auto" w:fill="auto"/>
            <w:noWrap/>
            <w:vAlign w:val="bottom"/>
            <w:hideMark/>
          </w:tcPr>
          <w:p w14:paraId="12AFC7F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41</w:t>
            </w:r>
          </w:p>
        </w:tc>
        <w:tc>
          <w:tcPr>
            <w:tcW w:w="348" w:type="pct"/>
            <w:tcBorders>
              <w:top w:val="nil"/>
              <w:left w:val="nil"/>
              <w:bottom w:val="single" w:sz="4" w:space="0" w:color="auto"/>
              <w:right w:val="nil"/>
            </w:tcBorders>
            <w:shd w:val="clear" w:color="auto" w:fill="auto"/>
            <w:noWrap/>
            <w:vAlign w:val="bottom"/>
            <w:hideMark/>
          </w:tcPr>
          <w:p w14:paraId="7C97A8FE"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53</w:t>
            </w:r>
          </w:p>
        </w:tc>
        <w:tc>
          <w:tcPr>
            <w:tcW w:w="348" w:type="pct"/>
            <w:tcBorders>
              <w:top w:val="nil"/>
              <w:left w:val="nil"/>
              <w:bottom w:val="single" w:sz="4" w:space="0" w:color="auto"/>
              <w:right w:val="nil"/>
            </w:tcBorders>
            <w:shd w:val="clear" w:color="auto" w:fill="auto"/>
            <w:noWrap/>
            <w:vAlign w:val="bottom"/>
            <w:hideMark/>
          </w:tcPr>
          <w:p w14:paraId="613B1D0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66</w:t>
            </w:r>
          </w:p>
        </w:tc>
        <w:tc>
          <w:tcPr>
            <w:tcW w:w="348" w:type="pct"/>
            <w:tcBorders>
              <w:top w:val="nil"/>
              <w:left w:val="nil"/>
              <w:bottom w:val="single" w:sz="4" w:space="0" w:color="auto"/>
              <w:right w:val="nil"/>
            </w:tcBorders>
            <w:shd w:val="clear" w:color="auto" w:fill="auto"/>
            <w:noWrap/>
            <w:vAlign w:val="bottom"/>
            <w:hideMark/>
          </w:tcPr>
          <w:p w14:paraId="33D62A1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87</w:t>
            </w:r>
          </w:p>
        </w:tc>
      </w:tr>
      <w:tr w:rsidR="00B54F4E" w:rsidRPr="00636F6A" w14:paraId="27EA7E5E" w14:textId="77777777" w:rsidTr="006504C4">
        <w:trPr>
          <w:trHeight w:val="300"/>
        </w:trPr>
        <w:tc>
          <w:tcPr>
            <w:tcW w:w="1566" w:type="pct"/>
            <w:tcBorders>
              <w:top w:val="nil"/>
              <w:left w:val="nil"/>
              <w:bottom w:val="single" w:sz="4" w:space="0" w:color="auto"/>
              <w:right w:val="nil"/>
            </w:tcBorders>
            <w:shd w:val="clear" w:color="000000" w:fill="E7E6E6"/>
            <w:noWrap/>
            <w:vAlign w:val="bottom"/>
            <w:hideMark/>
          </w:tcPr>
          <w:p w14:paraId="1531225B"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Sector Público</w:t>
            </w:r>
          </w:p>
        </w:tc>
        <w:tc>
          <w:tcPr>
            <w:tcW w:w="348" w:type="pct"/>
            <w:tcBorders>
              <w:top w:val="nil"/>
              <w:left w:val="nil"/>
              <w:bottom w:val="single" w:sz="4" w:space="0" w:color="auto"/>
              <w:right w:val="nil"/>
            </w:tcBorders>
            <w:shd w:val="clear" w:color="000000" w:fill="E7E6E6"/>
            <w:noWrap/>
            <w:vAlign w:val="bottom"/>
            <w:hideMark/>
          </w:tcPr>
          <w:p w14:paraId="18FFB1D0"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2455273F"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71CF5594"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3A1309B9"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03" w:type="pct"/>
            <w:tcBorders>
              <w:top w:val="nil"/>
              <w:left w:val="nil"/>
              <w:bottom w:val="single" w:sz="4" w:space="0" w:color="auto"/>
              <w:right w:val="nil"/>
            </w:tcBorders>
            <w:shd w:val="clear" w:color="000000" w:fill="E7E6E6"/>
            <w:noWrap/>
            <w:vAlign w:val="bottom"/>
            <w:hideMark/>
          </w:tcPr>
          <w:p w14:paraId="0768DAE6"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5CA2511E"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5A0EC224"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033ABB8B"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7F397C83"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5B6AB68F" w14:textId="77777777" w:rsidR="00B54F4E" w:rsidRPr="00636F6A" w:rsidRDefault="00B54F4E" w:rsidP="006504C4">
            <w:pPr>
              <w:spacing w:before="0" w:after="0"/>
              <w:jc w:val="left"/>
              <w:rPr>
                <w:rFonts w:ascii="Calibri" w:hAnsi="Calibri" w:cs="Calibri"/>
                <w:color w:val="806000"/>
                <w:sz w:val="18"/>
                <w:szCs w:val="22"/>
                <w:lang w:eastAsia="es-CO"/>
              </w:rPr>
            </w:pPr>
            <w:r w:rsidRPr="00636F6A">
              <w:rPr>
                <w:rFonts w:ascii="Calibri" w:hAnsi="Calibri" w:cs="Calibri"/>
                <w:color w:val="806000"/>
                <w:sz w:val="18"/>
                <w:szCs w:val="22"/>
                <w:lang w:eastAsia="es-CO"/>
              </w:rPr>
              <w:t> </w:t>
            </w:r>
          </w:p>
        </w:tc>
      </w:tr>
      <w:tr w:rsidR="00B54F4E" w:rsidRPr="00636F6A" w14:paraId="40107BAD" w14:textId="77777777" w:rsidTr="006504C4">
        <w:trPr>
          <w:trHeight w:val="300"/>
        </w:trPr>
        <w:tc>
          <w:tcPr>
            <w:tcW w:w="1566" w:type="pct"/>
            <w:tcBorders>
              <w:top w:val="nil"/>
              <w:left w:val="nil"/>
              <w:bottom w:val="nil"/>
              <w:right w:val="nil"/>
            </w:tcBorders>
            <w:shd w:val="clear" w:color="auto" w:fill="auto"/>
            <w:noWrap/>
            <w:vAlign w:val="bottom"/>
            <w:hideMark/>
          </w:tcPr>
          <w:p w14:paraId="69FE9DA2"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Beneficios</w:t>
            </w:r>
          </w:p>
        </w:tc>
        <w:tc>
          <w:tcPr>
            <w:tcW w:w="348" w:type="pct"/>
            <w:tcBorders>
              <w:top w:val="nil"/>
              <w:left w:val="nil"/>
              <w:bottom w:val="nil"/>
              <w:right w:val="nil"/>
            </w:tcBorders>
            <w:shd w:val="clear" w:color="auto" w:fill="auto"/>
            <w:noWrap/>
            <w:vAlign w:val="bottom"/>
            <w:hideMark/>
          </w:tcPr>
          <w:p w14:paraId="67F2469C"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p>
        </w:tc>
        <w:tc>
          <w:tcPr>
            <w:tcW w:w="348" w:type="pct"/>
            <w:tcBorders>
              <w:top w:val="nil"/>
              <w:left w:val="nil"/>
              <w:bottom w:val="nil"/>
              <w:right w:val="nil"/>
            </w:tcBorders>
            <w:shd w:val="clear" w:color="auto" w:fill="auto"/>
            <w:noWrap/>
            <w:vAlign w:val="bottom"/>
            <w:hideMark/>
          </w:tcPr>
          <w:p w14:paraId="548BCB0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nil"/>
              <w:right w:val="nil"/>
            </w:tcBorders>
            <w:shd w:val="clear" w:color="auto" w:fill="auto"/>
            <w:noWrap/>
            <w:vAlign w:val="bottom"/>
            <w:hideMark/>
          </w:tcPr>
          <w:p w14:paraId="11F99FA5"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w:t>
            </w:r>
          </w:p>
        </w:tc>
        <w:tc>
          <w:tcPr>
            <w:tcW w:w="348" w:type="pct"/>
            <w:tcBorders>
              <w:top w:val="nil"/>
              <w:left w:val="nil"/>
              <w:bottom w:val="nil"/>
              <w:right w:val="nil"/>
            </w:tcBorders>
            <w:shd w:val="clear" w:color="auto" w:fill="auto"/>
            <w:noWrap/>
            <w:vAlign w:val="bottom"/>
            <w:hideMark/>
          </w:tcPr>
          <w:p w14:paraId="306E425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w:t>
            </w:r>
          </w:p>
        </w:tc>
        <w:tc>
          <w:tcPr>
            <w:tcW w:w="303" w:type="pct"/>
            <w:tcBorders>
              <w:top w:val="nil"/>
              <w:left w:val="nil"/>
              <w:bottom w:val="nil"/>
              <w:right w:val="nil"/>
            </w:tcBorders>
            <w:shd w:val="clear" w:color="auto" w:fill="auto"/>
            <w:noWrap/>
            <w:vAlign w:val="bottom"/>
            <w:hideMark/>
          </w:tcPr>
          <w:p w14:paraId="10F34BA3"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37</w:t>
            </w:r>
          </w:p>
        </w:tc>
        <w:tc>
          <w:tcPr>
            <w:tcW w:w="348" w:type="pct"/>
            <w:tcBorders>
              <w:top w:val="nil"/>
              <w:left w:val="nil"/>
              <w:bottom w:val="nil"/>
              <w:right w:val="nil"/>
            </w:tcBorders>
            <w:shd w:val="clear" w:color="auto" w:fill="auto"/>
            <w:noWrap/>
            <w:vAlign w:val="bottom"/>
            <w:hideMark/>
          </w:tcPr>
          <w:p w14:paraId="60A96BC1"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w:t>
            </w:r>
          </w:p>
        </w:tc>
        <w:tc>
          <w:tcPr>
            <w:tcW w:w="348" w:type="pct"/>
            <w:tcBorders>
              <w:top w:val="nil"/>
              <w:left w:val="nil"/>
              <w:bottom w:val="nil"/>
              <w:right w:val="nil"/>
            </w:tcBorders>
            <w:shd w:val="clear" w:color="auto" w:fill="auto"/>
            <w:noWrap/>
            <w:vAlign w:val="bottom"/>
            <w:hideMark/>
          </w:tcPr>
          <w:p w14:paraId="5E97A626"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w:t>
            </w:r>
          </w:p>
        </w:tc>
        <w:tc>
          <w:tcPr>
            <w:tcW w:w="348" w:type="pct"/>
            <w:tcBorders>
              <w:top w:val="nil"/>
              <w:left w:val="nil"/>
              <w:bottom w:val="nil"/>
              <w:right w:val="nil"/>
            </w:tcBorders>
            <w:shd w:val="clear" w:color="auto" w:fill="auto"/>
            <w:noWrap/>
            <w:vAlign w:val="bottom"/>
            <w:hideMark/>
          </w:tcPr>
          <w:p w14:paraId="7ACDF43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6</w:t>
            </w:r>
          </w:p>
        </w:tc>
        <w:tc>
          <w:tcPr>
            <w:tcW w:w="348" w:type="pct"/>
            <w:tcBorders>
              <w:top w:val="nil"/>
              <w:left w:val="nil"/>
              <w:bottom w:val="nil"/>
              <w:right w:val="nil"/>
            </w:tcBorders>
            <w:shd w:val="clear" w:color="auto" w:fill="auto"/>
            <w:noWrap/>
            <w:vAlign w:val="bottom"/>
            <w:hideMark/>
          </w:tcPr>
          <w:p w14:paraId="4A1FD2B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7</w:t>
            </w:r>
          </w:p>
        </w:tc>
        <w:tc>
          <w:tcPr>
            <w:tcW w:w="348" w:type="pct"/>
            <w:tcBorders>
              <w:top w:val="nil"/>
              <w:left w:val="nil"/>
              <w:bottom w:val="nil"/>
              <w:right w:val="nil"/>
            </w:tcBorders>
            <w:shd w:val="clear" w:color="auto" w:fill="auto"/>
            <w:noWrap/>
            <w:vAlign w:val="bottom"/>
            <w:hideMark/>
          </w:tcPr>
          <w:p w14:paraId="41E317AF"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8</w:t>
            </w:r>
          </w:p>
        </w:tc>
      </w:tr>
      <w:tr w:rsidR="00B54F4E" w:rsidRPr="00636F6A" w14:paraId="2E93814E" w14:textId="77777777" w:rsidTr="006504C4">
        <w:trPr>
          <w:trHeight w:val="300"/>
        </w:trPr>
        <w:tc>
          <w:tcPr>
            <w:tcW w:w="1566" w:type="pct"/>
            <w:tcBorders>
              <w:top w:val="nil"/>
              <w:left w:val="nil"/>
              <w:bottom w:val="single" w:sz="4" w:space="0" w:color="auto"/>
              <w:right w:val="nil"/>
            </w:tcBorders>
            <w:shd w:val="clear" w:color="auto" w:fill="auto"/>
            <w:noWrap/>
            <w:vAlign w:val="bottom"/>
            <w:hideMark/>
          </w:tcPr>
          <w:p w14:paraId="5365734A" w14:textId="77777777" w:rsidR="00B54F4E" w:rsidRPr="00636F6A" w:rsidRDefault="00B54F4E" w:rsidP="006504C4">
            <w:pPr>
              <w:spacing w:before="0" w:after="0"/>
              <w:ind w:firstLineChars="100" w:firstLine="18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Costos</w:t>
            </w:r>
          </w:p>
        </w:tc>
        <w:tc>
          <w:tcPr>
            <w:tcW w:w="348" w:type="pct"/>
            <w:tcBorders>
              <w:top w:val="nil"/>
              <w:left w:val="nil"/>
              <w:bottom w:val="single" w:sz="4" w:space="0" w:color="auto"/>
              <w:right w:val="nil"/>
            </w:tcBorders>
            <w:shd w:val="clear" w:color="auto" w:fill="auto"/>
            <w:noWrap/>
            <w:vAlign w:val="bottom"/>
            <w:hideMark/>
          </w:tcPr>
          <w:p w14:paraId="7604B6BF"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4" w:space="0" w:color="auto"/>
              <w:right w:val="nil"/>
            </w:tcBorders>
            <w:shd w:val="clear" w:color="auto" w:fill="auto"/>
            <w:noWrap/>
            <w:vAlign w:val="bottom"/>
            <w:hideMark/>
          </w:tcPr>
          <w:p w14:paraId="2DE3A790"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0</w:t>
            </w:r>
          </w:p>
        </w:tc>
        <w:tc>
          <w:tcPr>
            <w:tcW w:w="348" w:type="pct"/>
            <w:tcBorders>
              <w:top w:val="nil"/>
              <w:left w:val="nil"/>
              <w:bottom w:val="single" w:sz="4" w:space="0" w:color="auto"/>
              <w:right w:val="nil"/>
            </w:tcBorders>
            <w:shd w:val="clear" w:color="auto" w:fill="auto"/>
            <w:noWrap/>
            <w:vAlign w:val="bottom"/>
            <w:hideMark/>
          </w:tcPr>
          <w:p w14:paraId="11A001A1"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0</w:t>
            </w:r>
          </w:p>
        </w:tc>
        <w:tc>
          <w:tcPr>
            <w:tcW w:w="348" w:type="pct"/>
            <w:tcBorders>
              <w:top w:val="nil"/>
              <w:left w:val="nil"/>
              <w:bottom w:val="single" w:sz="4" w:space="0" w:color="auto"/>
              <w:right w:val="nil"/>
            </w:tcBorders>
            <w:shd w:val="clear" w:color="auto" w:fill="auto"/>
            <w:noWrap/>
            <w:vAlign w:val="bottom"/>
            <w:hideMark/>
          </w:tcPr>
          <w:p w14:paraId="426B2773"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0</w:t>
            </w:r>
          </w:p>
        </w:tc>
        <w:tc>
          <w:tcPr>
            <w:tcW w:w="303" w:type="pct"/>
            <w:tcBorders>
              <w:top w:val="nil"/>
              <w:left w:val="nil"/>
              <w:bottom w:val="single" w:sz="4" w:space="0" w:color="auto"/>
              <w:right w:val="nil"/>
            </w:tcBorders>
            <w:shd w:val="clear" w:color="auto" w:fill="auto"/>
            <w:noWrap/>
            <w:vAlign w:val="bottom"/>
            <w:hideMark/>
          </w:tcPr>
          <w:p w14:paraId="23D535D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4" w:space="0" w:color="auto"/>
              <w:right w:val="nil"/>
            </w:tcBorders>
            <w:shd w:val="clear" w:color="auto" w:fill="auto"/>
            <w:noWrap/>
            <w:vAlign w:val="bottom"/>
            <w:hideMark/>
          </w:tcPr>
          <w:p w14:paraId="457ED1B1"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4" w:space="0" w:color="auto"/>
              <w:right w:val="nil"/>
            </w:tcBorders>
            <w:shd w:val="clear" w:color="auto" w:fill="auto"/>
            <w:noWrap/>
            <w:vAlign w:val="bottom"/>
            <w:hideMark/>
          </w:tcPr>
          <w:p w14:paraId="2D3F5EA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4" w:space="0" w:color="auto"/>
              <w:right w:val="nil"/>
            </w:tcBorders>
            <w:shd w:val="clear" w:color="auto" w:fill="auto"/>
            <w:noWrap/>
            <w:vAlign w:val="bottom"/>
            <w:hideMark/>
          </w:tcPr>
          <w:p w14:paraId="731FD17C"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4" w:space="0" w:color="auto"/>
              <w:right w:val="nil"/>
            </w:tcBorders>
            <w:shd w:val="clear" w:color="auto" w:fill="auto"/>
            <w:noWrap/>
            <w:vAlign w:val="bottom"/>
            <w:hideMark/>
          </w:tcPr>
          <w:p w14:paraId="26B47C8E"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4" w:space="0" w:color="auto"/>
              <w:right w:val="nil"/>
            </w:tcBorders>
            <w:shd w:val="clear" w:color="auto" w:fill="auto"/>
            <w:noWrap/>
            <w:vAlign w:val="bottom"/>
            <w:hideMark/>
          </w:tcPr>
          <w:p w14:paraId="751B2CD3"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r>
      <w:tr w:rsidR="00B54F4E" w:rsidRPr="00636F6A" w14:paraId="09BD128B" w14:textId="77777777" w:rsidTr="006504C4">
        <w:trPr>
          <w:trHeight w:val="315"/>
        </w:trPr>
        <w:tc>
          <w:tcPr>
            <w:tcW w:w="1566" w:type="pct"/>
            <w:tcBorders>
              <w:top w:val="nil"/>
              <w:left w:val="nil"/>
              <w:bottom w:val="single" w:sz="8" w:space="0" w:color="auto"/>
              <w:right w:val="nil"/>
            </w:tcBorders>
            <w:shd w:val="clear" w:color="auto" w:fill="auto"/>
            <w:noWrap/>
            <w:vAlign w:val="bottom"/>
            <w:hideMark/>
          </w:tcPr>
          <w:p w14:paraId="6BD4617A"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Flujo Neto Sector Público ($USD Millones)</w:t>
            </w:r>
          </w:p>
        </w:tc>
        <w:tc>
          <w:tcPr>
            <w:tcW w:w="348" w:type="pct"/>
            <w:tcBorders>
              <w:top w:val="nil"/>
              <w:left w:val="nil"/>
              <w:bottom w:val="single" w:sz="8" w:space="0" w:color="auto"/>
              <w:right w:val="nil"/>
            </w:tcBorders>
            <w:shd w:val="clear" w:color="auto" w:fill="auto"/>
            <w:noWrap/>
            <w:vAlign w:val="bottom"/>
            <w:hideMark/>
          </w:tcPr>
          <w:p w14:paraId="4DAC84D9"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 </w:t>
            </w:r>
          </w:p>
        </w:tc>
        <w:tc>
          <w:tcPr>
            <w:tcW w:w="348" w:type="pct"/>
            <w:tcBorders>
              <w:top w:val="nil"/>
              <w:left w:val="nil"/>
              <w:bottom w:val="single" w:sz="8" w:space="0" w:color="auto"/>
              <w:right w:val="nil"/>
            </w:tcBorders>
            <w:shd w:val="clear" w:color="auto" w:fill="auto"/>
            <w:noWrap/>
            <w:vAlign w:val="bottom"/>
            <w:hideMark/>
          </w:tcPr>
          <w:p w14:paraId="6E7158AA"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w:t>
            </w:r>
          </w:p>
        </w:tc>
        <w:tc>
          <w:tcPr>
            <w:tcW w:w="348" w:type="pct"/>
            <w:tcBorders>
              <w:top w:val="nil"/>
              <w:left w:val="nil"/>
              <w:bottom w:val="single" w:sz="8" w:space="0" w:color="auto"/>
              <w:right w:val="nil"/>
            </w:tcBorders>
            <w:shd w:val="clear" w:color="auto" w:fill="auto"/>
            <w:noWrap/>
            <w:vAlign w:val="bottom"/>
            <w:hideMark/>
          </w:tcPr>
          <w:p w14:paraId="0D6357D0"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w:t>
            </w:r>
          </w:p>
        </w:tc>
        <w:tc>
          <w:tcPr>
            <w:tcW w:w="348" w:type="pct"/>
            <w:tcBorders>
              <w:top w:val="nil"/>
              <w:left w:val="nil"/>
              <w:bottom w:val="single" w:sz="8" w:space="0" w:color="auto"/>
              <w:right w:val="nil"/>
            </w:tcBorders>
            <w:shd w:val="clear" w:color="auto" w:fill="auto"/>
            <w:noWrap/>
            <w:vAlign w:val="bottom"/>
            <w:hideMark/>
          </w:tcPr>
          <w:p w14:paraId="372C8953"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2</w:t>
            </w:r>
          </w:p>
        </w:tc>
        <w:tc>
          <w:tcPr>
            <w:tcW w:w="303" w:type="pct"/>
            <w:tcBorders>
              <w:top w:val="nil"/>
              <w:left w:val="nil"/>
              <w:bottom w:val="single" w:sz="8" w:space="0" w:color="auto"/>
              <w:right w:val="nil"/>
            </w:tcBorders>
            <w:shd w:val="clear" w:color="auto" w:fill="auto"/>
            <w:noWrap/>
            <w:vAlign w:val="bottom"/>
            <w:hideMark/>
          </w:tcPr>
          <w:p w14:paraId="429D08EC"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36</w:t>
            </w:r>
          </w:p>
        </w:tc>
        <w:tc>
          <w:tcPr>
            <w:tcW w:w="348" w:type="pct"/>
            <w:tcBorders>
              <w:top w:val="nil"/>
              <w:left w:val="nil"/>
              <w:bottom w:val="single" w:sz="8" w:space="0" w:color="auto"/>
              <w:right w:val="nil"/>
            </w:tcBorders>
            <w:shd w:val="clear" w:color="auto" w:fill="auto"/>
            <w:noWrap/>
            <w:vAlign w:val="bottom"/>
            <w:hideMark/>
          </w:tcPr>
          <w:p w14:paraId="1D6C226C"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w:t>
            </w:r>
          </w:p>
        </w:tc>
        <w:tc>
          <w:tcPr>
            <w:tcW w:w="348" w:type="pct"/>
            <w:tcBorders>
              <w:top w:val="nil"/>
              <w:left w:val="nil"/>
              <w:bottom w:val="single" w:sz="8" w:space="0" w:color="auto"/>
              <w:right w:val="nil"/>
            </w:tcBorders>
            <w:shd w:val="clear" w:color="auto" w:fill="auto"/>
            <w:noWrap/>
            <w:vAlign w:val="bottom"/>
            <w:hideMark/>
          </w:tcPr>
          <w:p w14:paraId="58715729"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4</w:t>
            </w:r>
          </w:p>
        </w:tc>
        <w:tc>
          <w:tcPr>
            <w:tcW w:w="348" w:type="pct"/>
            <w:tcBorders>
              <w:top w:val="nil"/>
              <w:left w:val="nil"/>
              <w:bottom w:val="single" w:sz="8" w:space="0" w:color="auto"/>
              <w:right w:val="nil"/>
            </w:tcBorders>
            <w:shd w:val="clear" w:color="auto" w:fill="auto"/>
            <w:noWrap/>
            <w:vAlign w:val="bottom"/>
            <w:hideMark/>
          </w:tcPr>
          <w:p w14:paraId="0F29962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5</w:t>
            </w:r>
          </w:p>
        </w:tc>
        <w:tc>
          <w:tcPr>
            <w:tcW w:w="348" w:type="pct"/>
            <w:tcBorders>
              <w:top w:val="nil"/>
              <w:left w:val="nil"/>
              <w:bottom w:val="single" w:sz="8" w:space="0" w:color="auto"/>
              <w:right w:val="nil"/>
            </w:tcBorders>
            <w:shd w:val="clear" w:color="auto" w:fill="auto"/>
            <w:noWrap/>
            <w:vAlign w:val="bottom"/>
            <w:hideMark/>
          </w:tcPr>
          <w:p w14:paraId="4971992D"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6</w:t>
            </w:r>
          </w:p>
        </w:tc>
        <w:tc>
          <w:tcPr>
            <w:tcW w:w="348" w:type="pct"/>
            <w:tcBorders>
              <w:top w:val="nil"/>
              <w:left w:val="nil"/>
              <w:bottom w:val="single" w:sz="8" w:space="0" w:color="auto"/>
              <w:right w:val="nil"/>
            </w:tcBorders>
            <w:shd w:val="clear" w:color="auto" w:fill="auto"/>
            <w:noWrap/>
            <w:vAlign w:val="bottom"/>
            <w:hideMark/>
          </w:tcPr>
          <w:p w14:paraId="260E32BC"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7</w:t>
            </w:r>
          </w:p>
        </w:tc>
      </w:tr>
      <w:tr w:rsidR="00B54F4E" w:rsidRPr="00636F6A" w14:paraId="2835B1B0" w14:textId="77777777" w:rsidTr="006504C4">
        <w:trPr>
          <w:trHeight w:val="300"/>
        </w:trPr>
        <w:tc>
          <w:tcPr>
            <w:tcW w:w="1566" w:type="pct"/>
            <w:tcBorders>
              <w:top w:val="nil"/>
              <w:left w:val="nil"/>
              <w:bottom w:val="single" w:sz="4" w:space="0" w:color="auto"/>
              <w:right w:val="nil"/>
            </w:tcBorders>
            <w:shd w:val="clear" w:color="000000" w:fill="E7E6E6"/>
            <w:noWrap/>
            <w:vAlign w:val="bottom"/>
            <w:hideMark/>
          </w:tcPr>
          <w:p w14:paraId="357D1379"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Total Beneficios</w:t>
            </w:r>
          </w:p>
        </w:tc>
        <w:tc>
          <w:tcPr>
            <w:tcW w:w="348" w:type="pct"/>
            <w:tcBorders>
              <w:top w:val="nil"/>
              <w:left w:val="nil"/>
              <w:bottom w:val="single" w:sz="4" w:space="0" w:color="auto"/>
              <w:right w:val="nil"/>
            </w:tcBorders>
            <w:shd w:val="clear" w:color="000000" w:fill="E7E6E6"/>
            <w:noWrap/>
            <w:vAlign w:val="bottom"/>
            <w:hideMark/>
          </w:tcPr>
          <w:p w14:paraId="1A60CC8C"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 </w:t>
            </w:r>
          </w:p>
        </w:tc>
        <w:tc>
          <w:tcPr>
            <w:tcW w:w="348" w:type="pct"/>
            <w:tcBorders>
              <w:top w:val="nil"/>
              <w:left w:val="nil"/>
              <w:bottom w:val="single" w:sz="4" w:space="0" w:color="auto"/>
              <w:right w:val="nil"/>
            </w:tcBorders>
            <w:shd w:val="clear" w:color="000000" w:fill="E7E6E6"/>
            <w:noWrap/>
            <w:vAlign w:val="bottom"/>
            <w:hideMark/>
          </w:tcPr>
          <w:p w14:paraId="0E93C432"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28</w:t>
            </w:r>
          </w:p>
        </w:tc>
        <w:tc>
          <w:tcPr>
            <w:tcW w:w="348" w:type="pct"/>
            <w:tcBorders>
              <w:top w:val="nil"/>
              <w:left w:val="nil"/>
              <w:bottom w:val="single" w:sz="4" w:space="0" w:color="auto"/>
              <w:right w:val="nil"/>
            </w:tcBorders>
            <w:shd w:val="clear" w:color="000000" w:fill="E7E6E6"/>
            <w:noWrap/>
            <w:vAlign w:val="bottom"/>
            <w:hideMark/>
          </w:tcPr>
          <w:p w14:paraId="55DA6185"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50</w:t>
            </w:r>
          </w:p>
        </w:tc>
        <w:tc>
          <w:tcPr>
            <w:tcW w:w="348" w:type="pct"/>
            <w:tcBorders>
              <w:top w:val="nil"/>
              <w:left w:val="nil"/>
              <w:bottom w:val="single" w:sz="4" w:space="0" w:color="auto"/>
              <w:right w:val="nil"/>
            </w:tcBorders>
            <w:shd w:val="clear" w:color="000000" w:fill="E7E6E6"/>
            <w:noWrap/>
            <w:vAlign w:val="bottom"/>
            <w:hideMark/>
          </w:tcPr>
          <w:p w14:paraId="35DBFD5D"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73</w:t>
            </w:r>
          </w:p>
        </w:tc>
        <w:tc>
          <w:tcPr>
            <w:tcW w:w="303" w:type="pct"/>
            <w:tcBorders>
              <w:top w:val="nil"/>
              <w:left w:val="nil"/>
              <w:bottom w:val="single" w:sz="4" w:space="0" w:color="auto"/>
              <w:right w:val="nil"/>
            </w:tcBorders>
            <w:shd w:val="clear" w:color="000000" w:fill="E7E6E6"/>
            <w:noWrap/>
            <w:vAlign w:val="bottom"/>
            <w:hideMark/>
          </w:tcPr>
          <w:p w14:paraId="5393AEA7"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933</w:t>
            </w:r>
          </w:p>
        </w:tc>
        <w:tc>
          <w:tcPr>
            <w:tcW w:w="348" w:type="pct"/>
            <w:tcBorders>
              <w:top w:val="nil"/>
              <w:left w:val="nil"/>
              <w:bottom w:val="single" w:sz="4" w:space="0" w:color="auto"/>
              <w:right w:val="nil"/>
            </w:tcBorders>
            <w:shd w:val="clear" w:color="000000" w:fill="E7E6E6"/>
            <w:noWrap/>
            <w:vAlign w:val="bottom"/>
            <w:hideMark/>
          </w:tcPr>
          <w:p w14:paraId="63A01CA6"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124</w:t>
            </w:r>
          </w:p>
        </w:tc>
        <w:tc>
          <w:tcPr>
            <w:tcW w:w="348" w:type="pct"/>
            <w:tcBorders>
              <w:top w:val="nil"/>
              <w:left w:val="nil"/>
              <w:bottom w:val="single" w:sz="4" w:space="0" w:color="auto"/>
              <w:right w:val="nil"/>
            </w:tcBorders>
            <w:shd w:val="clear" w:color="000000" w:fill="E7E6E6"/>
            <w:noWrap/>
            <w:vAlign w:val="bottom"/>
            <w:hideMark/>
          </w:tcPr>
          <w:p w14:paraId="1078004C"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149</w:t>
            </w:r>
          </w:p>
        </w:tc>
        <w:tc>
          <w:tcPr>
            <w:tcW w:w="348" w:type="pct"/>
            <w:tcBorders>
              <w:top w:val="nil"/>
              <w:left w:val="nil"/>
              <w:bottom w:val="single" w:sz="4" w:space="0" w:color="auto"/>
              <w:right w:val="nil"/>
            </w:tcBorders>
            <w:shd w:val="clear" w:color="000000" w:fill="E7E6E6"/>
            <w:noWrap/>
            <w:vAlign w:val="bottom"/>
            <w:hideMark/>
          </w:tcPr>
          <w:p w14:paraId="66B01DFA"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173</w:t>
            </w:r>
          </w:p>
        </w:tc>
        <w:tc>
          <w:tcPr>
            <w:tcW w:w="348" w:type="pct"/>
            <w:tcBorders>
              <w:top w:val="nil"/>
              <w:left w:val="nil"/>
              <w:bottom w:val="single" w:sz="4" w:space="0" w:color="auto"/>
              <w:right w:val="nil"/>
            </w:tcBorders>
            <w:shd w:val="clear" w:color="000000" w:fill="E7E6E6"/>
            <w:noWrap/>
            <w:vAlign w:val="bottom"/>
            <w:hideMark/>
          </w:tcPr>
          <w:p w14:paraId="0D7AECC5"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198</w:t>
            </w:r>
          </w:p>
        </w:tc>
        <w:tc>
          <w:tcPr>
            <w:tcW w:w="348" w:type="pct"/>
            <w:tcBorders>
              <w:top w:val="nil"/>
              <w:left w:val="nil"/>
              <w:bottom w:val="single" w:sz="4" w:space="0" w:color="auto"/>
              <w:right w:val="nil"/>
            </w:tcBorders>
            <w:shd w:val="clear" w:color="000000" w:fill="E7E6E6"/>
            <w:noWrap/>
            <w:vAlign w:val="bottom"/>
            <w:hideMark/>
          </w:tcPr>
          <w:p w14:paraId="3FD9F917"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231</w:t>
            </w:r>
          </w:p>
        </w:tc>
      </w:tr>
      <w:tr w:rsidR="00B54F4E" w:rsidRPr="00636F6A" w14:paraId="327B5680" w14:textId="77777777" w:rsidTr="006504C4">
        <w:trPr>
          <w:trHeight w:val="300"/>
        </w:trPr>
        <w:tc>
          <w:tcPr>
            <w:tcW w:w="1566" w:type="pct"/>
            <w:tcBorders>
              <w:top w:val="nil"/>
              <w:left w:val="nil"/>
              <w:bottom w:val="nil"/>
              <w:right w:val="nil"/>
            </w:tcBorders>
            <w:shd w:val="clear" w:color="000000" w:fill="E7E6E6"/>
            <w:noWrap/>
            <w:vAlign w:val="bottom"/>
            <w:hideMark/>
          </w:tcPr>
          <w:p w14:paraId="2EEE679C"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Total Costos</w:t>
            </w:r>
          </w:p>
        </w:tc>
        <w:tc>
          <w:tcPr>
            <w:tcW w:w="348" w:type="pct"/>
            <w:tcBorders>
              <w:top w:val="nil"/>
              <w:left w:val="nil"/>
              <w:bottom w:val="nil"/>
              <w:right w:val="nil"/>
            </w:tcBorders>
            <w:shd w:val="clear" w:color="000000" w:fill="E7E6E6"/>
            <w:noWrap/>
            <w:vAlign w:val="bottom"/>
            <w:hideMark/>
          </w:tcPr>
          <w:p w14:paraId="0B0987C5"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 </w:t>
            </w:r>
          </w:p>
        </w:tc>
        <w:tc>
          <w:tcPr>
            <w:tcW w:w="348" w:type="pct"/>
            <w:tcBorders>
              <w:top w:val="nil"/>
              <w:left w:val="nil"/>
              <w:bottom w:val="nil"/>
              <w:right w:val="nil"/>
            </w:tcBorders>
            <w:shd w:val="clear" w:color="000000" w:fill="E7E6E6"/>
            <w:noWrap/>
            <w:vAlign w:val="bottom"/>
            <w:hideMark/>
          </w:tcPr>
          <w:p w14:paraId="07AA379C"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42</w:t>
            </w:r>
          </w:p>
        </w:tc>
        <w:tc>
          <w:tcPr>
            <w:tcW w:w="348" w:type="pct"/>
            <w:tcBorders>
              <w:top w:val="nil"/>
              <w:left w:val="nil"/>
              <w:bottom w:val="nil"/>
              <w:right w:val="nil"/>
            </w:tcBorders>
            <w:shd w:val="clear" w:color="000000" w:fill="E7E6E6"/>
            <w:noWrap/>
            <w:vAlign w:val="bottom"/>
            <w:hideMark/>
          </w:tcPr>
          <w:p w14:paraId="28240123"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42</w:t>
            </w:r>
          </w:p>
        </w:tc>
        <w:tc>
          <w:tcPr>
            <w:tcW w:w="348" w:type="pct"/>
            <w:tcBorders>
              <w:top w:val="nil"/>
              <w:left w:val="nil"/>
              <w:bottom w:val="nil"/>
              <w:right w:val="nil"/>
            </w:tcBorders>
            <w:shd w:val="clear" w:color="000000" w:fill="E7E6E6"/>
            <w:noWrap/>
            <w:vAlign w:val="bottom"/>
            <w:hideMark/>
          </w:tcPr>
          <w:p w14:paraId="084C6EAA"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42</w:t>
            </w:r>
          </w:p>
        </w:tc>
        <w:tc>
          <w:tcPr>
            <w:tcW w:w="303" w:type="pct"/>
            <w:tcBorders>
              <w:top w:val="nil"/>
              <w:left w:val="nil"/>
              <w:bottom w:val="nil"/>
              <w:right w:val="nil"/>
            </w:tcBorders>
            <w:shd w:val="clear" w:color="000000" w:fill="E7E6E6"/>
            <w:noWrap/>
            <w:vAlign w:val="bottom"/>
            <w:hideMark/>
          </w:tcPr>
          <w:p w14:paraId="773E2627"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70</w:t>
            </w:r>
          </w:p>
        </w:tc>
        <w:tc>
          <w:tcPr>
            <w:tcW w:w="348" w:type="pct"/>
            <w:tcBorders>
              <w:top w:val="nil"/>
              <w:left w:val="nil"/>
              <w:bottom w:val="nil"/>
              <w:right w:val="nil"/>
            </w:tcBorders>
            <w:shd w:val="clear" w:color="000000" w:fill="E7E6E6"/>
            <w:noWrap/>
            <w:vAlign w:val="bottom"/>
            <w:hideMark/>
          </w:tcPr>
          <w:p w14:paraId="264AA16D"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68</w:t>
            </w:r>
          </w:p>
        </w:tc>
        <w:tc>
          <w:tcPr>
            <w:tcW w:w="348" w:type="pct"/>
            <w:tcBorders>
              <w:top w:val="nil"/>
              <w:left w:val="nil"/>
              <w:bottom w:val="nil"/>
              <w:right w:val="nil"/>
            </w:tcBorders>
            <w:shd w:val="clear" w:color="000000" w:fill="E7E6E6"/>
            <w:noWrap/>
            <w:vAlign w:val="bottom"/>
            <w:hideMark/>
          </w:tcPr>
          <w:p w14:paraId="181FA4CC"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68</w:t>
            </w:r>
          </w:p>
        </w:tc>
        <w:tc>
          <w:tcPr>
            <w:tcW w:w="348" w:type="pct"/>
            <w:tcBorders>
              <w:top w:val="nil"/>
              <w:left w:val="nil"/>
              <w:bottom w:val="nil"/>
              <w:right w:val="nil"/>
            </w:tcBorders>
            <w:shd w:val="clear" w:color="000000" w:fill="E7E6E6"/>
            <w:noWrap/>
            <w:vAlign w:val="bottom"/>
            <w:hideMark/>
          </w:tcPr>
          <w:p w14:paraId="1101E38E"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68</w:t>
            </w:r>
          </w:p>
        </w:tc>
        <w:tc>
          <w:tcPr>
            <w:tcW w:w="348" w:type="pct"/>
            <w:tcBorders>
              <w:top w:val="nil"/>
              <w:left w:val="nil"/>
              <w:bottom w:val="nil"/>
              <w:right w:val="nil"/>
            </w:tcBorders>
            <w:shd w:val="clear" w:color="000000" w:fill="E7E6E6"/>
            <w:noWrap/>
            <w:vAlign w:val="bottom"/>
            <w:hideMark/>
          </w:tcPr>
          <w:p w14:paraId="10836FF8"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68</w:t>
            </w:r>
          </w:p>
        </w:tc>
        <w:tc>
          <w:tcPr>
            <w:tcW w:w="348" w:type="pct"/>
            <w:tcBorders>
              <w:top w:val="nil"/>
              <w:left w:val="nil"/>
              <w:bottom w:val="nil"/>
              <w:right w:val="nil"/>
            </w:tcBorders>
            <w:shd w:val="clear" w:color="000000" w:fill="E7E6E6"/>
            <w:noWrap/>
            <w:vAlign w:val="bottom"/>
            <w:hideMark/>
          </w:tcPr>
          <w:p w14:paraId="1D6B251C"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68</w:t>
            </w:r>
          </w:p>
        </w:tc>
      </w:tr>
      <w:tr w:rsidR="00B54F4E" w:rsidRPr="00636F6A" w14:paraId="7F406E46" w14:textId="77777777" w:rsidTr="006504C4">
        <w:trPr>
          <w:trHeight w:val="315"/>
        </w:trPr>
        <w:tc>
          <w:tcPr>
            <w:tcW w:w="1566" w:type="pct"/>
            <w:tcBorders>
              <w:top w:val="single" w:sz="4" w:space="0" w:color="auto"/>
              <w:left w:val="nil"/>
              <w:bottom w:val="single" w:sz="8" w:space="0" w:color="auto"/>
              <w:right w:val="nil"/>
            </w:tcBorders>
            <w:shd w:val="clear" w:color="000000" w:fill="E7E6E6"/>
            <w:noWrap/>
            <w:vAlign w:val="bottom"/>
            <w:hideMark/>
          </w:tcPr>
          <w:p w14:paraId="40B2303C"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Flujo Neto Agregado ($USD Millones)</w:t>
            </w:r>
          </w:p>
        </w:tc>
        <w:tc>
          <w:tcPr>
            <w:tcW w:w="348" w:type="pct"/>
            <w:tcBorders>
              <w:top w:val="single" w:sz="4" w:space="0" w:color="auto"/>
              <w:left w:val="nil"/>
              <w:bottom w:val="single" w:sz="8" w:space="0" w:color="auto"/>
              <w:right w:val="nil"/>
            </w:tcBorders>
            <w:shd w:val="clear" w:color="000000" w:fill="E7E6E6"/>
            <w:noWrap/>
            <w:vAlign w:val="bottom"/>
            <w:hideMark/>
          </w:tcPr>
          <w:p w14:paraId="0EF14F6F" w14:textId="77777777" w:rsidR="00B54F4E" w:rsidRPr="00636F6A" w:rsidRDefault="00B54F4E" w:rsidP="006504C4">
            <w:pPr>
              <w:spacing w:before="0" w:after="0"/>
              <w:jc w:val="lef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 </w:t>
            </w:r>
          </w:p>
        </w:tc>
        <w:tc>
          <w:tcPr>
            <w:tcW w:w="348" w:type="pct"/>
            <w:tcBorders>
              <w:top w:val="single" w:sz="4" w:space="0" w:color="auto"/>
              <w:left w:val="nil"/>
              <w:bottom w:val="single" w:sz="8" w:space="0" w:color="auto"/>
              <w:right w:val="nil"/>
            </w:tcBorders>
            <w:shd w:val="clear" w:color="000000" w:fill="E7E6E6"/>
            <w:noWrap/>
            <w:vAlign w:val="bottom"/>
            <w:hideMark/>
          </w:tcPr>
          <w:p w14:paraId="5A80FC6F"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-14</w:t>
            </w:r>
          </w:p>
        </w:tc>
        <w:tc>
          <w:tcPr>
            <w:tcW w:w="348" w:type="pct"/>
            <w:tcBorders>
              <w:top w:val="single" w:sz="4" w:space="0" w:color="auto"/>
              <w:left w:val="nil"/>
              <w:bottom w:val="single" w:sz="8" w:space="0" w:color="auto"/>
              <w:right w:val="nil"/>
            </w:tcBorders>
            <w:shd w:val="clear" w:color="000000" w:fill="E7E6E6"/>
            <w:noWrap/>
            <w:vAlign w:val="bottom"/>
            <w:hideMark/>
          </w:tcPr>
          <w:p w14:paraId="2161277C"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8</w:t>
            </w:r>
          </w:p>
        </w:tc>
        <w:tc>
          <w:tcPr>
            <w:tcW w:w="348" w:type="pct"/>
            <w:tcBorders>
              <w:top w:val="single" w:sz="4" w:space="0" w:color="auto"/>
              <w:left w:val="nil"/>
              <w:bottom w:val="single" w:sz="8" w:space="0" w:color="auto"/>
              <w:right w:val="nil"/>
            </w:tcBorders>
            <w:shd w:val="clear" w:color="000000" w:fill="E7E6E6"/>
            <w:noWrap/>
            <w:vAlign w:val="bottom"/>
            <w:hideMark/>
          </w:tcPr>
          <w:p w14:paraId="27348EE0"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31</w:t>
            </w:r>
          </w:p>
        </w:tc>
        <w:tc>
          <w:tcPr>
            <w:tcW w:w="303" w:type="pct"/>
            <w:tcBorders>
              <w:top w:val="single" w:sz="4" w:space="0" w:color="auto"/>
              <w:left w:val="nil"/>
              <w:bottom w:val="single" w:sz="8" w:space="0" w:color="auto"/>
              <w:right w:val="nil"/>
            </w:tcBorders>
            <w:shd w:val="clear" w:color="000000" w:fill="E7E6E6"/>
            <w:noWrap/>
            <w:vAlign w:val="bottom"/>
            <w:hideMark/>
          </w:tcPr>
          <w:p w14:paraId="2659DE26"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863</w:t>
            </w:r>
          </w:p>
        </w:tc>
        <w:tc>
          <w:tcPr>
            <w:tcW w:w="348" w:type="pct"/>
            <w:tcBorders>
              <w:top w:val="single" w:sz="4" w:space="0" w:color="auto"/>
              <w:left w:val="nil"/>
              <w:bottom w:val="single" w:sz="8" w:space="0" w:color="auto"/>
              <w:right w:val="nil"/>
            </w:tcBorders>
            <w:shd w:val="clear" w:color="000000" w:fill="E7E6E6"/>
            <w:noWrap/>
            <w:vAlign w:val="bottom"/>
            <w:hideMark/>
          </w:tcPr>
          <w:p w14:paraId="60AC292D"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57</w:t>
            </w:r>
          </w:p>
        </w:tc>
        <w:tc>
          <w:tcPr>
            <w:tcW w:w="348" w:type="pct"/>
            <w:tcBorders>
              <w:top w:val="single" w:sz="4" w:space="0" w:color="auto"/>
              <w:left w:val="nil"/>
              <w:bottom w:val="single" w:sz="8" w:space="0" w:color="auto"/>
              <w:right w:val="nil"/>
            </w:tcBorders>
            <w:shd w:val="clear" w:color="000000" w:fill="E7E6E6"/>
            <w:noWrap/>
            <w:vAlign w:val="bottom"/>
            <w:hideMark/>
          </w:tcPr>
          <w:p w14:paraId="47B4873A"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81</w:t>
            </w:r>
          </w:p>
        </w:tc>
        <w:tc>
          <w:tcPr>
            <w:tcW w:w="348" w:type="pct"/>
            <w:tcBorders>
              <w:top w:val="single" w:sz="4" w:space="0" w:color="auto"/>
              <w:left w:val="nil"/>
              <w:bottom w:val="single" w:sz="8" w:space="0" w:color="auto"/>
              <w:right w:val="nil"/>
            </w:tcBorders>
            <w:shd w:val="clear" w:color="000000" w:fill="E7E6E6"/>
            <w:noWrap/>
            <w:vAlign w:val="bottom"/>
            <w:hideMark/>
          </w:tcPr>
          <w:p w14:paraId="73B49AC7"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106</w:t>
            </w:r>
          </w:p>
        </w:tc>
        <w:tc>
          <w:tcPr>
            <w:tcW w:w="348" w:type="pct"/>
            <w:tcBorders>
              <w:top w:val="single" w:sz="4" w:space="0" w:color="auto"/>
              <w:left w:val="nil"/>
              <w:bottom w:val="single" w:sz="8" w:space="0" w:color="auto"/>
              <w:right w:val="nil"/>
            </w:tcBorders>
            <w:shd w:val="clear" w:color="000000" w:fill="E7E6E6"/>
            <w:noWrap/>
            <w:vAlign w:val="bottom"/>
            <w:hideMark/>
          </w:tcPr>
          <w:p w14:paraId="72A2B4E8"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130</w:t>
            </w:r>
          </w:p>
        </w:tc>
        <w:tc>
          <w:tcPr>
            <w:tcW w:w="348" w:type="pct"/>
            <w:tcBorders>
              <w:top w:val="single" w:sz="4" w:space="0" w:color="auto"/>
              <w:left w:val="nil"/>
              <w:bottom w:val="single" w:sz="8" w:space="0" w:color="auto"/>
              <w:right w:val="nil"/>
            </w:tcBorders>
            <w:shd w:val="clear" w:color="000000" w:fill="E7E6E6"/>
            <w:noWrap/>
            <w:vAlign w:val="bottom"/>
            <w:hideMark/>
          </w:tcPr>
          <w:p w14:paraId="670328C8" w14:textId="77777777" w:rsidR="00B54F4E" w:rsidRPr="00636F6A" w:rsidRDefault="00B54F4E" w:rsidP="006504C4">
            <w:pPr>
              <w:spacing w:before="0" w:after="0"/>
              <w:jc w:val="right"/>
              <w:rPr>
                <w:rFonts w:ascii="Calibri" w:hAnsi="Calibri" w:cs="Calibri"/>
                <w:b/>
                <w:bCs/>
                <w:color w:val="000000"/>
                <w:sz w:val="18"/>
                <w:szCs w:val="22"/>
                <w:lang w:eastAsia="es-CO"/>
              </w:rPr>
            </w:pPr>
            <w:r w:rsidRPr="00636F6A">
              <w:rPr>
                <w:rFonts w:ascii="Calibri" w:hAnsi="Calibri" w:cs="Calibri"/>
                <w:b/>
                <w:bCs/>
                <w:color w:val="000000"/>
                <w:sz w:val="18"/>
                <w:szCs w:val="22"/>
                <w:lang w:eastAsia="es-CO"/>
              </w:rPr>
              <w:t>163</w:t>
            </w:r>
          </w:p>
        </w:tc>
      </w:tr>
    </w:tbl>
    <w:p w14:paraId="65D369AA" w14:textId="77777777" w:rsidR="00B54F4E" w:rsidRDefault="00B54F4E" w:rsidP="00B54F4E">
      <w:pPr>
        <w:spacing w:after="0"/>
      </w:pPr>
    </w:p>
    <w:tbl>
      <w:tblPr>
        <w:tblW w:w="5918" w:type="dxa"/>
        <w:tblCellMar>
          <w:left w:w="70" w:type="dxa"/>
          <w:right w:w="70" w:type="dxa"/>
        </w:tblCellMar>
        <w:tblLook w:val="04A0" w:firstRow="1" w:lastRow="0" w:firstColumn="1" w:lastColumn="0" w:noHBand="0" w:noVBand="1"/>
      </w:tblPr>
      <w:tblGrid>
        <w:gridCol w:w="3264"/>
        <w:gridCol w:w="1224"/>
        <w:gridCol w:w="715"/>
        <w:gridCol w:w="715"/>
      </w:tblGrid>
      <w:tr w:rsidR="00B54F4E" w:rsidRPr="00636F6A" w14:paraId="71D2B9F1" w14:textId="77777777" w:rsidTr="006504C4">
        <w:trPr>
          <w:trHeight w:val="261"/>
        </w:trPr>
        <w:tc>
          <w:tcPr>
            <w:tcW w:w="3264" w:type="dxa"/>
            <w:tcBorders>
              <w:top w:val="nil"/>
              <w:left w:val="nil"/>
              <w:bottom w:val="nil"/>
              <w:right w:val="nil"/>
            </w:tcBorders>
            <w:shd w:val="clear" w:color="auto" w:fill="auto"/>
            <w:noWrap/>
            <w:vAlign w:val="bottom"/>
            <w:hideMark/>
          </w:tcPr>
          <w:p w14:paraId="7A8990DF" w14:textId="77777777" w:rsidR="00B54F4E" w:rsidRPr="00636F6A" w:rsidRDefault="00B54F4E" w:rsidP="006504C4">
            <w:pPr>
              <w:spacing w:before="0" w:after="0"/>
              <w:jc w:val="left"/>
              <w:rPr>
                <w:rFonts w:ascii="Times New Roman" w:hAnsi="Times New Roman"/>
                <w:sz w:val="18"/>
                <w:szCs w:val="24"/>
                <w:lang w:eastAsia="es-CO"/>
              </w:rPr>
            </w:pPr>
          </w:p>
        </w:tc>
        <w:tc>
          <w:tcPr>
            <w:tcW w:w="1224" w:type="dxa"/>
            <w:tcBorders>
              <w:top w:val="single" w:sz="4" w:space="0" w:color="FFFFFF"/>
              <w:left w:val="nil"/>
              <w:bottom w:val="single" w:sz="4" w:space="0" w:color="auto"/>
              <w:right w:val="single" w:sz="4" w:space="0" w:color="FFFFFF"/>
            </w:tcBorders>
            <w:shd w:val="clear" w:color="000000" w:fill="203764"/>
            <w:noWrap/>
            <w:vAlign w:val="bottom"/>
            <w:hideMark/>
          </w:tcPr>
          <w:p w14:paraId="0A87AD5B" w14:textId="77777777" w:rsidR="00B54F4E" w:rsidRPr="00636F6A" w:rsidRDefault="00B54F4E" w:rsidP="006504C4">
            <w:pPr>
              <w:spacing w:before="0" w:after="0"/>
              <w:jc w:val="center"/>
              <w:rPr>
                <w:rFonts w:ascii="Calibri" w:hAnsi="Calibri" w:cs="Calibri"/>
                <w:color w:val="FFFFFF"/>
                <w:sz w:val="18"/>
                <w:szCs w:val="22"/>
                <w:lang w:eastAsia="es-CO"/>
              </w:rPr>
            </w:pPr>
            <w:r w:rsidRPr="00636F6A">
              <w:rPr>
                <w:rFonts w:ascii="Calibri" w:hAnsi="Calibri" w:cs="Calibri"/>
                <w:color w:val="FFFFFF"/>
                <w:sz w:val="18"/>
                <w:szCs w:val="22"/>
                <w:lang w:eastAsia="es-CO"/>
              </w:rPr>
              <w:t>Beneficios</w:t>
            </w:r>
          </w:p>
        </w:tc>
        <w:tc>
          <w:tcPr>
            <w:tcW w:w="715" w:type="dxa"/>
            <w:tcBorders>
              <w:top w:val="single" w:sz="4" w:space="0" w:color="FFFFFF"/>
              <w:left w:val="nil"/>
              <w:bottom w:val="single" w:sz="4" w:space="0" w:color="auto"/>
              <w:right w:val="single" w:sz="4" w:space="0" w:color="FFFFFF"/>
            </w:tcBorders>
            <w:shd w:val="clear" w:color="000000" w:fill="203764"/>
            <w:noWrap/>
            <w:vAlign w:val="bottom"/>
            <w:hideMark/>
          </w:tcPr>
          <w:p w14:paraId="121236BB" w14:textId="77777777" w:rsidR="00B54F4E" w:rsidRPr="00636F6A" w:rsidRDefault="00B54F4E" w:rsidP="006504C4">
            <w:pPr>
              <w:spacing w:before="0" w:after="0"/>
              <w:jc w:val="center"/>
              <w:rPr>
                <w:rFonts w:ascii="Calibri" w:hAnsi="Calibri" w:cs="Calibri"/>
                <w:color w:val="FFFFFF"/>
                <w:sz w:val="18"/>
                <w:szCs w:val="22"/>
                <w:lang w:eastAsia="es-CO"/>
              </w:rPr>
            </w:pPr>
            <w:r w:rsidRPr="00636F6A">
              <w:rPr>
                <w:rFonts w:ascii="Calibri" w:hAnsi="Calibri" w:cs="Calibri"/>
                <w:color w:val="FFFFFF"/>
                <w:sz w:val="18"/>
                <w:szCs w:val="22"/>
                <w:lang w:eastAsia="es-CO"/>
              </w:rPr>
              <w:t>Costos</w:t>
            </w:r>
          </w:p>
        </w:tc>
        <w:tc>
          <w:tcPr>
            <w:tcW w:w="715" w:type="dxa"/>
            <w:tcBorders>
              <w:top w:val="single" w:sz="4" w:space="0" w:color="FFFFFF"/>
              <w:left w:val="nil"/>
              <w:bottom w:val="single" w:sz="4" w:space="0" w:color="auto"/>
              <w:right w:val="single" w:sz="4" w:space="0" w:color="FFFFFF"/>
            </w:tcBorders>
            <w:shd w:val="clear" w:color="000000" w:fill="203764"/>
            <w:noWrap/>
            <w:vAlign w:val="bottom"/>
            <w:hideMark/>
          </w:tcPr>
          <w:p w14:paraId="5FCA6006" w14:textId="77777777" w:rsidR="00B54F4E" w:rsidRPr="00636F6A" w:rsidRDefault="00B54F4E" w:rsidP="006504C4">
            <w:pPr>
              <w:spacing w:before="0" w:after="0"/>
              <w:jc w:val="center"/>
              <w:rPr>
                <w:rFonts w:ascii="Calibri" w:hAnsi="Calibri" w:cs="Calibri"/>
                <w:color w:val="FFFFFF"/>
                <w:sz w:val="18"/>
                <w:szCs w:val="22"/>
                <w:lang w:eastAsia="es-CO"/>
              </w:rPr>
            </w:pPr>
            <w:r w:rsidRPr="00636F6A">
              <w:rPr>
                <w:rFonts w:ascii="Calibri" w:hAnsi="Calibri" w:cs="Calibri"/>
                <w:color w:val="FFFFFF"/>
                <w:sz w:val="18"/>
                <w:szCs w:val="22"/>
                <w:lang w:eastAsia="es-CO"/>
              </w:rPr>
              <w:t>Neto</w:t>
            </w:r>
          </w:p>
        </w:tc>
      </w:tr>
      <w:tr w:rsidR="00B54F4E" w:rsidRPr="00636F6A" w14:paraId="4D7A3343" w14:textId="77777777" w:rsidTr="006504C4">
        <w:trPr>
          <w:trHeight w:val="261"/>
        </w:trPr>
        <w:tc>
          <w:tcPr>
            <w:tcW w:w="3264" w:type="dxa"/>
            <w:tcBorders>
              <w:top w:val="single" w:sz="4" w:space="0" w:color="auto"/>
              <w:left w:val="single" w:sz="4" w:space="0" w:color="auto"/>
              <w:bottom w:val="single" w:sz="4" w:space="0" w:color="auto"/>
              <w:right w:val="nil"/>
            </w:tcBorders>
            <w:shd w:val="clear" w:color="000000" w:fill="E2EFDA"/>
            <w:noWrap/>
            <w:vAlign w:val="bottom"/>
            <w:hideMark/>
          </w:tcPr>
          <w:p w14:paraId="3C3444BE" w14:textId="77777777" w:rsidR="00B54F4E" w:rsidRPr="00636F6A" w:rsidRDefault="00B54F4E" w:rsidP="006504C4">
            <w:pPr>
              <w:spacing w:before="0" w:after="0"/>
              <w:jc w:val="left"/>
              <w:rPr>
                <w:rFonts w:ascii="Calibri" w:hAnsi="Calibri" w:cs="Calibri"/>
                <w:color w:val="000000"/>
                <w:sz w:val="18"/>
                <w:szCs w:val="22"/>
                <w:lang w:eastAsia="es-CO"/>
              </w:rPr>
            </w:pPr>
            <w:r w:rsidRPr="00636F6A">
              <w:rPr>
                <w:rFonts w:ascii="Calibri" w:hAnsi="Calibri" w:cs="Calibri"/>
                <w:color w:val="000000"/>
                <w:sz w:val="18"/>
                <w:szCs w:val="22"/>
                <w:lang w:eastAsia="es-CO"/>
              </w:rPr>
              <w:t>VPN dic 2016 ($USD Millones)</w:t>
            </w:r>
          </w:p>
        </w:tc>
        <w:tc>
          <w:tcPr>
            <w:tcW w:w="1224" w:type="dxa"/>
            <w:tcBorders>
              <w:top w:val="single" w:sz="4" w:space="0" w:color="auto"/>
              <w:left w:val="nil"/>
              <w:bottom w:val="single" w:sz="4" w:space="0" w:color="auto"/>
              <w:right w:val="single" w:sz="4" w:space="0" w:color="auto"/>
            </w:tcBorders>
            <w:shd w:val="clear" w:color="000000" w:fill="E2EFDA"/>
            <w:noWrap/>
            <w:vAlign w:val="bottom"/>
            <w:hideMark/>
          </w:tcPr>
          <w:p w14:paraId="3C3DFFF8"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$1.485</w:t>
            </w:r>
          </w:p>
        </w:tc>
        <w:tc>
          <w:tcPr>
            <w:tcW w:w="715" w:type="dxa"/>
            <w:tcBorders>
              <w:top w:val="single" w:sz="4" w:space="0" w:color="auto"/>
              <w:left w:val="nil"/>
              <w:bottom w:val="single" w:sz="4" w:space="0" w:color="auto"/>
              <w:right w:val="single" w:sz="4" w:space="0" w:color="auto"/>
            </w:tcBorders>
            <w:shd w:val="clear" w:color="000000" w:fill="E2EFDA"/>
            <w:noWrap/>
            <w:vAlign w:val="bottom"/>
            <w:hideMark/>
          </w:tcPr>
          <w:p w14:paraId="3191A9DB"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$356</w:t>
            </w:r>
          </w:p>
        </w:tc>
        <w:tc>
          <w:tcPr>
            <w:tcW w:w="715" w:type="dxa"/>
            <w:tcBorders>
              <w:top w:val="single" w:sz="4" w:space="0" w:color="auto"/>
              <w:left w:val="nil"/>
              <w:bottom w:val="single" w:sz="4" w:space="0" w:color="auto"/>
              <w:right w:val="single" w:sz="4" w:space="0" w:color="auto"/>
            </w:tcBorders>
            <w:shd w:val="clear" w:color="000000" w:fill="E2EFDA"/>
            <w:noWrap/>
            <w:vAlign w:val="bottom"/>
            <w:hideMark/>
          </w:tcPr>
          <w:p w14:paraId="3C2E0B74" w14:textId="77777777" w:rsidR="00B54F4E" w:rsidRPr="00636F6A" w:rsidRDefault="00B54F4E" w:rsidP="006504C4">
            <w:pPr>
              <w:spacing w:before="0" w:after="0"/>
              <w:jc w:val="right"/>
              <w:rPr>
                <w:rFonts w:ascii="Calibri" w:hAnsi="Calibri" w:cs="Calibri"/>
                <w:color w:val="000000"/>
                <w:sz w:val="18"/>
                <w:szCs w:val="22"/>
                <w:lang w:eastAsia="es-CO"/>
              </w:rPr>
            </w:pPr>
            <w:r w:rsidRPr="00636F6A">
              <w:rPr>
                <w:rFonts w:ascii="Calibri" w:hAnsi="Calibri" w:cs="Calibri"/>
                <w:color w:val="000000"/>
                <w:sz w:val="18"/>
                <w:szCs w:val="22"/>
                <w:lang w:eastAsia="es-CO"/>
              </w:rPr>
              <w:t>$1.129</w:t>
            </w:r>
          </w:p>
        </w:tc>
      </w:tr>
      <w:tr w:rsidR="00B54F4E" w:rsidRPr="00636F6A" w14:paraId="64D1359E" w14:textId="77777777" w:rsidTr="006504C4">
        <w:trPr>
          <w:trHeight w:val="261"/>
        </w:trPr>
        <w:tc>
          <w:tcPr>
            <w:tcW w:w="3264" w:type="dxa"/>
            <w:tcBorders>
              <w:top w:val="single" w:sz="4" w:space="0" w:color="auto"/>
              <w:left w:val="single" w:sz="4" w:space="0" w:color="auto"/>
              <w:bottom w:val="single" w:sz="4" w:space="0" w:color="auto"/>
              <w:right w:val="single" w:sz="4" w:space="0" w:color="auto"/>
            </w:tcBorders>
            <w:shd w:val="clear" w:color="000000" w:fill="E2EFDA"/>
            <w:noWrap/>
            <w:vAlign w:val="bottom"/>
          </w:tcPr>
          <w:p w14:paraId="640D6E2D" w14:textId="77777777" w:rsidR="00B54F4E" w:rsidRPr="00636F6A" w:rsidRDefault="00B54F4E" w:rsidP="006504C4">
            <w:pPr>
              <w:spacing w:before="0" w:after="0"/>
              <w:jc w:val="left"/>
              <w:rPr>
                <w:rFonts w:ascii="Calibri" w:hAnsi="Calibri" w:cs="Calibri"/>
                <w:color w:val="000000"/>
                <w:sz w:val="18"/>
                <w:szCs w:val="22"/>
                <w:lang w:eastAsia="es-CO"/>
              </w:rPr>
            </w:pPr>
            <w:r>
              <w:rPr>
                <w:rFonts w:ascii="Calibri" w:hAnsi="Calibri" w:cs="Calibri"/>
                <w:color w:val="000000"/>
                <w:sz w:val="18"/>
                <w:szCs w:val="22"/>
                <w:lang w:eastAsia="es-CO"/>
              </w:rPr>
              <w:t>TIR</w:t>
            </w:r>
          </w:p>
        </w:tc>
        <w:tc>
          <w:tcPr>
            <w:tcW w:w="2654" w:type="dxa"/>
            <w:gridSpan w:val="3"/>
            <w:tcBorders>
              <w:top w:val="single" w:sz="4" w:space="0" w:color="auto"/>
              <w:left w:val="single" w:sz="4" w:space="0" w:color="auto"/>
              <w:bottom w:val="single" w:sz="4" w:space="0" w:color="auto"/>
              <w:right w:val="single" w:sz="4" w:space="0" w:color="auto"/>
            </w:tcBorders>
            <w:shd w:val="clear" w:color="000000" w:fill="E2EFDA"/>
            <w:noWrap/>
            <w:vAlign w:val="bottom"/>
          </w:tcPr>
          <w:p w14:paraId="72489035" w14:textId="77777777" w:rsidR="00B54F4E" w:rsidRPr="00636F6A" w:rsidRDefault="00B54F4E" w:rsidP="006504C4">
            <w:pPr>
              <w:spacing w:before="0" w:after="0"/>
              <w:jc w:val="right"/>
              <w:rPr>
                <w:rFonts w:ascii="Calibri" w:hAnsi="Calibri" w:cs="Calibri"/>
                <w:color w:val="000000"/>
                <w:sz w:val="18"/>
                <w:szCs w:val="22"/>
                <w:lang w:eastAsia="es-CO"/>
              </w:rPr>
            </w:pPr>
            <w:r>
              <w:rPr>
                <w:rFonts w:ascii="Calibri" w:hAnsi="Calibri" w:cs="Calibri"/>
                <w:color w:val="000000"/>
                <w:sz w:val="18"/>
                <w:szCs w:val="22"/>
                <w:lang w:eastAsia="es-CO"/>
              </w:rPr>
              <w:t>Indeterminada</w:t>
            </w:r>
          </w:p>
        </w:tc>
      </w:tr>
    </w:tbl>
    <w:p w14:paraId="4902CBAF" w14:textId="77777777" w:rsidR="00B54F4E" w:rsidRDefault="00B54F4E" w:rsidP="00B54F4E">
      <w:pPr>
        <w:jc w:val="center"/>
      </w:pPr>
      <w:r w:rsidRPr="00795F1D">
        <w:rPr>
          <w:sz w:val="18"/>
          <w:lang w:val="es-ES"/>
        </w:rPr>
        <w:t>Nota: la proyección completa de flujos fue realizada a 2030, para efecto de presentación de resultados</w:t>
      </w:r>
      <w:r>
        <w:rPr>
          <w:sz w:val="18"/>
          <w:lang w:val="es-ES"/>
        </w:rPr>
        <w:t xml:space="preserve"> en el informe escrito</w:t>
      </w:r>
      <w:r w:rsidRPr="00795F1D">
        <w:rPr>
          <w:sz w:val="18"/>
          <w:lang w:val="es-ES"/>
        </w:rPr>
        <w:t xml:space="preserve"> solo se muestran resultados a 202</w:t>
      </w:r>
      <w:r>
        <w:rPr>
          <w:sz w:val="18"/>
          <w:lang w:val="es-ES"/>
        </w:rPr>
        <w:t>5</w:t>
      </w:r>
    </w:p>
    <w:p w14:paraId="0B4CD7E3" w14:textId="77777777" w:rsidR="00B54F4E" w:rsidRPr="00DE6D7C" w:rsidRDefault="00B54F4E" w:rsidP="00B54F4E">
      <w:r>
        <w:t>De las tablas anteriores se evidencia una relación costo-beneficio positiva en todo el horizonte de proyección, indicando la conveniencia de adelantar las medidas de eficiencia energética. Debido a que</w:t>
      </w:r>
      <w:r w:rsidRPr="00F44F09">
        <w:t xml:space="preserve"> gran parte del ahorro energético está asociado con medidas arquitectónicas en nuevas edificaciones, que como se </w:t>
      </w:r>
      <w:r>
        <w:t>explicó en la sección metodológica</w:t>
      </w:r>
      <w:r w:rsidRPr="00F44F09">
        <w:t xml:space="preserve">, son alcanzables por medio de la incorporación de estándares y diseños eficientes en nuevas edificaciones que no implican un mayor costo de construcción (por ejemplo mejoras en iluminación natural), la TIR </w:t>
      </w:r>
      <w:r>
        <w:t xml:space="preserve">resulta </w:t>
      </w:r>
      <w:r w:rsidRPr="00F44F09">
        <w:t xml:space="preserve">indeterminada. </w:t>
      </w:r>
      <w:r>
        <w:t>La TIR de manera particular para algunas medidas de EE es presentada en el anexo (por ejemplo el caso de la medida de sustitución de neveras en el sector residencial, la TIR es del 47%).</w:t>
      </w:r>
    </w:p>
    <w:p w14:paraId="1E02D4BE" w14:textId="77777777" w:rsidR="00B54F4E" w:rsidRDefault="00B54F4E" w:rsidP="00B54F4E">
      <w:pPr>
        <w:pStyle w:val="Heading3"/>
        <w:spacing w:before="240" w:after="0"/>
      </w:pPr>
      <w:bookmarkStart w:id="111" w:name="_Toc476136947"/>
      <w:bookmarkStart w:id="112" w:name="_Toc484097031"/>
      <w:r w:rsidRPr="00377281">
        <w:rPr>
          <w:lang w:val="es-ES"/>
        </w:rPr>
        <w:t>Análisis</w:t>
      </w:r>
      <w:r>
        <w:t xml:space="preserve"> de sensibilidad</w:t>
      </w:r>
      <w:bookmarkEnd w:id="111"/>
      <w:bookmarkEnd w:id="112"/>
    </w:p>
    <w:p w14:paraId="6DA8361E" w14:textId="77777777" w:rsidR="00B54F4E" w:rsidRPr="008F34BF" w:rsidRDefault="00B54F4E" w:rsidP="00B54F4E">
      <w:pPr>
        <w:spacing w:before="120" w:after="0"/>
      </w:pPr>
      <w:r>
        <w:t xml:space="preserve">Los beneficios totales derivados de la implementación de medidas de eficiencia energética dependen en gran medida del valor de la tarifa que el usuario final paga. Se ha elaborado </w:t>
      </w:r>
      <w:r>
        <w:lastRenderedPageBreak/>
        <w:t>una sensibilidad a la reducción en la tarifa de los usuarios residenciales, comerciales y oficiales en el 10%, 20% y 30%, con el fin de evaluar su impacto en los beneficios por un posible menor ahorro al usuario originados en un posible menor costo del servicio (ej. Por diversificación de la matriz de generación con alternativas más económicas). Se usa la tarifa promedio de las tres distribuidoras para diciembre de 2016 como referente</w:t>
      </w:r>
      <w:r>
        <w:rPr>
          <w:rStyle w:val="FootnoteReference"/>
        </w:rPr>
        <w:footnoteReference w:id="18"/>
      </w:r>
      <w:r>
        <w:t xml:space="preserve">. Los resultados se muestran en la </w:t>
      </w:r>
      <w:r>
        <w:fldChar w:fldCharType="begin"/>
      </w:r>
      <w:r>
        <w:instrText xml:space="preserve"> REF _Ref473312060 \h </w:instrText>
      </w:r>
      <w:r>
        <w:fldChar w:fldCharType="separate"/>
      </w:r>
      <w:r w:rsidRPr="008C12BC">
        <w:rPr>
          <w:b/>
        </w:rPr>
        <w:t xml:space="preserve">Tabla </w:t>
      </w:r>
      <w:r>
        <w:rPr>
          <w:b/>
          <w:noProof/>
        </w:rPr>
        <w:t>20</w:t>
      </w:r>
      <w:r>
        <w:fldChar w:fldCharType="end"/>
      </w:r>
      <w:r>
        <w:t xml:space="preserve">. </w:t>
      </w:r>
      <w:r w:rsidRPr="00C1360C">
        <w:rPr>
          <w:color w:val="000000" w:themeColor="text1"/>
        </w:rPr>
        <w:t>Como se puede observar, aún con una reducción de la tarifa en un 30%, la relación B/C pasa de 4,18 a 3,37, manteniéndose significativamente positiva, lo que permite inferir un alto potencial de respuesta a las medidas de EE.</w:t>
      </w:r>
    </w:p>
    <w:p w14:paraId="69310678" w14:textId="77777777" w:rsidR="00B54F4E" w:rsidRPr="00B452D3" w:rsidRDefault="00B54F4E" w:rsidP="00B54F4E">
      <w:pPr>
        <w:spacing w:after="0"/>
        <w:jc w:val="center"/>
        <w:rPr>
          <w:b/>
        </w:rPr>
      </w:pPr>
      <w:bookmarkStart w:id="113" w:name="_Ref473312060"/>
      <w:bookmarkStart w:id="114" w:name="_Toc476136983"/>
      <w:bookmarkStart w:id="115" w:name="_Toc484097060"/>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20</w:t>
      </w:r>
      <w:r w:rsidRPr="008C12BC">
        <w:rPr>
          <w:b/>
        </w:rPr>
        <w:fldChar w:fldCharType="end"/>
      </w:r>
      <w:bookmarkEnd w:id="113"/>
      <w:r>
        <w:rPr>
          <w:b/>
        </w:rPr>
        <w:t xml:space="preserve"> – Sensibilidad del beneficio neto de las medidas de EE a reducción de la tarifa de electricidad</w:t>
      </w:r>
      <w:bookmarkEnd w:id="114"/>
      <w:bookmarkEnd w:id="115"/>
    </w:p>
    <w:tbl>
      <w:tblPr>
        <w:tblW w:w="9160" w:type="dxa"/>
        <w:tblInd w:w="-10" w:type="dxa"/>
        <w:tblCellMar>
          <w:left w:w="70" w:type="dxa"/>
          <w:right w:w="70" w:type="dxa"/>
        </w:tblCellMar>
        <w:tblLook w:val="04A0" w:firstRow="1" w:lastRow="0" w:firstColumn="1" w:lastColumn="0" w:noHBand="0" w:noVBand="1"/>
      </w:tblPr>
      <w:tblGrid>
        <w:gridCol w:w="2620"/>
        <w:gridCol w:w="1200"/>
        <w:gridCol w:w="1200"/>
        <w:gridCol w:w="1200"/>
        <w:gridCol w:w="1200"/>
        <w:gridCol w:w="1740"/>
      </w:tblGrid>
      <w:tr w:rsidR="00B54F4E" w:rsidRPr="00C1360C" w14:paraId="4A429407" w14:textId="77777777" w:rsidTr="006504C4">
        <w:trPr>
          <w:trHeight w:val="960"/>
        </w:trPr>
        <w:tc>
          <w:tcPr>
            <w:tcW w:w="2620" w:type="dxa"/>
            <w:tcBorders>
              <w:top w:val="single" w:sz="8" w:space="0" w:color="auto"/>
              <w:left w:val="single" w:sz="8" w:space="0" w:color="auto"/>
              <w:bottom w:val="nil"/>
              <w:right w:val="single" w:sz="8" w:space="0" w:color="auto"/>
            </w:tcBorders>
            <w:shd w:val="clear" w:color="auto" w:fill="auto"/>
            <w:noWrap/>
            <w:vAlign w:val="center"/>
            <w:hideMark/>
          </w:tcPr>
          <w:p w14:paraId="18D22740" w14:textId="77777777" w:rsidR="00B54F4E" w:rsidRPr="00C1360C" w:rsidRDefault="00B54F4E" w:rsidP="006504C4">
            <w:pPr>
              <w:spacing w:before="0" w:after="0"/>
              <w:jc w:val="left"/>
              <w:rPr>
                <w:rFonts w:ascii="Calibri" w:hAnsi="Calibri" w:cs="Calibri"/>
                <w:color w:val="000000"/>
                <w:sz w:val="18"/>
                <w:szCs w:val="18"/>
                <w:lang w:eastAsia="es-CO"/>
              </w:rPr>
            </w:pPr>
            <w:bookmarkStart w:id="116" w:name="_Toc476136948"/>
            <w:r w:rsidRPr="00C1360C">
              <w:rPr>
                <w:rFonts w:ascii="Calibri" w:hAnsi="Calibri" w:cs="Calibri"/>
                <w:color w:val="000000"/>
                <w:sz w:val="18"/>
                <w:szCs w:val="18"/>
                <w:lang w:eastAsia="es-CO"/>
              </w:rPr>
              <w:t>VPN dic 2016 ($USD Millones)</w:t>
            </w:r>
          </w:p>
        </w:tc>
        <w:tc>
          <w:tcPr>
            <w:tcW w:w="1200" w:type="dxa"/>
            <w:tcBorders>
              <w:top w:val="single" w:sz="8" w:space="0" w:color="auto"/>
              <w:left w:val="nil"/>
              <w:bottom w:val="nil"/>
              <w:right w:val="single" w:sz="8" w:space="0" w:color="auto"/>
            </w:tcBorders>
            <w:shd w:val="clear" w:color="000000" w:fill="203764"/>
            <w:noWrap/>
            <w:vAlign w:val="center"/>
            <w:hideMark/>
          </w:tcPr>
          <w:p w14:paraId="51388D2D" w14:textId="77777777" w:rsidR="00B54F4E" w:rsidRPr="00C1360C" w:rsidRDefault="00B54F4E" w:rsidP="006504C4">
            <w:pPr>
              <w:spacing w:before="0" w:after="0"/>
              <w:jc w:val="center"/>
              <w:rPr>
                <w:rFonts w:ascii="Calibri" w:hAnsi="Calibri" w:cs="Calibri"/>
                <w:color w:val="FFFFFF"/>
                <w:sz w:val="18"/>
                <w:szCs w:val="18"/>
                <w:lang w:eastAsia="es-CO"/>
              </w:rPr>
            </w:pPr>
            <w:r w:rsidRPr="00C1360C">
              <w:rPr>
                <w:rFonts w:ascii="Calibri" w:hAnsi="Calibri" w:cs="Calibri"/>
                <w:color w:val="FFFFFF"/>
                <w:sz w:val="18"/>
                <w:szCs w:val="18"/>
                <w:lang w:eastAsia="es-CO"/>
              </w:rPr>
              <w:t>Beneficios</w:t>
            </w:r>
          </w:p>
        </w:tc>
        <w:tc>
          <w:tcPr>
            <w:tcW w:w="1200" w:type="dxa"/>
            <w:tcBorders>
              <w:top w:val="single" w:sz="8" w:space="0" w:color="auto"/>
              <w:left w:val="nil"/>
              <w:bottom w:val="nil"/>
              <w:right w:val="single" w:sz="8" w:space="0" w:color="auto"/>
            </w:tcBorders>
            <w:shd w:val="clear" w:color="000000" w:fill="203764"/>
            <w:noWrap/>
            <w:vAlign w:val="center"/>
            <w:hideMark/>
          </w:tcPr>
          <w:p w14:paraId="018CE9C4" w14:textId="77777777" w:rsidR="00B54F4E" w:rsidRPr="00C1360C" w:rsidRDefault="00B54F4E" w:rsidP="006504C4">
            <w:pPr>
              <w:spacing w:before="0" w:after="0"/>
              <w:jc w:val="center"/>
              <w:rPr>
                <w:rFonts w:ascii="Calibri" w:hAnsi="Calibri" w:cs="Calibri"/>
                <w:color w:val="FFFFFF"/>
                <w:sz w:val="18"/>
                <w:szCs w:val="18"/>
                <w:lang w:eastAsia="es-CO"/>
              </w:rPr>
            </w:pPr>
            <w:r w:rsidRPr="00C1360C">
              <w:rPr>
                <w:rFonts w:ascii="Calibri" w:hAnsi="Calibri" w:cs="Calibri"/>
                <w:color w:val="FFFFFF"/>
                <w:sz w:val="18"/>
                <w:szCs w:val="18"/>
                <w:lang w:eastAsia="es-CO"/>
              </w:rPr>
              <w:t>Costos</w:t>
            </w:r>
          </w:p>
        </w:tc>
        <w:tc>
          <w:tcPr>
            <w:tcW w:w="1200" w:type="dxa"/>
            <w:tcBorders>
              <w:top w:val="single" w:sz="8" w:space="0" w:color="auto"/>
              <w:left w:val="nil"/>
              <w:bottom w:val="nil"/>
              <w:right w:val="single" w:sz="8" w:space="0" w:color="auto"/>
            </w:tcBorders>
            <w:shd w:val="clear" w:color="000000" w:fill="203764"/>
            <w:noWrap/>
            <w:vAlign w:val="center"/>
            <w:hideMark/>
          </w:tcPr>
          <w:p w14:paraId="15F0C5B1" w14:textId="77777777" w:rsidR="00B54F4E" w:rsidRPr="00C1360C" w:rsidRDefault="00B54F4E" w:rsidP="006504C4">
            <w:pPr>
              <w:spacing w:before="0" w:after="0"/>
              <w:jc w:val="center"/>
              <w:rPr>
                <w:rFonts w:ascii="Calibri" w:hAnsi="Calibri" w:cs="Calibri"/>
                <w:color w:val="FFFFFF"/>
                <w:sz w:val="18"/>
                <w:szCs w:val="18"/>
                <w:lang w:eastAsia="es-CO"/>
              </w:rPr>
            </w:pPr>
            <w:r w:rsidRPr="00C1360C">
              <w:rPr>
                <w:rFonts w:ascii="Calibri" w:hAnsi="Calibri" w:cs="Calibri"/>
                <w:color w:val="FFFFFF"/>
                <w:sz w:val="18"/>
                <w:szCs w:val="18"/>
                <w:lang w:eastAsia="es-CO"/>
              </w:rPr>
              <w:t>Neto</w:t>
            </w:r>
          </w:p>
        </w:tc>
        <w:tc>
          <w:tcPr>
            <w:tcW w:w="1200" w:type="dxa"/>
            <w:tcBorders>
              <w:top w:val="single" w:sz="8" w:space="0" w:color="auto"/>
              <w:left w:val="nil"/>
              <w:bottom w:val="nil"/>
              <w:right w:val="single" w:sz="8" w:space="0" w:color="auto"/>
            </w:tcBorders>
            <w:shd w:val="clear" w:color="000000" w:fill="203764"/>
            <w:noWrap/>
            <w:vAlign w:val="center"/>
            <w:hideMark/>
          </w:tcPr>
          <w:p w14:paraId="50DCE7B3" w14:textId="77777777" w:rsidR="00B54F4E" w:rsidRPr="00C1360C" w:rsidRDefault="00B54F4E" w:rsidP="006504C4">
            <w:pPr>
              <w:spacing w:before="0" w:after="0"/>
              <w:jc w:val="center"/>
              <w:rPr>
                <w:rFonts w:ascii="Calibri" w:hAnsi="Calibri" w:cs="Calibri"/>
                <w:color w:val="FFFFFF"/>
                <w:sz w:val="18"/>
                <w:szCs w:val="18"/>
                <w:lang w:eastAsia="es-CO"/>
              </w:rPr>
            </w:pPr>
            <w:r w:rsidRPr="00C1360C">
              <w:rPr>
                <w:rFonts w:ascii="Calibri" w:hAnsi="Calibri" w:cs="Calibri"/>
                <w:color w:val="FFFFFF"/>
                <w:sz w:val="18"/>
                <w:szCs w:val="18"/>
                <w:lang w:eastAsia="es-CO"/>
              </w:rPr>
              <w:t>Relación B/C</w:t>
            </w:r>
          </w:p>
        </w:tc>
        <w:tc>
          <w:tcPr>
            <w:tcW w:w="1740" w:type="dxa"/>
            <w:tcBorders>
              <w:top w:val="single" w:sz="8" w:space="0" w:color="auto"/>
              <w:left w:val="nil"/>
              <w:bottom w:val="nil"/>
              <w:right w:val="single" w:sz="8" w:space="0" w:color="auto"/>
            </w:tcBorders>
            <w:shd w:val="clear" w:color="000000" w:fill="203764"/>
            <w:vAlign w:val="center"/>
            <w:hideMark/>
          </w:tcPr>
          <w:p w14:paraId="45B19F8C" w14:textId="77777777" w:rsidR="00B54F4E" w:rsidRPr="00C1360C" w:rsidRDefault="00B54F4E" w:rsidP="006504C4">
            <w:pPr>
              <w:spacing w:before="0" w:after="0"/>
              <w:jc w:val="center"/>
              <w:rPr>
                <w:rFonts w:ascii="Calibri" w:hAnsi="Calibri" w:cs="Calibri"/>
                <w:color w:val="FFFFFF"/>
                <w:sz w:val="18"/>
                <w:szCs w:val="18"/>
                <w:lang w:eastAsia="es-CO"/>
              </w:rPr>
            </w:pPr>
            <w:r w:rsidRPr="00C1360C">
              <w:rPr>
                <w:rFonts w:ascii="Calibri" w:hAnsi="Calibri" w:cs="Calibri"/>
                <w:color w:val="FFFFFF"/>
                <w:sz w:val="18"/>
                <w:szCs w:val="18"/>
                <w:lang w:eastAsia="es-CO"/>
              </w:rPr>
              <w:t>Variación del beneficio neto respecto a</w:t>
            </w:r>
            <w:r>
              <w:rPr>
                <w:rFonts w:ascii="Calibri" w:hAnsi="Calibri" w:cs="Calibri"/>
                <w:color w:val="FFFFFF"/>
                <w:sz w:val="18"/>
                <w:szCs w:val="18"/>
                <w:lang w:eastAsia="es-CO"/>
              </w:rPr>
              <w:t>l</w:t>
            </w:r>
            <w:r w:rsidRPr="00C1360C">
              <w:rPr>
                <w:rFonts w:ascii="Calibri" w:hAnsi="Calibri" w:cs="Calibri"/>
                <w:color w:val="FFFFFF"/>
                <w:sz w:val="18"/>
                <w:szCs w:val="18"/>
                <w:lang w:eastAsia="es-CO"/>
              </w:rPr>
              <w:t xml:space="preserve"> caso base</w:t>
            </w:r>
          </w:p>
        </w:tc>
      </w:tr>
      <w:tr w:rsidR="00B54F4E" w:rsidRPr="00C1360C" w14:paraId="24B6C2DC" w14:textId="77777777" w:rsidTr="006504C4">
        <w:trPr>
          <w:trHeight w:val="300"/>
        </w:trPr>
        <w:tc>
          <w:tcPr>
            <w:tcW w:w="2620" w:type="dxa"/>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7735A608" w14:textId="77777777" w:rsidR="00B54F4E" w:rsidRPr="00C1360C" w:rsidRDefault="00B54F4E" w:rsidP="006504C4">
            <w:pPr>
              <w:spacing w:before="0" w:after="0"/>
              <w:jc w:val="left"/>
              <w:rPr>
                <w:rFonts w:ascii="Calibri" w:hAnsi="Calibri" w:cs="Calibri"/>
                <w:color w:val="000000"/>
                <w:sz w:val="18"/>
                <w:szCs w:val="18"/>
                <w:lang w:eastAsia="es-CO"/>
              </w:rPr>
            </w:pPr>
            <w:r w:rsidRPr="00C1360C">
              <w:rPr>
                <w:rFonts w:ascii="Calibri" w:hAnsi="Calibri" w:cs="Calibri"/>
                <w:color w:val="000000"/>
                <w:sz w:val="18"/>
                <w:szCs w:val="18"/>
                <w:lang w:eastAsia="es-CO"/>
              </w:rPr>
              <w:t>Caso base</w:t>
            </w:r>
          </w:p>
        </w:tc>
        <w:tc>
          <w:tcPr>
            <w:tcW w:w="1200" w:type="dxa"/>
            <w:tcBorders>
              <w:top w:val="single" w:sz="4" w:space="0" w:color="auto"/>
              <w:left w:val="nil"/>
              <w:bottom w:val="single" w:sz="4" w:space="0" w:color="auto"/>
              <w:right w:val="single" w:sz="4" w:space="0" w:color="auto"/>
            </w:tcBorders>
            <w:shd w:val="clear" w:color="000000" w:fill="E2EFDA"/>
            <w:noWrap/>
            <w:vAlign w:val="center"/>
            <w:hideMark/>
          </w:tcPr>
          <w:p w14:paraId="602F8AC6"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$1.485</w:t>
            </w:r>
          </w:p>
        </w:tc>
        <w:tc>
          <w:tcPr>
            <w:tcW w:w="1200" w:type="dxa"/>
            <w:tcBorders>
              <w:top w:val="single" w:sz="4" w:space="0" w:color="auto"/>
              <w:left w:val="nil"/>
              <w:bottom w:val="single" w:sz="4" w:space="0" w:color="auto"/>
              <w:right w:val="single" w:sz="4" w:space="0" w:color="auto"/>
            </w:tcBorders>
            <w:shd w:val="clear" w:color="000000" w:fill="E2EFDA"/>
            <w:noWrap/>
            <w:vAlign w:val="center"/>
            <w:hideMark/>
          </w:tcPr>
          <w:p w14:paraId="1AEBB02A"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$356</w:t>
            </w:r>
          </w:p>
        </w:tc>
        <w:tc>
          <w:tcPr>
            <w:tcW w:w="1200" w:type="dxa"/>
            <w:tcBorders>
              <w:top w:val="single" w:sz="4" w:space="0" w:color="auto"/>
              <w:left w:val="nil"/>
              <w:bottom w:val="single" w:sz="4" w:space="0" w:color="auto"/>
              <w:right w:val="single" w:sz="4" w:space="0" w:color="auto"/>
            </w:tcBorders>
            <w:shd w:val="clear" w:color="000000" w:fill="E2EFDA"/>
            <w:noWrap/>
            <w:vAlign w:val="center"/>
            <w:hideMark/>
          </w:tcPr>
          <w:p w14:paraId="5ED1F3C1"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$1.129</w:t>
            </w:r>
          </w:p>
        </w:tc>
        <w:tc>
          <w:tcPr>
            <w:tcW w:w="1200" w:type="dxa"/>
            <w:tcBorders>
              <w:top w:val="single" w:sz="4" w:space="0" w:color="auto"/>
              <w:left w:val="nil"/>
              <w:bottom w:val="single" w:sz="4" w:space="0" w:color="auto"/>
              <w:right w:val="single" w:sz="4" w:space="0" w:color="auto"/>
            </w:tcBorders>
            <w:shd w:val="clear" w:color="000000" w:fill="E2EFDA"/>
            <w:noWrap/>
            <w:vAlign w:val="center"/>
            <w:hideMark/>
          </w:tcPr>
          <w:p w14:paraId="37810B4E"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4,18</w:t>
            </w:r>
          </w:p>
        </w:tc>
        <w:tc>
          <w:tcPr>
            <w:tcW w:w="1740" w:type="dxa"/>
            <w:tcBorders>
              <w:top w:val="single" w:sz="4" w:space="0" w:color="auto"/>
              <w:left w:val="nil"/>
              <w:bottom w:val="single" w:sz="4" w:space="0" w:color="auto"/>
              <w:right w:val="single" w:sz="4" w:space="0" w:color="auto"/>
            </w:tcBorders>
            <w:shd w:val="clear" w:color="000000" w:fill="E2EFDA"/>
            <w:noWrap/>
            <w:vAlign w:val="center"/>
            <w:hideMark/>
          </w:tcPr>
          <w:p w14:paraId="6C9B8128"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0%</w:t>
            </w:r>
          </w:p>
        </w:tc>
      </w:tr>
      <w:tr w:rsidR="00B54F4E" w:rsidRPr="00C1360C" w14:paraId="677FB583" w14:textId="77777777" w:rsidTr="006504C4">
        <w:trPr>
          <w:trHeight w:val="300"/>
        </w:trPr>
        <w:tc>
          <w:tcPr>
            <w:tcW w:w="2620" w:type="dxa"/>
            <w:tcBorders>
              <w:top w:val="nil"/>
              <w:left w:val="single" w:sz="4" w:space="0" w:color="auto"/>
              <w:bottom w:val="single" w:sz="4" w:space="0" w:color="auto"/>
              <w:right w:val="single" w:sz="4" w:space="0" w:color="auto"/>
            </w:tcBorders>
            <w:shd w:val="clear" w:color="000000" w:fill="E2EFDA"/>
            <w:noWrap/>
            <w:vAlign w:val="center"/>
            <w:hideMark/>
          </w:tcPr>
          <w:p w14:paraId="125E37FC" w14:textId="77777777" w:rsidR="00B54F4E" w:rsidRPr="00C1360C" w:rsidRDefault="00B54F4E" w:rsidP="006504C4">
            <w:pPr>
              <w:spacing w:before="0" w:after="0"/>
              <w:jc w:val="left"/>
              <w:rPr>
                <w:rFonts w:ascii="Calibri" w:hAnsi="Calibri" w:cs="Calibri"/>
                <w:color w:val="000000"/>
                <w:sz w:val="18"/>
                <w:szCs w:val="18"/>
                <w:lang w:eastAsia="es-CO"/>
              </w:rPr>
            </w:pPr>
            <w:r w:rsidRPr="00C1360C">
              <w:rPr>
                <w:rFonts w:ascii="Calibri" w:hAnsi="Calibri" w:cs="Calibri"/>
                <w:color w:val="000000"/>
                <w:sz w:val="18"/>
                <w:szCs w:val="18"/>
                <w:lang w:eastAsia="es-CO"/>
              </w:rPr>
              <w:t>Tarifa - 10%</w:t>
            </w:r>
          </w:p>
        </w:tc>
        <w:tc>
          <w:tcPr>
            <w:tcW w:w="1200" w:type="dxa"/>
            <w:tcBorders>
              <w:top w:val="nil"/>
              <w:left w:val="nil"/>
              <w:bottom w:val="single" w:sz="4" w:space="0" w:color="auto"/>
              <w:right w:val="single" w:sz="4" w:space="0" w:color="auto"/>
            </w:tcBorders>
            <w:shd w:val="clear" w:color="000000" w:fill="E2EFDA"/>
            <w:noWrap/>
            <w:vAlign w:val="center"/>
            <w:hideMark/>
          </w:tcPr>
          <w:p w14:paraId="43966BA7"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$1.390</w:t>
            </w:r>
          </w:p>
        </w:tc>
        <w:tc>
          <w:tcPr>
            <w:tcW w:w="1200" w:type="dxa"/>
            <w:tcBorders>
              <w:top w:val="nil"/>
              <w:left w:val="nil"/>
              <w:bottom w:val="single" w:sz="4" w:space="0" w:color="auto"/>
              <w:right w:val="single" w:sz="4" w:space="0" w:color="auto"/>
            </w:tcBorders>
            <w:shd w:val="clear" w:color="000000" w:fill="E2EFDA"/>
            <w:noWrap/>
            <w:vAlign w:val="center"/>
            <w:hideMark/>
          </w:tcPr>
          <w:p w14:paraId="7CACCCD7"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$356</w:t>
            </w:r>
          </w:p>
        </w:tc>
        <w:tc>
          <w:tcPr>
            <w:tcW w:w="1200" w:type="dxa"/>
            <w:tcBorders>
              <w:top w:val="nil"/>
              <w:left w:val="nil"/>
              <w:bottom w:val="single" w:sz="4" w:space="0" w:color="auto"/>
              <w:right w:val="single" w:sz="4" w:space="0" w:color="auto"/>
            </w:tcBorders>
            <w:shd w:val="clear" w:color="000000" w:fill="E2EFDA"/>
            <w:noWrap/>
            <w:vAlign w:val="center"/>
            <w:hideMark/>
          </w:tcPr>
          <w:p w14:paraId="0C3B58E2"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$1.034</w:t>
            </w:r>
          </w:p>
        </w:tc>
        <w:tc>
          <w:tcPr>
            <w:tcW w:w="1200" w:type="dxa"/>
            <w:tcBorders>
              <w:top w:val="nil"/>
              <w:left w:val="nil"/>
              <w:bottom w:val="single" w:sz="4" w:space="0" w:color="auto"/>
              <w:right w:val="single" w:sz="4" w:space="0" w:color="auto"/>
            </w:tcBorders>
            <w:shd w:val="clear" w:color="000000" w:fill="E2EFDA"/>
            <w:noWrap/>
            <w:vAlign w:val="center"/>
            <w:hideMark/>
          </w:tcPr>
          <w:p w14:paraId="5BCD847B"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3,91</w:t>
            </w:r>
          </w:p>
        </w:tc>
        <w:tc>
          <w:tcPr>
            <w:tcW w:w="1740" w:type="dxa"/>
            <w:tcBorders>
              <w:top w:val="nil"/>
              <w:left w:val="nil"/>
              <w:bottom w:val="single" w:sz="4" w:space="0" w:color="auto"/>
              <w:right w:val="single" w:sz="4" w:space="0" w:color="auto"/>
            </w:tcBorders>
            <w:shd w:val="clear" w:color="000000" w:fill="E2EFDA"/>
            <w:noWrap/>
            <w:vAlign w:val="center"/>
            <w:hideMark/>
          </w:tcPr>
          <w:p w14:paraId="76604D3B"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-8%</w:t>
            </w:r>
          </w:p>
        </w:tc>
      </w:tr>
      <w:tr w:rsidR="00B54F4E" w:rsidRPr="00C1360C" w14:paraId="0C38D1C5" w14:textId="77777777" w:rsidTr="006504C4">
        <w:trPr>
          <w:trHeight w:val="300"/>
        </w:trPr>
        <w:tc>
          <w:tcPr>
            <w:tcW w:w="2620" w:type="dxa"/>
            <w:tcBorders>
              <w:top w:val="nil"/>
              <w:left w:val="single" w:sz="4" w:space="0" w:color="auto"/>
              <w:bottom w:val="single" w:sz="4" w:space="0" w:color="auto"/>
              <w:right w:val="single" w:sz="4" w:space="0" w:color="auto"/>
            </w:tcBorders>
            <w:shd w:val="clear" w:color="000000" w:fill="E2EFDA"/>
            <w:noWrap/>
            <w:vAlign w:val="center"/>
            <w:hideMark/>
          </w:tcPr>
          <w:p w14:paraId="29633DC7" w14:textId="77777777" w:rsidR="00B54F4E" w:rsidRPr="00C1360C" w:rsidRDefault="00B54F4E" w:rsidP="006504C4">
            <w:pPr>
              <w:spacing w:before="0" w:after="0"/>
              <w:jc w:val="left"/>
              <w:rPr>
                <w:rFonts w:ascii="Calibri" w:hAnsi="Calibri" w:cs="Calibri"/>
                <w:color w:val="000000"/>
                <w:sz w:val="18"/>
                <w:szCs w:val="18"/>
                <w:lang w:eastAsia="es-CO"/>
              </w:rPr>
            </w:pPr>
            <w:r w:rsidRPr="00C1360C">
              <w:rPr>
                <w:rFonts w:ascii="Calibri" w:hAnsi="Calibri" w:cs="Calibri"/>
                <w:color w:val="000000"/>
                <w:sz w:val="18"/>
                <w:szCs w:val="18"/>
                <w:lang w:eastAsia="es-CO"/>
              </w:rPr>
              <w:t>Tarifa - 20%</w:t>
            </w:r>
          </w:p>
        </w:tc>
        <w:tc>
          <w:tcPr>
            <w:tcW w:w="1200" w:type="dxa"/>
            <w:tcBorders>
              <w:top w:val="nil"/>
              <w:left w:val="nil"/>
              <w:bottom w:val="single" w:sz="4" w:space="0" w:color="auto"/>
              <w:right w:val="single" w:sz="4" w:space="0" w:color="auto"/>
            </w:tcBorders>
            <w:shd w:val="clear" w:color="000000" w:fill="E2EFDA"/>
            <w:noWrap/>
            <w:vAlign w:val="center"/>
            <w:hideMark/>
          </w:tcPr>
          <w:p w14:paraId="5F45D74E"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$1.295</w:t>
            </w:r>
          </w:p>
        </w:tc>
        <w:tc>
          <w:tcPr>
            <w:tcW w:w="1200" w:type="dxa"/>
            <w:tcBorders>
              <w:top w:val="nil"/>
              <w:left w:val="nil"/>
              <w:bottom w:val="single" w:sz="4" w:space="0" w:color="auto"/>
              <w:right w:val="single" w:sz="4" w:space="0" w:color="auto"/>
            </w:tcBorders>
            <w:shd w:val="clear" w:color="000000" w:fill="E2EFDA"/>
            <w:noWrap/>
            <w:vAlign w:val="center"/>
            <w:hideMark/>
          </w:tcPr>
          <w:p w14:paraId="1561A747"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$356</w:t>
            </w:r>
          </w:p>
        </w:tc>
        <w:tc>
          <w:tcPr>
            <w:tcW w:w="1200" w:type="dxa"/>
            <w:tcBorders>
              <w:top w:val="nil"/>
              <w:left w:val="nil"/>
              <w:bottom w:val="single" w:sz="4" w:space="0" w:color="auto"/>
              <w:right w:val="single" w:sz="4" w:space="0" w:color="auto"/>
            </w:tcBorders>
            <w:shd w:val="clear" w:color="000000" w:fill="E2EFDA"/>
            <w:noWrap/>
            <w:vAlign w:val="center"/>
            <w:hideMark/>
          </w:tcPr>
          <w:p w14:paraId="5E5AFD66"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$940</w:t>
            </w:r>
          </w:p>
        </w:tc>
        <w:tc>
          <w:tcPr>
            <w:tcW w:w="1200" w:type="dxa"/>
            <w:tcBorders>
              <w:top w:val="nil"/>
              <w:left w:val="nil"/>
              <w:bottom w:val="single" w:sz="4" w:space="0" w:color="auto"/>
              <w:right w:val="single" w:sz="4" w:space="0" w:color="auto"/>
            </w:tcBorders>
            <w:shd w:val="clear" w:color="000000" w:fill="E2EFDA"/>
            <w:noWrap/>
            <w:vAlign w:val="center"/>
            <w:hideMark/>
          </w:tcPr>
          <w:p w14:paraId="63B80B24"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3,64</w:t>
            </w:r>
          </w:p>
        </w:tc>
        <w:tc>
          <w:tcPr>
            <w:tcW w:w="1740" w:type="dxa"/>
            <w:tcBorders>
              <w:top w:val="nil"/>
              <w:left w:val="nil"/>
              <w:bottom w:val="single" w:sz="4" w:space="0" w:color="auto"/>
              <w:right w:val="single" w:sz="4" w:space="0" w:color="auto"/>
            </w:tcBorders>
            <w:shd w:val="clear" w:color="000000" w:fill="E2EFDA"/>
            <w:noWrap/>
            <w:vAlign w:val="center"/>
            <w:hideMark/>
          </w:tcPr>
          <w:p w14:paraId="26906329"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-17%</w:t>
            </w:r>
          </w:p>
        </w:tc>
      </w:tr>
      <w:tr w:rsidR="00B54F4E" w:rsidRPr="00C1360C" w14:paraId="31ADF642" w14:textId="77777777" w:rsidTr="006504C4">
        <w:trPr>
          <w:trHeight w:val="300"/>
        </w:trPr>
        <w:tc>
          <w:tcPr>
            <w:tcW w:w="2620" w:type="dxa"/>
            <w:tcBorders>
              <w:top w:val="nil"/>
              <w:left w:val="single" w:sz="4" w:space="0" w:color="auto"/>
              <w:bottom w:val="single" w:sz="4" w:space="0" w:color="auto"/>
              <w:right w:val="single" w:sz="4" w:space="0" w:color="auto"/>
            </w:tcBorders>
            <w:shd w:val="clear" w:color="000000" w:fill="E2EFDA"/>
            <w:noWrap/>
            <w:vAlign w:val="center"/>
            <w:hideMark/>
          </w:tcPr>
          <w:p w14:paraId="7AD43D0B" w14:textId="77777777" w:rsidR="00B54F4E" w:rsidRPr="00C1360C" w:rsidRDefault="00B54F4E" w:rsidP="006504C4">
            <w:pPr>
              <w:spacing w:before="0" w:after="0"/>
              <w:jc w:val="left"/>
              <w:rPr>
                <w:rFonts w:ascii="Calibri" w:hAnsi="Calibri" w:cs="Calibri"/>
                <w:color w:val="000000"/>
                <w:sz w:val="18"/>
                <w:szCs w:val="18"/>
                <w:lang w:eastAsia="es-CO"/>
              </w:rPr>
            </w:pPr>
            <w:r w:rsidRPr="00C1360C">
              <w:rPr>
                <w:rFonts w:ascii="Calibri" w:hAnsi="Calibri" w:cs="Calibri"/>
                <w:color w:val="000000"/>
                <w:sz w:val="18"/>
                <w:szCs w:val="18"/>
                <w:lang w:eastAsia="es-CO"/>
              </w:rPr>
              <w:t>Tarifa - 30%</w:t>
            </w:r>
          </w:p>
        </w:tc>
        <w:tc>
          <w:tcPr>
            <w:tcW w:w="1200" w:type="dxa"/>
            <w:tcBorders>
              <w:top w:val="nil"/>
              <w:left w:val="nil"/>
              <w:bottom w:val="single" w:sz="4" w:space="0" w:color="auto"/>
              <w:right w:val="single" w:sz="4" w:space="0" w:color="auto"/>
            </w:tcBorders>
            <w:shd w:val="clear" w:color="000000" w:fill="E2EFDA"/>
            <w:noWrap/>
            <w:vAlign w:val="center"/>
            <w:hideMark/>
          </w:tcPr>
          <w:p w14:paraId="3B36BDF7"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$1.200</w:t>
            </w:r>
          </w:p>
        </w:tc>
        <w:tc>
          <w:tcPr>
            <w:tcW w:w="1200" w:type="dxa"/>
            <w:tcBorders>
              <w:top w:val="nil"/>
              <w:left w:val="nil"/>
              <w:bottom w:val="single" w:sz="4" w:space="0" w:color="auto"/>
              <w:right w:val="single" w:sz="4" w:space="0" w:color="auto"/>
            </w:tcBorders>
            <w:shd w:val="clear" w:color="000000" w:fill="E2EFDA"/>
            <w:noWrap/>
            <w:vAlign w:val="center"/>
            <w:hideMark/>
          </w:tcPr>
          <w:p w14:paraId="3E228705"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$356</w:t>
            </w:r>
          </w:p>
        </w:tc>
        <w:tc>
          <w:tcPr>
            <w:tcW w:w="1200" w:type="dxa"/>
            <w:tcBorders>
              <w:top w:val="nil"/>
              <w:left w:val="nil"/>
              <w:bottom w:val="single" w:sz="4" w:space="0" w:color="auto"/>
              <w:right w:val="single" w:sz="4" w:space="0" w:color="auto"/>
            </w:tcBorders>
            <w:shd w:val="clear" w:color="000000" w:fill="E2EFDA"/>
            <w:noWrap/>
            <w:vAlign w:val="center"/>
            <w:hideMark/>
          </w:tcPr>
          <w:p w14:paraId="4DA29FEF"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$845</w:t>
            </w:r>
          </w:p>
        </w:tc>
        <w:tc>
          <w:tcPr>
            <w:tcW w:w="1200" w:type="dxa"/>
            <w:tcBorders>
              <w:top w:val="nil"/>
              <w:left w:val="nil"/>
              <w:bottom w:val="single" w:sz="4" w:space="0" w:color="auto"/>
              <w:right w:val="single" w:sz="4" w:space="0" w:color="auto"/>
            </w:tcBorders>
            <w:shd w:val="clear" w:color="000000" w:fill="E2EFDA"/>
            <w:noWrap/>
            <w:vAlign w:val="center"/>
            <w:hideMark/>
          </w:tcPr>
          <w:p w14:paraId="72DE7AD9"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3,37</w:t>
            </w:r>
          </w:p>
        </w:tc>
        <w:tc>
          <w:tcPr>
            <w:tcW w:w="1740" w:type="dxa"/>
            <w:tcBorders>
              <w:top w:val="nil"/>
              <w:left w:val="nil"/>
              <w:bottom w:val="single" w:sz="4" w:space="0" w:color="auto"/>
              <w:right w:val="single" w:sz="4" w:space="0" w:color="auto"/>
            </w:tcBorders>
            <w:shd w:val="clear" w:color="000000" w:fill="E2EFDA"/>
            <w:noWrap/>
            <w:vAlign w:val="center"/>
            <w:hideMark/>
          </w:tcPr>
          <w:p w14:paraId="5C1BCDAB" w14:textId="77777777" w:rsidR="00B54F4E" w:rsidRPr="00C1360C" w:rsidRDefault="00B54F4E" w:rsidP="006504C4">
            <w:pPr>
              <w:spacing w:before="0" w:after="0"/>
              <w:jc w:val="center"/>
              <w:rPr>
                <w:rFonts w:ascii="Calibri" w:hAnsi="Calibri" w:cs="Calibri"/>
                <w:color w:val="000000"/>
                <w:sz w:val="18"/>
                <w:szCs w:val="18"/>
                <w:lang w:eastAsia="es-CO"/>
              </w:rPr>
            </w:pPr>
            <w:r w:rsidRPr="00C1360C">
              <w:rPr>
                <w:rFonts w:ascii="Calibri" w:hAnsi="Calibri" w:cs="Calibri"/>
                <w:color w:val="000000"/>
                <w:sz w:val="18"/>
                <w:szCs w:val="18"/>
                <w:lang w:eastAsia="es-CO"/>
              </w:rPr>
              <w:t>-25%</w:t>
            </w:r>
          </w:p>
        </w:tc>
      </w:tr>
    </w:tbl>
    <w:p w14:paraId="79CD1358" w14:textId="77777777" w:rsidR="00B54F4E" w:rsidRDefault="00B54F4E" w:rsidP="00B54F4E">
      <w:pPr>
        <w:spacing w:after="160" w:line="259" w:lineRule="auto"/>
      </w:pPr>
      <w:r>
        <w:t>Considerando de manera individual las medidas de EE que poseen costos de inversión asociados, se ha realizado una sensibilidad o análisis de frontera para determinar el punto de inflexión en el cual estas medidas de EE dejarían de ser convenientes al incrementar el costo de inversión y al reducir el efecto de ahorro energético por su implementación. Para las tablas a continuación se ha resaltado en gris la frontera. Los valores al interior de las tablas corresponden al VPN del beneficio neto de cada medida.</w:t>
      </w:r>
    </w:p>
    <w:p w14:paraId="4B6C2136" w14:textId="77777777" w:rsidR="00B54F4E" w:rsidRPr="00B452D3" w:rsidRDefault="00B54F4E" w:rsidP="00B54F4E">
      <w:pPr>
        <w:jc w:val="center"/>
        <w:rPr>
          <w:b/>
        </w:rPr>
      </w:pPr>
      <w:bookmarkStart w:id="117" w:name="_Toc484097061"/>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21</w:t>
      </w:r>
      <w:r w:rsidRPr="008C12BC">
        <w:rPr>
          <w:b/>
        </w:rPr>
        <w:fldChar w:fldCharType="end"/>
      </w:r>
      <w:r>
        <w:rPr>
          <w:b/>
        </w:rPr>
        <w:t xml:space="preserve"> – Sensibilidad a los principales parámetros de la medida de cambio de bombillos en el sector residencial</w:t>
      </w:r>
      <w:bookmarkEnd w:id="117"/>
    </w:p>
    <w:p w14:paraId="0E42F368" w14:textId="77777777" w:rsidR="00B54F4E" w:rsidRDefault="00B54F4E" w:rsidP="00B54F4E">
      <w:pPr>
        <w:spacing w:before="0" w:after="160" w:line="259" w:lineRule="auto"/>
      </w:pPr>
      <w:r w:rsidRPr="00547F2E">
        <w:rPr>
          <w:noProof/>
          <w:lang w:val="en-US"/>
        </w:rPr>
        <w:drawing>
          <wp:inline distT="0" distB="0" distL="0" distR="0" wp14:anchorId="5FBF0D9D" wp14:editId="3F7A1F32">
            <wp:extent cx="5612130" cy="1911990"/>
            <wp:effectExtent l="0" t="0" r="762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1911990"/>
                    </a:xfrm>
                    <a:prstGeom prst="rect">
                      <a:avLst/>
                    </a:prstGeom>
                    <a:noFill/>
                    <a:ln>
                      <a:noFill/>
                    </a:ln>
                  </pic:spPr>
                </pic:pic>
              </a:graphicData>
            </a:graphic>
          </wp:inline>
        </w:drawing>
      </w:r>
    </w:p>
    <w:p w14:paraId="398087A4" w14:textId="77777777" w:rsidR="00B54F4E" w:rsidRPr="00B452D3" w:rsidRDefault="00B54F4E" w:rsidP="00B54F4E">
      <w:pPr>
        <w:keepNext/>
        <w:jc w:val="center"/>
        <w:rPr>
          <w:b/>
        </w:rPr>
      </w:pPr>
      <w:bookmarkStart w:id="118" w:name="_Toc484097062"/>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22</w:t>
      </w:r>
      <w:r w:rsidRPr="008C12BC">
        <w:rPr>
          <w:b/>
        </w:rPr>
        <w:fldChar w:fldCharType="end"/>
      </w:r>
      <w:r>
        <w:rPr>
          <w:b/>
        </w:rPr>
        <w:t xml:space="preserve"> – Sensibilidad a los principales parámetros de la medida de cambio de neveras en el sector residencial</w:t>
      </w:r>
      <w:bookmarkEnd w:id="118"/>
    </w:p>
    <w:p w14:paraId="12E07486" w14:textId="77777777" w:rsidR="00B54F4E" w:rsidRDefault="00B54F4E" w:rsidP="00B54F4E">
      <w:pPr>
        <w:spacing w:before="0" w:after="160" w:line="259" w:lineRule="auto"/>
      </w:pPr>
      <w:r w:rsidRPr="00547F2E">
        <w:rPr>
          <w:noProof/>
          <w:lang w:val="en-US"/>
        </w:rPr>
        <w:drawing>
          <wp:inline distT="0" distB="0" distL="0" distR="0" wp14:anchorId="4B0BA5DE" wp14:editId="18E71449">
            <wp:extent cx="5612130" cy="1911990"/>
            <wp:effectExtent l="0" t="0" r="762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1911990"/>
                    </a:xfrm>
                    <a:prstGeom prst="rect">
                      <a:avLst/>
                    </a:prstGeom>
                    <a:noFill/>
                    <a:ln>
                      <a:noFill/>
                    </a:ln>
                  </pic:spPr>
                </pic:pic>
              </a:graphicData>
            </a:graphic>
          </wp:inline>
        </w:drawing>
      </w:r>
    </w:p>
    <w:p w14:paraId="47E2F945" w14:textId="77777777" w:rsidR="00B54F4E" w:rsidRPr="00B452D3" w:rsidRDefault="00B54F4E" w:rsidP="00B54F4E">
      <w:pPr>
        <w:jc w:val="center"/>
        <w:rPr>
          <w:b/>
        </w:rPr>
      </w:pPr>
      <w:bookmarkStart w:id="119" w:name="_Toc484097063"/>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23</w:t>
      </w:r>
      <w:r w:rsidRPr="008C12BC">
        <w:rPr>
          <w:b/>
        </w:rPr>
        <w:fldChar w:fldCharType="end"/>
      </w:r>
      <w:r>
        <w:rPr>
          <w:b/>
        </w:rPr>
        <w:t xml:space="preserve"> – Sensibilidad a los principales parámetros de la medida de cambio de bombillos en el sector comercial</w:t>
      </w:r>
      <w:bookmarkEnd w:id="119"/>
    </w:p>
    <w:p w14:paraId="69819592" w14:textId="77777777" w:rsidR="00B54F4E" w:rsidRDefault="00B54F4E" w:rsidP="00B54F4E">
      <w:pPr>
        <w:spacing w:before="0" w:after="160" w:line="259" w:lineRule="auto"/>
      </w:pPr>
      <w:r w:rsidRPr="00547F2E">
        <w:rPr>
          <w:noProof/>
          <w:lang w:val="en-US"/>
        </w:rPr>
        <w:drawing>
          <wp:inline distT="0" distB="0" distL="0" distR="0" wp14:anchorId="7401F7CD" wp14:editId="0A8C7806">
            <wp:extent cx="5612130" cy="1911990"/>
            <wp:effectExtent l="0" t="0" r="762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1911990"/>
                    </a:xfrm>
                    <a:prstGeom prst="rect">
                      <a:avLst/>
                    </a:prstGeom>
                    <a:noFill/>
                    <a:ln>
                      <a:noFill/>
                    </a:ln>
                  </pic:spPr>
                </pic:pic>
              </a:graphicData>
            </a:graphic>
          </wp:inline>
        </w:drawing>
      </w:r>
    </w:p>
    <w:p w14:paraId="2B53E326" w14:textId="77777777" w:rsidR="00B54F4E" w:rsidRPr="00B452D3" w:rsidRDefault="00B54F4E" w:rsidP="00B54F4E">
      <w:pPr>
        <w:jc w:val="center"/>
        <w:rPr>
          <w:b/>
        </w:rPr>
      </w:pPr>
      <w:bookmarkStart w:id="120" w:name="_Toc484097064"/>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24</w:t>
      </w:r>
      <w:r w:rsidRPr="008C12BC">
        <w:rPr>
          <w:b/>
        </w:rPr>
        <w:fldChar w:fldCharType="end"/>
      </w:r>
      <w:r>
        <w:rPr>
          <w:b/>
        </w:rPr>
        <w:t xml:space="preserve"> – Sensibilidad a los principales parámetros de la medida de cambio de bombillos en el sector público</w:t>
      </w:r>
      <w:bookmarkEnd w:id="120"/>
    </w:p>
    <w:p w14:paraId="4C3DEBDD" w14:textId="77777777" w:rsidR="00B54F4E" w:rsidRDefault="00B54F4E" w:rsidP="00B54F4E">
      <w:pPr>
        <w:spacing w:before="0" w:after="160" w:line="259" w:lineRule="auto"/>
      </w:pPr>
      <w:r w:rsidRPr="00547F2E">
        <w:rPr>
          <w:noProof/>
          <w:lang w:val="en-US"/>
        </w:rPr>
        <w:drawing>
          <wp:inline distT="0" distB="0" distL="0" distR="0" wp14:anchorId="49E53E18" wp14:editId="7A8BF63B">
            <wp:extent cx="5612130" cy="1911990"/>
            <wp:effectExtent l="0" t="0" r="762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612130" cy="1911990"/>
                    </a:xfrm>
                    <a:prstGeom prst="rect">
                      <a:avLst/>
                    </a:prstGeom>
                    <a:noFill/>
                    <a:ln>
                      <a:noFill/>
                    </a:ln>
                  </pic:spPr>
                </pic:pic>
              </a:graphicData>
            </a:graphic>
          </wp:inline>
        </w:drawing>
      </w:r>
    </w:p>
    <w:p w14:paraId="7E8E6CED" w14:textId="77777777" w:rsidR="00B54F4E" w:rsidRDefault="00B54F4E" w:rsidP="00B54F4E">
      <w:pPr>
        <w:spacing w:before="0" w:after="160" w:line="259" w:lineRule="auto"/>
      </w:pPr>
      <w:r>
        <w:t xml:space="preserve">De las tablas anteriores se aprecia nuevamente que las medidas de EE son robustas y siguen siendo relevantes aun con aumentos en los costos de entre el 70% y el 100% y </w:t>
      </w:r>
      <w:r>
        <w:lastRenderedPageBreak/>
        <w:t>considerando menores ahorros a los esperados en un 30% para la medida de neveras en el sector residencial, y de hasta un 60% para las otras medidas.</w:t>
      </w:r>
    </w:p>
    <w:p w14:paraId="38F5B2AA" w14:textId="77777777" w:rsidR="00B54F4E" w:rsidRDefault="00B54F4E" w:rsidP="00B54F4E">
      <w:pPr>
        <w:pStyle w:val="Heading2"/>
        <w:spacing w:before="280" w:after="240"/>
      </w:pPr>
      <w:bookmarkStart w:id="121" w:name="_Toc484097032"/>
      <w:r>
        <w:t>Consideraciones sobre la integración eléctrica regional</w:t>
      </w:r>
      <w:bookmarkEnd w:id="121"/>
    </w:p>
    <w:p w14:paraId="44D3F342" w14:textId="77777777" w:rsidR="00B54F4E" w:rsidRPr="00D901BC" w:rsidRDefault="00B54F4E" w:rsidP="00B54F4E">
      <w:r w:rsidRPr="00D901BC">
        <w:t>El Sistema de Interconexión Eléctrica para los Países de América Central (SIEPAC) comprende un sistema de transmisión de aproximadamente 1.800 Km que conecta seis países (Guatemala, El Salvador, Honduras, Nicaragua, Costa Rica y Panamá). La construcción del SIEPAC partió del análisis de la conveniencia del Mercado Eléctrico Regional (MER) considerando una línea con capacidad de transmisión de 300 MW que permitiera la realización de transacciones internacionales de energía eléctrica de manera eficiente de acuerdo con las capacidades y requerimientos energéticos de cada país. Según los análisis preliminares</w:t>
      </w:r>
      <w:r w:rsidRPr="00D901BC">
        <w:rPr>
          <w:rStyle w:val="FootnoteReference"/>
        </w:rPr>
        <w:footnoteReference w:id="19"/>
      </w:r>
      <w:r w:rsidRPr="00D901BC">
        <w:t>, la integración regional permitiría mejorar la seguridad energética (compartiendo recursos, aprovechando complementariedad y servicios de respaldo), explotar beneficios de economía de escala (mejoras tecnológicas en nueva capacidad instalada), incrementar confiabilidad y calidad del suministro (asociado con una red más robusta), y reducir costos en el suministro. Los beneficios económicos de una operación coordinada según los estudios de prefactibilidad mostraban la conveniencia de contar con el MER tal como se muestra en la siguiente tabla.</w:t>
      </w:r>
    </w:p>
    <w:p w14:paraId="1227FA1B" w14:textId="77777777" w:rsidR="00B54F4E" w:rsidRPr="00D901BC" w:rsidRDefault="00B54F4E" w:rsidP="00B54F4E">
      <w:pPr>
        <w:spacing w:after="0"/>
      </w:pPr>
      <w:bookmarkStart w:id="122" w:name="_Toc484097065"/>
      <w:r w:rsidRPr="00D901BC">
        <w:t xml:space="preserve">Según el Informe Anual del Mercado Eléctrico Regional publicado por Comisión Regional de Interconexión Eléctrica (CRIE) de 2016, en 2015 se realizaron inyecciones y retiros de la red por cerca de 1.350 GWh. Las exportaciones de Panamá durante este periodo representaron cerca de un 10% de la energía inyectada, mientras que sus importaciones (retiros de energía) tan solo representaron un 1,3% de los retiros totales. </w:t>
      </w:r>
      <w:r>
        <w:t xml:space="preserve"> </w:t>
      </w:r>
      <w:r w:rsidRPr="00D901BC">
        <w:t>A pesar de estar concebida desde su diseño para permitir una transferencia de hasta 300 MW, en la actualidad, la línea no ha logrado operar a su capacidad por las restricciones locales que limitan la potencia a incluso 70 MW en algunos tramos, impidiendo así el desarrollo del MER y las transacciones de contratos firmes. Ello ha llevado a que el levantamiento de dichas restricciones, como las que existen en Panamá y Nicaragua, sea una prioridad</w:t>
      </w:r>
      <w:r w:rsidRPr="00D901BC">
        <w:rPr>
          <w:rStyle w:val="FootnoteReference"/>
        </w:rPr>
        <w:footnoteReference w:id="20"/>
      </w:r>
      <w:r w:rsidRPr="00D901BC">
        <w:t>.</w:t>
      </w:r>
    </w:p>
    <w:p w14:paraId="22B28A18" w14:textId="77777777" w:rsidR="00B54F4E" w:rsidRPr="00D901BC" w:rsidRDefault="00B54F4E" w:rsidP="00B54F4E">
      <w:pPr>
        <w:spacing w:after="0"/>
        <w:jc w:val="center"/>
        <w:rPr>
          <w:b/>
        </w:rPr>
      </w:pPr>
      <w:r w:rsidRPr="00D901BC">
        <w:rPr>
          <w:b/>
        </w:rPr>
        <w:t xml:space="preserve">Tabla </w:t>
      </w:r>
      <w:r w:rsidRPr="00D901BC">
        <w:rPr>
          <w:b/>
        </w:rPr>
        <w:fldChar w:fldCharType="begin"/>
      </w:r>
      <w:r w:rsidRPr="00D901BC">
        <w:rPr>
          <w:b/>
        </w:rPr>
        <w:instrText xml:space="preserve"> SEQ Tabla \* ARABIC </w:instrText>
      </w:r>
      <w:r w:rsidRPr="00D901BC">
        <w:rPr>
          <w:b/>
        </w:rPr>
        <w:fldChar w:fldCharType="separate"/>
      </w:r>
      <w:r>
        <w:rPr>
          <w:b/>
          <w:noProof/>
        </w:rPr>
        <w:t>25</w:t>
      </w:r>
      <w:r w:rsidRPr="00D901BC">
        <w:rPr>
          <w:b/>
        </w:rPr>
        <w:fldChar w:fldCharType="end"/>
      </w:r>
      <w:r w:rsidRPr="00D901BC">
        <w:rPr>
          <w:b/>
        </w:rPr>
        <w:t xml:space="preserve"> – Beneficios económicos derivados de la operación coordinada del sistema eléctrico centroamericano (USD$ 1996)</w:t>
      </w:r>
      <w:bookmarkEnd w:id="122"/>
    </w:p>
    <w:p w14:paraId="36687B9C" w14:textId="77777777" w:rsidR="00B54F4E" w:rsidRPr="00D901BC" w:rsidRDefault="00B54F4E" w:rsidP="00B54F4E">
      <w:pPr>
        <w:jc w:val="center"/>
      </w:pPr>
      <w:r w:rsidRPr="00D901BC">
        <w:rPr>
          <w:noProof/>
          <w:lang w:val="en-US"/>
        </w:rPr>
        <w:drawing>
          <wp:inline distT="0" distB="0" distL="0" distR="0" wp14:anchorId="66723BA1" wp14:editId="4766759E">
            <wp:extent cx="3419475" cy="837651"/>
            <wp:effectExtent l="0" t="0" r="0" b="635"/>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495526" cy="856281"/>
                    </a:xfrm>
                    <a:prstGeom prst="rect">
                      <a:avLst/>
                    </a:prstGeom>
                  </pic:spPr>
                </pic:pic>
              </a:graphicData>
            </a:graphic>
          </wp:inline>
        </w:drawing>
      </w:r>
    </w:p>
    <w:p w14:paraId="615ACEAF" w14:textId="77777777" w:rsidR="00B54F4E" w:rsidRPr="00D901BC" w:rsidRDefault="00B54F4E" w:rsidP="00B54F4E">
      <w:pPr>
        <w:spacing w:before="0" w:after="0"/>
        <w:jc w:val="center"/>
      </w:pPr>
      <w:r w:rsidRPr="00D901BC">
        <w:rPr>
          <w:sz w:val="20"/>
          <w:lang w:val="es-ES"/>
        </w:rPr>
        <w:t>Fuente: Estudios complementarios de la expansión de la interconexión SIEPAC 1997, tomado de “El mercado eléctrico regional de los países del istmo centroamericano” CEPAL 2003</w:t>
      </w:r>
      <w:r>
        <w:rPr>
          <w:sz w:val="20"/>
          <w:lang w:val="es-ES"/>
        </w:rPr>
        <w:t xml:space="preserve">. </w:t>
      </w:r>
      <w:r w:rsidRPr="00D901BC">
        <w:rPr>
          <w:sz w:val="20"/>
          <w:lang w:val="es-ES"/>
        </w:rPr>
        <w:t>Nota: resultados corresponden a escenarios</w:t>
      </w:r>
      <w:r>
        <w:rPr>
          <w:sz w:val="20"/>
          <w:lang w:val="es-ES"/>
        </w:rPr>
        <w:t xml:space="preserve"> siendo el E1 planificación</w:t>
      </w:r>
      <w:r w:rsidRPr="00D901BC">
        <w:rPr>
          <w:sz w:val="20"/>
          <w:lang w:val="es-ES"/>
        </w:rPr>
        <w:t xml:space="preserve"> individual y operación parcialmente coordinada, hasta el E6 correspondiente a una operación totalmente coordinada en el mediano y largo plazo</w:t>
      </w:r>
    </w:p>
    <w:p w14:paraId="73B8068F" w14:textId="4389C0C3" w:rsidR="00B54F4E" w:rsidRPr="00D901BC" w:rsidRDefault="00B54F4E" w:rsidP="00B54F4E">
      <w:r w:rsidRPr="00D901BC">
        <w:lastRenderedPageBreak/>
        <w:t xml:space="preserve">Como consecuencia de lo anterior, corresponde a cada país levantar esas restricciones, las cuales se han identificado técnicamente para el caso puntual de Panamá en el estudio elaborado por el </w:t>
      </w:r>
      <w:bookmarkStart w:id="123" w:name="_Hlk482032035"/>
      <w:r w:rsidRPr="00D901BC">
        <w:t>Pacific Norwest National Laboratory</w:t>
      </w:r>
      <w:bookmarkEnd w:id="123"/>
      <w:r w:rsidRPr="00D901BC">
        <w:rPr>
          <w:rStyle w:val="FootnoteReference"/>
        </w:rPr>
        <w:footnoteReference w:id="21"/>
      </w:r>
      <w:r w:rsidRPr="00D901BC">
        <w:t xml:space="preserve"> en 2015. En dicho estudio se identifican las acciones puntuales correspondientes a refuerzos en </w:t>
      </w:r>
      <w:r w:rsidR="00487C7A">
        <w:t>el corredor</w:t>
      </w:r>
      <w:r w:rsidRPr="00D901BC">
        <w:t xml:space="preserve"> de </w:t>
      </w:r>
      <w:bookmarkStart w:id="124" w:name="_GoBack"/>
      <w:r w:rsidRPr="00D901BC">
        <w:t>Velad</w:t>
      </w:r>
      <w:bookmarkEnd w:id="124"/>
      <w:r w:rsidRPr="00D901BC">
        <w:t>ero</w:t>
      </w:r>
      <w:r w:rsidR="00487C7A">
        <w:t>-</w:t>
      </w:r>
      <w:r w:rsidRPr="00D901BC">
        <w:t xml:space="preserve"> Llano Sanchez. </w:t>
      </w:r>
    </w:p>
    <w:p w14:paraId="75E086DE" w14:textId="77777777" w:rsidR="00B54F4E" w:rsidRPr="00D901BC" w:rsidRDefault="00B54F4E" w:rsidP="00B54F4E">
      <w:r w:rsidRPr="00D901BC">
        <w:t>Se debe mencionar que los Planes de Expansión 2015 y 2016 de ETESA no consideran un escenario con y sin refuerzos de las líneas de transmisión, que permitiese contar con información para el análisis costo – beneficio de la instalación de los refuerzos. El escenario de referencia ya supone que la ejecución de los refuerzos a 2018 es una realidad.</w:t>
      </w:r>
    </w:p>
    <w:p w14:paraId="41A2FAA5" w14:textId="77777777" w:rsidR="00B54F4E" w:rsidRDefault="00B54F4E" w:rsidP="00B54F4E">
      <w:r w:rsidRPr="00D901BC">
        <w:t>Dado lo anterior, es de la mayor importancia apoyar al GdP en la ejecución de los p</w:t>
      </w:r>
      <w:r>
        <w:t>royectos de refuerzos en el SNT con el fin de contribuir a la materialización de los beneficios que se visualizaron para el MER mediante la construcción de la línea SIEPAC.</w:t>
      </w:r>
    </w:p>
    <w:p w14:paraId="2476597F" w14:textId="77777777" w:rsidR="00B54F4E" w:rsidRDefault="00B54F4E" w:rsidP="00B54F4E">
      <w:pPr>
        <w:pStyle w:val="Heading2"/>
        <w:spacing w:before="280" w:after="240"/>
      </w:pPr>
      <w:bookmarkStart w:id="125" w:name="_Toc484097033"/>
      <w:r>
        <w:t xml:space="preserve">Conclusiones de la evaluación económica del Componente </w:t>
      </w:r>
      <w:bookmarkEnd w:id="116"/>
      <w:r>
        <w:t>2.1</w:t>
      </w:r>
      <w:bookmarkEnd w:id="125"/>
    </w:p>
    <w:p w14:paraId="6B541089" w14:textId="77777777" w:rsidR="00B54F4E" w:rsidRDefault="00B54F4E" w:rsidP="00B54F4E">
      <w:pPr>
        <w:rPr>
          <w:lang w:val="es-ES"/>
        </w:rPr>
      </w:pPr>
      <w:r>
        <w:rPr>
          <w:lang w:val="es-ES"/>
        </w:rPr>
        <w:t>Considerando los tres subcomponentes principales que contribuyen al desarrollo de una matriz energética social y ambientalmente sostenible, el beneficio neto total para este componente se calcula de la siguiente manera:</w:t>
      </w:r>
    </w:p>
    <w:p w14:paraId="130B48D7" w14:textId="77777777" w:rsidR="00B54F4E" w:rsidRPr="0033223F" w:rsidRDefault="00B54F4E" w:rsidP="00B54F4E">
      <m:oMathPara>
        <m:oMath>
          <m:r>
            <w:rPr>
              <w:rFonts w:ascii="Cambria Math" w:hAnsi="Cambria Math"/>
            </w:rPr>
            <m:t xml:space="preserve">Beneficio neto total= </m:t>
          </m:r>
          <m:sSub>
            <m:sSubPr>
              <m:ctrlPr>
                <w:rPr>
                  <w:rFonts w:ascii="Cambria Math" w:hAnsi="Cambria Math"/>
                  <w:i/>
                </w:rPr>
              </m:ctrlPr>
            </m:sSubPr>
            <m:e>
              <m:r>
                <w:rPr>
                  <w:rFonts w:ascii="Cambria Math" w:hAnsi="Cambria Math"/>
                </w:rPr>
                <m:t>B</m:t>
              </m:r>
            </m:e>
            <m:sub>
              <m:r>
                <w:rPr>
                  <w:rFonts w:ascii="Cambria Math" w:hAnsi="Cambria Math"/>
                </w:rPr>
                <m:t>ER</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GN</m:t>
              </m:r>
            </m:sub>
          </m:sSub>
          <m:r>
            <w:rPr>
              <w:rFonts w:ascii="Cambria Math" w:hAnsi="Cambria Math"/>
            </w:rPr>
            <m:t>+</m:t>
          </m:r>
          <m:sSub>
            <m:sSubPr>
              <m:ctrlPr>
                <w:rPr>
                  <w:rFonts w:ascii="Cambria Math" w:hAnsi="Cambria Math"/>
                  <w:i/>
                </w:rPr>
              </m:ctrlPr>
            </m:sSubPr>
            <m:e>
              <m:r>
                <w:rPr>
                  <w:rFonts w:ascii="Cambria Math" w:hAnsi="Cambria Math"/>
                </w:rPr>
                <m:t>B</m:t>
              </m:r>
            </m:e>
            <m:sub>
              <m:r>
                <w:rPr>
                  <w:rFonts w:ascii="Cambria Math" w:hAnsi="Cambria Math"/>
                </w:rPr>
                <m:t>EE</m:t>
              </m:r>
            </m:sub>
          </m:sSub>
        </m:oMath>
      </m:oMathPara>
    </w:p>
    <w:p w14:paraId="32F61754" w14:textId="77777777" w:rsidR="00B54F4E" w:rsidRDefault="00B54F4E" w:rsidP="00B54F4E">
      <w:r>
        <w:t>Donde:</w:t>
      </w:r>
    </w:p>
    <w:p w14:paraId="25E9C656" w14:textId="77777777" w:rsidR="00B54F4E" w:rsidRDefault="00487C7A" w:rsidP="00B54F4E">
      <w:pPr>
        <w:ind w:left="1418" w:hanging="1418"/>
      </w:pPr>
      <m:oMath>
        <m:sSub>
          <m:sSubPr>
            <m:ctrlPr>
              <w:rPr>
                <w:rFonts w:ascii="Cambria Math" w:hAnsi="Cambria Math"/>
                <w:i/>
              </w:rPr>
            </m:ctrlPr>
          </m:sSubPr>
          <m:e>
            <m:r>
              <w:rPr>
                <w:rFonts w:ascii="Cambria Math" w:hAnsi="Cambria Math"/>
              </w:rPr>
              <m:t>B</m:t>
            </m:r>
          </m:e>
          <m:sub>
            <m:r>
              <w:rPr>
                <w:rFonts w:ascii="Cambria Math" w:hAnsi="Cambria Math"/>
              </w:rPr>
              <m:t>ER</m:t>
            </m:r>
          </m:sub>
        </m:sSub>
      </m:oMath>
      <w:r w:rsidR="00B54F4E">
        <w:tab/>
        <w:t xml:space="preserve">Es el beneficio neto asociado con una mayor penetración de las ER en la matriz de generación eléctrica según lo presentado en la sección </w:t>
      </w:r>
      <w:r w:rsidR="00B54F4E">
        <w:fldChar w:fldCharType="begin"/>
      </w:r>
      <w:r w:rsidR="00B54F4E">
        <w:instrText xml:space="preserve"> REF _Ref480053909 \n \h </w:instrText>
      </w:r>
      <w:r w:rsidR="00B54F4E">
        <w:fldChar w:fldCharType="separate"/>
      </w:r>
      <w:r w:rsidR="00B54F4E">
        <w:t>2.2</w:t>
      </w:r>
      <w:r w:rsidR="00B54F4E">
        <w:fldChar w:fldCharType="end"/>
      </w:r>
    </w:p>
    <w:p w14:paraId="146A9C66" w14:textId="77777777" w:rsidR="00B54F4E" w:rsidRDefault="00487C7A" w:rsidP="00B54F4E">
      <w:pPr>
        <w:ind w:left="1418" w:hanging="1418"/>
      </w:pPr>
      <m:oMath>
        <m:sSub>
          <m:sSubPr>
            <m:ctrlPr>
              <w:rPr>
                <w:rFonts w:ascii="Cambria Math" w:hAnsi="Cambria Math"/>
                <w:i/>
              </w:rPr>
            </m:ctrlPr>
          </m:sSubPr>
          <m:e>
            <m:r>
              <w:rPr>
                <w:rFonts w:ascii="Cambria Math" w:hAnsi="Cambria Math"/>
              </w:rPr>
              <m:t>B</m:t>
            </m:r>
          </m:e>
          <m:sub>
            <m:r>
              <w:rPr>
                <w:rFonts w:ascii="Cambria Math" w:hAnsi="Cambria Math"/>
              </w:rPr>
              <m:t>GN</m:t>
            </m:r>
          </m:sub>
        </m:sSub>
      </m:oMath>
      <w:r w:rsidR="00B54F4E">
        <w:tab/>
        <w:t xml:space="preserve">Es el beneficio neto asociado con la introducción del GN en la matriz de generación eléctrica según lo presentado en la sección </w:t>
      </w:r>
      <w:r w:rsidR="00B54F4E">
        <w:fldChar w:fldCharType="begin"/>
      </w:r>
      <w:r w:rsidR="00B54F4E">
        <w:instrText xml:space="preserve"> REF _Ref480053949 \n \h </w:instrText>
      </w:r>
      <w:r w:rsidR="00B54F4E">
        <w:fldChar w:fldCharType="separate"/>
      </w:r>
      <w:r w:rsidR="00B54F4E">
        <w:t>2.3</w:t>
      </w:r>
      <w:r w:rsidR="00B54F4E">
        <w:fldChar w:fldCharType="end"/>
      </w:r>
    </w:p>
    <w:p w14:paraId="58FEAFA6" w14:textId="77777777" w:rsidR="00B54F4E" w:rsidRDefault="00487C7A" w:rsidP="00B54F4E">
      <w:pPr>
        <w:ind w:left="1418" w:hanging="1418"/>
      </w:pPr>
      <m:oMath>
        <m:sSub>
          <m:sSubPr>
            <m:ctrlPr>
              <w:rPr>
                <w:rFonts w:ascii="Cambria Math" w:hAnsi="Cambria Math"/>
                <w:i/>
              </w:rPr>
            </m:ctrlPr>
          </m:sSubPr>
          <m:e>
            <m:r>
              <w:rPr>
                <w:rFonts w:ascii="Cambria Math" w:hAnsi="Cambria Math"/>
              </w:rPr>
              <m:t>B</m:t>
            </m:r>
          </m:e>
          <m:sub>
            <m:r>
              <w:rPr>
                <w:rFonts w:ascii="Cambria Math" w:hAnsi="Cambria Math"/>
              </w:rPr>
              <m:t>EE</m:t>
            </m:r>
          </m:sub>
        </m:sSub>
      </m:oMath>
      <w:r w:rsidR="00B54F4E">
        <w:tab/>
        <w:t xml:space="preserve">Es el beneficio neto asociado con la implementación de medidas tendientes a la eficiencia energética según lo presentado en la sección </w:t>
      </w:r>
      <w:r w:rsidR="00B54F4E">
        <w:fldChar w:fldCharType="begin"/>
      </w:r>
      <w:r w:rsidR="00B54F4E">
        <w:instrText xml:space="preserve"> REF _Ref480053983 \n \h </w:instrText>
      </w:r>
      <w:r w:rsidR="00B54F4E">
        <w:fldChar w:fldCharType="separate"/>
      </w:r>
      <w:r w:rsidR="00B54F4E">
        <w:t>2.4</w:t>
      </w:r>
      <w:r w:rsidR="00B54F4E">
        <w:fldChar w:fldCharType="end"/>
      </w:r>
    </w:p>
    <w:p w14:paraId="3DA54ECB" w14:textId="77777777" w:rsidR="00B54F4E" w:rsidRDefault="00B54F4E" w:rsidP="00B54F4E">
      <w:pPr>
        <w:rPr>
          <w:bCs/>
          <w:color w:val="000000" w:themeColor="text1"/>
          <w:lang w:val="es-ES"/>
        </w:rPr>
      </w:pPr>
      <w:r>
        <w:rPr>
          <w:bCs/>
          <w:color w:val="000000" w:themeColor="text1"/>
          <w:lang w:val="es-ES"/>
        </w:rPr>
        <w:t xml:space="preserve">La evaluación económica realizada para el Componente 2.1 (desarrollo de una matriz energética social y ambientalmente sostenible) arroja beneficios netos positivos para cada una de las áreas de enfoque valoradas (energías renovables, eficiencia energética y desarrollo del GN). La </w:t>
      </w:r>
      <w:r>
        <w:rPr>
          <w:bCs/>
          <w:color w:val="000000" w:themeColor="text1"/>
          <w:lang w:val="es-ES"/>
        </w:rPr>
        <w:fldChar w:fldCharType="begin"/>
      </w:r>
      <w:r>
        <w:rPr>
          <w:bCs/>
          <w:color w:val="000000" w:themeColor="text1"/>
          <w:lang w:val="es-ES"/>
        </w:rPr>
        <w:instrText xml:space="preserve"> REF _Ref484086085 \h </w:instrText>
      </w:r>
      <w:r>
        <w:rPr>
          <w:bCs/>
          <w:color w:val="000000" w:themeColor="text1"/>
          <w:lang w:val="es-ES"/>
        </w:rPr>
      </w:r>
      <w:r>
        <w:rPr>
          <w:bCs/>
          <w:color w:val="000000" w:themeColor="text1"/>
          <w:lang w:val="es-ES"/>
        </w:rPr>
        <w:fldChar w:fldCharType="separate"/>
      </w:r>
      <w:r w:rsidRPr="008C12BC">
        <w:rPr>
          <w:b/>
        </w:rPr>
        <w:t xml:space="preserve">Tabla </w:t>
      </w:r>
      <w:r>
        <w:rPr>
          <w:b/>
          <w:noProof/>
        </w:rPr>
        <w:t>26</w:t>
      </w:r>
      <w:r>
        <w:rPr>
          <w:bCs/>
          <w:color w:val="000000" w:themeColor="text1"/>
          <w:lang w:val="es-ES"/>
        </w:rPr>
        <w:fldChar w:fldCharType="end"/>
      </w:r>
      <w:r>
        <w:rPr>
          <w:bCs/>
          <w:color w:val="000000" w:themeColor="text1"/>
          <w:lang w:val="es-ES"/>
        </w:rPr>
        <w:t xml:space="preserve"> presenta los flujos de beneficios y costos consolidados del componente energético. Del mismo modo, la </w:t>
      </w:r>
      <w:r>
        <w:rPr>
          <w:bCs/>
          <w:color w:val="000000" w:themeColor="text1"/>
          <w:lang w:val="es-ES"/>
        </w:rPr>
        <w:fldChar w:fldCharType="begin"/>
      </w:r>
      <w:r>
        <w:rPr>
          <w:bCs/>
          <w:color w:val="000000" w:themeColor="text1"/>
          <w:lang w:val="es-ES"/>
        </w:rPr>
        <w:instrText xml:space="preserve"> REF _Ref481316449 \h </w:instrText>
      </w:r>
      <w:r>
        <w:rPr>
          <w:bCs/>
          <w:color w:val="000000" w:themeColor="text1"/>
          <w:lang w:val="es-ES"/>
        </w:rPr>
      </w:r>
      <w:r>
        <w:rPr>
          <w:bCs/>
          <w:color w:val="000000" w:themeColor="text1"/>
          <w:lang w:val="es-ES"/>
        </w:rPr>
        <w:fldChar w:fldCharType="separate"/>
      </w:r>
      <w:r w:rsidRPr="008C12BC">
        <w:rPr>
          <w:b/>
        </w:rPr>
        <w:t xml:space="preserve">Tabla </w:t>
      </w:r>
      <w:r>
        <w:rPr>
          <w:b/>
          <w:noProof/>
        </w:rPr>
        <w:t>27</w:t>
      </w:r>
      <w:r>
        <w:rPr>
          <w:bCs/>
          <w:color w:val="000000" w:themeColor="text1"/>
          <w:lang w:val="es-ES"/>
        </w:rPr>
        <w:fldChar w:fldCharType="end"/>
      </w:r>
      <w:r>
        <w:rPr>
          <w:bCs/>
          <w:color w:val="000000" w:themeColor="text1"/>
          <w:lang w:val="es-ES"/>
        </w:rPr>
        <w:t xml:space="preserve"> resume los</w:t>
      </w:r>
      <w:r w:rsidRPr="00AD5346">
        <w:rPr>
          <w:bCs/>
          <w:color w:val="000000" w:themeColor="text1"/>
          <w:lang w:val="es-ES"/>
        </w:rPr>
        <w:t xml:space="preserve"> resultados obtenidos </w:t>
      </w:r>
      <w:r>
        <w:rPr>
          <w:bCs/>
          <w:color w:val="000000" w:themeColor="text1"/>
          <w:lang w:val="es-ES"/>
        </w:rPr>
        <w:t xml:space="preserve">en VPN </w:t>
      </w:r>
      <w:r w:rsidRPr="00AD5346">
        <w:rPr>
          <w:bCs/>
          <w:color w:val="000000" w:themeColor="text1"/>
          <w:lang w:val="es-ES"/>
        </w:rPr>
        <w:t>de la evaluación económica para cada</w:t>
      </w:r>
      <w:r>
        <w:rPr>
          <w:bCs/>
          <w:color w:val="000000" w:themeColor="text1"/>
          <w:lang w:val="es-ES"/>
        </w:rPr>
        <w:t xml:space="preserve"> área de enfoque, siendo las medidas de EE las que más impacto y beneficio neto tienen.</w:t>
      </w:r>
    </w:p>
    <w:p w14:paraId="09CC9346" w14:textId="77777777" w:rsidR="00B54F4E" w:rsidRDefault="00B54F4E" w:rsidP="00B54F4E">
      <w:r>
        <w:t>Como se puede observar, s</w:t>
      </w:r>
      <w:r w:rsidRPr="009851A2">
        <w:t xml:space="preserve">i bien el indicador de VPN del beneficio neto es </w:t>
      </w:r>
      <w:r>
        <w:t>positivo</w:t>
      </w:r>
      <w:r w:rsidRPr="009851A2">
        <w:t xml:space="preserve">, la TIR </w:t>
      </w:r>
      <w:r>
        <w:t>a nivel consolidado es indeterminada</w:t>
      </w:r>
      <w:r w:rsidRPr="009851A2">
        <w:t xml:space="preserve"> </w:t>
      </w:r>
      <w:r>
        <w:t>a</w:t>
      </w:r>
      <w:r w:rsidRPr="009851A2">
        <w:t xml:space="preserve"> la naturaleza de los supuestos y </w:t>
      </w:r>
      <w:r>
        <w:t xml:space="preserve">la información disponible. Por ejemplo, como ya se explicó, para la incorporación del GN, los precios de mercado ya incorporan todos los costos, y en el caso de algunas medidas de eficiencia </w:t>
      </w:r>
      <w:r>
        <w:lastRenderedPageBreak/>
        <w:t>energética relacionadas con el diseño de nuevas construcciones, no existe un costo de inversión asociado a las mismas.</w:t>
      </w:r>
    </w:p>
    <w:p w14:paraId="083A8986" w14:textId="77777777" w:rsidR="00B54F4E" w:rsidRPr="009851A2" w:rsidRDefault="00B54F4E" w:rsidP="00B54F4E">
      <w:pPr>
        <w:jc w:val="center"/>
        <w:rPr>
          <w:bCs/>
          <w:color w:val="000000" w:themeColor="text1"/>
        </w:rPr>
      </w:pPr>
      <w:bookmarkStart w:id="126" w:name="_Ref484086085"/>
      <w:bookmarkStart w:id="127" w:name="_Toc484097066"/>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26</w:t>
      </w:r>
      <w:r w:rsidRPr="008C12BC">
        <w:rPr>
          <w:b/>
        </w:rPr>
        <w:fldChar w:fldCharType="end"/>
      </w:r>
      <w:bookmarkEnd w:id="126"/>
      <w:r>
        <w:rPr>
          <w:b/>
        </w:rPr>
        <w:t xml:space="preserve"> – Flujo consolidado del</w:t>
      </w:r>
      <w:r w:rsidRPr="009851A2">
        <w:rPr>
          <w:b/>
        </w:rPr>
        <w:t xml:space="preserve"> componente de desarrollo de una matriz energética social y ambientalmente sostenible</w:t>
      </w:r>
      <w:bookmarkEnd w:id="127"/>
    </w:p>
    <w:tbl>
      <w:tblPr>
        <w:tblW w:w="5000" w:type="pct"/>
        <w:tblCellMar>
          <w:top w:w="15" w:type="dxa"/>
          <w:left w:w="70" w:type="dxa"/>
          <w:bottom w:w="15" w:type="dxa"/>
          <w:right w:w="70" w:type="dxa"/>
        </w:tblCellMar>
        <w:tblLook w:val="04A0" w:firstRow="1" w:lastRow="0" w:firstColumn="1" w:lastColumn="0" w:noHBand="0" w:noVBand="1"/>
      </w:tblPr>
      <w:tblGrid>
        <w:gridCol w:w="3268"/>
        <w:gridCol w:w="983"/>
        <w:gridCol w:w="501"/>
        <w:gridCol w:w="501"/>
        <w:gridCol w:w="502"/>
        <w:gridCol w:w="502"/>
        <w:gridCol w:w="503"/>
        <w:gridCol w:w="503"/>
        <w:gridCol w:w="503"/>
        <w:gridCol w:w="608"/>
        <w:gridCol w:w="459"/>
      </w:tblGrid>
      <w:tr w:rsidR="00B54F4E" w:rsidRPr="009851A2" w14:paraId="78427721" w14:textId="77777777" w:rsidTr="006504C4">
        <w:trPr>
          <w:trHeight w:val="227"/>
        </w:trPr>
        <w:tc>
          <w:tcPr>
            <w:tcW w:w="1850" w:type="pct"/>
            <w:tcBorders>
              <w:top w:val="nil"/>
              <w:left w:val="nil"/>
              <w:bottom w:val="single" w:sz="4" w:space="0" w:color="auto"/>
              <w:right w:val="nil"/>
            </w:tcBorders>
            <w:noWrap/>
            <w:vAlign w:val="bottom"/>
            <w:hideMark/>
          </w:tcPr>
          <w:p w14:paraId="48BA89C9" w14:textId="77777777" w:rsidR="00B54F4E" w:rsidRPr="009851A2" w:rsidRDefault="00B54F4E" w:rsidP="006504C4">
            <w:pPr>
              <w:spacing w:before="0" w:after="0"/>
              <w:jc w:val="left"/>
              <w:rPr>
                <w:rFonts w:ascii="Times New Roman" w:hAnsi="Times New Roman"/>
                <w:sz w:val="14"/>
                <w:szCs w:val="14"/>
                <w:lang w:eastAsia="es-CO"/>
              </w:rPr>
            </w:pPr>
          </w:p>
        </w:tc>
        <w:tc>
          <w:tcPr>
            <w:tcW w:w="556" w:type="pct"/>
            <w:tcBorders>
              <w:top w:val="single" w:sz="4" w:space="0" w:color="FFFFFF"/>
              <w:left w:val="nil"/>
              <w:bottom w:val="single" w:sz="4" w:space="0" w:color="auto"/>
              <w:right w:val="single" w:sz="4" w:space="0" w:color="FFFFFF"/>
            </w:tcBorders>
            <w:shd w:val="clear" w:color="000000" w:fill="203764"/>
            <w:noWrap/>
            <w:vAlign w:val="bottom"/>
            <w:hideMark/>
          </w:tcPr>
          <w:p w14:paraId="3744AF06"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2016</w:t>
            </w:r>
          </w:p>
        </w:tc>
        <w:tc>
          <w:tcPr>
            <w:tcW w:w="284"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60FB4C33"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2017</w:t>
            </w:r>
          </w:p>
        </w:tc>
        <w:tc>
          <w:tcPr>
            <w:tcW w:w="284"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23A72442"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2018</w:t>
            </w:r>
          </w:p>
        </w:tc>
        <w:tc>
          <w:tcPr>
            <w:tcW w:w="284"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5E26C8BF"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2019</w:t>
            </w:r>
          </w:p>
        </w:tc>
        <w:tc>
          <w:tcPr>
            <w:tcW w:w="284"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10F04040"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2020</w:t>
            </w:r>
          </w:p>
        </w:tc>
        <w:tc>
          <w:tcPr>
            <w:tcW w:w="285"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6BDD8A33"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2021</w:t>
            </w:r>
          </w:p>
        </w:tc>
        <w:tc>
          <w:tcPr>
            <w:tcW w:w="285"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2D0BB426"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2022</w:t>
            </w:r>
          </w:p>
        </w:tc>
        <w:tc>
          <w:tcPr>
            <w:tcW w:w="285"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350AE5C1"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2023</w:t>
            </w:r>
          </w:p>
        </w:tc>
        <w:tc>
          <w:tcPr>
            <w:tcW w:w="344"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7E1CEFAE"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2024</w:t>
            </w:r>
          </w:p>
        </w:tc>
        <w:tc>
          <w:tcPr>
            <w:tcW w:w="260"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3723ECDC" w14:textId="77777777" w:rsidR="00B54F4E" w:rsidRPr="009851A2" w:rsidRDefault="00B54F4E" w:rsidP="006504C4">
            <w:pPr>
              <w:spacing w:before="0" w:after="0"/>
              <w:jc w:val="center"/>
              <w:rPr>
                <w:rFonts w:ascii="Calibri" w:hAnsi="Calibri" w:cs="Calibri"/>
                <w:color w:val="FFFFFF"/>
                <w:sz w:val="14"/>
                <w:szCs w:val="14"/>
                <w:lang w:eastAsia="es-CO"/>
              </w:rPr>
            </w:pPr>
            <w:r w:rsidRPr="009851A2">
              <w:rPr>
                <w:rFonts w:ascii="Calibri" w:hAnsi="Calibri" w:cs="Calibri"/>
                <w:color w:val="FFFFFF"/>
                <w:sz w:val="14"/>
                <w:szCs w:val="14"/>
                <w:lang w:eastAsia="es-CO"/>
              </w:rPr>
              <w:t>2025</w:t>
            </w:r>
          </w:p>
        </w:tc>
      </w:tr>
      <w:tr w:rsidR="00B54F4E" w:rsidRPr="009851A2" w14:paraId="4B57F033" w14:textId="77777777" w:rsidTr="006504C4">
        <w:trPr>
          <w:trHeight w:val="227"/>
        </w:trPr>
        <w:tc>
          <w:tcPr>
            <w:tcW w:w="1850" w:type="pct"/>
            <w:tcBorders>
              <w:top w:val="nil"/>
              <w:left w:val="nil"/>
              <w:bottom w:val="nil"/>
              <w:right w:val="nil"/>
            </w:tcBorders>
            <w:noWrap/>
            <w:vAlign w:val="bottom"/>
            <w:hideMark/>
          </w:tcPr>
          <w:p w14:paraId="28E12A92" w14:textId="77777777" w:rsidR="00B54F4E" w:rsidRPr="009851A2" w:rsidRDefault="00B54F4E" w:rsidP="006504C4">
            <w:pPr>
              <w:spacing w:before="0" w:after="0"/>
              <w:jc w:val="left"/>
              <w:rPr>
                <w:rFonts w:ascii="Calibri" w:hAnsi="Calibri" w:cs="Calibri"/>
                <w:b/>
                <w:bCs/>
                <w:color w:val="000000"/>
                <w:sz w:val="14"/>
                <w:szCs w:val="14"/>
                <w:lang w:eastAsia="es-CO"/>
              </w:rPr>
            </w:pPr>
            <w:r w:rsidRPr="009851A2">
              <w:rPr>
                <w:rFonts w:ascii="Calibri" w:hAnsi="Calibri" w:cs="Calibri"/>
                <w:b/>
                <w:bCs/>
                <w:color w:val="000000"/>
                <w:sz w:val="14"/>
                <w:szCs w:val="14"/>
                <w:lang w:eastAsia="es-CO"/>
              </w:rPr>
              <w:t>Beneficios</w:t>
            </w:r>
            <w:r>
              <w:rPr>
                <w:rFonts w:ascii="Calibri" w:hAnsi="Calibri" w:cs="Calibri"/>
                <w:b/>
                <w:bCs/>
                <w:color w:val="000000"/>
                <w:sz w:val="14"/>
                <w:szCs w:val="14"/>
                <w:lang w:eastAsia="es-CO"/>
              </w:rPr>
              <w:t xml:space="preserve"> (2)</w:t>
            </w:r>
          </w:p>
        </w:tc>
        <w:tc>
          <w:tcPr>
            <w:tcW w:w="556" w:type="pct"/>
            <w:tcBorders>
              <w:top w:val="nil"/>
              <w:left w:val="nil"/>
              <w:bottom w:val="nil"/>
              <w:right w:val="nil"/>
            </w:tcBorders>
            <w:noWrap/>
            <w:vAlign w:val="bottom"/>
            <w:hideMark/>
          </w:tcPr>
          <w:p w14:paraId="612AE6FF" w14:textId="77777777" w:rsidR="00B54F4E" w:rsidRPr="009851A2" w:rsidRDefault="00B54F4E" w:rsidP="006504C4">
            <w:pPr>
              <w:spacing w:before="0" w:after="0"/>
              <w:jc w:val="left"/>
              <w:rPr>
                <w:rFonts w:ascii="Calibri" w:hAnsi="Calibri" w:cs="Calibri"/>
                <w:b/>
                <w:bCs/>
                <w:color w:val="000000"/>
                <w:sz w:val="14"/>
                <w:szCs w:val="14"/>
                <w:lang w:eastAsia="es-CO"/>
              </w:rPr>
            </w:pPr>
          </w:p>
        </w:tc>
        <w:tc>
          <w:tcPr>
            <w:tcW w:w="284" w:type="pct"/>
            <w:tcBorders>
              <w:top w:val="nil"/>
              <w:left w:val="nil"/>
              <w:bottom w:val="nil"/>
              <w:right w:val="nil"/>
            </w:tcBorders>
            <w:noWrap/>
            <w:vAlign w:val="bottom"/>
            <w:hideMark/>
          </w:tcPr>
          <w:p w14:paraId="45ECBB2C"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25D56E76"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07FB78CA"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5555A1A4"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5126FCA0"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5FB65D1D"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721F1D50" w14:textId="77777777" w:rsidR="00B54F4E" w:rsidRPr="009851A2" w:rsidRDefault="00B54F4E" w:rsidP="006504C4">
            <w:pPr>
              <w:spacing w:before="0" w:after="0"/>
              <w:jc w:val="left"/>
              <w:rPr>
                <w:rFonts w:ascii="Times New Roman" w:hAnsi="Times New Roman"/>
                <w:sz w:val="14"/>
                <w:szCs w:val="14"/>
                <w:lang w:eastAsia="es-CO"/>
              </w:rPr>
            </w:pPr>
          </w:p>
        </w:tc>
        <w:tc>
          <w:tcPr>
            <w:tcW w:w="344" w:type="pct"/>
            <w:tcBorders>
              <w:top w:val="nil"/>
              <w:left w:val="nil"/>
              <w:bottom w:val="nil"/>
              <w:right w:val="nil"/>
            </w:tcBorders>
            <w:noWrap/>
            <w:vAlign w:val="bottom"/>
            <w:hideMark/>
          </w:tcPr>
          <w:p w14:paraId="2EB488F7" w14:textId="77777777" w:rsidR="00B54F4E" w:rsidRPr="009851A2" w:rsidRDefault="00B54F4E" w:rsidP="006504C4">
            <w:pPr>
              <w:spacing w:before="0" w:after="0"/>
              <w:jc w:val="left"/>
              <w:rPr>
                <w:rFonts w:ascii="Times New Roman" w:hAnsi="Times New Roman"/>
                <w:sz w:val="14"/>
                <w:szCs w:val="14"/>
                <w:lang w:eastAsia="es-CO"/>
              </w:rPr>
            </w:pPr>
          </w:p>
        </w:tc>
        <w:tc>
          <w:tcPr>
            <w:tcW w:w="260" w:type="pct"/>
            <w:tcBorders>
              <w:top w:val="nil"/>
              <w:left w:val="nil"/>
              <w:bottom w:val="nil"/>
              <w:right w:val="nil"/>
            </w:tcBorders>
            <w:noWrap/>
            <w:vAlign w:val="bottom"/>
            <w:hideMark/>
          </w:tcPr>
          <w:p w14:paraId="5EF72BCB" w14:textId="77777777" w:rsidR="00B54F4E" w:rsidRPr="009851A2" w:rsidRDefault="00B54F4E" w:rsidP="006504C4">
            <w:pPr>
              <w:spacing w:before="0" w:after="0"/>
              <w:jc w:val="left"/>
              <w:rPr>
                <w:rFonts w:ascii="Times New Roman" w:hAnsi="Times New Roman"/>
                <w:sz w:val="14"/>
                <w:szCs w:val="14"/>
                <w:lang w:eastAsia="es-CO"/>
              </w:rPr>
            </w:pPr>
          </w:p>
        </w:tc>
      </w:tr>
      <w:tr w:rsidR="00B54F4E" w:rsidRPr="009851A2" w14:paraId="2182DC39" w14:textId="77777777" w:rsidTr="006504C4">
        <w:trPr>
          <w:trHeight w:val="227"/>
        </w:trPr>
        <w:tc>
          <w:tcPr>
            <w:tcW w:w="1850" w:type="pct"/>
            <w:tcBorders>
              <w:top w:val="nil"/>
              <w:left w:val="nil"/>
              <w:bottom w:val="nil"/>
              <w:right w:val="nil"/>
            </w:tcBorders>
            <w:noWrap/>
            <w:vAlign w:val="bottom"/>
            <w:hideMark/>
          </w:tcPr>
          <w:p w14:paraId="07A6AC1F"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Beneficios por desarrollo de ER</w:t>
            </w:r>
          </w:p>
        </w:tc>
        <w:tc>
          <w:tcPr>
            <w:tcW w:w="556" w:type="pct"/>
            <w:tcBorders>
              <w:top w:val="nil"/>
              <w:left w:val="nil"/>
              <w:bottom w:val="nil"/>
              <w:right w:val="nil"/>
            </w:tcBorders>
            <w:noWrap/>
            <w:vAlign w:val="bottom"/>
            <w:hideMark/>
          </w:tcPr>
          <w:p w14:paraId="2025E1B4"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685071F5"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-0,8</w:t>
            </w:r>
          </w:p>
        </w:tc>
        <w:tc>
          <w:tcPr>
            <w:tcW w:w="284" w:type="pct"/>
            <w:tcBorders>
              <w:top w:val="nil"/>
              <w:left w:val="nil"/>
              <w:bottom w:val="nil"/>
              <w:right w:val="nil"/>
            </w:tcBorders>
            <w:noWrap/>
            <w:vAlign w:val="bottom"/>
            <w:hideMark/>
          </w:tcPr>
          <w:p w14:paraId="7130AD5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0,7</w:t>
            </w:r>
          </w:p>
        </w:tc>
        <w:tc>
          <w:tcPr>
            <w:tcW w:w="284" w:type="pct"/>
            <w:tcBorders>
              <w:top w:val="nil"/>
              <w:left w:val="nil"/>
              <w:bottom w:val="nil"/>
              <w:right w:val="nil"/>
            </w:tcBorders>
            <w:noWrap/>
            <w:vAlign w:val="bottom"/>
            <w:hideMark/>
          </w:tcPr>
          <w:p w14:paraId="73773E5E"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0,5</w:t>
            </w:r>
          </w:p>
        </w:tc>
        <w:tc>
          <w:tcPr>
            <w:tcW w:w="284" w:type="pct"/>
            <w:tcBorders>
              <w:top w:val="nil"/>
              <w:left w:val="nil"/>
              <w:bottom w:val="nil"/>
              <w:right w:val="nil"/>
            </w:tcBorders>
            <w:noWrap/>
            <w:vAlign w:val="bottom"/>
            <w:hideMark/>
          </w:tcPr>
          <w:p w14:paraId="40A092E9"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13,0</w:t>
            </w:r>
          </w:p>
        </w:tc>
        <w:tc>
          <w:tcPr>
            <w:tcW w:w="285" w:type="pct"/>
            <w:tcBorders>
              <w:top w:val="nil"/>
              <w:left w:val="nil"/>
              <w:bottom w:val="nil"/>
              <w:right w:val="nil"/>
            </w:tcBorders>
            <w:noWrap/>
            <w:vAlign w:val="bottom"/>
            <w:hideMark/>
          </w:tcPr>
          <w:p w14:paraId="6B30CABC"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16,6</w:t>
            </w:r>
          </w:p>
        </w:tc>
        <w:tc>
          <w:tcPr>
            <w:tcW w:w="285" w:type="pct"/>
            <w:tcBorders>
              <w:top w:val="nil"/>
              <w:left w:val="nil"/>
              <w:bottom w:val="nil"/>
              <w:right w:val="nil"/>
            </w:tcBorders>
            <w:noWrap/>
            <w:vAlign w:val="bottom"/>
            <w:hideMark/>
          </w:tcPr>
          <w:p w14:paraId="49DE832F"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37,8</w:t>
            </w:r>
          </w:p>
        </w:tc>
        <w:tc>
          <w:tcPr>
            <w:tcW w:w="285" w:type="pct"/>
            <w:tcBorders>
              <w:top w:val="nil"/>
              <w:left w:val="nil"/>
              <w:bottom w:val="nil"/>
              <w:right w:val="nil"/>
            </w:tcBorders>
            <w:noWrap/>
            <w:vAlign w:val="bottom"/>
            <w:hideMark/>
          </w:tcPr>
          <w:p w14:paraId="785B89B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50,2</w:t>
            </w:r>
          </w:p>
        </w:tc>
        <w:tc>
          <w:tcPr>
            <w:tcW w:w="344" w:type="pct"/>
            <w:tcBorders>
              <w:top w:val="nil"/>
              <w:left w:val="nil"/>
              <w:bottom w:val="nil"/>
              <w:right w:val="nil"/>
            </w:tcBorders>
            <w:noWrap/>
            <w:vAlign w:val="bottom"/>
            <w:hideMark/>
          </w:tcPr>
          <w:p w14:paraId="6ABE79E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118,5</w:t>
            </w:r>
          </w:p>
        </w:tc>
        <w:tc>
          <w:tcPr>
            <w:tcW w:w="260" w:type="pct"/>
            <w:tcBorders>
              <w:top w:val="nil"/>
              <w:left w:val="nil"/>
              <w:bottom w:val="nil"/>
              <w:right w:val="nil"/>
            </w:tcBorders>
            <w:noWrap/>
            <w:vAlign w:val="bottom"/>
            <w:hideMark/>
          </w:tcPr>
          <w:p w14:paraId="2856B5A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119,5</w:t>
            </w:r>
          </w:p>
        </w:tc>
      </w:tr>
      <w:tr w:rsidR="00B54F4E" w:rsidRPr="009851A2" w14:paraId="6A40942C" w14:textId="77777777" w:rsidTr="006504C4">
        <w:trPr>
          <w:trHeight w:val="227"/>
        </w:trPr>
        <w:tc>
          <w:tcPr>
            <w:tcW w:w="1850" w:type="pct"/>
            <w:tcBorders>
              <w:top w:val="nil"/>
              <w:left w:val="nil"/>
              <w:bottom w:val="nil"/>
              <w:right w:val="nil"/>
            </w:tcBorders>
            <w:noWrap/>
            <w:vAlign w:val="bottom"/>
            <w:hideMark/>
          </w:tcPr>
          <w:p w14:paraId="34473E6A"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Beneficios por introducción de GN al sector eléctrico</w:t>
            </w:r>
          </w:p>
        </w:tc>
        <w:tc>
          <w:tcPr>
            <w:tcW w:w="556" w:type="pct"/>
            <w:tcBorders>
              <w:top w:val="nil"/>
              <w:left w:val="nil"/>
              <w:bottom w:val="nil"/>
              <w:right w:val="nil"/>
            </w:tcBorders>
            <w:noWrap/>
            <w:vAlign w:val="bottom"/>
            <w:hideMark/>
          </w:tcPr>
          <w:p w14:paraId="2C323BD4"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1E2E0D4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67BF5D43"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19,8</w:t>
            </w:r>
          </w:p>
        </w:tc>
        <w:tc>
          <w:tcPr>
            <w:tcW w:w="284" w:type="pct"/>
            <w:tcBorders>
              <w:top w:val="nil"/>
              <w:left w:val="nil"/>
              <w:bottom w:val="nil"/>
              <w:right w:val="nil"/>
            </w:tcBorders>
            <w:noWrap/>
            <w:vAlign w:val="bottom"/>
            <w:hideMark/>
          </w:tcPr>
          <w:p w14:paraId="3369CDB3"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19,8</w:t>
            </w:r>
          </w:p>
        </w:tc>
        <w:tc>
          <w:tcPr>
            <w:tcW w:w="284" w:type="pct"/>
            <w:tcBorders>
              <w:top w:val="nil"/>
              <w:left w:val="nil"/>
              <w:bottom w:val="nil"/>
              <w:right w:val="nil"/>
            </w:tcBorders>
            <w:noWrap/>
            <w:vAlign w:val="bottom"/>
            <w:hideMark/>
          </w:tcPr>
          <w:p w14:paraId="7D051740"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37,5</w:t>
            </w:r>
          </w:p>
        </w:tc>
        <w:tc>
          <w:tcPr>
            <w:tcW w:w="285" w:type="pct"/>
            <w:tcBorders>
              <w:top w:val="nil"/>
              <w:left w:val="nil"/>
              <w:bottom w:val="nil"/>
              <w:right w:val="nil"/>
            </w:tcBorders>
            <w:noWrap/>
            <w:vAlign w:val="bottom"/>
            <w:hideMark/>
          </w:tcPr>
          <w:p w14:paraId="475A008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37,5</w:t>
            </w:r>
          </w:p>
        </w:tc>
        <w:tc>
          <w:tcPr>
            <w:tcW w:w="285" w:type="pct"/>
            <w:tcBorders>
              <w:top w:val="nil"/>
              <w:left w:val="nil"/>
              <w:bottom w:val="nil"/>
              <w:right w:val="nil"/>
            </w:tcBorders>
            <w:noWrap/>
            <w:vAlign w:val="bottom"/>
            <w:hideMark/>
          </w:tcPr>
          <w:p w14:paraId="62D38593"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37,5</w:t>
            </w:r>
          </w:p>
        </w:tc>
        <w:tc>
          <w:tcPr>
            <w:tcW w:w="285" w:type="pct"/>
            <w:tcBorders>
              <w:top w:val="nil"/>
              <w:left w:val="nil"/>
              <w:bottom w:val="nil"/>
              <w:right w:val="nil"/>
            </w:tcBorders>
            <w:noWrap/>
            <w:vAlign w:val="bottom"/>
            <w:hideMark/>
          </w:tcPr>
          <w:p w14:paraId="67B83144"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37,5</w:t>
            </w:r>
          </w:p>
        </w:tc>
        <w:tc>
          <w:tcPr>
            <w:tcW w:w="344" w:type="pct"/>
            <w:tcBorders>
              <w:top w:val="nil"/>
              <w:left w:val="nil"/>
              <w:bottom w:val="nil"/>
              <w:right w:val="nil"/>
            </w:tcBorders>
            <w:noWrap/>
            <w:vAlign w:val="bottom"/>
            <w:hideMark/>
          </w:tcPr>
          <w:p w14:paraId="2046E7E1"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37,5</w:t>
            </w:r>
          </w:p>
        </w:tc>
        <w:tc>
          <w:tcPr>
            <w:tcW w:w="260" w:type="pct"/>
            <w:tcBorders>
              <w:top w:val="nil"/>
              <w:left w:val="nil"/>
              <w:bottom w:val="nil"/>
              <w:right w:val="nil"/>
            </w:tcBorders>
            <w:noWrap/>
            <w:vAlign w:val="bottom"/>
            <w:hideMark/>
          </w:tcPr>
          <w:p w14:paraId="5B3A64F9"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37,5</w:t>
            </w:r>
          </w:p>
        </w:tc>
      </w:tr>
      <w:tr w:rsidR="00B54F4E" w:rsidRPr="009851A2" w14:paraId="2EC3B15D" w14:textId="77777777" w:rsidTr="006504C4">
        <w:trPr>
          <w:trHeight w:val="227"/>
        </w:trPr>
        <w:tc>
          <w:tcPr>
            <w:tcW w:w="1850" w:type="pct"/>
            <w:tcBorders>
              <w:top w:val="nil"/>
              <w:left w:val="nil"/>
              <w:bottom w:val="single" w:sz="4" w:space="0" w:color="auto"/>
              <w:right w:val="nil"/>
            </w:tcBorders>
            <w:noWrap/>
            <w:vAlign w:val="bottom"/>
            <w:hideMark/>
          </w:tcPr>
          <w:p w14:paraId="4A815585"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Beneficios por implementación de medidas de EE</w:t>
            </w:r>
          </w:p>
        </w:tc>
        <w:tc>
          <w:tcPr>
            <w:tcW w:w="556" w:type="pct"/>
            <w:tcBorders>
              <w:top w:val="nil"/>
              <w:left w:val="nil"/>
              <w:bottom w:val="nil"/>
              <w:right w:val="nil"/>
            </w:tcBorders>
            <w:noWrap/>
            <w:vAlign w:val="bottom"/>
            <w:hideMark/>
          </w:tcPr>
          <w:p w14:paraId="5EBA9A9E"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6,2</w:t>
            </w:r>
          </w:p>
        </w:tc>
        <w:tc>
          <w:tcPr>
            <w:tcW w:w="284" w:type="pct"/>
            <w:tcBorders>
              <w:top w:val="nil"/>
              <w:left w:val="nil"/>
              <w:bottom w:val="nil"/>
              <w:right w:val="nil"/>
            </w:tcBorders>
            <w:noWrap/>
            <w:vAlign w:val="bottom"/>
            <w:hideMark/>
          </w:tcPr>
          <w:p w14:paraId="37CA8E4B"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28,1</w:t>
            </w:r>
          </w:p>
        </w:tc>
        <w:tc>
          <w:tcPr>
            <w:tcW w:w="284" w:type="pct"/>
            <w:tcBorders>
              <w:top w:val="nil"/>
              <w:left w:val="nil"/>
              <w:bottom w:val="nil"/>
              <w:right w:val="nil"/>
            </w:tcBorders>
            <w:noWrap/>
            <w:vAlign w:val="bottom"/>
            <w:hideMark/>
          </w:tcPr>
          <w:p w14:paraId="70C1A67D"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49,5</w:t>
            </w:r>
          </w:p>
        </w:tc>
        <w:tc>
          <w:tcPr>
            <w:tcW w:w="284" w:type="pct"/>
            <w:tcBorders>
              <w:top w:val="nil"/>
              <w:left w:val="nil"/>
              <w:bottom w:val="nil"/>
              <w:right w:val="nil"/>
            </w:tcBorders>
            <w:noWrap/>
            <w:vAlign w:val="bottom"/>
            <w:hideMark/>
          </w:tcPr>
          <w:p w14:paraId="501D020B"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73,0</w:t>
            </w:r>
          </w:p>
        </w:tc>
        <w:tc>
          <w:tcPr>
            <w:tcW w:w="284" w:type="pct"/>
            <w:tcBorders>
              <w:top w:val="nil"/>
              <w:left w:val="nil"/>
              <w:bottom w:val="nil"/>
              <w:right w:val="nil"/>
            </w:tcBorders>
            <w:noWrap/>
            <w:vAlign w:val="bottom"/>
            <w:hideMark/>
          </w:tcPr>
          <w:p w14:paraId="03E44AEC"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932,5</w:t>
            </w:r>
          </w:p>
        </w:tc>
        <w:tc>
          <w:tcPr>
            <w:tcW w:w="285" w:type="pct"/>
            <w:tcBorders>
              <w:top w:val="nil"/>
              <w:left w:val="nil"/>
              <w:bottom w:val="nil"/>
              <w:right w:val="nil"/>
            </w:tcBorders>
            <w:noWrap/>
            <w:vAlign w:val="bottom"/>
            <w:hideMark/>
          </w:tcPr>
          <w:p w14:paraId="681AFAED"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124,4</w:t>
            </w:r>
          </w:p>
        </w:tc>
        <w:tc>
          <w:tcPr>
            <w:tcW w:w="285" w:type="pct"/>
            <w:tcBorders>
              <w:top w:val="nil"/>
              <w:left w:val="nil"/>
              <w:bottom w:val="nil"/>
              <w:right w:val="nil"/>
            </w:tcBorders>
            <w:noWrap/>
            <w:vAlign w:val="bottom"/>
            <w:hideMark/>
          </w:tcPr>
          <w:p w14:paraId="6E1942F7"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148,8</w:t>
            </w:r>
          </w:p>
        </w:tc>
        <w:tc>
          <w:tcPr>
            <w:tcW w:w="285" w:type="pct"/>
            <w:tcBorders>
              <w:top w:val="nil"/>
              <w:left w:val="nil"/>
              <w:bottom w:val="nil"/>
              <w:right w:val="nil"/>
            </w:tcBorders>
            <w:noWrap/>
            <w:vAlign w:val="bottom"/>
            <w:hideMark/>
          </w:tcPr>
          <w:p w14:paraId="5A2AFB0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173,3</w:t>
            </w:r>
          </w:p>
        </w:tc>
        <w:tc>
          <w:tcPr>
            <w:tcW w:w="344" w:type="pct"/>
            <w:tcBorders>
              <w:top w:val="nil"/>
              <w:left w:val="nil"/>
              <w:bottom w:val="nil"/>
              <w:right w:val="nil"/>
            </w:tcBorders>
            <w:noWrap/>
            <w:vAlign w:val="bottom"/>
            <w:hideMark/>
          </w:tcPr>
          <w:p w14:paraId="3DEC708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197,8</w:t>
            </w:r>
          </w:p>
        </w:tc>
        <w:tc>
          <w:tcPr>
            <w:tcW w:w="260" w:type="pct"/>
            <w:tcBorders>
              <w:top w:val="nil"/>
              <w:left w:val="nil"/>
              <w:bottom w:val="nil"/>
              <w:right w:val="nil"/>
            </w:tcBorders>
            <w:noWrap/>
            <w:vAlign w:val="bottom"/>
            <w:hideMark/>
          </w:tcPr>
          <w:p w14:paraId="32A63ECB"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230,7</w:t>
            </w:r>
          </w:p>
        </w:tc>
      </w:tr>
      <w:tr w:rsidR="00B54F4E" w:rsidRPr="009851A2" w14:paraId="3FF48F87" w14:textId="77777777" w:rsidTr="006504C4">
        <w:trPr>
          <w:trHeight w:val="227"/>
        </w:trPr>
        <w:tc>
          <w:tcPr>
            <w:tcW w:w="1850" w:type="pct"/>
            <w:tcBorders>
              <w:top w:val="single" w:sz="4" w:space="0" w:color="auto"/>
              <w:left w:val="nil"/>
              <w:bottom w:val="single" w:sz="4" w:space="0" w:color="auto"/>
              <w:right w:val="nil"/>
            </w:tcBorders>
            <w:noWrap/>
            <w:vAlign w:val="bottom"/>
            <w:hideMark/>
          </w:tcPr>
          <w:p w14:paraId="2477F86E"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Total Beneficios anuales ($USD Millones)</w:t>
            </w:r>
          </w:p>
        </w:tc>
        <w:tc>
          <w:tcPr>
            <w:tcW w:w="556" w:type="pct"/>
            <w:tcBorders>
              <w:top w:val="single" w:sz="4" w:space="0" w:color="auto"/>
              <w:left w:val="nil"/>
              <w:bottom w:val="single" w:sz="4" w:space="0" w:color="auto"/>
              <w:right w:val="nil"/>
            </w:tcBorders>
            <w:noWrap/>
            <w:vAlign w:val="bottom"/>
            <w:hideMark/>
          </w:tcPr>
          <w:p w14:paraId="29825DEB"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6,2</w:t>
            </w:r>
          </w:p>
        </w:tc>
        <w:tc>
          <w:tcPr>
            <w:tcW w:w="284" w:type="pct"/>
            <w:tcBorders>
              <w:top w:val="single" w:sz="4" w:space="0" w:color="auto"/>
              <w:left w:val="nil"/>
              <w:bottom w:val="single" w:sz="4" w:space="0" w:color="auto"/>
              <w:right w:val="nil"/>
            </w:tcBorders>
            <w:noWrap/>
            <w:vAlign w:val="bottom"/>
            <w:hideMark/>
          </w:tcPr>
          <w:p w14:paraId="0959BE91"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27,3</w:t>
            </w:r>
          </w:p>
        </w:tc>
        <w:tc>
          <w:tcPr>
            <w:tcW w:w="284" w:type="pct"/>
            <w:tcBorders>
              <w:top w:val="single" w:sz="4" w:space="0" w:color="auto"/>
              <w:left w:val="nil"/>
              <w:bottom w:val="single" w:sz="4" w:space="0" w:color="auto"/>
              <w:right w:val="nil"/>
            </w:tcBorders>
            <w:noWrap/>
            <w:vAlign w:val="bottom"/>
            <w:hideMark/>
          </w:tcPr>
          <w:p w14:paraId="52F06B0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70,1</w:t>
            </w:r>
          </w:p>
        </w:tc>
        <w:tc>
          <w:tcPr>
            <w:tcW w:w="284" w:type="pct"/>
            <w:tcBorders>
              <w:top w:val="single" w:sz="4" w:space="0" w:color="auto"/>
              <w:left w:val="nil"/>
              <w:bottom w:val="single" w:sz="4" w:space="0" w:color="auto"/>
              <w:right w:val="nil"/>
            </w:tcBorders>
            <w:noWrap/>
            <w:vAlign w:val="bottom"/>
            <w:hideMark/>
          </w:tcPr>
          <w:p w14:paraId="6C461D9D"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93,4</w:t>
            </w:r>
          </w:p>
        </w:tc>
        <w:tc>
          <w:tcPr>
            <w:tcW w:w="284" w:type="pct"/>
            <w:tcBorders>
              <w:top w:val="single" w:sz="4" w:space="0" w:color="auto"/>
              <w:left w:val="nil"/>
              <w:bottom w:val="single" w:sz="4" w:space="0" w:color="auto"/>
              <w:right w:val="nil"/>
            </w:tcBorders>
            <w:noWrap/>
            <w:vAlign w:val="bottom"/>
            <w:hideMark/>
          </w:tcPr>
          <w:p w14:paraId="58EB13D5"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983,1</w:t>
            </w:r>
          </w:p>
        </w:tc>
        <w:tc>
          <w:tcPr>
            <w:tcW w:w="285" w:type="pct"/>
            <w:tcBorders>
              <w:top w:val="single" w:sz="4" w:space="0" w:color="auto"/>
              <w:left w:val="nil"/>
              <w:bottom w:val="single" w:sz="4" w:space="0" w:color="auto"/>
              <w:right w:val="nil"/>
            </w:tcBorders>
            <w:noWrap/>
            <w:vAlign w:val="bottom"/>
            <w:hideMark/>
          </w:tcPr>
          <w:p w14:paraId="4D64BFB3"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178,6</w:t>
            </w:r>
          </w:p>
        </w:tc>
        <w:tc>
          <w:tcPr>
            <w:tcW w:w="285" w:type="pct"/>
            <w:tcBorders>
              <w:top w:val="single" w:sz="4" w:space="0" w:color="auto"/>
              <w:left w:val="nil"/>
              <w:bottom w:val="single" w:sz="4" w:space="0" w:color="auto"/>
              <w:right w:val="nil"/>
            </w:tcBorders>
            <w:noWrap/>
            <w:vAlign w:val="bottom"/>
            <w:hideMark/>
          </w:tcPr>
          <w:p w14:paraId="2D1B1064"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224,2</w:t>
            </w:r>
          </w:p>
        </w:tc>
        <w:tc>
          <w:tcPr>
            <w:tcW w:w="285" w:type="pct"/>
            <w:tcBorders>
              <w:top w:val="single" w:sz="4" w:space="0" w:color="auto"/>
              <w:left w:val="nil"/>
              <w:bottom w:val="single" w:sz="4" w:space="0" w:color="auto"/>
              <w:right w:val="nil"/>
            </w:tcBorders>
            <w:noWrap/>
            <w:vAlign w:val="bottom"/>
            <w:hideMark/>
          </w:tcPr>
          <w:p w14:paraId="0250A86B"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261,0</w:t>
            </w:r>
          </w:p>
        </w:tc>
        <w:tc>
          <w:tcPr>
            <w:tcW w:w="344" w:type="pct"/>
            <w:tcBorders>
              <w:top w:val="single" w:sz="4" w:space="0" w:color="auto"/>
              <w:left w:val="nil"/>
              <w:bottom w:val="single" w:sz="4" w:space="0" w:color="auto"/>
              <w:right w:val="nil"/>
            </w:tcBorders>
            <w:noWrap/>
            <w:vAlign w:val="bottom"/>
            <w:hideMark/>
          </w:tcPr>
          <w:p w14:paraId="6B59CD69"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353,8</w:t>
            </w:r>
          </w:p>
        </w:tc>
        <w:tc>
          <w:tcPr>
            <w:tcW w:w="260" w:type="pct"/>
            <w:tcBorders>
              <w:top w:val="single" w:sz="4" w:space="0" w:color="auto"/>
              <w:left w:val="nil"/>
              <w:bottom w:val="single" w:sz="4" w:space="0" w:color="auto"/>
              <w:right w:val="nil"/>
            </w:tcBorders>
            <w:noWrap/>
            <w:vAlign w:val="bottom"/>
            <w:hideMark/>
          </w:tcPr>
          <w:p w14:paraId="6F2A2C5B"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387,7</w:t>
            </w:r>
          </w:p>
        </w:tc>
      </w:tr>
      <w:tr w:rsidR="00B54F4E" w:rsidRPr="009851A2" w14:paraId="55914D45" w14:textId="77777777" w:rsidTr="006504C4">
        <w:trPr>
          <w:trHeight w:val="227"/>
        </w:trPr>
        <w:tc>
          <w:tcPr>
            <w:tcW w:w="1850" w:type="pct"/>
            <w:tcBorders>
              <w:top w:val="nil"/>
              <w:left w:val="nil"/>
              <w:bottom w:val="nil"/>
              <w:right w:val="nil"/>
            </w:tcBorders>
            <w:noWrap/>
            <w:vAlign w:val="bottom"/>
            <w:hideMark/>
          </w:tcPr>
          <w:p w14:paraId="2432FA3F" w14:textId="77777777" w:rsidR="00B54F4E" w:rsidRPr="009851A2" w:rsidRDefault="00B54F4E" w:rsidP="006504C4">
            <w:pPr>
              <w:spacing w:before="0" w:after="0"/>
              <w:jc w:val="left"/>
              <w:rPr>
                <w:rFonts w:ascii="Calibri" w:hAnsi="Calibri" w:cs="Calibri"/>
                <w:b/>
                <w:bCs/>
                <w:color w:val="000000"/>
                <w:sz w:val="14"/>
                <w:szCs w:val="14"/>
                <w:lang w:eastAsia="es-CO"/>
              </w:rPr>
            </w:pPr>
            <w:r w:rsidRPr="009851A2">
              <w:rPr>
                <w:rFonts w:ascii="Calibri" w:hAnsi="Calibri" w:cs="Calibri"/>
                <w:b/>
                <w:bCs/>
                <w:color w:val="000000"/>
                <w:sz w:val="14"/>
                <w:szCs w:val="14"/>
                <w:lang w:eastAsia="es-CO"/>
              </w:rPr>
              <w:t>Inversión y Costos</w:t>
            </w:r>
          </w:p>
        </w:tc>
        <w:tc>
          <w:tcPr>
            <w:tcW w:w="556" w:type="pct"/>
            <w:tcBorders>
              <w:top w:val="nil"/>
              <w:left w:val="nil"/>
              <w:bottom w:val="nil"/>
              <w:right w:val="nil"/>
            </w:tcBorders>
            <w:noWrap/>
            <w:vAlign w:val="bottom"/>
            <w:hideMark/>
          </w:tcPr>
          <w:p w14:paraId="52B7124F" w14:textId="77777777" w:rsidR="00B54F4E" w:rsidRPr="009851A2" w:rsidRDefault="00B54F4E" w:rsidP="006504C4">
            <w:pPr>
              <w:spacing w:before="0" w:after="0"/>
              <w:jc w:val="left"/>
              <w:rPr>
                <w:rFonts w:ascii="Calibri" w:hAnsi="Calibri" w:cs="Calibri"/>
                <w:b/>
                <w:bCs/>
                <w:color w:val="000000"/>
                <w:sz w:val="14"/>
                <w:szCs w:val="14"/>
                <w:lang w:eastAsia="es-CO"/>
              </w:rPr>
            </w:pPr>
          </w:p>
        </w:tc>
        <w:tc>
          <w:tcPr>
            <w:tcW w:w="284" w:type="pct"/>
            <w:tcBorders>
              <w:top w:val="nil"/>
              <w:left w:val="nil"/>
              <w:bottom w:val="nil"/>
              <w:right w:val="nil"/>
            </w:tcBorders>
            <w:noWrap/>
            <w:vAlign w:val="bottom"/>
            <w:hideMark/>
          </w:tcPr>
          <w:p w14:paraId="54464F38"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2859EE1D"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1D108F0D"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1F4CA843"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5ADFD134"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5769A0F0"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0A500A5B" w14:textId="77777777" w:rsidR="00B54F4E" w:rsidRPr="009851A2" w:rsidRDefault="00B54F4E" w:rsidP="006504C4">
            <w:pPr>
              <w:spacing w:before="0" w:after="0"/>
              <w:jc w:val="left"/>
              <w:rPr>
                <w:rFonts w:ascii="Times New Roman" w:hAnsi="Times New Roman"/>
                <w:sz w:val="14"/>
                <w:szCs w:val="14"/>
                <w:lang w:eastAsia="es-CO"/>
              </w:rPr>
            </w:pPr>
          </w:p>
        </w:tc>
        <w:tc>
          <w:tcPr>
            <w:tcW w:w="344" w:type="pct"/>
            <w:tcBorders>
              <w:top w:val="nil"/>
              <w:left w:val="nil"/>
              <w:bottom w:val="nil"/>
              <w:right w:val="nil"/>
            </w:tcBorders>
            <w:noWrap/>
            <w:vAlign w:val="bottom"/>
            <w:hideMark/>
          </w:tcPr>
          <w:p w14:paraId="3BA9FF81" w14:textId="77777777" w:rsidR="00B54F4E" w:rsidRPr="009851A2" w:rsidRDefault="00B54F4E" w:rsidP="006504C4">
            <w:pPr>
              <w:spacing w:before="0" w:after="0"/>
              <w:jc w:val="left"/>
              <w:rPr>
                <w:rFonts w:ascii="Times New Roman" w:hAnsi="Times New Roman"/>
                <w:sz w:val="14"/>
                <w:szCs w:val="14"/>
                <w:lang w:eastAsia="es-CO"/>
              </w:rPr>
            </w:pPr>
          </w:p>
        </w:tc>
        <w:tc>
          <w:tcPr>
            <w:tcW w:w="260" w:type="pct"/>
            <w:tcBorders>
              <w:top w:val="nil"/>
              <w:left w:val="nil"/>
              <w:bottom w:val="nil"/>
              <w:right w:val="nil"/>
            </w:tcBorders>
            <w:noWrap/>
            <w:vAlign w:val="bottom"/>
            <w:hideMark/>
          </w:tcPr>
          <w:p w14:paraId="03BBC56B" w14:textId="77777777" w:rsidR="00B54F4E" w:rsidRPr="009851A2" w:rsidRDefault="00B54F4E" w:rsidP="006504C4">
            <w:pPr>
              <w:spacing w:before="0" w:after="0"/>
              <w:jc w:val="left"/>
              <w:rPr>
                <w:rFonts w:ascii="Times New Roman" w:hAnsi="Times New Roman"/>
                <w:sz w:val="14"/>
                <w:szCs w:val="14"/>
                <w:lang w:eastAsia="es-CO"/>
              </w:rPr>
            </w:pPr>
          </w:p>
        </w:tc>
      </w:tr>
      <w:tr w:rsidR="00B54F4E" w:rsidRPr="009851A2" w14:paraId="0B4855FA" w14:textId="77777777" w:rsidTr="006504C4">
        <w:trPr>
          <w:trHeight w:val="227"/>
        </w:trPr>
        <w:tc>
          <w:tcPr>
            <w:tcW w:w="1850" w:type="pct"/>
            <w:tcBorders>
              <w:top w:val="nil"/>
              <w:left w:val="nil"/>
              <w:bottom w:val="nil"/>
              <w:right w:val="nil"/>
            </w:tcBorders>
            <w:noWrap/>
            <w:vAlign w:val="bottom"/>
            <w:hideMark/>
          </w:tcPr>
          <w:p w14:paraId="424E4122"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Costos asociados con el desarrollo de ER</w:t>
            </w:r>
          </w:p>
        </w:tc>
        <w:tc>
          <w:tcPr>
            <w:tcW w:w="556" w:type="pct"/>
            <w:tcBorders>
              <w:top w:val="nil"/>
              <w:left w:val="nil"/>
              <w:bottom w:val="nil"/>
              <w:right w:val="nil"/>
            </w:tcBorders>
            <w:noWrap/>
            <w:vAlign w:val="bottom"/>
            <w:hideMark/>
          </w:tcPr>
          <w:p w14:paraId="4F2592DD"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6F7FF62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1B126BFE"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2CC5A9A5"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3609E586"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184,6</w:t>
            </w:r>
          </w:p>
        </w:tc>
        <w:tc>
          <w:tcPr>
            <w:tcW w:w="285" w:type="pct"/>
            <w:tcBorders>
              <w:top w:val="nil"/>
              <w:left w:val="nil"/>
              <w:bottom w:val="nil"/>
              <w:right w:val="nil"/>
            </w:tcBorders>
            <w:noWrap/>
            <w:vAlign w:val="bottom"/>
            <w:hideMark/>
          </w:tcPr>
          <w:p w14:paraId="34B72391"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125,2</w:t>
            </w:r>
          </w:p>
        </w:tc>
        <w:tc>
          <w:tcPr>
            <w:tcW w:w="285" w:type="pct"/>
            <w:tcBorders>
              <w:top w:val="nil"/>
              <w:left w:val="nil"/>
              <w:bottom w:val="nil"/>
              <w:right w:val="nil"/>
            </w:tcBorders>
            <w:noWrap/>
            <w:vAlign w:val="bottom"/>
            <w:hideMark/>
          </w:tcPr>
          <w:p w14:paraId="70DC3C01"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256,8</w:t>
            </w:r>
          </w:p>
        </w:tc>
        <w:tc>
          <w:tcPr>
            <w:tcW w:w="285" w:type="pct"/>
            <w:tcBorders>
              <w:top w:val="nil"/>
              <w:left w:val="nil"/>
              <w:bottom w:val="nil"/>
              <w:right w:val="nil"/>
            </w:tcBorders>
            <w:noWrap/>
            <w:vAlign w:val="bottom"/>
            <w:hideMark/>
          </w:tcPr>
          <w:p w14:paraId="4BF6D365"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369,9</w:t>
            </w:r>
          </w:p>
        </w:tc>
        <w:tc>
          <w:tcPr>
            <w:tcW w:w="344" w:type="pct"/>
            <w:tcBorders>
              <w:top w:val="nil"/>
              <w:left w:val="nil"/>
              <w:bottom w:val="nil"/>
              <w:right w:val="nil"/>
            </w:tcBorders>
            <w:noWrap/>
            <w:vAlign w:val="bottom"/>
            <w:hideMark/>
          </w:tcPr>
          <w:p w14:paraId="5718AC39"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-1.175,2</w:t>
            </w:r>
          </w:p>
        </w:tc>
        <w:tc>
          <w:tcPr>
            <w:tcW w:w="260" w:type="pct"/>
            <w:tcBorders>
              <w:top w:val="nil"/>
              <w:left w:val="nil"/>
              <w:bottom w:val="nil"/>
              <w:right w:val="nil"/>
            </w:tcBorders>
            <w:noWrap/>
            <w:vAlign w:val="bottom"/>
            <w:hideMark/>
          </w:tcPr>
          <w:p w14:paraId="6893DB13"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231,2</w:t>
            </w:r>
          </w:p>
        </w:tc>
      </w:tr>
      <w:tr w:rsidR="00B54F4E" w:rsidRPr="009851A2" w14:paraId="5458C335" w14:textId="77777777" w:rsidTr="006504C4">
        <w:trPr>
          <w:trHeight w:val="227"/>
        </w:trPr>
        <w:tc>
          <w:tcPr>
            <w:tcW w:w="1850" w:type="pct"/>
            <w:tcBorders>
              <w:top w:val="nil"/>
              <w:left w:val="nil"/>
              <w:bottom w:val="nil"/>
              <w:right w:val="nil"/>
            </w:tcBorders>
            <w:noWrap/>
            <w:vAlign w:val="bottom"/>
            <w:hideMark/>
          </w:tcPr>
          <w:p w14:paraId="711704C6"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Costos por introducción de GN al sector eléctrico</w:t>
            </w:r>
            <w:r>
              <w:rPr>
                <w:rFonts w:ascii="Calibri" w:hAnsi="Calibri" w:cs="Calibri"/>
                <w:color w:val="000000"/>
                <w:sz w:val="14"/>
                <w:szCs w:val="14"/>
                <w:lang w:eastAsia="es-CO"/>
              </w:rPr>
              <w:t xml:space="preserve"> (3)</w:t>
            </w:r>
          </w:p>
        </w:tc>
        <w:tc>
          <w:tcPr>
            <w:tcW w:w="556" w:type="pct"/>
            <w:tcBorders>
              <w:top w:val="nil"/>
              <w:left w:val="nil"/>
              <w:bottom w:val="nil"/>
              <w:right w:val="nil"/>
            </w:tcBorders>
            <w:noWrap/>
            <w:vAlign w:val="bottom"/>
            <w:hideMark/>
          </w:tcPr>
          <w:p w14:paraId="1B1F1F89"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14098B23"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4D2B7250"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16CD5489"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4" w:type="pct"/>
            <w:tcBorders>
              <w:top w:val="nil"/>
              <w:left w:val="nil"/>
              <w:bottom w:val="nil"/>
              <w:right w:val="nil"/>
            </w:tcBorders>
            <w:noWrap/>
            <w:vAlign w:val="bottom"/>
            <w:hideMark/>
          </w:tcPr>
          <w:p w14:paraId="5E30CDB4"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5" w:type="pct"/>
            <w:tcBorders>
              <w:top w:val="nil"/>
              <w:left w:val="nil"/>
              <w:bottom w:val="nil"/>
              <w:right w:val="nil"/>
            </w:tcBorders>
            <w:noWrap/>
            <w:vAlign w:val="bottom"/>
            <w:hideMark/>
          </w:tcPr>
          <w:p w14:paraId="11506C9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5" w:type="pct"/>
            <w:tcBorders>
              <w:top w:val="nil"/>
              <w:left w:val="nil"/>
              <w:bottom w:val="nil"/>
              <w:right w:val="nil"/>
            </w:tcBorders>
            <w:noWrap/>
            <w:vAlign w:val="bottom"/>
            <w:hideMark/>
          </w:tcPr>
          <w:p w14:paraId="55630D3C"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85" w:type="pct"/>
            <w:tcBorders>
              <w:top w:val="nil"/>
              <w:left w:val="nil"/>
              <w:bottom w:val="nil"/>
              <w:right w:val="nil"/>
            </w:tcBorders>
            <w:noWrap/>
            <w:vAlign w:val="bottom"/>
            <w:hideMark/>
          </w:tcPr>
          <w:p w14:paraId="53FFA6F7"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344" w:type="pct"/>
            <w:tcBorders>
              <w:top w:val="nil"/>
              <w:left w:val="nil"/>
              <w:bottom w:val="nil"/>
              <w:right w:val="nil"/>
            </w:tcBorders>
            <w:noWrap/>
            <w:vAlign w:val="bottom"/>
            <w:hideMark/>
          </w:tcPr>
          <w:p w14:paraId="11B5285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c>
          <w:tcPr>
            <w:tcW w:w="260" w:type="pct"/>
            <w:tcBorders>
              <w:top w:val="nil"/>
              <w:left w:val="nil"/>
              <w:bottom w:val="nil"/>
              <w:right w:val="nil"/>
            </w:tcBorders>
            <w:noWrap/>
            <w:vAlign w:val="bottom"/>
            <w:hideMark/>
          </w:tcPr>
          <w:p w14:paraId="6DD9B745"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0,0</w:t>
            </w:r>
          </w:p>
        </w:tc>
      </w:tr>
      <w:tr w:rsidR="00B54F4E" w:rsidRPr="009851A2" w14:paraId="3DDBEFD1" w14:textId="77777777" w:rsidTr="006504C4">
        <w:trPr>
          <w:trHeight w:val="227"/>
        </w:trPr>
        <w:tc>
          <w:tcPr>
            <w:tcW w:w="1850" w:type="pct"/>
            <w:tcBorders>
              <w:top w:val="nil"/>
              <w:left w:val="nil"/>
              <w:bottom w:val="single" w:sz="4" w:space="0" w:color="auto"/>
              <w:right w:val="nil"/>
            </w:tcBorders>
            <w:noWrap/>
            <w:vAlign w:val="bottom"/>
            <w:hideMark/>
          </w:tcPr>
          <w:p w14:paraId="6C45ACE1"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Costos por implementación de medidas de EE</w:t>
            </w:r>
          </w:p>
        </w:tc>
        <w:tc>
          <w:tcPr>
            <w:tcW w:w="556" w:type="pct"/>
            <w:tcBorders>
              <w:top w:val="nil"/>
              <w:left w:val="nil"/>
              <w:bottom w:val="nil"/>
              <w:right w:val="nil"/>
            </w:tcBorders>
            <w:noWrap/>
            <w:vAlign w:val="bottom"/>
            <w:hideMark/>
          </w:tcPr>
          <w:p w14:paraId="480631C4"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3,9</w:t>
            </w:r>
          </w:p>
        </w:tc>
        <w:tc>
          <w:tcPr>
            <w:tcW w:w="284" w:type="pct"/>
            <w:tcBorders>
              <w:top w:val="nil"/>
              <w:left w:val="nil"/>
              <w:bottom w:val="nil"/>
              <w:right w:val="nil"/>
            </w:tcBorders>
            <w:noWrap/>
            <w:vAlign w:val="bottom"/>
            <w:hideMark/>
          </w:tcPr>
          <w:p w14:paraId="30B01A20"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41,7</w:t>
            </w:r>
          </w:p>
        </w:tc>
        <w:tc>
          <w:tcPr>
            <w:tcW w:w="284" w:type="pct"/>
            <w:tcBorders>
              <w:top w:val="nil"/>
              <w:left w:val="nil"/>
              <w:bottom w:val="nil"/>
              <w:right w:val="nil"/>
            </w:tcBorders>
            <w:noWrap/>
            <w:vAlign w:val="bottom"/>
            <w:hideMark/>
          </w:tcPr>
          <w:p w14:paraId="6EE7030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41,7</w:t>
            </w:r>
          </w:p>
        </w:tc>
        <w:tc>
          <w:tcPr>
            <w:tcW w:w="284" w:type="pct"/>
            <w:tcBorders>
              <w:top w:val="nil"/>
              <w:left w:val="nil"/>
              <w:bottom w:val="nil"/>
              <w:right w:val="nil"/>
            </w:tcBorders>
            <w:noWrap/>
            <w:vAlign w:val="bottom"/>
            <w:hideMark/>
          </w:tcPr>
          <w:p w14:paraId="2F6B4536"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41,7</w:t>
            </w:r>
          </w:p>
        </w:tc>
        <w:tc>
          <w:tcPr>
            <w:tcW w:w="284" w:type="pct"/>
            <w:tcBorders>
              <w:top w:val="nil"/>
              <w:left w:val="nil"/>
              <w:bottom w:val="nil"/>
              <w:right w:val="nil"/>
            </w:tcBorders>
            <w:noWrap/>
            <w:vAlign w:val="bottom"/>
            <w:hideMark/>
          </w:tcPr>
          <w:p w14:paraId="414AE83B"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69,6</w:t>
            </w:r>
          </w:p>
        </w:tc>
        <w:tc>
          <w:tcPr>
            <w:tcW w:w="285" w:type="pct"/>
            <w:tcBorders>
              <w:top w:val="nil"/>
              <w:left w:val="nil"/>
              <w:bottom w:val="nil"/>
              <w:right w:val="nil"/>
            </w:tcBorders>
            <w:noWrap/>
            <w:vAlign w:val="bottom"/>
            <w:hideMark/>
          </w:tcPr>
          <w:p w14:paraId="71BC0170"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67,6</w:t>
            </w:r>
          </w:p>
        </w:tc>
        <w:tc>
          <w:tcPr>
            <w:tcW w:w="285" w:type="pct"/>
            <w:tcBorders>
              <w:top w:val="nil"/>
              <w:left w:val="nil"/>
              <w:bottom w:val="nil"/>
              <w:right w:val="nil"/>
            </w:tcBorders>
            <w:noWrap/>
            <w:vAlign w:val="bottom"/>
            <w:hideMark/>
          </w:tcPr>
          <w:p w14:paraId="54901601"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67,6</w:t>
            </w:r>
          </w:p>
        </w:tc>
        <w:tc>
          <w:tcPr>
            <w:tcW w:w="285" w:type="pct"/>
            <w:tcBorders>
              <w:top w:val="nil"/>
              <w:left w:val="nil"/>
              <w:bottom w:val="nil"/>
              <w:right w:val="nil"/>
            </w:tcBorders>
            <w:noWrap/>
            <w:vAlign w:val="bottom"/>
            <w:hideMark/>
          </w:tcPr>
          <w:p w14:paraId="36A908FE"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67,7</w:t>
            </w:r>
          </w:p>
        </w:tc>
        <w:tc>
          <w:tcPr>
            <w:tcW w:w="344" w:type="pct"/>
            <w:tcBorders>
              <w:top w:val="nil"/>
              <w:left w:val="nil"/>
              <w:bottom w:val="nil"/>
              <w:right w:val="nil"/>
            </w:tcBorders>
            <w:noWrap/>
            <w:vAlign w:val="bottom"/>
            <w:hideMark/>
          </w:tcPr>
          <w:p w14:paraId="0DCACFF1"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67,7</w:t>
            </w:r>
          </w:p>
        </w:tc>
        <w:tc>
          <w:tcPr>
            <w:tcW w:w="260" w:type="pct"/>
            <w:tcBorders>
              <w:top w:val="nil"/>
              <w:left w:val="nil"/>
              <w:bottom w:val="nil"/>
              <w:right w:val="nil"/>
            </w:tcBorders>
            <w:noWrap/>
            <w:vAlign w:val="bottom"/>
            <w:hideMark/>
          </w:tcPr>
          <w:p w14:paraId="389817F5"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67,7</w:t>
            </w:r>
          </w:p>
        </w:tc>
      </w:tr>
      <w:tr w:rsidR="00B54F4E" w:rsidRPr="009851A2" w14:paraId="5D5A663D" w14:textId="77777777" w:rsidTr="006504C4">
        <w:trPr>
          <w:trHeight w:val="227"/>
        </w:trPr>
        <w:tc>
          <w:tcPr>
            <w:tcW w:w="1850" w:type="pct"/>
            <w:tcBorders>
              <w:top w:val="single" w:sz="4" w:space="0" w:color="auto"/>
              <w:left w:val="nil"/>
              <w:bottom w:val="single" w:sz="4" w:space="0" w:color="auto"/>
              <w:right w:val="nil"/>
            </w:tcBorders>
            <w:noWrap/>
            <w:vAlign w:val="bottom"/>
            <w:hideMark/>
          </w:tcPr>
          <w:p w14:paraId="398BE849" w14:textId="77777777" w:rsidR="00B54F4E" w:rsidRPr="009851A2" w:rsidRDefault="00B54F4E" w:rsidP="006504C4">
            <w:pPr>
              <w:spacing w:before="0" w:after="0"/>
              <w:ind w:firstLineChars="100" w:firstLine="14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Total Inversión y Costos ($USD Millones)</w:t>
            </w:r>
          </w:p>
        </w:tc>
        <w:tc>
          <w:tcPr>
            <w:tcW w:w="556" w:type="pct"/>
            <w:tcBorders>
              <w:top w:val="single" w:sz="4" w:space="0" w:color="auto"/>
              <w:left w:val="nil"/>
              <w:bottom w:val="single" w:sz="4" w:space="0" w:color="auto"/>
              <w:right w:val="nil"/>
            </w:tcBorders>
            <w:noWrap/>
            <w:vAlign w:val="bottom"/>
            <w:hideMark/>
          </w:tcPr>
          <w:p w14:paraId="475B1DAC"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3,9</w:t>
            </w:r>
          </w:p>
        </w:tc>
        <w:tc>
          <w:tcPr>
            <w:tcW w:w="284" w:type="pct"/>
            <w:tcBorders>
              <w:top w:val="single" w:sz="4" w:space="0" w:color="auto"/>
              <w:left w:val="nil"/>
              <w:bottom w:val="single" w:sz="4" w:space="0" w:color="auto"/>
              <w:right w:val="nil"/>
            </w:tcBorders>
            <w:noWrap/>
            <w:vAlign w:val="bottom"/>
            <w:hideMark/>
          </w:tcPr>
          <w:p w14:paraId="0D8E319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41,7</w:t>
            </w:r>
          </w:p>
        </w:tc>
        <w:tc>
          <w:tcPr>
            <w:tcW w:w="284" w:type="pct"/>
            <w:tcBorders>
              <w:top w:val="single" w:sz="4" w:space="0" w:color="auto"/>
              <w:left w:val="nil"/>
              <w:bottom w:val="single" w:sz="4" w:space="0" w:color="auto"/>
              <w:right w:val="nil"/>
            </w:tcBorders>
            <w:noWrap/>
            <w:vAlign w:val="bottom"/>
            <w:hideMark/>
          </w:tcPr>
          <w:p w14:paraId="2310589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41,7</w:t>
            </w:r>
          </w:p>
        </w:tc>
        <w:tc>
          <w:tcPr>
            <w:tcW w:w="284" w:type="pct"/>
            <w:tcBorders>
              <w:top w:val="single" w:sz="4" w:space="0" w:color="auto"/>
              <w:left w:val="nil"/>
              <w:bottom w:val="single" w:sz="4" w:space="0" w:color="auto"/>
              <w:right w:val="nil"/>
            </w:tcBorders>
            <w:noWrap/>
            <w:vAlign w:val="bottom"/>
            <w:hideMark/>
          </w:tcPr>
          <w:p w14:paraId="4523C604"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41,7</w:t>
            </w:r>
          </w:p>
        </w:tc>
        <w:tc>
          <w:tcPr>
            <w:tcW w:w="284" w:type="pct"/>
            <w:tcBorders>
              <w:top w:val="single" w:sz="4" w:space="0" w:color="auto"/>
              <w:left w:val="nil"/>
              <w:bottom w:val="single" w:sz="4" w:space="0" w:color="auto"/>
              <w:right w:val="nil"/>
            </w:tcBorders>
            <w:noWrap/>
            <w:vAlign w:val="bottom"/>
            <w:hideMark/>
          </w:tcPr>
          <w:p w14:paraId="08705887"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254,2</w:t>
            </w:r>
          </w:p>
        </w:tc>
        <w:tc>
          <w:tcPr>
            <w:tcW w:w="285" w:type="pct"/>
            <w:tcBorders>
              <w:top w:val="single" w:sz="4" w:space="0" w:color="auto"/>
              <w:left w:val="nil"/>
              <w:bottom w:val="single" w:sz="4" w:space="0" w:color="auto"/>
              <w:right w:val="nil"/>
            </w:tcBorders>
            <w:noWrap/>
            <w:vAlign w:val="bottom"/>
            <w:hideMark/>
          </w:tcPr>
          <w:p w14:paraId="5900FB0C"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192,8</w:t>
            </w:r>
          </w:p>
        </w:tc>
        <w:tc>
          <w:tcPr>
            <w:tcW w:w="285" w:type="pct"/>
            <w:tcBorders>
              <w:top w:val="single" w:sz="4" w:space="0" w:color="auto"/>
              <w:left w:val="nil"/>
              <w:bottom w:val="single" w:sz="4" w:space="0" w:color="auto"/>
              <w:right w:val="nil"/>
            </w:tcBorders>
            <w:noWrap/>
            <w:vAlign w:val="bottom"/>
            <w:hideMark/>
          </w:tcPr>
          <w:p w14:paraId="15ABEA8E"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324,5</w:t>
            </w:r>
          </w:p>
        </w:tc>
        <w:tc>
          <w:tcPr>
            <w:tcW w:w="285" w:type="pct"/>
            <w:tcBorders>
              <w:top w:val="single" w:sz="4" w:space="0" w:color="auto"/>
              <w:left w:val="nil"/>
              <w:bottom w:val="single" w:sz="4" w:space="0" w:color="auto"/>
              <w:right w:val="nil"/>
            </w:tcBorders>
            <w:noWrap/>
            <w:vAlign w:val="bottom"/>
            <w:hideMark/>
          </w:tcPr>
          <w:p w14:paraId="7F521256"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437,5</w:t>
            </w:r>
          </w:p>
        </w:tc>
        <w:tc>
          <w:tcPr>
            <w:tcW w:w="344" w:type="pct"/>
            <w:tcBorders>
              <w:top w:val="single" w:sz="4" w:space="0" w:color="auto"/>
              <w:left w:val="nil"/>
              <w:bottom w:val="single" w:sz="4" w:space="0" w:color="auto"/>
              <w:right w:val="nil"/>
            </w:tcBorders>
            <w:noWrap/>
            <w:vAlign w:val="bottom"/>
            <w:hideMark/>
          </w:tcPr>
          <w:p w14:paraId="0A967BC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-1.107,5</w:t>
            </w:r>
          </w:p>
        </w:tc>
        <w:tc>
          <w:tcPr>
            <w:tcW w:w="260" w:type="pct"/>
            <w:tcBorders>
              <w:top w:val="single" w:sz="4" w:space="0" w:color="auto"/>
              <w:left w:val="nil"/>
              <w:bottom w:val="single" w:sz="4" w:space="0" w:color="auto"/>
              <w:right w:val="nil"/>
            </w:tcBorders>
            <w:noWrap/>
            <w:vAlign w:val="bottom"/>
            <w:hideMark/>
          </w:tcPr>
          <w:p w14:paraId="4A168789"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298,9</w:t>
            </w:r>
          </w:p>
        </w:tc>
      </w:tr>
      <w:tr w:rsidR="00B54F4E" w:rsidRPr="009851A2" w14:paraId="3D6B03B7" w14:textId="77777777" w:rsidTr="006504C4">
        <w:trPr>
          <w:trHeight w:val="227"/>
        </w:trPr>
        <w:tc>
          <w:tcPr>
            <w:tcW w:w="1850" w:type="pct"/>
            <w:tcBorders>
              <w:top w:val="single" w:sz="4" w:space="0" w:color="auto"/>
              <w:left w:val="nil"/>
              <w:bottom w:val="single" w:sz="4" w:space="0" w:color="auto"/>
              <w:right w:val="nil"/>
            </w:tcBorders>
            <w:noWrap/>
            <w:vAlign w:val="bottom"/>
            <w:hideMark/>
          </w:tcPr>
          <w:p w14:paraId="70111955" w14:textId="77777777" w:rsidR="00B54F4E" w:rsidRPr="009851A2" w:rsidRDefault="00B54F4E" w:rsidP="006504C4">
            <w:pPr>
              <w:spacing w:before="0" w:after="0"/>
              <w:jc w:val="left"/>
              <w:rPr>
                <w:rFonts w:ascii="Calibri" w:hAnsi="Calibri" w:cs="Calibri"/>
                <w:b/>
                <w:bCs/>
                <w:color w:val="000000"/>
                <w:sz w:val="14"/>
                <w:szCs w:val="14"/>
                <w:lang w:eastAsia="es-CO"/>
              </w:rPr>
            </w:pPr>
            <w:r w:rsidRPr="009851A2">
              <w:rPr>
                <w:rFonts w:ascii="Calibri" w:hAnsi="Calibri" w:cs="Calibri"/>
                <w:b/>
                <w:bCs/>
                <w:color w:val="000000"/>
                <w:sz w:val="14"/>
                <w:szCs w:val="14"/>
                <w:lang w:eastAsia="es-CO"/>
              </w:rPr>
              <w:t>Flujo Neto</w:t>
            </w:r>
          </w:p>
        </w:tc>
        <w:tc>
          <w:tcPr>
            <w:tcW w:w="556" w:type="pct"/>
            <w:tcBorders>
              <w:top w:val="single" w:sz="4" w:space="0" w:color="auto"/>
              <w:left w:val="nil"/>
              <w:bottom w:val="single" w:sz="4" w:space="0" w:color="auto"/>
              <w:right w:val="nil"/>
            </w:tcBorders>
            <w:noWrap/>
            <w:vAlign w:val="bottom"/>
            <w:hideMark/>
          </w:tcPr>
          <w:p w14:paraId="5B05D6A7"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2,2</w:t>
            </w:r>
          </w:p>
        </w:tc>
        <w:tc>
          <w:tcPr>
            <w:tcW w:w="284" w:type="pct"/>
            <w:tcBorders>
              <w:top w:val="single" w:sz="4" w:space="0" w:color="auto"/>
              <w:left w:val="nil"/>
              <w:bottom w:val="single" w:sz="4" w:space="0" w:color="auto"/>
              <w:right w:val="nil"/>
            </w:tcBorders>
            <w:noWrap/>
            <w:vAlign w:val="bottom"/>
            <w:hideMark/>
          </w:tcPr>
          <w:p w14:paraId="0A08996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-14,3</w:t>
            </w:r>
          </w:p>
        </w:tc>
        <w:tc>
          <w:tcPr>
            <w:tcW w:w="284" w:type="pct"/>
            <w:tcBorders>
              <w:top w:val="single" w:sz="4" w:space="0" w:color="auto"/>
              <w:left w:val="nil"/>
              <w:bottom w:val="single" w:sz="4" w:space="0" w:color="auto"/>
              <w:right w:val="nil"/>
            </w:tcBorders>
            <w:noWrap/>
            <w:vAlign w:val="bottom"/>
            <w:hideMark/>
          </w:tcPr>
          <w:p w14:paraId="06F23BB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28,4</w:t>
            </w:r>
          </w:p>
        </w:tc>
        <w:tc>
          <w:tcPr>
            <w:tcW w:w="284" w:type="pct"/>
            <w:tcBorders>
              <w:top w:val="single" w:sz="4" w:space="0" w:color="auto"/>
              <w:left w:val="nil"/>
              <w:bottom w:val="single" w:sz="4" w:space="0" w:color="auto"/>
              <w:right w:val="nil"/>
            </w:tcBorders>
            <w:noWrap/>
            <w:vAlign w:val="bottom"/>
            <w:hideMark/>
          </w:tcPr>
          <w:p w14:paraId="15E8DA62"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51,7</w:t>
            </w:r>
          </w:p>
        </w:tc>
        <w:tc>
          <w:tcPr>
            <w:tcW w:w="284" w:type="pct"/>
            <w:tcBorders>
              <w:top w:val="single" w:sz="4" w:space="0" w:color="auto"/>
              <w:left w:val="nil"/>
              <w:bottom w:val="single" w:sz="4" w:space="0" w:color="auto"/>
              <w:right w:val="nil"/>
            </w:tcBorders>
            <w:noWrap/>
            <w:vAlign w:val="bottom"/>
            <w:hideMark/>
          </w:tcPr>
          <w:p w14:paraId="210E965A"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728,9</w:t>
            </w:r>
          </w:p>
        </w:tc>
        <w:tc>
          <w:tcPr>
            <w:tcW w:w="285" w:type="pct"/>
            <w:tcBorders>
              <w:top w:val="single" w:sz="4" w:space="0" w:color="auto"/>
              <w:left w:val="nil"/>
              <w:bottom w:val="single" w:sz="4" w:space="0" w:color="auto"/>
              <w:right w:val="nil"/>
            </w:tcBorders>
            <w:noWrap/>
            <w:vAlign w:val="bottom"/>
            <w:hideMark/>
          </w:tcPr>
          <w:p w14:paraId="47AACFBD"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-14,2</w:t>
            </w:r>
          </w:p>
        </w:tc>
        <w:tc>
          <w:tcPr>
            <w:tcW w:w="285" w:type="pct"/>
            <w:tcBorders>
              <w:top w:val="single" w:sz="4" w:space="0" w:color="auto"/>
              <w:left w:val="nil"/>
              <w:bottom w:val="single" w:sz="4" w:space="0" w:color="auto"/>
              <w:right w:val="nil"/>
            </w:tcBorders>
            <w:noWrap/>
            <w:vAlign w:val="bottom"/>
            <w:hideMark/>
          </w:tcPr>
          <w:p w14:paraId="7EF065B7"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-100,3</w:t>
            </w:r>
          </w:p>
        </w:tc>
        <w:tc>
          <w:tcPr>
            <w:tcW w:w="285" w:type="pct"/>
            <w:tcBorders>
              <w:top w:val="single" w:sz="4" w:space="0" w:color="auto"/>
              <w:left w:val="nil"/>
              <w:bottom w:val="single" w:sz="4" w:space="0" w:color="auto"/>
              <w:right w:val="nil"/>
            </w:tcBorders>
            <w:noWrap/>
            <w:vAlign w:val="bottom"/>
            <w:hideMark/>
          </w:tcPr>
          <w:p w14:paraId="677B1870"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-176,6</w:t>
            </w:r>
          </w:p>
        </w:tc>
        <w:tc>
          <w:tcPr>
            <w:tcW w:w="344" w:type="pct"/>
            <w:tcBorders>
              <w:top w:val="single" w:sz="4" w:space="0" w:color="auto"/>
              <w:left w:val="nil"/>
              <w:bottom w:val="single" w:sz="4" w:space="0" w:color="auto"/>
              <w:right w:val="nil"/>
            </w:tcBorders>
            <w:noWrap/>
            <w:vAlign w:val="bottom"/>
            <w:hideMark/>
          </w:tcPr>
          <w:p w14:paraId="78655D5F"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1.461,3</w:t>
            </w:r>
          </w:p>
        </w:tc>
        <w:tc>
          <w:tcPr>
            <w:tcW w:w="260" w:type="pct"/>
            <w:tcBorders>
              <w:top w:val="single" w:sz="4" w:space="0" w:color="auto"/>
              <w:left w:val="nil"/>
              <w:bottom w:val="single" w:sz="4" w:space="0" w:color="auto"/>
              <w:right w:val="nil"/>
            </w:tcBorders>
            <w:noWrap/>
            <w:vAlign w:val="bottom"/>
            <w:hideMark/>
          </w:tcPr>
          <w:p w14:paraId="63BBF9CC"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88,9</w:t>
            </w:r>
          </w:p>
        </w:tc>
      </w:tr>
      <w:tr w:rsidR="00B54F4E" w:rsidRPr="009851A2" w14:paraId="6291244E" w14:textId="77777777" w:rsidTr="006504C4">
        <w:trPr>
          <w:trHeight w:val="227"/>
        </w:trPr>
        <w:tc>
          <w:tcPr>
            <w:tcW w:w="1850" w:type="pct"/>
            <w:tcBorders>
              <w:top w:val="nil"/>
              <w:left w:val="nil"/>
              <w:bottom w:val="nil"/>
              <w:right w:val="nil"/>
            </w:tcBorders>
            <w:noWrap/>
            <w:vAlign w:val="bottom"/>
            <w:hideMark/>
          </w:tcPr>
          <w:p w14:paraId="4D7A5FF1" w14:textId="77777777" w:rsidR="00B54F4E" w:rsidRPr="009851A2" w:rsidRDefault="00B54F4E" w:rsidP="006504C4">
            <w:pPr>
              <w:spacing w:before="0" w:after="0"/>
              <w:jc w:val="right"/>
              <w:rPr>
                <w:rFonts w:ascii="Calibri" w:hAnsi="Calibri" w:cs="Calibri"/>
                <w:color w:val="000000"/>
                <w:sz w:val="14"/>
                <w:szCs w:val="14"/>
                <w:lang w:eastAsia="es-CO"/>
              </w:rPr>
            </w:pPr>
          </w:p>
        </w:tc>
        <w:tc>
          <w:tcPr>
            <w:tcW w:w="556" w:type="pct"/>
            <w:tcBorders>
              <w:top w:val="nil"/>
              <w:left w:val="nil"/>
              <w:bottom w:val="nil"/>
              <w:right w:val="nil"/>
            </w:tcBorders>
            <w:noWrap/>
            <w:vAlign w:val="bottom"/>
            <w:hideMark/>
          </w:tcPr>
          <w:p w14:paraId="6ABF7FEF"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4F9BD66E"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287E154D"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0803EE90"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19E3B7A6"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50090AA9"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05EAC772"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1AF20FEC" w14:textId="77777777" w:rsidR="00B54F4E" w:rsidRPr="009851A2" w:rsidRDefault="00B54F4E" w:rsidP="006504C4">
            <w:pPr>
              <w:spacing w:before="0" w:after="0"/>
              <w:jc w:val="left"/>
              <w:rPr>
                <w:rFonts w:ascii="Times New Roman" w:hAnsi="Times New Roman"/>
                <w:sz w:val="14"/>
                <w:szCs w:val="14"/>
                <w:lang w:eastAsia="es-CO"/>
              </w:rPr>
            </w:pPr>
          </w:p>
        </w:tc>
        <w:tc>
          <w:tcPr>
            <w:tcW w:w="344" w:type="pct"/>
            <w:tcBorders>
              <w:top w:val="nil"/>
              <w:left w:val="nil"/>
              <w:bottom w:val="nil"/>
              <w:right w:val="nil"/>
            </w:tcBorders>
            <w:noWrap/>
            <w:vAlign w:val="bottom"/>
            <w:hideMark/>
          </w:tcPr>
          <w:p w14:paraId="53598A5A" w14:textId="77777777" w:rsidR="00B54F4E" w:rsidRPr="009851A2" w:rsidRDefault="00B54F4E" w:rsidP="006504C4">
            <w:pPr>
              <w:spacing w:before="0" w:after="0"/>
              <w:jc w:val="left"/>
              <w:rPr>
                <w:rFonts w:ascii="Times New Roman" w:hAnsi="Times New Roman"/>
                <w:sz w:val="14"/>
                <w:szCs w:val="14"/>
                <w:lang w:eastAsia="es-CO"/>
              </w:rPr>
            </w:pPr>
          </w:p>
        </w:tc>
        <w:tc>
          <w:tcPr>
            <w:tcW w:w="260" w:type="pct"/>
            <w:tcBorders>
              <w:top w:val="nil"/>
              <w:left w:val="nil"/>
              <w:bottom w:val="nil"/>
              <w:right w:val="nil"/>
            </w:tcBorders>
            <w:noWrap/>
            <w:vAlign w:val="bottom"/>
            <w:hideMark/>
          </w:tcPr>
          <w:p w14:paraId="2D1D92B0" w14:textId="77777777" w:rsidR="00B54F4E" w:rsidRPr="009851A2" w:rsidRDefault="00B54F4E" w:rsidP="006504C4">
            <w:pPr>
              <w:spacing w:before="0" w:after="0"/>
              <w:jc w:val="left"/>
              <w:rPr>
                <w:rFonts w:ascii="Times New Roman" w:hAnsi="Times New Roman"/>
                <w:sz w:val="14"/>
                <w:szCs w:val="14"/>
                <w:lang w:eastAsia="es-CO"/>
              </w:rPr>
            </w:pPr>
          </w:p>
        </w:tc>
      </w:tr>
      <w:tr w:rsidR="00B54F4E" w:rsidRPr="009851A2" w14:paraId="597530B7" w14:textId="77777777" w:rsidTr="006504C4">
        <w:trPr>
          <w:trHeight w:val="227"/>
        </w:trPr>
        <w:tc>
          <w:tcPr>
            <w:tcW w:w="1850" w:type="pct"/>
            <w:tcBorders>
              <w:top w:val="single" w:sz="4" w:space="0" w:color="auto"/>
              <w:left w:val="single" w:sz="4" w:space="0" w:color="auto"/>
              <w:bottom w:val="single" w:sz="4" w:space="0" w:color="auto"/>
              <w:right w:val="nil"/>
            </w:tcBorders>
            <w:shd w:val="clear" w:color="000000" w:fill="E2EFDA"/>
            <w:noWrap/>
            <w:vAlign w:val="bottom"/>
            <w:hideMark/>
          </w:tcPr>
          <w:p w14:paraId="752AB147" w14:textId="77777777" w:rsidR="00B54F4E" w:rsidRPr="009851A2" w:rsidRDefault="00B54F4E" w:rsidP="006504C4">
            <w:pPr>
              <w:spacing w:before="0" w:after="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TIR</w:t>
            </w:r>
          </w:p>
        </w:tc>
        <w:tc>
          <w:tcPr>
            <w:tcW w:w="556" w:type="pct"/>
            <w:tcBorders>
              <w:top w:val="single" w:sz="4" w:space="0" w:color="auto"/>
              <w:left w:val="nil"/>
              <w:bottom w:val="single" w:sz="4" w:space="0" w:color="auto"/>
              <w:right w:val="single" w:sz="4" w:space="0" w:color="auto"/>
            </w:tcBorders>
            <w:shd w:val="clear" w:color="000000" w:fill="E2EFDA"/>
            <w:noWrap/>
            <w:vAlign w:val="bottom"/>
            <w:hideMark/>
          </w:tcPr>
          <w:p w14:paraId="01DFF50C" w14:textId="77777777" w:rsidR="00B54F4E" w:rsidRPr="009851A2" w:rsidRDefault="00B54F4E" w:rsidP="006504C4">
            <w:pPr>
              <w:spacing w:before="0" w:after="0"/>
              <w:jc w:val="center"/>
              <w:rPr>
                <w:rFonts w:ascii="Calibri" w:hAnsi="Calibri" w:cs="Calibri"/>
                <w:color w:val="000000"/>
                <w:sz w:val="14"/>
                <w:szCs w:val="14"/>
                <w:lang w:eastAsia="es-CO"/>
              </w:rPr>
            </w:pPr>
            <w:r w:rsidRPr="009851A2">
              <w:rPr>
                <w:rFonts w:ascii="Calibri" w:hAnsi="Calibri" w:cs="Calibri"/>
                <w:color w:val="000000"/>
                <w:sz w:val="14"/>
                <w:szCs w:val="14"/>
                <w:lang w:eastAsia="es-CO"/>
              </w:rPr>
              <w:t>Indeterminada</w:t>
            </w:r>
          </w:p>
        </w:tc>
        <w:tc>
          <w:tcPr>
            <w:tcW w:w="284" w:type="pct"/>
            <w:tcBorders>
              <w:top w:val="nil"/>
              <w:left w:val="nil"/>
              <w:bottom w:val="nil"/>
              <w:right w:val="nil"/>
            </w:tcBorders>
            <w:noWrap/>
            <w:vAlign w:val="bottom"/>
            <w:hideMark/>
          </w:tcPr>
          <w:p w14:paraId="07C87167" w14:textId="77777777" w:rsidR="00B54F4E" w:rsidRPr="009851A2" w:rsidRDefault="00B54F4E" w:rsidP="006504C4">
            <w:pPr>
              <w:spacing w:before="0" w:after="0"/>
              <w:jc w:val="center"/>
              <w:rPr>
                <w:rFonts w:ascii="Calibri" w:hAnsi="Calibri" w:cs="Calibri"/>
                <w:color w:val="000000"/>
                <w:sz w:val="14"/>
                <w:szCs w:val="14"/>
                <w:lang w:eastAsia="es-CO"/>
              </w:rPr>
            </w:pPr>
          </w:p>
        </w:tc>
        <w:tc>
          <w:tcPr>
            <w:tcW w:w="284" w:type="pct"/>
            <w:tcBorders>
              <w:top w:val="nil"/>
              <w:left w:val="nil"/>
              <w:bottom w:val="nil"/>
              <w:right w:val="nil"/>
            </w:tcBorders>
            <w:noWrap/>
            <w:vAlign w:val="bottom"/>
            <w:hideMark/>
          </w:tcPr>
          <w:p w14:paraId="2FB33E0F"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0A60946B"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362A8255"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17D6D494"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27A5FDE5"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260A02A6" w14:textId="77777777" w:rsidR="00B54F4E" w:rsidRPr="009851A2" w:rsidRDefault="00B54F4E" w:rsidP="006504C4">
            <w:pPr>
              <w:spacing w:before="0" w:after="0"/>
              <w:jc w:val="left"/>
              <w:rPr>
                <w:rFonts w:ascii="Times New Roman" w:hAnsi="Times New Roman"/>
                <w:sz w:val="14"/>
                <w:szCs w:val="14"/>
                <w:lang w:eastAsia="es-CO"/>
              </w:rPr>
            </w:pPr>
          </w:p>
        </w:tc>
        <w:tc>
          <w:tcPr>
            <w:tcW w:w="344" w:type="pct"/>
            <w:tcBorders>
              <w:top w:val="nil"/>
              <w:left w:val="nil"/>
              <w:bottom w:val="nil"/>
              <w:right w:val="nil"/>
            </w:tcBorders>
            <w:noWrap/>
            <w:vAlign w:val="bottom"/>
            <w:hideMark/>
          </w:tcPr>
          <w:p w14:paraId="69146694" w14:textId="77777777" w:rsidR="00B54F4E" w:rsidRPr="009851A2" w:rsidRDefault="00B54F4E" w:rsidP="006504C4">
            <w:pPr>
              <w:spacing w:before="0" w:after="0"/>
              <w:jc w:val="left"/>
              <w:rPr>
                <w:rFonts w:ascii="Times New Roman" w:hAnsi="Times New Roman"/>
                <w:sz w:val="14"/>
                <w:szCs w:val="14"/>
                <w:lang w:eastAsia="es-CO"/>
              </w:rPr>
            </w:pPr>
          </w:p>
        </w:tc>
        <w:tc>
          <w:tcPr>
            <w:tcW w:w="260" w:type="pct"/>
            <w:tcBorders>
              <w:top w:val="nil"/>
              <w:left w:val="nil"/>
              <w:bottom w:val="nil"/>
              <w:right w:val="nil"/>
            </w:tcBorders>
            <w:noWrap/>
            <w:vAlign w:val="bottom"/>
            <w:hideMark/>
          </w:tcPr>
          <w:p w14:paraId="4EB03885" w14:textId="77777777" w:rsidR="00B54F4E" w:rsidRPr="009851A2" w:rsidRDefault="00B54F4E" w:rsidP="006504C4">
            <w:pPr>
              <w:spacing w:before="0" w:after="0"/>
              <w:jc w:val="left"/>
              <w:rPr>
                <w:rFonts w:ascii="Times New Roman" w:hAnsi="Times New Roman"/>
                <w:sz w:val="14"/>
                <w:szCs w:val="14"/>
                <w:lang w:eastAsia="es-CO"/>
              </w:rPr>
            </w:pPr>
          </w:p>
        </w:tc>
      </w:tr>
      <w:tr w:rsidR="00B54F4E" w:rsidRPr="009851A2" w14:paraId="3A6E241A" w14:textId="77777777" w:rsidTr="006504C4">
        <w:trPr>
          <w:trHeight w:val="227"/>
        </w:trPr>
        <w:tc>
          <w:tcPr>
            <w:tcW w:w="1850" w:type="pct"/>
            <w:tcBorders>
              <w:top w:val="single" w:sz="4" w:space="0" w:color="auto"/>
              <w:left w:val="single" w:sz="4" w:space="0" w:color="auto"/>
              <w:bottom w:val="single" w:sz="4" w:space="0" w:color="auto"/>
              <w:right w:val="nil"/>
            </w:tcBorders>
            <w:shd w:val="clear" w:color="000000" w:fill="E2EFDA"/>
            <w:noWrap/>
            <w:vAlign w:val="bottom"/>
            <w:hideMark/>
          </w:tcPr>
          <w:p w14:paraId="7FDAB39E" w14:textId="77777777" w:rsidR="00B54F4E" w:rsidRPr="009851A2" w:rsidRDefault="00B54F4E" w:rsidP="006504C4">
            <w:pPr>
              <w:spacing w:before="0" w:after="0"/>
              <w:jc w:val="left"/>
              <w:rPr>
                <w:rFonts w:ascii="Calibri" w:hAnsi="Calibri" w:cs="Calibri"/>
                <w:color w:val="000000"/>
                <w:sz w:val="14"/>
                <w:szCs w:val="14"/>
                <w:lang w:eastAsia="es-CO"/>
              </w:rPr>
            </w:pPr>
            <w:r w:rsidRPr="009851A2">
              <w:rPr>
                <w:rFonts w:ascii="Calibri" w:hAnsi="Calibri" w:cs="Calibri"/>
                <w:color w:val="000000"/>
                <w:sz w:val="14"/>
                <w:szCs w:val="14"/>
                <w:lang w:eastAsia="es-CO"/>
              </w:rPr>
              <w:t>VPN dic 2016 (Millones $USD)</w:t>
            </w:r>
          </w:p>
        </w:tc>
        <w:tc>
          <w:tcPr>
            <w:tcW w:w="556" w:type="pct"/>
            <w:tcBorders>
              <w:top w:val="single" w:sz="4" w:space="0" w:color="auto"/>
              <w:left w:val="nil"/>
              <w:bottom w:val="single" w:sz="4" w:space="0" w:color="auto"/>
              <w:right w:val="single" w:sz="4" w:space="0" w:color="auto"/>
            </w:tcBorders>
            <w:shd w:val="clear" w:color="000000" w:fill="E2EFDA"/>
            <w:noWrap/>
            <w:vAlign w:val="bottom"/>
            <w:hideMark/>
          </w:tcPr>
          <w:p w14:paraId="0429BE1F" w14:textId="77777777" w:rsidR="00B54F4E" w:rsidRPr="009851A2" w:rsidRDefault="00B54F4E" w:rsidP="006504C4">
            <w:pPr>
              <w:spacing w:before="0" w:after="0"/>
              <w:jc w:val="right"/>
              <w:rPr>
                <w:rFonts w:ascii="Calibri" w:hAnsi="Calibri" w:cs="Calibri"/>
                <w:color w:val="000000"/>
                <w:sz w:val="14"/>
                <w:szCs w:val="14"/>
                <w:lang w:eastAsia="es-CO"/>
              </w:rPr>
            </w:pPr>
            <w:r w:rsidRPr="009851A2">
              <w:rPr>
                <w:rFonts w:ascii="Calibri" w:hAnsi="Calibri" w:cs="Calibri"/>
                <w:color w:val="000000"/>
                <w:sz w:val="14"/>
                <w:szCs w:val="14"/>
                <w:lang w:eastAsia="es-CO"/>
              </w:rPr>
              <w:t>$1.391,1</w:t>
            </w:r>
          </w:p>
        </w:tc>
        <w:tc>
          <w:tcPr>
            <w:tcW w:w="284" w:type="pct"/>
            <w:tcBorders>
              <w:top w:val="nil"/>
              <w:left w:val="nil"/>
              <w:bottom w:val="nil"/>
              <w:right w:val="nil"/>
            </w:tcBorders>
            <w:noWrap/>
            <w:vAlign w:val="bottom"/>
            <w:hideMark/>
          </w:tcPr>
          <w:p w14:paraId="506F5958" w14:textId="77777777" w:rsidR="00B54F4E" w:rsidRPr="009851A2" w:rsidRDefault="00B54F4E" w:rsidP="006504C4">
            <w:pPr>
              <w:spacing w:before="0" w:after="0"/>
              <w:jc w:val="right"/>
              <w:rPr>
                <w:rFonts w:ascii="Calibri" w:hAnsi="Calibri" w:cs="Calibri"/>
                <w:color w:val="000000"/>
                <w:sz w:val="14"/>
                <w:szCs w:val="14"/>
                <w:lang w:eastAsia="es-CO"/>
              </w:rPr>
            </w:pPr>
          </w:p>
        </w:tc>
        <w:tc>
          <w:tcPr>
            <w:tcW w:w="284" w:type="pct"/>
            <w:tcBorders>
              <w:top w:val="nil"/>
              <w:left w:val="nil"/>
              <w:bottom w:val="nil"/>
              <w:right w:val="nil"/>
            </w:tcBorders>
            <w:noWrap/>
            <w:vAlign w:val="bottom"/>
            <w:hideMark/>
          </w:tcPr>
          <w:p w14:paraId="5AC353A4"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126CB025" w14:textId="77777777" w:rsidR="00B54F4E" w:rsidRPr="009851A2" w:rsidRDefault="00B54F4E" w:rsidP="006504C4">
            <w:pPr>
              <w:spacing w:before="0" w:after="0"/>
              <w:jc w:val="left"/>
              <w:rPr>
                <w:rFonts w:ascii="Times New Roman" w:hAnsi="Times New Roman"/>
                <w:sz w:val="14"/>
                <w:szCs w:val="14"/>
                <w:lang w:eastAsia="es-CO"/>
              </w:rPr>
            </w:pPr>
          </w:p>
        </w:tc>
        <w:tc>
          <w:tcPr>
            <w:tcW w:w="284" w:type="pct"/>
            <w:tcBorders>
              <w:top w:val="nil"/>
              <w:left w:val="nil"/>
              <w:bottom w:val="nil"/>
              <w:right w:val="nil"/>
            </w:tcBorders>
            <w:noWrap/>
            <w:vAlign w:val="bottom"/>
            <w:hideMark/>
          </w:tcPr>
          <w:p w14:paraId="6EAE2EB1"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2B421F6F"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22BCA4CA" w14:textId="77777777" w:rsidR="00B54F4E" w:rsidRPr="009851A2" w:rsidRDefault="00B54F4E" w:rsidP="006504C4">
            <w:pPr>
              <w:spacing w:before="0" w:after="0"/>
              <w:jc w:val="left"/>
              <w:rPr>
                <w:rFonts w:ascii="Times New Roman" w:hAnsi="Times New Roman"/>
                <w:sz w:val="14"/>
                <w:szCs w:val="14"/>
                <w:lang w:eastAsia="es-CO"/>
              </w:rPr>
            </w:pPr>
          </w:p>
        </w:tc>
        <w:tc>
          <w:tcPr>
            <w:tcW w:w="285" w:type="pct"/>
            <w:tcBorders>
              <w:top w:val="nil"/>
              <w:left w:val="nil"/>
              <w:bottom w:val="nil"/>
              <w:right w:val="nil"/>
            </w:tcBorders>
            <w:noWrap/>
            <w:vAlign w:val="bottom"/>
            <w:hideMark/>
          </w:tcPr>
          <w:p w14:paraId="3A0AAD74" w14:textId="77777777" w:rsidR="00B54F4E" w:rsidRPr="009851A2" w:rsidRDefault="00B54F4E" w:rsidP="006504C4">
            <w:pPr>
              <w:spacing w:before="0" w:after="0"/>
              <w:jc w:val="left"/>
              <w:rPr>
                <w:rFonts w:ascii="Times New Roman" w:hAnsi="Times New Roman"/>
                <w:sz w:val="14"/>
                <w:szCs w:val="14"/>
                <w:lang w:eastAsia="es-CO"/>
              </w:rPr>
            </w:pPr>
          </w:p>
        </w:tc>
        <w:tc>
          <w:tcPr>
            <w:tcW w:w="344" w:type="pct"/>
            <w:tcBorders>
              <w:top w:val="nil"/>
              <w:left w:val="nil"/>
              <w:bottom w:val="nil"/>
              <w:right w:val="nil"/>
            </w:tcBorders>
            <w:noWrap/>
            <w:vAlign w:val="bottom"/>
            <w:hideMark/>
          </w:tcPr>
          <w:p w14:paraId="46AD0D56" w14:textId="77777777" w:rsidR="00B54F4E" w:rsidRPr="009851A2" w:rsidRDefault="00B54F4E" w:rsidP="006504C4">
            <w:pPr>
              <w:spacing w:before="0" w:after="0"/>
              <w:jc w:val="left"/>
              <w:rPr>
                <w:rFonts w:ascii="Times New Roman" w:hAnsi="Times New Roman"/>
                <w:sz w:val="14"/>
                <w:szCs w:val="14"/>
                <w:lang w:eastAsia="es-CO"/>
              </w:rPr>
            </w:pPr>
          </w:p>
        </w:tc>
        <w:tc>
          <w:tcPr>
            <w:tcW w:w="260" w:type="pct"/>
            <w:tcBorders>
              <w:top w:val="nil"/>
              <w:left w:val="nil"/>
              <w:bottom w:val="nil"/>
              <w:right w:val="nil"/>
            </w:tcBorders>
            <w:noWrap/>
            <w:vAlign w:val="bottom"/>
            <w:hideMark/>
          </w:tcPr>
          <w:p w14:paraId="77E5800B" w14:textId="77777777" w:rsidR="00B54F4E" w:rsidRPr="009851A2" w:rsidRDefault="00B54F4E" w:rsidP="006504C4">
            <w:pPr>
              <w:spacing w:before="0" w:after="0"/>
              <w:jc w:val="left"/>
              <w:rPr>
                <w:rFonts w:ascii="Times New Roman" w:hAnsi="Times New Roman"/>
                <w:sz w:val="14"/>
                <w:szCs w:val="14"/>
                <w:lang w:eastAsia="es-CO"/>
              </w:rPr>
            </w:pPr>
          </w:p>
        </w:tc>
      </w:tr>
    </w:tbl>
    <w:p w14:paraId="2E6BC7E6" w14:textId="77777777" w:rsidR="00B54F4E" w:rsidRDefault="00B54F4E" w:rsidP="00B54F4E">
      <w:pPr>
        <w:spacing w:before="0" w:after="0"/>
        <w:jc w:val="center"/>
        <w:rPr>
          <w:sz w:val="18"/>
          <w:lang w:val="es-ES"/>
        </w:rPr>
      </w:pPr>
    </w:p>
    <w:p w14:paraId="77E07CD9" w14:textId="77777777" w:rsidR="00B54F4E" w:rsidRDefault="00B54F4E" w:rsidP="00B54F4E">
      <w:pPr>
        <w:spacing w:before="0" w:after="0"/>
        <w:jc w:val="center"/>
      </w:pPr>
      <w:r w:rsidRPr="00795F1D">
        <w:rPr>
          <w:sz w:val="18"/>
          <w:lang w:val="es-ES"/>
        </w:rPr>
        <w:t>Nota</w:t>
      </w:r>
      <w:r>
        <w:rPr>
          <w:sz w:val="18"/>
          <w:lang w:val="es-ES"/>
        </w:rPr>
        <w:t xml:space="preserve"> 1</w:t>
      </w:r>
      <w:r w:rsidRPr="00795F1D">
        <w:rPr>
          <w:sz w:val="18"/>
          <w:lang w:val="es-ES"/>
        </w:rPr>
        <w:t>: la proyección completa de flujos fue realizada a 2030, para efecto de presentación de resultados</w:t>
      </w:r>
      <w:r>
        <w:rPr>
          <w:sz w:val="18"/>
          <w:lang w:val="es-ES"/>
        </w:rPr>
        <w:t xml:space="preserve"> en el informe escrito</w:t>
      </w:r>
      <w:r w:rsidRPr="00795F1D">
        <w:rPr>
          <w:sz w:val="18"/>
          <w:lang w:val="es-ES"/>
        </w:rPr>
        <w:t xml:space="preserve"> solo se muestran resultados a 202</w:t>
      </w:r>
      <w:r>
        <w:rPr>
          <w:sz w:val="18"/>
          <w:lang w:val="es-ES"/>
        </w:rPr>
        <w:t>5</w:t>
      </w:r>
    </w:p>
    <w:p w14:paraId="7A2276CE" w14:textId="77777777" w:rsidR="00B54F4E" w:rsidRDefault="00B54F4E" w:rsidP="00B54F4E">
      <w:pPr>
        <w:spacing w:before="0" w:after="0"/>
        <w:jc w:val="center"/>
        <w:rPr>
          <w:sz w:val="18"/>
          <w:lang w:val="es-ES"/>
        </w:rPr>
      </w:pPr>
      <w:r w:rsidRPr="009851A2">
        <w:rPr>
          <w:sz w:val="18"/>
          <w:lang w:val="es-ES"/>
        </w:rPr>
        <w:t>Nota</w:t>
      </w:r>
      <w:r>
        <w:rPr>
          <w:sz w:val="18"/>
          <w:lang w:val="es-ES"/>
        </w:rPr>
        <w:t xml:space="preserve"> 2</w:t>
      </w:r>
      <w:r w:rsidRPr="009851A2">
        <w:rPr>
          <w:sz w:val="18"/>
          <w:lang w:val="es-ES"/>
        </w:rPr>
        <w:t xml:space="preserve">: los beneficios incluyen </w:t>
      </w:r>
      <w:r>
        <w:rPr>
          <w:sz w:val="18"/>
          <w:lang w:val="es-ES"/>
        </w:rPr>
        <w:t xml:space="preserve">todos </w:t>
      </w:r>
      <w:r w:rsidRPr="009851A2">
        <w:rPr>
          <w:sz w:val="18"/>
          <w:lang w:val="es-ES"/>
        </w:rPr>
        <w:t>los beneficios</w:t>
      </w:r>
      <w:r>
        <w:rPr>
          <w:sz w:val="18"/>
          <w:lang w:val="es-ES"/>
        </w:rPr>
        <w:t>, incluyendo los</w:t>
      </w:r>
      <w:r w:rsidRPr="009851A2">
        <w:rPr>
          <w:sz w:val="18"/>
          <w:lang w:val="es-ES"/>
        </w:rPr>
        <w:t xml:space="preserve"> asociados con las menores emisiones de CO2</w:t>
      </w:r>
    </w:p>
    <w:p w14:paraId="1734C548" w14:textId="77777777" w:rsidR="00B54F4E" w:rsidRDefault="00B54F4E" w:rsidP="00B54F4E">
      <w:pPr>
        <w:spacing w:before="0" w:after="0"/>
        <w:jc w:val="center"/>
        <w:rPr>
          <w:sz w:val="18"/>
          <w:lang w:val="es-ES"/>
        </w:rPr>
      </w:pPr>
      <w:r>
        <w:rPr>
          <w:sz w:val="18"/>
          <w:lang w:val="es-ES"/>
        </w:rPr>
        <w:t>Nota 3</w:t>
      </w:r>
      <w:r w:rsidRPr="009851A2">
        <w:rPr>
          <w:sz w:val="18"/>
          <w:lang w:val="es-ES"/>
        </w:rPr>
        <w:t>: el beneficio asociado con la introducción de GN es un beneficio neto que ya incorpora de manera implícita los costos asociados</w:t>
      </w:r>
    </w:p>
    <w:p w14:paraId="5E812C27" w14:textId="77777777" w:rsidR="00B54F4E" w:rsidRDefault="00B54F4E" w:rsidP="00B54F4E">
      <w:pPr>
        <w:spacing w:before="0" w:after="0"/>
        <w:jc w:val="center"/>
        <w:rPr>
          <w:sz w:val="18"/>
          <w:lang w:val="es-ES"/>
        </w:rPr>
      </w:pPr>
    </w:p>
    <w:p w14:paraId="1C87BB92" w14:textId="77777777" w:rsidR="00B54F4E" w:rsidRPr="00B452D3" w:rsidRDefault="00B54F4E" w:rsidP="00B54F4E">
      <w:pPr>
        <w:jc w:val="center"/>
        <w:rPr>
          <w:b/>
        </w:rPr>
      </w:pPr>
      <w:bookmarkStart w:id="128" w:name="_Ref481316449"/>
      <w:bookmarkStart w:id="129" w:name="_Toc484097067"/>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27</w:t>
      </w:r>
      <w:r w:rsidRPr="008C12BC">
        <w:rPr>
          <w:b/>
        </w:rPr>
        <w:fldChar w:fldCharType="end"/>
      </w:r>
      <w:bookmarkEnd w:id="128"/>
      <w:r>
        <w:rPr>
          <w:b/>
        </w:rPr>
        <w:t xml:space="preserve"> – Resumen de beneficios netos asociados con el desarrollo de una matriz energética sostenible</w:t>
      </w:r>
      <w:bookmarkEnd w:id="129"/>
    </w:p>
    <w:tbl>
      <w:tblPr>
        <w:tblW w:w="8780" w:type="dxa"/>
        <w:tblInd w:w="-5" w:type="dxa"/>
        <w:tblCellMar>
          <w:left w:w="70" w:type="dxa"/>
          <w:right w:w="70" w:type="dxa"/>
        </w:tblCellMar>
        <w:tblLook w:val="04A0" w:firstRow="1" w:lastRow="0" w:firstColumn="1" w:lastColumn="0" w:noHBand="0" w:noVBand="1"/>
      </w:tblPr>
      <w:tblGrid>
        <w:gridCol w:w="5860"/>
        <w:gridCol w:w="2920"/>
      </w:tblGrid>
      <w:tr w:rsidR="00B54F4E" w:rsidRPr="00DB255F" w14:paraId="3D5FE657" w14:textId="77777777" w:rsidTr="006504C4">
        <w:trPr>
          <w:trHeight w:val="480"/>
        </w:trPr>
        <w:tc>
          <w:tcPr>
            <w:tcW w:w="5860" w:type="dxa"/>
            <w:tcBorders>
              <w:top w:val="single" w:sz="4" w:space="0" w:color="auto"/>
              <w:left w:val="single" w:sz="4" w:space="0" w:color="auto"/>
              <w:bottom w:val="nil"/>
              <w:right w:val="single" w:sz="4" w:space="0" w:color="FFFFFF"/>
            </w:tcBorders>
            <w:shd w:val="clear" w:color="000000" w:fill="203764"/>
            <w:noWrap/>
            <w:vAlign w:val="center"/>
            <w:hideMark/>
          </w:tcPr>
          <w:p w14:paraId="1E339CFE" w14:textId="77777777" w:rsidR="00B54F4E" w:rsidRPr="00DB255F" w:rsidRDefault="00B54F4E" w:rsidP="006504C4">
            <w:pPr>
              <w:spacing w:before="0" w:after="0"/>
              <w:jc w:val="center"/>
              <w:rPr>
                <w:rFonts w:cs="Arial"/>
                <w:b/>
                <w:bCs/>
                <w:color w:val="FFFFFF"/>
                <w:sz w:val="18"/>
                <w:szCs w:val="18"/>
                <w:lang w:eastAsia="es-CO"/>
              </w:rPr>
            </w:pPr>
            <w:r w:rsidRPr="00DB255F">
              <w:rPr>
                <w:rFonts w:cs="Arial"/>
                <w:b/>
                <w:bCs/>
                <w:color w:val="FFFFFF"/>
                <w:sz w:val="18"/>
                <w:szCs w:val="18"/>
                <w:lang w:eastAsia="es-CO"/>
              </w:rPr>
              <w:t>Área (subcomponente)</w:t>
            </w:r>
          </w:p>
        </w:tc>
        <w:tc>
          <w:tcPr>
            <w:tcW w:w="2920" w:type="dxa"/>
            <w:tcBorders>
              <w:top w:val="single" w:sz="4" w:space="0" w:color="auto"/>
              <w:left w:val="nil"/>
              <w:bottom w:val="nil"/>
              <w:right w:val="single" w:sz="4" w:space="0" w:color="FFFFFF"/>
            </w:tcBorders>
            <w:shd w:val="clear" w:color="000000" w:fill="203764"/>
            <w:vAlign w:val="center"/>
            <w:hideMark/>
          </w:tcPr>
          <w:p w14:paraId="3D1A84A8" w14:textId="77777777" w:rsidR="00B54F4E" w:rsidRPr="00DB255F" w:rsidRDefault="00B54F4E" w:rsidP="006504C4">
            <w:pPr>
              <w:spacing w:before="0" w:after="0"/>
              <w:jc w:val="center"/>
              <w:rPr>
                <w:rFonts w:cs="Arial"/>
                <w:b/>
                <w:bCs/>
                <w:color w:val="FFFFFF"/>
                <w:sz w:val="18"/>
                <w:szCs w:val="18"/>
                <w:lang w:eastAsia="es-CO"/>
              </w:rPr>
            </w:pPr>
            <w:r w:rsidRPr="00DB255F">
              <w:rPr>
                <w:rFonts w:cs="Arial"/>
                <w:b/>
                <w:bCs/>
                <w:color w:val="FFFFFF"/>
                <w:sz w:val="18"/>
                <w:szCs w:val="18"/>
                <w:lang w:eastAsia="es-CO"/>
              </w:rPr>
              <w:t>Beneficio Neto</w:t>
            </w:r>
            <w:r w:rsidRPr="00DB255F">
              <w:rPr>
                <w:rFonts w:cs="Arial"/>
                <w:b/>
                <w:bCs/>
                <w:color w:val="FFFFFF"/>
                <w:sz w:val="18"/>
                <w:szCs w:val="18"/>
                <w:lang w:eastAsia="es-CO"/>
              </w:rPr>
              <w:br/>
              <w:t>(USD$ MM)</w:t>
            </w:r>
          </w:p>
        </w:tc>
      </w:tr>
      <w:tr w:rsidR="00B54F4E" w:rsidRPr="00DB255F" w14:paraId="372A8266" w14:textId="77777777" w:rsidTr="006504C4">
        <w:trPr>
          <w:trHeight w:val="300"/>
        </w:trPr>
        <w:tc>
          <w:tcPr>
            <w:tcW w:w="5860" w:type="dxa"/>
            <w:tcBorders>
              <w:top w:val="nil"/>
              <w:left w:val="nil"/>
              <w:bottom w:val="nil"/>
              <w:right w:val="nil"/>
            </w:tcBorders>
            <w:shd w:val="clear" w:color="auto" w:fill="auto"/>
            <w:noWrap/>
            <w:vAlign w:val="center"/>
            <w:hideMark/>
          </w:tcPr>
          <w:p w14:paraId="2314721F" w14:textId="77777777" w:rsidR="00B54F4E" w:rsidRPr="00DB255F" w:rsidRDefault="00B54F4E" w:rsidP="006504C4">
            <w:pPr>
              <w:spacing w:before="0" w:after="0"/>
              <w:jc w:val="left"/>
              <w:rPr>
                <w:rFonts w:cs="Arial"/>
                <w:color w:val="000000"/>
                <w:sz w:val="18"/>
                <w:szCs w:val="18"/>
                <w:lang w:eastAsia="es-CO"/>
              </w:rPr>
            </w:pPr>
            <w:r w:rsidRPr="00DB255F">
              <w:rPr>
                <w:rFonts w:cs="Arial"/>
                <w:color w:val="000000"/>
                <w:sz w:val="18"/>
                <w:szCs w:val="18"/>
                <w:lang w:val="es-BO" w:eastAsia="es-CO"/>
              </w:rPr>
              <w:t>Desarrollo de Energía Renovable (ER)</w:t>
            </w:r>
          </w:p>
        </w:tc>
        <w:tc>
          <w:tcPr>
            <w:tcW w:w="2920" w:type="dxa"/>
            <w:tcBorders>
              <w:top w:val="nil"/>
              <w:left w:val="nil"/>
              <w:bottom w:val="nil"/>
              <w:right w:val="nil"/>
            </w:tcBorders>
            <w:shd w:val="clear" w:color="auto" w:fill="auto"/>
            <w:noWrap/>
            <w:vAlign w:val="center"/>
            <w:hideMark/>
          </w:tcPr>
          <w:p w14:paraId="626AD2EC" w14:textId="77777777" w:rsidR="00B54F4E" w:rsidRPr="00DB255F" w:rsidRDefault="00B54F4E" w:rsidP="006504C4">
            <w:pPr>
              <w:spacing w:before="0" w:after="0"/>
              <w:jc w:val="center"/>
              <w:rPr>
                <w:rFonts w:cs="Arial"/>
                <w:color w:val="000000"/>
                <w:sz w:val="18"/>
                <w:szCs w:val="18"/>
                <w:lang w:eastAsia="es-CO"/>
              </w:rPr>
            </w:pPr>
            <w:r>
              <w:rPr>
                <w:rFonts w:cs="Arial"/>
                <w:color w:val="000000"/>
                <w:sz w:val="18"/>
                <w:szCs w:val="18"/>
                <w:lang w:eastAsia="es-CO"/>
              </w:rPr>
              <w:t>82</w:t>
            </w:r>
          </w:p>
        </w:tc>
      </w:tr>
      <w:tr w:rsidR="00B54F4E" w:rsidRPr="00DB255F" w14:paraId="73AD0DB3" w14:textId="77777777" w:rsidTr="006504C4">
        <w:trPr>
          <w:trHeight w:val="300"/>
        </w:trPr>
        <w:tc>
          <w:tcPr>
            <w:tcW w:w="5860" w:type="dxa"/>
            <w:tcBorders>
              <w:top w:val="nil"/>
              <w:left w:val="nil"/>
              <w:bottom w:val="nil"/>
              <w:right w:val="nil"/>
            </w:tcBorders>
            <w:shd w:val="clear" w:color="auto" w:fill="auto"/>
            <w:noWrap/>
            <w:vAlign w:val="center"/>
            <w:hideMark/>
          </w:tcPr>
          <w:p w14:paraId="74D954A6" w14:textId="77777777" w:rsidR="00B54F4E" w:rsidRPr="00DB255F" w:rsidRDefault="00B54F4E" w:rsidP="006504C4">
            <w:pPr>
              <w:spacing w:before="0" w:after="0"/>
              <w:jc w:val="left"/>
              <w:rPr>
                <w:rFonts w:cs="Arial"/>
                <w:color w:val="000000"/>
                <w:sz w:val="18"/>
                <w:szCs w:val="18"/>
                <w:lang w:eastAsia="es-CO"/>
              </w:rPr>
            </w:pPr>
            <w:r w:rsidRPr="00DB255F">
              <w:rPr>
                <w:rFonts w:cs="Arial"/>
                <w:color w:val="000000"/>
                <w:sz w:val="18"/>
                <w:szCs w:val="18"/>
                <w:lang w:val="es-BO" w:eastAsia="es-CO"/>
              </w:rPr>
              <w:t>Introducción de Gas Natural (GN) - Sector eléctrico</w:t>
            </w:r>
          </w:p>
        </w:tc>
        <w:tc>
          <w:tcPr>
            <w:tcW w:w="2920" w:type="dxa"/>
            <w:tcBorders>
              <w:top w:val="nil"/>
              <w:left w:val="nil"/>
              <w:bottom w:val="nil"/>
              <w:right w:val="nil"/>
            </w:tcBorders>
            <w:shd w:val="clear" w:color="auto" w:fill="auto"/>
            <w:noWrap/>
            <w:vAlign w:val="center"/>
            <w:hideMark/>
          </w:tcPr>
          <w:p w14:paraId="50915D17" w14:textId="77777777" w:rsidR="00B54F4E" w:rsidRPr="00DB255F" w:rsidRDefault="00B54F4E" w:rsidP="006504C4">
            <w:pPr>
              <w:spacing w:before="0" w:after="0"/>
              <w:jc w:val="center"/>
              <w:rPr>
                <w:rFonts w:cs="Arial"/>
                <w:color w:val="000000"/>
                <w:sz w:val="18"/>
                <w:szCs w:val="18"/>
                <w:lang w:eastAsia="es-CO"/>
              </w:rPr>
            </w:pPr>
            <w:r>
              <w:rPr>
                <w:rFonts w:cs="Arial"/>
                <w:color w:val="000000"/>
                <w:sz w:val="18"/>
                <w:szCs w:val="18"/>
                <w:lang w:eastAsia="es-CO"/>
              </w:rPr>
              <w:t>180</w:t>
            </w:r>
          </w:p>
        </w:tc>
      </w:tr>
      <w:tr w:rsidR="00B54F4E" w:rsidRPr="00DB255F" w14:paraId="578A210A" w14:textId="77777777" w:rsidTr="006504C4">
        <w:trPr>
          <w:trHeight w:val="300"/>
        </w:trPr>
        <w:tc>
          <w:tcPr>
            <w:tcW w:w="5860" w:type="dxa"/>
            <w:tcBorders>
              <w:top w:val="nil"/>
              <w:left w:val="nil"/>
              <w:bottom w:val="nil"/>
              <w:right w:val="nil"/>
            </w:tcBorders>
            <w:shd w:val="clear" w:color="auto" w:fill="auto"/>
            <w:noWrap/>
            <w:vAlign w:val="center"/>
            <w:hideMark/>
          </w:tcPr>
          <w:p w14:paraId="50F37DC5" w14:textId="77777777" w:rsidR="00B54F4E" w:rsidRPr="00DB255F" w:rsidRDefault="00B54F4E" w:rsidP="006504C4">
            <w:pPr>
              <w:spacing w:before="0" w:after="0"/>
              <w:jc w:val="left"/>
              <w:rPr>
                <w:rFonts w:cs="Arial"/>
                <w:color w:val="000000"/>
                <w:sz w:val="18"/>
                <w:szCs w:val="18"/>
                <w:lang w:eastAsia="es-CO"/>
              </w:rPr>
            </w:pPr>
            <w:r w:rsidRPr="00DB255F">
              <w:rPr>
                <w:rFonts w:cs="Arial"/>
                <w:color w:val="000000"/>
                <w:sz w:val="18"/>
                <w:szCs w:val="18"/>
                <w:lang w:val="es-BO" w:eastAsia="es-CO"/>
              </w:rPr>
              <w:t xml:space="preserve">Implementación de medidas de Eficiencia Energética (EE) </w:t>
            </w:r>
          </w:p>
        </w:tc>
        <w:tc>
          <w:tcPr>
            <w:tcW w:w="2920" w:type="dxa"/>
            <w:tcBorders>
              <w:top w:val="nil"/>
              <w:left w:val="nil"/>
              <w:bottom w:val="nil"/>
              <w:right w:val="nil"/>
            </w:tcBorders>
            <w:shd w:val="clear" w:color="auto" w:fill="auto"/>
            <w:noWrap/>
            <w:vAlign w:val="center"/>
            <w:hideMark/>
          </w:tcPr>
          <w:p w14:paraId="282CBE38" w14:textId="77777777" w:rsidR="00B54F4E" w:rsidRPr="00DB255F" w:rsidRDefault="00B54F4E" w:rsidP="006504C4">
            <w:pPr>
              <w:spacing w:before="0" w:after="0"/>
              <w:jc w:val="center"/>
              <w:rPr>
                <w:rFonts w:cs="Arial"/>
                <w:color w:val="000000"/>
                <w:sz w:val="18"/>
                <w:szCs w:val="18"/>
                <w:lang w:eastAsia="es-CO"/>
              </w:rPr>
            </w:pPr>
            <w:r w:rsidRPr="00DB255F">
              <w:rPr>
                <w:rFonts w:cs="Arial"/>
                <w:color w:val="000000"/>
                <w:sz w:val="18"/>
                <w:szCs w:val="18"/>
                <w:lang w:eastAsia="es-CO"/>
              </w:rPr>
              <w:t>1.129</w:t>
            </w:r>
          </w:p>
        </w:tc>
      </w:tr>
      <w:tr w:rsidR="00B54F4E" w:rsidRPr="00DB255F" w14:paraId="6D13596B" w14:textId="77777777" w:rsidTr="006504C4">
        <w:trPr>
          <w:trHeight w:val="300"/>
        </w:trPr>
        <w:tc>
          <w:tcPr>
            <w:tcW w:w="5860" w:type="dxa"/>
            <w:tcBorders>
              <w:top w:val="single" w:sz="4" w:space="0" w:color="auto"/>
              <w:left w:val="nil"/>
              <w:bottom w:val="single" w:sz="4" w:space="0" w:color="auto"/>
              <w:right w:val="nil"/>
            </w:tcBorders>
            <w:shd w:val="clear" w:color="auto" w:fill="auto"/>
            <w:noWrap/>
            <w:vAlign w:val="center"/>
            <w:hideMark/>
          </w:tcPr>
          <w:p w14:paraId="69226D66" w14:textId="77777777" w:rsidR="00B54F4E" w:rsidRPr="00DB255F" w:rsidRDefault="00B54F4E" w:rsidP="006504C4">
            <w:pPr>
              <w:spacing w:before="0" w:after="0"/>
              <w:jc w:val="left"/>
              <w:rPr>
                <w:rFonts w:cs="Arial"/>
                <w:b/>
                <w:bCs/>
                <w:color w:val="000000"/>
                <w:sz w:val="18"/>
                <w:szCs w:val="18"/>
                <w:lang w:eastAsia="es-CO"/>
              </w:rPr>
            </w:pPr>
            <w:r w:rsidRPr="00DB255F">
              <w:rPr>
                <w:rFonts w:cs="Arial"/>
                <w:b/>
                <w:bCs/>
                <w:color w:val="000000"/>
                <w:sz w:val="18"/>
                <w:szCs w:val="18"/>
                <w:lang w:eastAsia="es-CO"/>
              </w:rPr>
              <w:t>Total</w:t>
            </w:r>
          </w:p>
        </w:tc>
        <w:tc>
          <w:tcPr>
            <w:tcW w:w="2920" w:type="dxa"/>
            <w:tcBorders>
              <w:top w:val="single" w:sz="4" w:space="0" w:color="auto"/>
              <w:left w:val="nil"/>
              <w:bottom w:val="single" w:sz="4" w:space="0" w:color="auto"/>
              <w:right w:val="nil"/>
            </w:tcBorders>
            <w:shd w:val="clear" w:color="auto" w:fill="auto"/>
            <w:noWrap/>
            <w:vAlign w:val="center"/>
            <w:hideMark/>
          </w:tcPr>
          <w:p w14:paraId="68CBCA0E" w14:textId="77777777" w:rsidR="00B54F4E" w:rsidRPr="00DB255F" w:rsidRDefault="00B54F4E" w:rsidP="006504C4">
            <w:pPr>
              <w:spacing w:before="0" w:after="0"/>
              <w:jc w:val="center"/>
              <w:rPr>
                <w:rFonts w:cs="Arial"/>
                <w:b/>
                <w:bCs/>
                <w:color w:val="000000"/>
                <w:sz w:val="18"/>
                <w:szCs w:val="18"/>
                <w:lang w:eastAsia="es-CO"/>
              </w:rPr>
            </w:pPr>
            <w:r>
              <w:rPr>
                <w:rFonts w:cs="Arial"/>
                <w:b/>
                <w:bCs/>
                <w:color w:val="000000"/>
                <w:sz w:val="18"/>
                <w:szCs w:val="18"/>
                <w:lang w:eastAsia="es-CO"/>
              </w:rPr>
              <w:t>1.391</w:t>
            </w:r>
          </w:p>
        </w:tc>
      </w:tr>
    </w:tbl>
    <w:p w14:paraId="1A5A5203" w14:textId="77777777" w:rsidR="00B54F4E" w:rsidRDefault="00B54F4E" w:rsidP="00B54F4E">
      <w:r>
        <w:t>Los análisis de sensibilidad realizados muestran que los resultados siguen siendo importantes ante cambios en las variables principales que afectan los beneficios netos.</w:t>
      </w:r>
    </w:p>
    <w:p w14:paraId="1609058C" w14:textId="77777777" w:rsidR="00B54F4E" w:rsidRPr="0088633D" w:rsidRDefault="00B54F4E" w:rsidP="00B54F4E">
      <w:pPr>
        <w:pStyle w:val="Heading1"/>
        <w:rPr>
          <w:lang w:val="es-ES"/>
        </w:rPr>
      </w:pPr>
      <w:bookmarkStart w:id="130" w:name="_Toc484097034"/>
      <w:r>
        <w:rPr>
          <w:lang w:val="es-ES"/>
        </w:rPr>
        <w:t>E</w:t>
      </w:r>
      <w:r w:rsidRPr="0088633D">
        <w:rPr>
          <w:lang w:val="es-ES"/>
        </w:rPr>
        <w:t xml:space="preserve">valuación económica del </w:t>
      </w:r>
      <w:r>
        <w:rPr>
          <w:lang w:val="es-ES"/>
        </w:rPr>
        <w:t>Componente 2.3</w:t>
      </w:r>
      <w:r w:rsidRPr="0088633D">
        <w:rPr>
          <w:lang w:val="es-ES"/>
        </w:rPr>
        <w:t xml:space="preserve"> Racionalización de los subsidios en el sector energético</w:t>
      </w:r>
      <w:bookmarkEnd w:id="130"/>
    </w:p>
    <w:p w14:paraId="73269822" w14:textId="77777777" w:rsidR="00B54F4E" w:rsidRDefault="00B54F4E" w:rsidP="00B54F4E">
      <w:r>
        <w:t>Este componente busca p</w:t>
      </w:r>
      <w:r w:rsidRPr="0088633D">
        <w:t>romover el desarrollo e implementación de mecanismos orientados a mejorar la focalización de los subsidios otorgados al consumo eléctrico.</w:t>
      </w:r>
    </w:p>
    <w:p w14:paraId="2AA74D1C" w14:textId="77777777" w:rsidR="00B54F4E" w:rsidRDefault="00B54F4E" w:rsidP="00B54F4E">
      <w:r>
        <w:lastRenderedPageBreak/>
        <w:t>Teóricamente, el gasto en subsidios debe orientarse a aquellos sectores donde el benéfico social es mayor. Desde la óptica de la equidad, los subsidios deben estar dirigidos a los grupos poblacionales más vulnerables y/o de menores ingresos.</w:t>
      </w:r>
    </w:p>
    <w:p w14:paraId="6F45EF47" w14:textId="77777777" w:rsidR="00B54F4E" w:rsidRDefault="00B54F4E" w:rsidP="00B54F4E">
      <w:pPr>
        <w:spacing w:after="0"/>
      </w:pPr>
      <w:r w:rsidRPr="0088633D">
        <w:t>La focalización de subsidios tiene como objetivo ajustar las tarifas de sectores residenciales subsidiados para reflejar mejor los costos del servicio y enfocar los apoyos al consumo a los gr</w:t>
      </w:r>
      <w:r>
        <w:t>upos de menor capacidad de pago</w:t>
      </w:r>
      <w:r w:rsidRPr="0088633D">
        <w:t xml:space="preserve">. </w:t>
      </w:r>
      <w:r>
        <w:t>Una adecuada focalización busca reducir al máximo los errores de exclusión y de inclusión, a la vez que puede también liberar recursos del presupuesto nacional para destinarlos a otros sectores donde el costo de oportunidad de los subsidios puede ser mayor (por ejemplo, al sector salud y de educación).</w:t>
      </w:r>
      <w:r>
        <w:rPr>
          <w:rStyle w:val="FootnoteReference"/>
        </w:rPr>
        <w:footnoteReference w:id="22"/>
      </w:r>
      <w:r>
        <w:t xml:space="preserve"> De acuerdo con las indagaciones realizadas, en Panamá no se ha realizado aún un estudio o diagnóstico sobre la focalización de los subsidios.</w:t>
      </w:r>
    </w:p>
    <w:p w14:paraId="68F97B44" w14:textId="77777777" w:rsidR="00B54F4E" w:rsidRDefault="00B54F4E" w:rsidP="00B54F4E">
      <w:r>
        <w:t>Para poder definir una metodología que permita realizar la evaluación económica y financiera del componente, es necesario contextualizar el esquema o esquemas de subsidios que opera en el sector eléctrico de Panamá, lo cual se expone a continuación.</w:t>
      </w:r>
    </w:p>
    <w:p w14:paraId="45FABEF0" w14:textId="77777777" w:rsidR="00B54F4E" w:rsidRDefault="00B54F4E" w:rsidP="00B54F4E">
      <w:pPr>
        <w:pStyle w:val="Heading3"/>
      </w:pPr>
      <w:bookmarkStart w:id="131" w:name="_Toc481166558"/>
      <w:bookmarkStart w:id="132" w:name="_Toc484097035"/>
      <w:r>
        <w:t>El esquema de subsidios a los consumidores del sector eléctrico de Panamá</w:t>
      </w:r>
      <w:bookmarkEnd w:id="131"/>
      <w:bookmarkEnd w:id="132"/>
    </w:p>
    <w:p w14:paraId="3F7BD1DB" w14:textId="77777777" w:rsidR="00B54F4E" w:rsidRDefault="00B54F4E" w:rsidP="00B54F4E">
      <w:r>
        <w:t>En Panamá los subsidios al consumo eléctrico se diferencian entre aquellos otorgados por ley y que se encuentran internalizados en la tarifa (subsidios cruzados) y aquellos cuyos recursos son aportados por el Estado. Los primeros son subsidios concebidos de manera permanente, mientras que los segundos se han concebido como mecanismos transitorios enfocados a mitigar incrementos en tarifas, originados principalmente por los precios del petróleo.</w:t>
      </w:r>
    </w:p>
    <w:p w14:paraId="0C2EA224" w14:textId="77777777" w:rsidR="00B54F4E" w:rsidRPr="005626CA" w:rsidRDefault="00B54F4E" w:rsidP="00B54F4E">
      <w:pPr>
        <w:pStyle w:val="Heading4"/>
      </w:pPr>
      <w:r w:rsidRPr="005626CA">
        <w:t>Esquema de subsidios fijados por Ley</w:t>
      </w:r>
      <w:r>
        <w:t xml:space="preserve"> e internalizados en la tarifa eléctrica</w:t>
      </w:r>
    </w:p>
    <w:p w14:paraId="740F01E9" w14:textId="77777777" w:rsidR="00B54F4E" w:rsidRDefault="00B54F4E" w:rsidP="00B54F4E">
      <w:r>
        <w:t>Los subsidios fijados por Ley pueden diferenciarse entre aquello que se otorgan a entidades y grupos poblacionales de determinadas características, y los subsidios que se destinan a cubrir el consumo básico o de subsistencia, que podría considerarse como el subsidio focalizado a consumidores de menores ingresos.</w:t>
      </w:r>
    </w:p>
    <w:p w14:paraId="7EC948BE" w14:textId="77777777" w:rsidR="00B54F4E" w:rsidRDefault="00B54F4E" w:rsidP="00B54F4E">
      <w:r>
        <w:t>En 2015, todos estos subsidios ascendieron a USD37 millones, correspondiendo el 50% a jubilados y el 49,5% para los consumos hasta 100 kWh (US$4.5 millones). De un total de 1.004.264 clientes, 418.602 recibieron subsidios, esto es, el 41,7% de los clientes.</w:t>
      </w:r>
    </w:p>
    <w:p w14:paraId="0AF8A008" w14:textId="77777777" w:rsidR="00B54F4E" w:rsidRDefault="00B54F4E" w:rsidP="00B54F4E">
      <w:r>
        <w:t xml:space="preserve">Entre los subsidios fijados por Ley destinados a entidades y grupos particulares d epoblción se encuentran subsidios a la Cruz Roja (exonerada), Sector Agropecuario (5% de descuento), pensionados y tercera edad (descuento del 25% hasta 600 kWh), partidos políticos (descuento del 50%), y discapacitados (descuento del 25%). </w:t>
      </w:r>
    </w:p>
    <w:p w14:paraId="7F2001E2" w14:textId="77777777" w:rsidR="00B54F4E" w:rsidRPr="00580E7E" w:rsidRDefault="00B54F4E" w:rsidP="00B54F4E">
      <w:pPr>
        <w:rPr>
          <w:b/>
          <w:i/>
        </w:rPr>
      </w:pPr>
      <w:r w:rsidRPr="00580E7E">
        <w:rPr>
          <w:b/>
          <w:i/>
        </w:rPr>
        <w:t>Subsidios al consumo de subsistencia</w:t>
      </w:r>
    </w:p>
    <w:p w14:paraId="09F53709" w14:textId="77777777" w:rsidR="00B54F4E" w:rsidRDefault="00B54F4E" w:rsidP="00B54F4E">
      <w:r>
        <w:t xml:space="preserve">A principios de la década de 2000, los precios de los combustibles comenzaron a subir aceleradamente aumentando por lo tanto los costos de generación térmica, que </w:t>
      </w:r>
      <w:r>
        <w:lastRenderedPageBreak/>
        <w:t>representaba 49% de la generación del país para ese momento.</w:t>
      </w:r>
      <w:r>
        <w:rPr>
          <w:rStyle w:val="FootnoteReference"/>
        </w:rPr>
        <w:footnoteReference w:id="23"/>
      </w:r>
      <w:r>
        <w:t xml:space="preserve"> El Gobierno, buscando reducir el impacto del aumento de las tarifas sobre los clientes más vulnerables, introdujo ante la Asamblea Legislativa un proyecto de ley para subsidiar a los usuarios con consumos menores a 100 Kwh. La Ley 15 de febrero de 2001 estableció reglas para subsidiar el consumo de subsistencia o consumo básico, fijado en 100 kWh y hasta por el 20% del valor. El aporte proviene de consumos superiores a 500 kWh, por un valor hasta el 0.6% de su facturación mensual.</w:t>
      </w:r>
    </w:p>
    <w:p w14:paraId="1F4D1888" w14:textId="77777777" w:rsidR="00B54F4E" w:rsidRPr="005626CA" w:rsidRDefault="00B54F4E" w:rsidP="00B54F4E">
      <w:pPr>
        <w:pStyle w:val="Heading4"/>
      </w:pPr>
      <w:r w:rsidRPr="005626CA">
        <w:t>Esquema</w:t>
      </w:r>
      <w:r>
        <w:t>s</w:t>
      </w:r>
      <w:r w:rsidRPr="005626CA">
        <w:t xml:space="preserve"> de subsi</w:t>
      </w:r>
      <w:r>
        <w:t>dios fijados por mitigar incrementos tarifarios</w:t>
      </w:r>
    </w:p>
    <w:p w14:paraId="6BB2DF16" w14:textId="77777777" w:rsidR="00B54F4E" w:rsidRDefault="00B54F4E" w:rsidP="00B54F4E">
      <w:r>
        <w:t>El impacto de las fuertes variaciones en los precios del petróleo y sus derivados llevaron al GdP a crear dos mecanismos complementarios en diferentes oportunidades: el Fondo de Estabilización Tarifaria en 2004 y el Fondo de Compensación Energética FACE en 2011, éste último ya cancelado recientemente.</w:t>
      </w:r>
      <w:r>
        <w:rPr>
          <w:rStyle w:val="FootnoteReference"/>
        </w:rPr>
        <w:footnoteReference w:id="24"/>
      </w:r>
    </w:p>
    <w:p w14:paraId="48254C59" w14:textId="77777777" w:rsidR="00B54F4E" w:rsidRPr="00474E6D" w:rsidRDefault="00B54F4E" w:rsidP="00B54F4E">
      <w:pPr>
        <w:rPr>
          <w:b/>
        </w:rPr>
      </w:pPr>
      <w:r w:rsidRPr="00474E6D">
        <w:rPr>
          <w:b/>
        </w:rPr>
        <w:t>Fondo de Estabilización Tarifaria FET</w:t>
      </w:r>
    </w:p>
    <w:p w14:paraId="59EEC7D3" w14:textId="77777777" w:rsidR="00B54F4E" w:rsidRDefault="00B54F4E" w:rsidP="00B54F4E">
      <w:r>
        <w:t>A raíz de las fuertes variaciones en los precios del petróleo y sus derivados, y debido a la importante participación de la generación térmica en Panamá con base en combustibles líquidos, el GdP, creó el Fondo de Estabilización Tarifaria – FET en 2004</w:t>
      </w:r>
      <w:r>
        <w:rPr>
          <w:rStyle w:val="FootnoteReference"/>
        </w:rPr>
        <w:footnoteReference w:id="25"/>
      </w:r>
      <w:r>
        <w:t>, como medida transitoria con duración de 4 años, para mitigar los incrementos en las tarifas de electricidad las cuales se habían fijado con base en precios de 40 USD/B. El FET ha sido prorrogado en cuatro oportunidades, siendo la última en febrero de 2016 por 4 años más (hasta 2020).</w:t>
      </w:r>
      <w:r>
        <w:rPr>
          <w:rStyle w:val="FootnoteReference"/>
        </w:rPr>
        <w:footnoteReference w:id="26"/>
      </w:r>
    </w:p>
    <w:p w14:paraId="3874CD28" w14:textId="77777777" w:rsidR="00B54F4E" w:rsidRDefault="00B54F4E" w:rsidP="00B54F4E">
      <w:r>
        <w:t>El FET se concibió inicialmente como un mecanismo financiero para proveer en el corto y mediano plazo la estabilización del precio de la energía al consumidor final, sin embargo, ante la persistencia prolongada de altos precios del petróleo, el FET terminó convirtiéndose en un mecanismo de subsidios. Cada semestre el monto del FET varía dependiendo de las variaciones que haya tenido la tarifa y de las disponibilidades de financiamiento del Estado.</w:t>
      </w:r>
    </w:p>
    <w:p w14:paraId="73EF59C2" w14:textId="77777777" w:rsidR="00B54F4E" w:rsidRDefault="00B54F4E" w:rsidP="00B54F4E">
      <w:bookmarkStart w:id="133" w:name="_Hlk481164036"/>
      <w:r w:rsidRPr="00070692">
        <w:t xml:space="preserve">La Resolución de Gabinete 175 de 2011 </w:t>
      </w:r>
      <w:bookmarkEnd w:id="133"/>
      <w:r w:rsidRPr="00070692">
        <w:t>fijó la proporción de aporte del FET a los clientes beneficiarios de dicho Fondo, mediante un cronograma que iba del año 2012 al 201</w:t>
      </w:r>
      <w:r>
        <w:t xml:space="preserve">6 que se indica en la tabla siguiente. Los porcentajes que se detallan semestralmente </w:t>
      </w:r>
      <w:r>
        <w:lastRenderedPageBreak/>
        <w:t>corresponden al aporte en referencia al aporte otorgado del 1 de enero al 30 de junio de 2011. Por ejemplo, en enero-junio 2012, los clientes con consumo de 461-500 kWh recibirán el 66.7%, quiere decir que estos clientes recibieron el 66.7% del aporte que recibieron en el periodo del 1 de enero al 30 de junio de 2011. Es decir, no existe una norma única que indique cuánto del costo del servicio debe ser cubierto con el FET. El Gobierno semestralmente analiza la información de la siguiente actualización tarifaria que resume ASEP y decide la política de subsidios correspondiente. Los descuentos que se otorgan por rango de consumo los calcula ASEP en función de las directrices dictadas por el Gabinete.</w:t>
      </w:r>
    </w:p>
    <w:p w14:paraId="40536CB3" w14:textId="77777777" w:rsidR="00B54F4E" w:rsidRDefault="00B54F4E" w:rsidP="00B54F4E">
      <w:r>
        <w:rPr>
          <w:noProof/>
          <w:lang w:val="en-US"/>
        </w:rPr>
        <w:drawing>
          <wp:inline distT="0" distB="0" distL="0" distR="0" wp14:anchorId="40BAF7FA" wp14:editId="5FC819E5">
            <wp:extent cx="5612130" cy="2052320"/>
            <wp:effectExtent l="0" t="0" r="7620" b="508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5612130" cy="2052320"/>
                    </a:xfrm>
                    <a:prstGeom prst="rect">
                      <a:avLst/>
                    </a:prstGeom>
                  </pic:spPr>
                </pic:pic>
              </a:graphicData>
            </a:graphic>
          </wp:inline>
        </w:drawing>
      </w:r>
      <w:r>
        <w:t xml:space="preserve"> </w:t>
      </w:r>
    </w:p>
    <w:p w14:paraId="5B7DE75E" w14:textId="77777777" w:rsidR="00B54F4E" w:rsidRDefault="00B54F4E" w:rsidP="00B54F4E">
      <w:r>
        <w:t>Como se puede observar, al terminar el año 2015 ya se tendrían desmontados los subsidios a los consumos por encima de 400 kWh y al finalizar el 2015, los subsidios por encima de los 300 kWh.</w:t>
      </w:r>
    </w:p>
    <w:p w14:paraId="0821E0E9" w14:textId="77777777" w:rsidR="00B54F4E" w:rsidRPr="00E56927" w:rsidRDefault="00B54F4E" w:rsidP="00B54F4E">
      <w:pPr>
        <w:rPr>
          <w:b/>
          <w:i/>
        </w:rPr>
      </w:pPr>
      <w:r>
        <w:rPr>
          <w:b/>
          <w:i/>
        </w:rPr>
        <w:t xml:space="preserve">Fondo de Compensación Energética - </w:t>
      </w:r>
      <w:r w:rsidRPr="00E56927">
        <w:rPr>
          <w:b/>
          <w:i/>
        </w:rPr>
        <w:t>FACE</w:t>
      </w:r>
    </w:p>
    <w:p w14:paraId="16BE035E" w14:textId="77777777" w:rsidR="00B54F4E" w:rsidRDefault="00B54F4E" w:rsidP="00B54F4E">
      <w:r>
        <w:t>Se creó en octubre de 2011 por ETESA para responder al compromiso del Gobierno de estabilizar las tarifas ante los incrementos del precio del petróleo, y compensar a las empresas distribuidoras por los montos dejados de percibir a través de las tarifas.</w:t>
      </w:r>
      <w:r>
        <w:rPr>
          <w:rStyle w:val="FootnoteReference"/>
        </w:rPr>
        <w:footnoteReference w:id="27"/>
      </w:r>
      <w:r>
        <w:t xml:space="preserve"> Anteriormente, ya en 2004 se había creado un mecanismo para atender también incremento de los precios del petróleo a través de un “cargo por variación de combustible CVC”. </w:t>
      </w:r>
    </w:p>
    <w:p w14:paraId="1293F3E2" w14:textId="77777777" w:rsidR="00B54F4E" w:rsidRDefault="00B54F4E" w:rsidP="00B54F4E">
      <w:r>
        <w:t>Mediante Resolución de Gabinete 174 de 2011 se autorizó la creación del fideicomiso del FACE y mediante Resolución 175 de ese mismo año se autorizó a la ASEP para implementar el esquema</w:t>
      </w:r>
      <w:r>
        <w:rPr>
          <w:rStyle w:val="FootnoteReference"/>
        </w:rPr>
        <w:footnoteReference w:id="28"/>
      </w:r>
      <w:r>
        <w:t>. El objetivo era que cuando las tarifas estuvieran por encima de las del primer semestre de 2011 se utilizaría el FACE para compensar esos aumentos, y cuando estuvieran por debajo, la diferencia se devolvería al FACE para compensar los desembolsos. El mecanismo aplicaba a todos los usuarios o clientes.</w:t>
      </w:r>
    </w:p>
    <w:p w14:paraId="50FFEA8F" w14:textId="77777777" w:rsidR="00B54F4E" w:rsidRDefault="00B54F4E" w:rsidP="00B54F4E">
      <w:r>
        <w:t xml:space="preserve">El FACE se desmontó a principios de 2016 en arzón a “la baja que ha tenido el precio del petróleo en el mercado internacional” y la consideración del GdP de aplicar políticas </w:t>
      </w:r>
      <w:r>
        <w:lastRenderedPageBreak/>
        <w:t>energéticas en consonancia con el contexto internacional y focalizar los aportes a los sectores más vulnerables.</w:t>
      </w:r>
      <w:r>
        <w:rPr>
          <w:rStyle w:val="FootnoteReference"/>
        </w:rPr>
        <w:footnoteReference w:id="29"/>
      </w:r>
    </w:p>
    <w:p w14:paraId="04D65867" w14:textId="77777777" w:rsidR="00B54F4E" w:rsidRDefault="00B54F4E" w:rsidP="00B54F4E">
      <w:r>
        <w:t>El FACE otorgó subsidios girados a las empresas las tres distribuidoras (EDEMET, EDECHI y ENSA) por USD 158 millones en 2012, USD67,7 en 2013, y USD275,2 en 2014, mientras que en 2015 el subsidio se redujo substancialmente a USD13,7 y en 2016 ya dejó de existir el Fondo, reflejando así la fuerte caída en los precios del petróleo.</w:t>
      </w:r>
    </w:p>
    <w:p w14:paraId="2E0A22D6" w14:textId="77777777" w:rsidR="00B54F4E" w:rsidRPr="006705EF" w:rsidRDefault="00B54F4E" w:rsidP="00B54F4E">
      <w:pPr>
        <w:rPr>
          <w:b/>
          <w:i/>
        </w:rPr>
      </w:pPr>
      <w:r w:rsidRPr="006705EF">
        <w:rPr>
          <w:b/>
          <w:i/>
        </w:rPr>
        <w:t>Fondo Tarifario de Occidente - FTO</w:t>
      </w:r>
    </w:p>
    <w:p w14:paraId="55E74727" w14:textId="77777777" w:rsidR="00B54F4E" w:rsidRDefault="00B54F4E" w:rsidP="00B54F4E">
      <w:r>
        <w:t>En 2015 el GdP creó el FTO “con el fin de compensar los mayores costos por contratos de generación térmica de la empresa EDECHI, y mitigar el traslado de estos a los usuarios al realizar las actualizaciones tarifarias y aplicar los costos reales de la tarifa semestral</w:t>
      </w:r>
      <w:r>
        <w:rPr>
          <w:rStyle w:val="FootnoteReference"/>
        </w:rPr>
        <w:footnoteReference w:id="30"/>
      </w:r>
      <w:r>
        <w:t xml:space="preserve">. Se estableció que EDECHI recibiera fondos del FTO hasta diciembre de 2016 de tal manera que todos los clientes no registraran incremento en la factura. </w:t>
      </w:r>
    </w:p>
    <w:p w14:paraId="24A19416" w14:textId="77777777" w:rsidR="00B54F4E" w:rsidRDefault="00B54F4E" w:rsidP="00B54F4E">
      <w:r>
        <w:t xml:space="preserve">A 2016, la evolución de los aportes del estado por FET, FACE y FTO se muestra en la </w:t>
      </w:r>
      <w:r>
        <w:fldChar w:fldCharType="begin"/>
      </w:r>
      <w:r>
        <w:instrText xml:space="preserve"> REF _Ref481398373 \h </w:instrText>
      </w:r>
      <w:r>
        <w:fldChar w:fldCharType="separate"/>
      </w:r>
      <w:r w:rsidRPr="00783E52">
        <w:rPr>
          <w:b/>
        </w:rPr>
        <w:t xml:space="preserve">Ilustración </w:t>
      </w:r>
      <w:r>
        <w:rPr>
          <w:b/>
          <w:noProof/>
        </w:rPr>
        <w:t>9</w:t>
      </w:r>
      <w:r>
        <w:fldChar w:fldCharType="end"/>
      </w:r>
      <w:r>
        <w:t xml:space="preserve"> en la cual se puede observar el fuerte descenso de estos subsidios a partir de 2015.</w:t>
      </w:r>
    </w:p>
    <w:p w14:paraId="65BADF90" w14:textId="77777777" w:rsidR="00B54F4E" w:rsidRPr="00783E52" w:rsidRDefault="00B54F4E" w:rsidP="00B54F4E">
      <w:pPr>
        <w:ind w:left="720"/>
        <w:jc w:val="center"/>
        <w:rPr>
          <w:b/>
        </w:rPr>
      </w:pPr>
      <w:bookmarkStart w:id="134" w:name="_Ref481398373"/>
      <w:bookmarkStart w:id="135" w:name="_Toc484097084"/>
      <w:r w:rsidRPr="00783E52">
        <w:rPr>
          <w:b/>
        </w:rPr>
        <w:t xml:space="preserve">Ilustración </w:t>
      </w:r>
      <w:r w:rsidRPr="00783E52">
        <w:rPr>
          <w:b/>
        </w:rPr>
        <w:fldChar w:fldCharType="begin"/>
      </w:r>
      <w:r w:rsidRPr="00783E52">
        <w:rPr>
          <w:b/>
        </w:rPr>
        <w:instrText xml:space="preserve"> SEQ Ilustración \* ARABIC </w:instrText>
      </w:r>
      <w:r w:rsidRPr="00783E52">
        <w:rPr>
          <w:b/>
        </w:rPr>
        <w:fldChar w:fldCharType="separate"/>
      </w:r>
      <w:r>
        <w:rPr>
          <w:b/>
          <w:noProof/>
        </w:rPr>
        <w:t>9</w:t>
      </w:r>
      <w:r w:rsidRPr="00783E52">
        <w:rPr>
          <w:b/>
        </w:rPr>
        <w:fldChar w:fldCharType="end"/>
      </w:r>
      <w:bookmarkEnd w:id="134"/>
      <w:r w:rsidRPr="00783E52">
        <w:rPr>
          <w:b/>
        </w:rPr>
        <w:t xml:space="preserve"> - Aportes del Estado al FET, FACE y FTO 2004 – 2016 USD Mill</w:t>
      </w:r>
      <w:bookmarkEnd w:id="135"/>
    </w:p>
    <w:p w14:paraId="4D1F93C5" w14:textId="77777777" w:rsidR="00B54F4E" w:rsidRDefault="00B54F4E" w:rsidP="00B54F4E">
      <w:pPr>
        <w:jc w:val="center"/>
      </w:pPr>
      <w:r>
        <w:rPr>
          <w:noProof/>
          <w:lang w:val="en-US"/>
        </w:rPr>
        <w:drawing>
          <wp:inline distT="0" distB="0" distL="0" distR="0" wp14:anchorId="1A964B7F" wp14:editId="12DB10CB">
            <wp:extent cx="4847855" cy="185510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4853307" cy="1857194"/>
                    </a:xfrm>
                    <a:prstGeom prst="rect">
                      <a:avLst/>
                    </a:prstGeom>
                  </pic:spPr>
                </pic:pic>
              </a:graphicData>
            </a:graphic>
          </wp:inline>
        </w:drawing>
      </w:r>
    </w:p>
    <w:p w14:paraId="4F74BB17" w14:textId="77777777" w:rsidR="00B54F4E" w:rsidRDefault="00B54F4E" w:rsidP="00B54F4E">
      <w:r>
        <w:t>De acuerdo con lo antes expuesto, solamente el FET continúa vigente.</w:t>
      </w:r>
    </w:p>
    <w:p w14:paraId="4C3A48FB" w14:textId="77777777" w:rsidR="00B54F4E" w:rsidRDefault="00B54F4E" w:rsidP="00B54F4E">
      <w:pPr>
        <w:pStyle w:val="Heading3"/>
      </w:pPr>
      <w:bookmarkStart w:id="136" w:name="_Toc481166559"/>
      <w:bookmarkStart w:id="137" w:name="_Toc484097036"/>
      <w:r>
        <w:t>Supuestos y metodología</w:t>
      </w:r>
      <w:bookmarkEnd w:id="136"/>
      <w:bookmarkEnd w:id="137"/>
    </w:p>
    <w:p w14:paraId="730EA70A" w14:textId="77777777" w:rsidR="00B54F4E" w:rsidRDefault="00B54F4E" w:rsidP="00B54F4E">
      <w:r>
        <w:t>Tomando en cuenta el contexto de subsidios en Panamá, descrito anteriormente, se asumen los siguientes supuestos para la metodología que se define más adelante.</w:t>
      </w:r>
    </w:p>
    <w:p w14:paraId="142B0D04" w14:textId="77777777" w:rsidR="00B54F4E" w:rsidRDefault="00B54F4E" w:rsidP="00B54F4E">
      <w:pPr>
        <w:pStyle w:val="ListParagraph"/>
        <w:numPr>
          <w:ilvl w:val="0"/>
          <w:numId w:val="7"/>
        </w:numPr>
      </w:pPr>
      <w:r>
        <w:t>Se asume que la focalización de los subsidios se logra desmontando los subsidios a los consumos por encima del consumo de subsistencia, esto es, por encima de 100 kWh/mes, los cuales se financian mediante subsidios cruzados en la tarifa.</w:t>
      </w:r>
    </w:p>
    <w:p w14:paraId="529F18F6" w14:textId="77777777" w:rsidR="00B54F4E" w:rsidRDefault="00B54F4E" w:rsidP="00B54F4E">
      <w:pPr>
        <w:pStyle w:val="ListParagraph"/>
        <w:numPr>
          <w:ilvl w:val="0"/>
          <w:numId w:val="7"/>
        </w:numPr>
      </w:pPr>
      <w:r>
        <w:t xml:space="preserve">Se asume un nivel tarifario al consumidor final estable y por ello se toma como beneficio el subsidio evitado respecto a los recursos que fueron asignados en un período previo, </w:t>
      </w:r>
      <w:r>
        <w:lastRenderedPageBreak/>
        <w:t>el cual se toma como referencia, para rangos de consumo por encima de 100 kWh. Se recuerda que los subsidios del FET no se fijan por el Gobierno en función de una proporción del costo del servicio sino, respecto al nivel tarifario del primer semestre de 2011.</w:t>
      </w:r>
    </w:p>
    <w:p w14:paraId="3C8D6C49" w14:textId="77777777" w:rsidR="00B54F4E" w:rsidRDefault="00B54F4E" w:rsidP="00B54F4E">
      <w:pPr>
        <w:pStyle w:val="ListParagraph"/>
        <w:numPr>
          <w:ilvl w:val="0"/>
          <w:numId w:val="7"/>
        </w:numPr>
      </w:pPr>
      <w:r>
        <w:t>Se asume que el excedente del consumidor que se pierde, igual a los subsidios evitados, es compensado con un beneficio mayor obtenido por el Estado con la inversión de los aportes en otros sectores de mayor rentabilidad social, lo cual debe producir un beneficio económico no cuantificable dentro del alcance de la present evaluación.</w:t>
      </w:r>
    </w:p>
    <w:p w14:paraId="187FFAF9" w14:textId="77777777" w:rsidR="00B54F4E" w:rsidRDefault="00B54F4E" w:rsidP="00B54F4E">
      <w:pPr>
        <w:pStyle w:val="ListParagraph"/>
        <w:numPr>
          <w:ilvl w:val="0"/>
          <w:numId w:val="7"/>
        </w:numPr>
      </w:pPr>
      <w:r>
        <w:t>Se asume que en el rango del consumo entre 201 y 500 kWh la demanda es muy inelástica, por lo cual, no se consideran beneficios económicos producto, por ejemplo, de inversión evitada en plantas de generación. Lo anterior es consistente con el esquema de subsidios que se implantó a partir del FET, el cuál buscó mitigar el impacto de los altos precios del petróleo en el pasado.</w:t>
      </w:r>
    </w:p>
    <w:p w14:paraId="00CBDCC1" w14:textId="77777777" w:rsidR="00B54F4E" w:rsidRDefault="00B54F4E" w:rsidP="00B54F4E">
      <w:pPr>
        <w:pStyle w:val="ListParagraph"/>
        <w:numPr>
          <w:ilvl w:val="0"/>
          <w:numId w:val="7"/>
        </w:numPr>
      </w:pPr>
      <w:r>
        <w:t>No se consideran beneficios financieros para las empresas, en la medida que el costo del servicio no recuperado a través e igual a los subsidios, es cubierto a éstas con recursos del presupuesto nacional.</w:t>
      </w:r>
    </w:p>
    <w:p w14:paraId="27E097BB" w14:textId="77777777" w:rsidR="00B54F4E" w:rsidRDefault="00B54F4E" w:rsidP="00B54F4E">
      <w:r>
        <w:t>En consecuencia, el beneficio económico es evaluado desde la óptica fiscal, esto es, los recursos del Estado provenientes del presupuesto, los cuales pueden ser destinados a otros sectores con mayor rentabilidad social.</w:t>
      </w:r>
    </w:p>
    <w:p w14:paraId="6E299C93" w14:textId="77777777" w:rsidR="00B54F4E" w:rsidRDefault="00B54F4E" w:rsidP="00B54F4E">
      <w:r>
        <w:t>Para calcular estos beneficios se sigue la siguiente metodología:</w:t>
      </w:r>
    </w:p>
    <w:p w14:paraId="4D68AF39" w14:textId="77777777" w:rsidR="00B54F4E" w:rsidRDefault="00B54F4E" w:rsidP="00B54F4E">
      <w:pPr>
        <w:pStyle w:val="ListParagraph"/>
        <w:numPr>
          <w:ilvl w:val="0"/>
          <w:numId w:val="8"/>
        </w:numPr>
      </w:pPr>
      <w:r>
        <w:t>Para adoptar un nivel de subsidios que serían desmontados a los consumos por encima de 100 kWh/mes, se toman como referencia los aportes del Estado por Rangos de Consumo asignados a cada empresa distribuidora de acuerdo con resoluciones.</w:t>
      </w:r>
    </w:p>
    <w:p w14:paraId="4416EAA9" w14:textId="77777777" w:rsidR="00B54F4E" w:rsidRDefault="00B54F4E" w:rsidP="00B54F4E">
      <w:pPr>
        <w:pStyle w:val="ListParagraph"/>
        <w:numPr>
          <w:ilvl w:val="0"/>
          <w:numId w:val="8"/>
        </w:numPr>
      </w:pPr>
      <w:r>
        <w:t>El beneficio económico se asimila al valor del aporte del Estado en que se deja de incurrir para el rango de consumo que se va desmontando el subsidio, para el período de vigencia del FET a partir de 2017.</w:t>
      </w:r>
    </w:p>
    <w:p w14:paraId="3E351DC7" w14:textId="77777777" w:rsidR="00B54F4E" w:rsidRDefault="00B54F4E" w:rsidP="00B54F4E">
      <w:pPr>
        <w:pStyle w:val="Heading3"/>
      </w:pPr>
      <w:bookmarkStart w:id="138" w:name="_Toc484097037"/>
      <w:r w:rsidRPr="00C40D1D">
        <w:t>An</w:t>
      </w:r>
      <w:r>
        <w:t>álisis de</w:t>
      </w:r>
      <w:r w:rsidRPr="00C40D1D">
        <w:t xml:space="preserve"> beneficios de la racionalización de los subsidios en el sector energético</w:t>
      </w:r>
      <w:bookmarkEnd w:id="138"/>
    </w:p>
    <w:p w14:paraId="16C4209B" w14:textId="77777777" w:rsidR="00B54F4E" w:rsidRDefault="00B54F4E" w:rsidP="00B54F4E">
      <w:pPr>
        <w:spacing w:before="0" w:after="160" w:line="259" w:lineRule="auto"/>
        <w:rPr>
          <w:rFonts w:eastAsiaTheme="majorEastAsia"/>
        </w:rPr>
      </w:pPr>
      <w:r>
        <w:rPr>
          <w:rFonts w:eastAsiaTheme="majorEastAsia"/>
        </w:rPr>
        <w:t>Partiendo de la metodología anterior, se utilizaron las resoluciones de ASEP en las cuales se determinan los montos a transferir a las empresas distribuidoras provenientes del FET, expedidas en febrero de 2015.</w:t>
      </w:r>
      <w:r>
        <w:rPr>
          <w:rStyle w:val="FootnoteReference"/>
          <w:rFonts w:eastAsiaTheme="majorEastAsia"/>
        </w:rPr>
        <w:footnoteReference w:id="31"/>
      </w:r>
      <w:r>
        <w:rPr>
          <w:rFonts w:eastAsiaTheme="majorEastAsia"/>
        </w:rPr>
        <w:t xml:space="preserve"> Estas resoluciones permiten determinar un referente del monto que se libera en el presupuesto nacional al desmontarse el subsidio para cada rango. </w:t>
      </w:r>
      <w:r>
        <w:rPr>
          <w:rFonts w:eastAsiaTheme="majorEastAsia"/>
        </w:rPr>
        <w:lastRenderedPageBreak/>
        <w:t xml:space="preserve">La </w:t>
      </w:r>
      <w:r>
        <w:rPr>
          <w:rFonts w:eastAsiaTheme="majorEastAsia"/>
        </w:rPr>
        <w:fldChar w:fldCharType="begin"/>
      </w:r>
      <w:r>
        <w:rPr>
          <w:rFonts w:eastAsiaTheme="majorEastAsia"/>
        </w:rPr>
        <w:instrText xml:space="preserve"> REF _Ref481396975 \h </w:instrText>
      </w:r>
      <w:r>
        <w:rPr>
          <w:rFonts w:eastAsiaTheme="majorEastAsia"/>
        </w:rPr>
      </w:r>
      <w:r>
        <w:rPr>
          <w:rFonts w:eastAsiaTheme="majorEastAsia"/>
        </w:rPr>
        <w:fldChar w:fldCharType="separate"/>
      </w:r>
      <w:r w:rsidRPr="008C12BC">
        <w:rPr>
          <w:b/>
        </w:rPr>
        <w:t xml:space="preserve">Tabla </w:t>
      </w:r>
      <w:r>
        <w:rPr>
          <w:b/>
          <w:noProof/>
        </w:rPr>
        <w:t>28</w:t>
      </w:r>
      <w:r>
        <w:rPr>
          <w:rFonts w:eastAsiaTheme="majorEastAsia"/>
        </w:rPr>
        <w:fldChar w:fldCharType="end"/>
      </w:r>
      <w:r>
        <w:rPr>
          <w:rFonts w:eastAsiaTheme="majorEastAsia"/>
        </w:rPr>
        <w:t xml:space="preserve"> presenta los valores registrados en las resoluciones señaladas para un semestre.</w:t>
      </w:r>
    </w:p>
    <w:p w14:paraId="7D238E75" w14:textId="77777777" w:rsidR="00B54F4E" w:rsidRPr="002753C8" w:rsidRDefault="00B54F4E" w:rsidP="00B54F4E">
      <w:pPr>
        <w:ind w:left="720"/>
        <w:jc w:val="center"/>
        <w:rPr>
          <w:b/>
        </w:rPr>
      </w:pPr>
      <w:bookmarkStart w:id="139" w:name="_Ref481396975"/>
      <w:bookmarkStart w:id="140" w:name="_Toc484097068"/>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28</w:t>
      </w:r>
      <w:r w:rsidRPr="008C12BC">
        <w:rPr>
          <w:b/>
        </w:rPr>
        <w:fldChar w:fldCharType="end"/>
      </w:r>
      <w:bookmarkEnd w:id="139"/>
      <w:r w:rsidRPr="008C12BC">
        <w:rPr>
          <w:b/>
        </w:rPr>
        <w:t xml:space="preserve"> – </w:t>
      </w:r>
      <w:r>
        <w:rPr>
          <w:b/>
        </w:rPr>
        <w:t>Aportes del FET para el primer semestre de 2015 - USD</w:t>
      </w:r>
      <w:bookmarkEnd w:id="140"/>
    </w:p>
    <w:tbl>
      <w:tblPr>
        <w:tblW w:w="5000" w:type="pct"/>
        <w:tblCellMar>
          <w:top w:w="15" w:type="dxa"/>
          <w:left w:w="70" w:type="dxa"/>
          <w:bottom w:w="15" w:type="dxa"/>
          <w:right w:w="70" w:type="dxa"/>
        </w:tblCellMar>
        <w:tblLook w:val="04A0" w:firstRow="1" w:lastRow="0" w:firstColumn="1" w:lastColumn="0" w:noHBand="0" w:noVBand="1"/>
      </w:tblPr>
      <w:tblGrid>
        <w:gridCol w:w="1642"/>
        <w:gridCol w:w="1025"/>
        <w:gridCol w:w="1061"/>
        <w:gridCol w:w="1025"/>
        <w:gridCol w:w="958"/>
        <w:gridCol w:w="1025"/>
        <w:gridCol w:w="822"/>
        <w:gridCol w:w="1265"/>
      </w:tblGrid>
      <w:tr w:rsidR="00B54F4E" w:rsidRPr="0032255F" w14:paraId="53D77D49" w14:textId="77777777" w:rsidTr="006504C4">
        <w:trPr>
          <w:trHeight w:val="227"/>
        </w:trPr>
        <w:tc>
          <w:tcPr>
            <w:tcW w:w="930" w:type="pct"/>
            <w:vMerge w:val="restart"/>
            <w:tcBorders>
              <w:top w:val="single" w:sz="8" w:space="0" w:color="auto"/>
              <w:left w:val="single" w:sz="8" w:space="0" w:color="auto"/>
              <w:bottom w:val="nil"/>
              <w:right w:val="single" w:sz="4" w:space="0" w:color="auto"/>
            </w:tcBorders>
            <w:vAlign w:val="center"/>
            <w:hideMark/>
          </w:tcPr>
          <w:p w14:paraId="581D0887"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Rango Consumo kWh/mes</w:t>
            </w:r>
          </w:p>
        </w:tc>
        <w:tc>
          <w:tcPr>
            <w:tcW w:w="1182" w:type="pct"/>
            <w:gridSpan w:val="2"/>
            <w:tcBorders>
              <w:top w:val="single" w:sz="8" w:space="0" w:color="auto"/>
              <w:left w:val="single" w:sz="4" w:space="0" w:color="auto"/>
              <w:bottom w:val="single" w:sz="4" w:space="0" w:color="auto"/>
              <w:right w:val="single" w:sz="4" w:space="0" w:color="auto"/>
            </w:tcBorders>
            <w:noWrap/>
            <w:vAlign w:val="bottom"/>
            <w:hideMark/>
          </w:tcPr>
          <w:p w14:paraId="6CDCFDC7"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ENSA</w:t>
            </w:r>
          </w:p>
        </w:tc>
        <w:tc>
          <w:tcPr>
            <w:tcW w:w="1124" w:type="pct"/>
            <w:gridSpan w:val="2"/>
            <w:tcBorders>
              <w:top w:val="single" w:sz="8" w:space="0" w:color="auto"/>
              <w:left w:val="single" w:sz="4" w:space="0" w:color="auto"/>
              <w:bottom w:val="single" w:sz="4" w:space="0" w:color="auto"/>
              <w:right w:val="single" w:sz="4" w:space="0" w:color="auto"/>
            </w:tcBorders>
            <w:noWrap/>
            <w:vAlign w:val="bottom"/>
            <w:hideMark/>
          </w:tcPr>
          <w:p w14:paraId="7500BA38"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EDEMET</w:t>
            </w:r>
          </w:p>
        </w:tc>
        <w:tc>
          <w:tcPr>
            <w:tcW w:w="1047" w:type="pct"/>
            <w:gridSpan w:val="2"/>
            <w:tcBorders>
              <w:top w:val="single" w:sz="8" w:space="0" w:color="auto"/>
              <w:left w:val="single" w:sz="4" w:space="0" w:color="auto"/>
              <w:bottom w:val="single" w:sz="4" w:space="0" w:color="auto"/>
              <w:right w:val="single" w:sz="4" w:space="0" w:color="auto"/>
            </w:tcBorders>
            <w:noWrap/>
            <w:vAlign w:val="bottom"/>
            <w:hideMark/>
          </w:tcPr>
          <w:p w14:paraId="37F4EB28"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EDECHI</w:t>
            </w:r>
          </w:p>
        </w:tc>
        <w:tc>
          <w:tcPr>
            <w:tcW w:w="717" w:type="pct"/>
            <w:vMerge w:val="restart"/>
            <w:tcBorders>
              <w:top w:val="single" w:sz="4" w:space="0" w:color="auto"/>
              <w:left w:val="single" w:sz="4" w:space="0" w:color="auto"/>
              <w:bottom w:val="single" w:sz="4" w:space="0" w:color="auto"/>
              <w:right w:val="single" w:sz="4" w:space="0" w:color="auto"/>
            </w:tcBorders>
            <w:vAlign w:val="center"/>
            <w:hideMark/>
          </w:tcPr>
          <w:p w14:paraId="49EE3E43" w14:textId="77777777" w:rsidR="00B54F4E" w:rsidRPr="0032255F" w:rsidRDefault="00B54F4E" w:rsidP="006504C4">
            <w:pPr>
              <w:spacing w:before="0" w:after="0"/>
              <w:jc w:val="center"/>
              <w:rPr>
                <w:rFonts w:ascii="Calibri" w:hAnsi="Calibri"/>
                <w:b/>
                <w:bCs/>
                <w:color w:val="000000"/>
                <w:sz w:val="18"/>
                <w:szCs w:val="18"/>
                <w:lang w:eastAsia="es-CO"/>
              </w:rPr>
            </w:pPr>
            <w:r>
              <w:rPr>
                <w:rFonts w:ascii="Calibri" w:hAnsi="Calibri"/>
                <w:b/>
                <w:bCs/>
                <w:color w:val="000000"/>
                <w:sz w:val="18"/>
                <w:szCs w:val="18"/>
                <w:lang w:eastAsia="es-CO"/>
              </w:rPr>
              <w:t>Totales aportes I/2015</w:t>
            </w:r>
          </w:p>
        </w:tc>
      </w:tr>
      <w:tr w:rsidR="00B54F4E" w:rsidRPr="0032255F" w14:paraId="2DC32A85" w14:textId="77777777" w:rsidTr="006504C4">
        <w:trPr>
          <w:trHeight w:val="227"/>
        </w:trPr>
        <w:tc>
          <w:tcPr>
            <w:tcW w:w="930" w:type="pct"/>
            <w:vMerge/>
            <w:tcBorders>
              <w:top w:val="single" w:sz="8" w:space="0" w:color="auto"/>
              <w:left w:val="single" w:sz="8" w:space="0" w:color="auto"/>
              <w:bottom w:val="nil"/>
              <w:right w:val="single" w:sz="4" w:space="0" w:color="auto"/>
            </w:tcBorders>
            <w:vAlign w:val="center"/>
            <w:hideMark/>
          </w:tcPr>
          <w:p w14:paraId="0CEE3768" w14:textId="77777777" w:rsidR="00B54F4E" w:rsidRPr="0032255F" w:rsidRDefault="00B54F4E" w:rsidP="006504C4">
            <w:pPr>
              <w:spacing w:before="0" w:after="0"/>
              <w:jc w:val="left"/>
              <w:rPr>
                <w:rFonts w:ascii="Calibri" w:hAnsi="Calibri"/>
                <w:b/>
                <w:bCs/>
                <w:color w:val="000000"/>
                <w:sz w:val="18"/>
                <w:szCs w:val="18"/>
                <w:lang w:eastAsia="es-CO"/>
              </w:rPr>
            </w:pPr>
          </w:p>
        </w:tc>
        <w:tc>
          <w:tcPr>
            <w:tcW w:w="581" w:type="pct"/>
            <w:tcBorders>
              <w:top w:val="single" w:sz="4" w:space="0" w:color="auto"/>
              <w:left w:val="single" w:sz="4" w:space="0" w:color="auto"/>
              <w:bottom w:val="single" w:sz="8" w:space="0" w:color="auto"/>
              <w:right w:val="single" w:sz="4" w:space="0" w:color="auto"/>
            </w:tcBorders>
            <w:vAlign w:val="center"/>
            <w:hideMark/>
          </w:tcPr>
          <w:p w14:paraId="29D05B1D"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Reducción Factura</w:t>
            </w:r>
          </w:p>
        </w:tc>
        <w:tc>
          <w:tcPr>
            <w:tcW w:w="601" w:type="pct"/>
            <w:tcBorders>
              <w:top w:val="single" w:sz="4" w:space="0" w:color="auto"/>
              <w:left w:val="single" w:sz="4" w:space="0" w:color="auto"/>
              <w:bottom w:val="single" w:sz="8" w:space="0" w:color="auto"/>
              <w:right w:val="single" w:sz="4" w:space="0" w:color="auto"/>
            </w:tcBorders>
            <w:vAlign w:val="center"/>
            <w:hideMark/>
          </w:tcPr>
          <w:p w14:paraId="39442234"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Aporte FET</w:t>
            </w:r>
          </w:p>
        </w:tc>
        <w:tc>
          <w:tcPr>
            <w:tcW w:w="581" w:type="pct"/>
            <w:tcBorders>
              <w:top w:val="single" w:sz="4" w:space="0" w:color="auto"/>
              <w:left w:val="single" w:sz="4" w:space="0" w:color="auto"/>
              <w:bottom w:val="single" w:sz="8" w:space="0" w:color="auto"/>
              <w:right w:val="single" w:sz="4" w:space="0" w:color="auto"/>
            </w:tcBorders>
            <w:vAlign w:val="center"/>
            <w:hideMark/>
          </w:tcPr>
          <w:p w14:paraId="05E1075A"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Reducción Factura</w:t>
            </w:r>
          </w:p>
        </w:tc>
        <w:tc>
          <w:tcPr>
            <w:tcW w:w="543" w:type="pct"/>
            <w:tcBorders>
              <w:top w:val="single" w:sz="4" w:space="0" w:color="auto"/>
              <w:left w:val="single" w:sz="4" w:space="0" w:color="auto"/>
              <w:bottom w:val="single" w:sz="8" w:space="0" w:color="auto"/>
              <w:right w:val="single" w:sz="4" w:space="0" w:color="auto"/>
            </w:tcBorders>
            <w:vAlign w:val="center"/>
            <w:hideMark/>
          </w:tcPr>
          <w:p w14:paraId="24E3AEBC"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Aporte FET</w:t>
            </w:r>
          </w:p>
        </w:tc>
        <w:tc>
          <w:tcPr>
            <w:tcW w:w="581" w:type="pct"/>
            <w:tcBorders>
              <w:top w:val="single" w:sz="4" w:space="0" w:color="auto"/>
              <w:left w:val="single" w:sz="4" w:space="0" w:color="auto"/>
              <w:bottom w:val="single" w:sz="8" w:space="0" w:color="auto"/>
              <w:right w:val="single" w:sz="4" w:space="0" w:color="auto"/>
            </w:tcBorders>
            <w:vAlign w:val="center"/>
            <w:hideMark/>
          </w:tcPr>
          <w:p w14:paraId="4DB32E20"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Reducción Factura</w:t>
            </w:r>
          </w:p>
        </w:tc>
        <w:tc>
          <w:tcPr>
            <w:tcW w:w="465" w:type="pct"/>
            <w:tcBorders>
              <w:top w:val="single" w:sz="4" w:space="0" w:color="auto"/>
              <w:left w:val="single" w:sz="4" w:space="0" w:color="auto"/>
              <w:bottom w:val="single" w:sz="8" w:space="0" w:color="auto"/>
              <w:right w:val="single" w:sz="4" w:space="0" w:color="auto"/>
            </w:tcBorders>
            <w:vAlign w:val="center"/>
            <w:hideMark/>
          </w:tcPr>
          <w:p w14:paraId="6DFD5491"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Aporte FET</w:t>
            </w:r>
          </w:p>
        </w:tc>
        <w:tc>
          <w:tcPr>
            <w:tcW w:w="717" w:type="pct"/>
            <w:vMerge/>
            <w:tcBorders>
              <w:top w:val="single" w:sz="4" w:space="0" w:color="auto"/>
              <w:left w:val="single" w:sz="4" w:space="0" w:color="auto"/>
              <w:bottom w:val="single" w:sz="4" w:space="0" w:color="auto"/>
              <w:right w:val="single" w:sz="4" w:space="0" w:color="auto"/>
            </w:tcBorders>
            <w:vAlign w:val="center"/>
            <w:hideMark/>
          </w:tcPr>
          <w:p w14:paraId="2AA241CD" w14:textId="77777777" w:rsidR="00B54F4E" w:rsidRPr="0032255F" w:rsidRDefault="00B54F4E" w:rsidP="006504C4">
            <w:pPr>
              <w:spacing w:before="0" w:after="0"/>
              <w:jc w:val="left"/>
              <w:rPr>
                <w:rFonts w:ascii="Calibri" w:hAnsi="Calibri"/>
                <w:b/>
                <w:bCs/>
                <w:color w:val="000000"/>
                <w:sz w:val="18"/>
                <w:szCs w:val="18"/>
                <w:lang w:eastAsia="es-CO"/>
              </w:rPr>
            </w:pPr>
          </w:p>
        </w:tc>
      </w:tr>
      <w:tr w:rsidR="00B54F4E" w:rsidRPr="0032255F" w14:paraId="3CDFDA9C" w14:textId="77777777" w:rsidTr="006504C4">
        <w:trPr>
          <w:trHeight w:val="227"/>
        </w:trPr>
        <w:tc>
          <w:tcPr>
            <w:tcW w:w="930" w:type="pct"/>
            <w:tcBorders>
              <w:top w:val="nil"/>
              <w:left w:val="single" w:sz="8" w:space="0" w:color="auto"/>
              <w:bottom w:val="nil"/>
              <w:right w:val="single" w:sz="4" w:space="0" w:color="auto"/>
            </w:tcBorders>
            <w:noWrap/>
            <w:vAlign w:val="bottom"/>
            <w:hideMark/>
          </w:tcPr>
          <w:p w14:paraId="3342EA03"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0-100</w:t>
            </w:r>
          </w:p>
        </w:tc>
        <w:tc>
          <w:tcPr>
            <w:tcW w:w="581" w:type="pct"/>
            <w:tcBorders>
              <w:top w:val="nil"/>
              <w:left w:val="single" w:sz="4" w:space="0" w:color="auto"/>
              <w:bottom w:val="nil"/>
              <w:right w:val="single" w:sz="4" w:space="0" w:color="auto"/>
            </w:tcBorders>
            <w:noWrap/>
            <w:vAlign w:val="bottom"/>
            <w:hideMark/>
          </w:tcPr>
          <w:p w14:paraId="291849B0"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-38,72%</w:t>
            </w:r>
          </w:p>
        </w:tc>
        <w:tc>
          <w:tcPr>
            <w:tcW w:w="601" w:type="pct"/>
            <w:tcBorders>
              <w:top w:val="nil"/>
              <w:left w:val="single" w:sz="4" w:space="0" w:color="auto"/>
              <w:bottom w:val="nil"/>
              <w:right w:val="single" w:sz="4" w:space="0" w:color="auto"/>
            </w:tcBorders>
            <w:noWrap/>
            <w:vAlign w:val="bottom"/>
            <w:hideMark/>
          </w:tcPr>
          <w:p w14:paraId="23CF9B30"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1.948.823 </w:t>
            </w:r>
          </w:p>
        </w:tc>
        <w:tc>
          <w:tcPr>
            <w:tcW w:w="581" w:type="pct"/>
            <w:tcBorders>
              <w:top w:val="nil"/>
              <w:left w:val="single" w:sz="4" w:space="0" w:color="auto"/>
              <w:bottom w:val="nil"/>
              <w:right w:val="single" w:sz="4" w:space="0" w:color="auto"/>
            </w:tcBorders>
            <w:noWrap/>
            <w:vAlign w:val="bottom"/>
            <w:hideMark/>
          </w:tcPr>
          <w:p w14:paraId="6E814764"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-20,98%</w:t>
            </w:r>
          </w:p>
        </w:tc>
        <w:tc>
          <w:tcPr>
            <w:tcW w:w="543" w:type="pct"/>
            <w:tcBorders>
              <w:top w:val="nil"/>
              <w:left w:val="single" w:sz="4" w:space="0" w:color="auto"/>
              <w:bottom w:val="nil"/>
              <w:right w:val="single" w:sz="4" w:space="0" w:color="auto"/>
            </w:tcBorders>
            <w:noWrap/>
            <w:vAlign w:val="bottom"/>
            <w:hideMark/>
          </w:tcPr>
          <w:p w14:paraId="709CC80D"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1.266.833 </w:t>
            </w:r>
          </w:p>
        </w:tc>
        <w:tc>
          <w:tcPr>
            <w:tcW w:w="581" w:type="pct"/>
            <w:tcBorders>
              <w:top w:val="nil"/>
              <w:left w:val="single" w:sz="4" w:space="0" w:color="auto"/>
              <w:bottom w:val="nil"/>
              <w:right w:val="single" w:sz="4" w:space="0" w:color="auto"/>
            </w:tcBorders>
            <w:noWrap/>
            <w:vAlign w:val="bottom"/>
            <w:hideMark/>
          </w:tcPr>
          <w:p w14:paraId="49B39D53"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-7,21%</w:t>
            </w:r>
          </w:p>
        </w:tc>
        <w:tc>
          <w:tcPr>
            <w:tcW w:w="465" w:type="pct"/>
            <w:tcBorders>
              <w:top w:val="nil"/>
              <w:left w:val="single" w:sz="4" w:space="0" w:color="auto"/>
              <w:bottom w:val="nil"/>
              <w:right w:val="single" w:sz="4" w:space="0" w:color="auto"/>
            </w:tcBorders>
            <w:noWrap/>
            <w:vAlign w:val="bottom"/>
            <w:hideMark/>
          </w:tcPr>
          <w:p w14:paraId="0AA743B6"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209.329 </w:t>
            </w:r>
          </w:p>
        </w:tc>
        <w:tc>
          <w:tcPr>
            <w:tcW w:w="717" w:type="pct"/>
            <w:tcBorders>
              <w:top w:val="single" w:sz="4" w:space="0" w:color="auto"/>
              <w:left w:val="single" w:sz="4" w:space="0" w:color="auto"/>
              <w:bottom w:val="nil"/>
              <w:right w:val="single" w:sz="8" w:space="0" w:color="auto"/>
            </w:tcBorders>
            <w:noWrap/>
            <w:vAlign w:val="bottom"/>
            <w:hideMark/>
          </w:tcPr>
          <w:p w14:paraId="4DDD4654"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3.215.656 </w:t>
            </w:r>
          </w:p>
        </w:tc>
      </w:tr>
      <w:tr w:rsidR="00B54F4E" w:rsidRPr="0032255F" w14:paraId="62C3BF7E" w14:textId="77777777" w:rsidTr="006504C4">
        <w:trPr>
          <w:trHeight w:val="227"/>
        </w:trPr>
        <w:tc>
          <w:tcPr>
            <w:tcW w:w="930" w:type="pct"/>
            <w:tcBorders>
              <w:top w:val="single" w:sz="8" w:space="0" w:color="auto"/>
              <w:left w:val="single" w:sz="8" w:space="0" w:color="auto"/>
              <w:bottom w:val="single" w:sz="4" w:space="0" w:color="auto"/>
              <w:right w:val="single" w:sz="4" w:space="0" w:color="auto"/>
            </w:tcBorders>
            <w:noWrap/>
            <w:vAlign w:val="bottom"/>
            <w:hideMark/>
          </w:tcPr>
          <w:p w14:paraId="72D26132"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101-150</w:t>
            </w:r>
          </w:p>
        </w:tc>
        <w:tc>
          <w:tcPr>
            <w:tcW w:w="581" w:type="pct"/>
            <w:tcBorders>
              <w:top w:val="single" w:sz="8" w:space="0" w:color="auto"/>
              <w:left w:val="single" w:sz="4" w:space="0" w:color="auto"/>
              <w:bottom w:val="single" w:sz="4" w:space="0" w:color="auto"/>
              <w:right w:val="single" w:sz="4" w:space="0" w:color="auto"/>
            </w:tcBorders>
            <w:noWrap/>
            <w:vAlign w:val="bottom"/>
            <w:hideMark/>
          </w:tcPr>
          <w:p w14:paraId="0BE7A2CB"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-36,57%</w:t>
            </w:r>
          </w:p>
        </w:tc>
        <w:tc>
          <w:tcPr>
            <w:tcW w:w="601" w:type="pct"/>
            <w:tcBorders>
              <w:top w:val="single" w:sz="8" w:space="0" w:color="auto"/>
              <w:left w:val="single" w:sz="4" w:space="0" w:color="auto"/>
              <w:bottom w:val="single" w:sz="4" w:space="0" w:color="auto"/>
              <w:right w:val="single" w:sz="4" w:space="0" w:color="auto"/>
            </w:tcBorders>
            <w:noWrap/>
            <w:vAlign w:val="bottom"/>
            <w:hideMark/>
          </w:tcPr>
          <w:p w14:paraId="505D0150"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3.567.380 </w:t>
            </w:r>
          </w:p>
        </w:tc>
        <w:tc>
          <w:tcPr>
            <w:tcW w:w="581" w:type="pct"/>
            <w:tcBorders>
              <w:top w:val="single" w:sz="8" w:space="0" w:color="auto"/>
              <w:left w:val="single" w:sz="4" w:space="0" w:color="auto"/>
              <w:bottom w:val="single" w:sz="4" w:space="0" w:color="auto"/>
              <w:right w:val="single" w:sz="4" w:space="0" w:color="auto"/>
            </w:tcBorders>
            <w:noWrap/>
            <w:vAlign w:val="bottom"/>
            <w:hideMark/>
          </w:tcPr>
          <w:p w14:paraId="1B08436A"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-12,43%</w:t>
            </w:r>
          </w:p>
        </w:tc>
        <w:tc>
          <w:tcPr>
            <w:tcW w:w="543" w:type="pct"/>
            <w:tcBorders>
              <w:top w:val="single" w:sz="8" w:space="0" w:color="auto"/>
              <w:left w:val="single" w:sz="4" w:space="0" w:color="auto"/>
              <w:bottom w:val="single" w:sz="4" w:space="0" w:color="auto"/>
              <w:right w:val="single" w:sz="4" w:space="0" w:color="auto"/>
            </w:tcBorders>
            <w:noWrap/>
            <w:vAlign w:val="bottom"/>
            <w:hideMark/>
          </w:tcPr>
          <w:p w14:paraId="270EFBD2"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1.262.882 </w:t>
            </w:r>
          </w:p>
        </w:tc>
        <w:tc>
          <w:tcPr>
            <w:tcW w:w="581" w:type="pct"/>
            <w:tcBorders>
              <w:top w:val="single" w:sz="8" w:space="0" w:color="auto"/>
              <w:left w:val="single" w:sz="4" w:space="0" w:color="auto"/>
              <w:bottom w:val="single" w:sz="4" w:space="0" w:color="auto"/>
              <w:right w:val="single" w:sz="4" w:space="0" w:color="auto"/>
            </w:tcBorders>
            <w:noWrap/>
            <w:vAlign w:val="bottom"/>
            <w:hideMark/>
          </w:tcPr>
          <w:p w14:paraId="04DF779E"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-4,85%</w:t>
            </w:r>
          </w:p>
        </w:tc>
        <w:tc>
          <w:tcPr>
            <w:tcW w:w="465" w:type="pct"/>
            <w:tcBorders>
              <w:top w:val="single" w:sz="8" w:space="0" w:color="auto"/>
              <w:left w:val="single" w:sz="4" w:space="0" w:color="auto"/>
              <w:bottom w:val="single" w:sz="4" w:space="0" w:color="auto"/>
              <w:right w:val="single" w:sz="4" w:space="0" w:color="auto"/>
            </w:tcBorders>
            <w:noWrap/>
            <w:vAlign w:val="bottom"/>
            <w:hideMark/>
          </w:tcPr>
          <w:p w14:paraId="0BFC9117"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199.423 </w:t>
            </w:r>
          </w:p>
        </w:tc>
        <w:tc>
          <w:tcPr>
            <w:tcW w:w="717" w:type="pct"/>
            <w:tcBorders>
              <w:top w:val="single" w:sz="8" w:space="0" w:color="auto"/>
              <w:left w:val="single" w:sz="4" w:space="0" w:color="auto"/>
              <w:bottom w:val="single" w:sz="4" w:space="0" w:color="auto"/>
              <w:right w:val="single" w:sz="8" w:space="0" w:color="auto"/>
            </w:tcBorders>
            <w:noWrap/>
            <w:vAlign w:val="bottom"/>
            <w:hideMark/>
          </w:tcPr>
          <w:p w14:paraId="7356C4AB"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4.830.262 </w:t>
            </w:r>
          </w:p>
        </w:tc>
      </w:tr>
      <w:tr w:rsidR="00B54F4E" w:rsidRPr="0032255F" w14:paraId="3B8DDD14" w14:textId="77777777" w:rsidTr="006504C4">
        <w:trPr>
          <w:trHeight w:val="227"/>
        </w:trPr>
        <w:tc>
          <w:tcPr>
            <w:tcW w:w="930" w:type="pct"/>
            <w:tcBorders>
              <w:top w:val="single" w:sz="4" w:space="0" w:color="auto"/>
              <w:left w:val="single" w:sz="8" w:space="0" w:color="auto"/>
              <w:bottom w:val="single" w:sz="4" w:space="0" w:color="auto"/>
              <w:right w:val="single" w:sz="4" w:space="0" w:color="auto"/>
            </w:tcBorders>
            <w:noWrap/>
            <w:vAlign w:val="bottom"/>
            <w:hideMark/>
          </w:tcPr>
          <w:p w14:paraId="0A9629DB"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151-200</w:t>
            </w:r>
          </w:p>
        </w:tc>
        <w:tc>
          <w:tcPr>
            <w:tcW w:w="581" w:type="pct"/>
            <w:tcBorders>
              <w:top w:val="single" w:sz="4" w:space="0" w:color="auto"/>
              <w:left w:val="single" w:sz="4" w:space="0" w:color="auto"/>
              <w:bottom w:val="single" w:sz="4" w:space="0" w:color="auto"/>
              <w:right w:val="single" w:sz="4" w:space="0" w:color="auto"/>
            </w:tcBorders>
            <w:noWrap/>
            <w:vAlign w:val="bottom"/>
            <w:hideMark/>
          </w:tcPr>
          <w:p w14:paraId="3DD06B4F"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-36,57%</w:t>
            </w:r>
          </w:p>
        </w:tc>
        <w:tc>
          <w:tcPr>
            <w:tcW w:w="601" w:type="pct"/>
            <w:tcBorders>
              <w:top w:val="single" w:sz="4" w:space="0" w:color="auto"/>
              <w:left w:val="single" w:sz="4" w:space="0" w:color="auto"/>
              <w:bottom w:val="single" w:sz="4" w:space="0" w:color="auto"/>
              <w:right w:val="single" w:sz="4" w:space="0" w:color="auto"/>
            </w:tcBorders>
            <w:noWrap/>
            <w:vAlign w:val="bottom"/>
            <w:hideMark/>
          </w:tcPr>
          <w:p w14:paraId="7FB18ABD"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4.876.232 </w:t>
            </w:r>
          </w:p>
        </w:tc>
        <w:tc>
          <w:tcPr>
            <w:tcW w:w="581" w:type="pct"/>
            <w:tcBorders>
              <w:top w:val="single" w:sz="4" w:space="0" w:color="auto"/>
              <w:left w:val="single" w:sz="4" w:space="0" w:color="auto"/>
              <w:bottom w:val="single" w:sz="4" w:space="0" w:color="auto"/>
              <w:right w:val="single" w:sz="4" w:space="0" w:color="auto"/>
            </w:tcBorders>
            <w:noWrap/>
            <w:vAlign w:val="bottom"/>
            <w:hideMark/>
          </w:tcPr>
          <w:p w14:paraId="59247B15"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-12,43%</w:t>
            </w:r>
          </w:p>
        </w:tc>
        <w:tc>
          <w:tcPr>
            <w:tcW w:w="543" w:type="pct"/>
            <w:tcBorders>
              <w:top w:val="single" w:sz="4" w:space="0" w:color="auto"/>
              <w:left w:val="single" w:sz="4" w:space="0" w:color="auto"/>
              <w:bottom w:val="single" w:sz="4" w:space="0" w:color="auto"/>
              <w:right w:val="single" w:sz="4" w:space="0" w:color="auto"/>
            </w:tcBorders>
            <w:noWrap/>
            <w:vAlign w:val="bottom"/>
            <w:hideMark/>
          </w:tcPr>
          <w:p w14:paraId="6792A95F"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1.345.715 </w:t>
            </w:r>
          </w:p>
        </w:tc>
        <w:tc>
          <w:tcPr>
            <w:tcW w:w="581" w:type="pct"/>
            <w:tcBorders>
              <w:top w:val="single" w:sz="4" w:space="0" w:color="auto"/>
              <w:left w:val="single" w:sz="4" w:space="0" w:color="auto"/>
              <w:bottom w:val="single" w:sz="4" w:space="0" w:color="auto"/>
              <w:right w:val="single" w:sz="4" w:space="0" w:color="auto"/>
            </w:tcBorders>
            <w:noWrap/>
            <w:vAlign w:val="bottom"/>
            <w:hideMark/>
          </w:tcPr>
          <w:p w14:paraId="00788C10"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-4,80%</w:t>
            </w:r>
          </w:p>
        </w:tc>
        <w:tc>
          <w:tcPr>
            <w:tcW w:w="465" w:type="pct"/>
            <w:tcBorders>
              <w:top w:val="single" w:sz="4" w:space="0" w:color="auto"/>
              <w:left w:val="single" w:sz="4" w:space="0" w:color="auto"/>
              <w:bottom w:val="single" w:sz="4" w:space="0" w:color="auto"/>
              <w:right w:val="single" w:sz="4" w:space="0" w:color="auto"/>
            </w:tcBorders>
            <w:noWrap/>
            <w:vAlign w:val="bottom"/>
            <w:hideMark/>
          </w:tcPr>
          <w:p w14:paraId="2BA20087"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199.798 </w:t>
            </w:r>
          </w:p>
        </w:tc>
        <w:tc>
          <w:tcPr>
            <w:tcW w:w="717" w:type="pct"/>
            <w:tcBorders>
              <w:top w:val="single" w:sz="4" w:space="0" w:color="auto"/>
              <w:left w:val="single" w:sz="4" w:space="0" w:color="auto"/>
              <w:bottom w:val="single" w:sz="4" w:space="0" w:color="auto"/>
              <w:right w:val="single" w:sz="8" w:space="0" w:color="auto"/>
            </w:tcBorders>
            <w:noWrap/>
            <w:vAlign w:val="bottom"/>
            <w:hideMark/>
          </w:tcPr>
          <w:p w14:paraId="00FB1629"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6.221.947 </w:t>
            </w:r>
          </w:p>
        </w:tc>
      </w:tr>
      <w:tr w:rsidR="00B54F4E" w:rsidRPr="0032255F" w14:paraId="293B954F" w14:textId="77777777" w:rsidTr="006504C4">
        <w:trPr>
          <w:trHeight w:val="227"/>
        </w:trPr>
        <w:tc>
          <w:tcPr>
            <w:tcW w:w="930" w:type="pct"/>
            <w:tcBorders>
              <w:top w:val="single" w:sz="4" w:space="0" w:color="auto"/>
              <w:left w:val="single" w:sz="8" w:space="0" w:color="auto"/>
              <w:bottom w:val="single" w:sz="4" w:space="0" w:color="auto"/>
              <w:right w:val="single" w:sz="4" w:space="0" w:color="auto"/>
            </w:tcBorders>
            <w:noWrap/>
            <w:vAlign w:val="bottom"/>
            <w:hideMark/>
          </w:tcPr>
          <w:p w14:paraId="4C67109C"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201-250</w:t>
            </w:r>
          </w:p>
        </w:tc>
        <w:tc>
          <w:tcPr>
            <w:tcW w:w="581" w:type="pct"/>
            <w:tcBorders>
              <w:top w:val="single" w:sz="4" w:space="0" w:color="auto"/>
              <w:left w:val="single" w:sz="4" w:space="0" w:color="auto"/>
              <w:bottom w:val="single" w:sz="4" w:space="0" w:color="auto"/>
              <w:right w:val="single" w:sz="4" w:space="0" w:color="auto"/>
            </w:tcBorders>
            <w:noWrap/>
            <w:vAlign w:val="bottom"/>
            <w:hideMark/>
          </w:tcPr>
          <w:p w14:paraId="28F5112E"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-25,26%</w:t>
            </w:r>
          </w:p>
        </w:tc>
        <w:tc>
          <w:tcPr>
            <w:tcW w:w="601" w:type="pct"/>
            <w:tcBorders>
              <w:top w:val="single" w:sz="4" w:space="0" w:color="auto"/>
              <w:left w:val="single" w:sz="4" w:space="0" w:color="auto"/>
              <w:bottom w:val="single" w:sz="4" w:space="0" w:color="auto"/>
              <w:right w:val="single" w:sz="4" w:space="0" w:color="auto"/>
            </w:tcBorders>
            <w:noWrap/>
            <w:vAlign w:val="bottom"/>
            <w:hideMark/>
          </w:tcPr>
          <w:p w14:paraId="5CA0E9C0"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3.113.268 </w:t>
            </w:r>
          </w:p>
        </w:tc>
        <w:tc>
          <w:tcPr>
            <w:tcW w:w="581" w:type="pct"/>
            <w:tcBorders>
              <w:top w:val="single" w:sz="4" w:space="0" w:color="auto"/>
              <w:left w:val="single" w:sz="4" w:space="0" w:color="auto"/>
              <w:bottom w:val="single" w:sz="4" w:space="0" w:color="auto"/>
              <w:right w:val="single" w:sz="4" w:space="0" w:color="auto"/>
            </w:tcBorders>
            <w:noWrap/>
            <w:vAlign w:val="bottom"/>
            <w:hideMark/>
          </w:tcPr>
          <w:p w14:paraId="24345500"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-9,56%</w:t>
            </w:r>
          </w:p>
        </w:tc>
        <w:tc>
          <w:tcPr>
            <w:tcW w:w="543" w:type="pct"/>
            <w:tcBorders>
              <w:top w:val="single" w:sz="4" w:space="0" w:color="auto"/>
              <w:left w:val="single" w:sz="4" w:space="0" w:color="auto"/>
              <w:bottom w:val="single" w:sz="4" w:space="0" w:color="auto"/>
              <w:right w:val="single" w:sz="4" w:space="0" w:color="auto"/>
            </w:tcBorders>
            <w:noWrap/>
            <w:vAlign w:val="bottom"/>
            <w:hideMark/>
          </w:tcPr>
          <w:p w14:paraId="06ADAA35"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861.059 </w:t>
            </w:r>
          </w:p>
        </w:tc>
        <w:tc>
          <w:tcPr>
            <w:tcW w:w="581" w:type="pct"/>
            <w:tcBorders>
              <w:top w:val="single" w:sz="4" w:space="0" w:color="auto"/>
              <w:left w:val="single" w:sz="4" w:space="0" w:color="auto"/>
              <w:bottom w:val="single" w:sz="4" w:space="0" w:color="auto"/>
              <w:right w:val="single" w:sz="4" w:space="0" w:color="auto"/>
            </w:tcBorders>
            <w:noWrap/>
            <w:vAlign w:val="bottom"/>
            <w:hideMark/>
          </w:tcPr>
          <w:p w14:paraId="4F67787D"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-0,23%</w:t>
            </w:r>
          </w:p>
        </w:tc>
        <w:tc>
          <w:tcPr>
            <w:tcW w:w="465" w:type="pct"/>
            <w:tcBorders>
              <w:top w:val="single" w:sz="4" w:space="0" w:color="auto"/>
              <w:left w:val="single" w:sz="4" w:space="0" w:color="auto"/>
              <w:bottom w:val="single" w:sz="4" w:space="0" w:color="auto"/>
              <w:right w:val="single" w:sz="4" w:space="0" w:color="auto"/>
            </w:tcBorders>
            <w:noWrap/>
            <w:vAlign w:val="bottom"/>
            <w:hideMark/>
          </w:tcPr>
          <w:p w14:paraId="4F8626F4"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7.384 </w:t>
            </w:r>
          </w:p>
        </w:tc>
        <w:tc>
          <w:tcPr>
            <w:tcW w:w="717" w:type="pct"/>
            <w:tcBorders>
              <w:top w:val="single" w:sz="4" w:space="0" w:color="auto"/>
              <w:left w:val="single" w:sz="4" w:space="0" w:color="auto"/>
              <w:bottom w:val="single" w:sz="4" w:space="0" w:color="auto"/>
              <w:right w:val="single" w:sz="8" w:space="0" w:color="auto"/>
            </w:tcBorders>
            <w:noWrap/>
            <w:vAlign w:val="bottom"/>
            <w:hideMark/>
          </w:tcPr>
          <w:p w14:paraId="68914CC8"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3.974.327 </w:t>
            </w:r>
          </w:p>
        </w:tc>
      </w:tr>
      <w:tr w:rsidR="00B54F4E" w:rsidRPr="0032255F" w14:paraId="09482F1C" w14:textId="77777777" w:rsidTr="006504C4">
        <w:trPr>
          <w:trHeight w:val="227"/>
        </w:trPr>
        <w:tc>
          <w:tcPr>
            <w:tcW w:w="930" w:type="pct"/>
            <w:tcBorders>
              <w:top w:val="single" w:sz="4" w:space="0" w:color="auto"/>
              <w:left w:val="single" w:sz="8" w:space="0" w:color="auto"/>
              <w:bottom w:val="single" w:sz="8" w:space="0" w:color="auto"/>
              <w:right w:val="single" w:sz="4" w:space="0" w:color="auto"/>
            </w:tcBorders>
            <w:noWrap/>
            <w:vAlign w:val="bottom"/>
            <w:hideMark/>
          </w:tcPr>
          <w:p w14:paraId="6DDBCCD1"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251-300</w:t>
            </w:r>
          </w:p>
        </w:tc>
        <w:tc>
          <w:tcPr>
            <w:tcW w:w="581" w:type="pct"/>
            <w:tcBorders>
              <w:top w:val="single" w:sz="4" w:space="0" w:color="auto"/>
              <w:left w:val="single" w:sz="4" w:space="0" w:color="auto"/>
              <w:bottom w:val="single" w:sz="8" w:space="0" w:color="auto"/>
              <w:right w:val="single" w:sz="4" w:space="0" w:color="auto"/>
            </w:tcBorders>
            <w:noWrap/>
            <w:vAlign w:val="bottom"/>
            <w:hideMark/>
          </w:tcPr>
          <w:p w14:paraId="244D54F4"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-25,26%</w:t>
            </w:r>
          </w:p>
        </w:tc>
        <w:tc>
          <w:tcPr>
            <w:tcW w:w="601" w:type="pct"/>
            <w:tcBorders>
              <w:top w:val="single" w:sz="4" w:space="0" w:color="auto"/>
              <w:left w:val="single" w:sz="4" w:space="0" w:color="auto"/>
              <w:bottom w:val="single" w:sz="8" w:space="0" w:color="auto"/>
              <w:right w:val="single" w:sz="4" w:space="0" w:color="auto"/>
            </w:tcBorders>
            <w:noWrap/>
            <w:vAlign w:val="bottom"/>
            <w:hideMark/>
          </w:tcPr>
          <w:p w14:paraId="45C0E530"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2.655.598 </w:t>
            </w:r>
          </w:p>
        </w:tc>
        <w:tc>
          <w:tcPr>
            <w:tcW w:w="581" w:type="pct"/>
            <w:tcBorders>
              <w:top w:val="single" w:sz="4" w:space="0" w:color="auto"/>
              <w:left w:val="single" w:sz="4" w:space="0" w:color="auto"/>
              <w:bottom w:val="single" w:sz="8" w:space="0" w:color="auto"/>
              <w:right w:val="single" w:sz="4" w:space="0" w:color="auto"/>
            </w:tcBorders>
            <w:noWrap/>
            <w:vAlign w:val="bottom"/>
            <w:hideMark/>
          </w:tcPr>
          <w:p w14:paraId="14254665"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-9,56%</w:t>
            </w:r>
          </w:p>
        </w:tc>
        <w:tc>
          <w:tcPr>
            <w:tcW w:w="543" w:type="pct"/>
            <w:tcBorders>
              <w:top w:val="single" w:sz="4" w:space="0" w:color="auto"/>
              <w:left w:val="single" w:sz="4" w:space="0" w:color="auto"/>
              <w:bottom w:val="single" w:sz="8" w:space="0" w:color="auto"/>
              <w:right w:val="single" w:sz="4" w:space="0" w:color="auto"/>
            </w:tcBorders>
            <w:noWrap/>
            <w:vAlign w:val="bottom"/>
            <w:hideMark/>
          </w:tcPr>
          <w:p w14:paraId="750A5001"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684.777 </w:t>
            </w:r>
          </w:p>
        </w:tc>
        <w:tc>
          <w:tcPr>
            <w:tcW w:w="581" w:type="pct"/>
            <w:tcBorders>
              <w:top w:val="single" w:sz="4" w:space="0" w:color="auto"/>
              <w:left w:val="single" w:sz="4" w:space="0" w:color="auto"/>
              <w:bottom w:val="single" w:sz="8" w:space="0" w:color="auto"/>
              <w:right w:val="single" w:sz="4" w:space="0" w:color="auto"/>
            </w:tcBorders>
            <w:noWrap/>
            <w:vAlign w:val="bottom"/>
            <w:hideMark/>
          </w:tcPr>
          <w:p w14:paraId="27AC22DC"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-0,23%</w:t>
            </w:r>
          </w:p>
        </w:tc>
        <w:tc>
          <w:tcPr>
            <w:tcW w:w="465" w:type="pct"/>
            <w:tcBorders>
              <w:top w:val="single" w:sz="4" w:space="0" w:color="auto"/>
              <w:left w:val="single" w:sz="4" w:space="0" w:color="auto"/>
              <w:bottom w:val="single" w:sz="8" w:space="0" w:color="auto"/>
              <w:right w:val="single" w:sz="4" w:space="0" w:color="auto"/>
            </w:tcBorders>
            <w:noWrap/>
            <w:vAlign w:val="bottom"/>
            <w:hideMark/>
          </w:tcPr>
          <w:p w14:paraId="11C22C5D"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5.378 </w:t>
            </w:r>
          </w:p>
        </w:tc>
        <w:tc>
          <w:tcPr>
            <w:tcW w:w="717" w:type="pct"/>
            <w:tcBorders>
              <w:top w:val="single" w:sz="4" w:space="0" w:color="auto"/>
              <w:left w:val="single" w:sz="4" w:space="0" w:color="auto"/>
              <w:bottom w:val="single" w:sz="8" w:space="0" w:color="auto"/>
              <w:right w:val="single" w:sz="8" w:space="0" w:color="auto"/>
            </w:tcBorders>
            <w:noWrap/>
            <w:vAlign w:val="bottom"/>
            <w:hideMark/>
          </w:tcPr>
          <w:p w14:paraId="612CA87A"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3.340.375 </w:t>
            </w:r>
          </w:p>
        </w:tc>
      </w:tr>
      <w:tr w:rsidR="00B54F4E" w:rsidRPr="0032255F" w14:paraId="6431D171" w14:textId="77777777" w:rsidTr="006504C4">
        <w:trPr>
          <w:trHeight w:val="227"/>
        </w:trPr>
        <w:tc>
          <w:tcPr>
            <w:tcW w:w="930" w:type="pct"/>
            <w:tcBorders>
              <w:top w:val="single" w:sz="8" w:space="0" w:color="auto"/>
              <w:left w:val="single" w:sz="8" w:space="0" w:color="auto"/>
              <w:bottom w:val="single" w:sz="4" w:space="0" w:color="auto"/>
              <w:right w:val="single" w:sz="4" w:space="0" w:color="auto"/>
            </w:tcBorders>
            <w:noWrap/>
            <w:vAlign w:val="bottom"/>
            <w:hideMark/>
          </w:tcPr>
          <w:p w14:paraId="3143F008"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301-350</w:t>
            </w:r>
          </w:p>
        </w:tc>
        <w:tc>
          <w:tcPr>
            <w:tcW w:w="581" w:type="pct"/>
            <w:tcBorders>
              <w:top w:val="single" w:sz="8" w:space="0" w:color="auto"/>
              <w:left w:val="single" w:sz="4" w:space="0" w:color="auto"/>
              <w:bottom w:val="single" w:sz="4" w:space="0" w:color="auto"/>
              <w:right w:val="single" w:sz="4" w:space="0" w:color="auto"/>
            </w:tcBorders>
            <w:noWrap/>
            <w:vAlign w:val="bottom"/>
            <w:hideMark/>
          </w:tcPr>
          <w:p w14:paraId="165C38DA"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-23,34%</w:t>
            </w:r>
          </w:p>
        </w:tc>
        <w:tc>
          <w:tcPr>
            <w:tcW w:w="601" w:type="pct"/>
            <w:tcBorders>
              <w:top w:val="single" w:sz="8" w:space="0" w:color="auto"/>
              <w:left w:val="single" w:sz="4" w:space="0" w:color="auto"/>
              <w:bottom w:val="single" w:sz="4" w:space="0" w:color="auto"/>
              <w:right w:val="single" w:sz="4" w:space="0" w:color="auto"/>
            </w:tcBorders>
            <w:noWrap/>
            <w:vAlign w:val="bottom"/>
            <w:hideMark/>
          </w:tcPr>
          <w:p w14:paraId="6AFDC3C8"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2.791.940 </w:t>
            </w:r>
          </w:p>
        </w:tc>
        <w:tc>
          <w:tcPr>
            <w:tcW w:w="581" w:type="pct"/>
            <w:tcBorders>
              <w:top w:val="single" w:sz="8" w:space="0" w:color="auto"/>
              <w:left w:val="single" w:sz="4" w:space="0" w:color="auto"/>
              <w:bottom w:val="single" w:sz="4" w:space="0" w:color="auto"/>
              <w:right w:val="single" w:sz="4" w:space="0" w:color="auto"/>
            </w:tcBorders>
            <w:noWrap/>
            <w:vAlign w:val="bottom"/>
            <w:hideMark/>
          </w:tcPr>
          <w:p w14:paraId="244CBF87"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-9,93%</w:t>
            </w:r>
          </w:p>
        </w:tc>
        <w:tc>
          <w:tcPr>
            <w:tcW w:w="543" w:type="pct"/>
            <w:tcBorders>
              <w:top w:val="single" w:sz="8" w:space="0" w:color="auto"/>
              <w:left w:val="single" w:sz="4" w:space="0" w:color="auto"/>
              <w:bottom w:val="single" w:sz="4" w:space="0" w:color="auto"/>
              <w:right w:val="single" w:sz="4" w:space="0" w:color="auto"/>
            </w:tcBorders>
            <w:noWrap/>
            <w:vAlign w:val="bottom"/>
            <w:hideMark/>
          </w:tcPr>
          <w:p w14:paraId="2F5C58DD"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724.044 </w:t>
            </w:r>
          </w:p>
        </w:tc>
        <w:tc>
          <w:tcPr>
            <w:tcW w:w="581" w:type="pct"/>
            <w:tcBorders>
              <w:top w:val="single" w:sz="8" w:space="0" w:color="auto"/>
              <w:left w:val="single" w:sz="4" w:space="0" w:color="auto"/>
              <w:bottom w:val="single" w:sz="4" w:space="0" w:color="auto"/>
              <w:right w:val="single" w:sz="4" w:space="0" w:color="auto"/>
            </w:tcBorders>
            <w:noWrap/>
            <w:vAlign w:val="bottom"/>
            <w:hideMark/>
          </w:tcPr>
          <w:p w14:paraId="04C9E051" w14:textId="77777777" w:rsidR="00B54F4E" w:rsidRPr="0032255F" w:rsidRDefault="00B54F4E" w:rsidP="006504C4">
            <w:pPr>
              <w:spacing w:before="0" w:after="0"/>
              <w:jc w:val="right"/>
              <w:rPr>
                <w:rFonts w:ascii="Calibri" w:hAnsi="Calibri"/>
                <w:color w:val="000000"/>
                <w:sz w:val="18"/>
                <w:szCs w:val="18"/>
                <w:lang w:eastAsia="es-CO"/>
              </w:rPr>
            </w:pPr>
          </w:p>
        </w:tc>
        <w:tc>
          <w:tcPr>
            <w:tcW w:w="465" w:type="pct"/>
            <w:tcBorders>
              <w:top w:val="single" w:sz="8" w:space="0" w:color="auto"/>
              <w:left w:val="single" w:sz="4" w:space="0" w:color="auto"/>
              <w:bottom w:val="single" w:sz="4" w:space="0" w:color="auto"/>
              <w:right w:val="single" w:sz="4" w:space="0" w:color="auto"/>
            </w:tcBorders>
            <w:noWrap/>
            <w:vAlign w:val="bottom"/>
            <w:hideMark/>
          </w:tcPr>
          <w:p w14:paraId="4FAF4895" w14:textId="77777777" w:rsidR="00B54F4E" w:rsidRPr="0032255F" w:rsidRDefault="00B54F4E" w:rsidP="006504C4">
            <w:pPr>
              <w:spacing w:before="0" w:after="0"/>
              <w:jc w:val="left"/>
              <w:rPr>
                <w:rFonts w:ascii="Times New Roman" w:hAnsi="Times New Roman"/>
                <w:sz w:val="18"/>
                <w:szCs w:val="18"/>
                <w:lang w:eastAsia="es-CO"/>
              </w:rPr>
            </w:pPr>
          </w:p>
        </w:tc>
        <w:tc>
          <w:tcPr>
            <w:tcW w:w="717" w:type="pct"/>
            <w:tcBorders>
              <w:top w:val="single" w:sz="8" w:space="0" w:color="auto"/>
              <w:left w:val="single" w:sz="4" w:space="0" w:color="auto"/>
              <w:bottom w:val="single" w:sz="4" w:space="0" w:color="auto"/>
              <w:right w:val="single" w:sz="8" w:space="0" w:color="auto"/>
            </w:tcBorders>
            <w:noWrap/>
            <w:vAlign w:val="bottom"/>
            <w:hideMark/>
          </w:tcPr>
          <w:p w14:paraId="12806F12"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3.515.984 </w:t>
            </w:r>
          </w:p>
        </w:tc>
      </w:tr>
      <w:tr w:rsidR="00B54F4E" w:rsidRPr="0032255F" w14:paraId="64526E9C" w14:textId="77777777" w:rsidTr="006504C4">
        <w:trPr>
          <w:trHeight w:val="227"/>
        </w:trPr>
        <w:tc>
          <w:tcPr>
            <w:tcW w:w="930" w:type="pct"/>
            <w:tcBorders>
              <w:top w:val="single" w:sz="4" w:space="0" w:color="auto"/>
              <w:left w:val="single" w:sz="8" w:space="0" w:color="auto"/>
              <w:bottom w:val="single" w:sz="8" w:space="0" w:color="auto"/>
              <w:right w:val="single" w:sz="4" w:space="0" w:color="auto"/>
            </w:tcBorders>
            <w:noWrap/>
            <w:vAlign w:val="bottom"/>
            <w:hideMark/>
          </w:tcPr>
          <w:p w14:paraId="663CB5F6"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351-400</w:t>
            </w:r>
          </w:p>
        </w:tc>
        <w:tc>
          <w:tcPr>
            <w:tcW w:w="581" w:type="pct"/>
            <w:tcBorders>
              <w:top w:val="single" w:sz="4" w:space="0" w:color="auto"/>
              <w:left w:val="single" w:sz="4" w:space="0" w:color="auto"/>
              <w:bottom w:val="single" w:sz="8" w:space="0" w:color="auto"/>
              <w:right w:val="single" w:sz="4" w:space="0" w:color="auto"/>
            </w:tcBorders>
            <w:noWrap/>
            <w:vAlign w:val="bottom"/>
            <w:hideMark/>
          </w:tcPr>
          <w:p w14:paraId="421D9D5F"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-7,76%</w:t>
            </w:r>
          </w:p>
        </w:tc>
        <w:tc>
          <w:tcPr>
            <w:tcW w:w="601" w:type="pct"/>
            <w:tcBorders>
              <w:top w:val="single" w:sz="4" w:space="0" w:color="auto"/>
              <w:left w:val="single" w:sz="4" w:space="0" w:color="auto"/>
              <w:bottom w:val="single" w:sz="8" w:space="0" w:color="auto"/>
              <w:right w:val="single" w:sz="4" w:space="0" w:color="auto"/>
            </w:tcBorders>
            <w:noWrap/>
            <w:vAlign w:val="bottom"/>
            <w:hideMark/>
          </w:tcPr>
          <w:p w14:paraId="052B1AC9"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831.425 </w:t>
            </w:r>
          </w:p>
        </w:tc>
        <w:tc>
          <w:tcPr>
            <w:tcW w:w="581" w:type="pct"/>
            <w:tcBorders>
              <w:top w:val="single" w:sz="4" w:space="0" w:color="auto"/>
              <w:left w:val="single" w:sz="4" w:space="0" w:color="auto"/>
              <w:bottom w:val="single" w:sz="8" w:space="0" w:color="auto"/>
              <w:right w:val="single" w:sz="4" w:space="0" w:color="auto"/>
            </w:tcBorders>
            <w:noWrap/>
            <w:vAlign w:val="bottom"/>
            <w:hideMark/>
          </w:tcPr>
          <w:p w14:paraId="61AF3941"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-3,29%</w:t>
            </w:r>
          </w:p>
        </w:tc>
        <w:tc>
          <w:tcPr>
            <w:tcW w:w="543" w:type="pct"/>
            <w:tcBorders>
              <w:top w:val="single" w:sz="4" w:space="0" w:color="auto"/>
              <w:left w:val="single" w:sz="4" w:space="0" w:color="auto"/>
              <w:bottom w:val="single" w:sz="8" w:space="0" w:color="auto"/>
              <w:right w:val="single" w:sz="4" w:space="0" w:color="auto"/>
            </w:tcBorders>
            <w:noWrap/>
            <w:vAlign w:val="bottom"/>
            <w:hideMark/>
          </w:tcPr>
          <w:p w14:paraId="1A346136" w14:textId="77777777" w:rsidR="00B54F4E" w:rsidRPr="0032255F" w:rsidRDefault="00B54F4E" w:rsidP="006504C4">
            <w:pPr>
              <w:spacing w:before="0" w:after="0"/>
              <w:jc w:val="right"/>
              <w:rPr>
                <w:rFonts w:ascii="Calibri" w:hAnsi="Calibri"/>
                <w:color w:val="000000"/>
                <w:sz w:val="18"/>
                <w:szCs w:val="18"/>
                <w:lang w:eastAsia="es-CO"/>
              </w:rPr>
            </w:pPr>
            <w:r w:rsidRPr="0032255F">
              <w:rPr>
                <w:rFonts w:ascii="Calibri" w:hAnsi="Calibri"/>
                <w:color w:val="000000"/>
                <w:sz w:val="18"/>
                <w:szCs w:val="18"/>
                <w:lang w:eastAsia="es-CO"/>
              </w:rPr>
              <w:t xml:space="preserve"> 210.575 </w:t>
            </w:r>
          </w:p>
        </w:tc>
        <w:tc>
          <w:tcPr>
            <w:tcW w:w="581" w:type="pct"/>
            <w:tcBorders>
              <w:top w:val="single" w:sz="4" w:space="0" w:color="auto"/>
              <w:left w:val="single" w:sz="4" w:space="0" w:color="auto"/>
              <w:bottom w:val="single" w:sz="8" w:space="0" w:color="auto"/>
              <w:right w:val="single" w:sz="4" w:space="0" w:color="auto"/>
            </w:tcBorders>
            <w:noWrap/>
            <w:vAlign w:val="bottom"/>
            <w:hideMark/>
          </w:tcPr>
          <w:p w14:paraId="66820BFD" w14:textId="77777777" w:rsidR="00B54F4E" w:rsidRPr="0032255F" w:rsidRDefault="00B54F4E" w:rsidP="006504C4">
            <w:pPr>
              <w:spacing w:before="0" w:after="0"/>
              <w:jc w:val="right"/>
              <w:rPr>
                <w:rFonts w:ascii="Calibri" w:hAnsi="Calibri"/>
                <w:color w:val="000000"/>
                <w:sz w:val="18"/>
                <w:szCs w:val="18"/>
                <w:lang w:eastAsia="es-CO"/>
              </w:rPr>
            </w:pPr>
          </w:p>
        </w:tc>
        <w:tc>
          <w:tcPr>
            <w:tcW w:w="465" w:type="pct"/>
            <w:tcBorders>
              <w:top w:val="single" w:sz="4" w:space="0" w:color="auto"/>
              <w:left w:val="single" w:sz="4" w:space="0" w:color="auto"/>
              <w:bottom w:val="single" w:sz="8" w:space="0" w:color="auto"/>
              <w:right w:val="single" w:sz="4" w:space="0" w:color="auto"/>
            </w:tcBorders>
            <w:noWrap/>
            <w:vAlign w:val="bottom"/>
            <w:hideMark/>
          </w:tcPr>
          <w:p w14:paraId="2612CBAB" w14:textId="77777777" w:rsidR="00B54F4E" w:rsidRPr="0032255F" w:rsidRDefault="00B54F4E" w:rsidP="006504C4">
            <w:pPr>
              <w:spacing w:before="0" w:after="0"/>
              <w:jc w:val="left"/>
              <w:rPr>
                <w:rFonts w:ascii="Times New Roman" w:hAnsi="Times New Roman"/>
                <w:sz w:val="18"/>
                <w:szCs w:val="18"/>
                <w:lang w:eastAsia="es-CO"/>
              </w:rPr>
            </w:pPr>
          </w:p>
        </w:tc>
        <w:tc>
          <w:tcPr>
            <w:tcW w:w="717" w:type="pct"/>
            <w:tcBorders>
              <w:top w:val="single" w:sz="4" w:space="0" w:color="auto"/>
              <w:left w:val="single" w:sz="4" w:space="0" w:color="auto"/>
              <w:bottom w:val="single" w:sz="8" w:space="0" w:color="auto"/>
              <w:right w:val="single" w:sz="8" w:space="0" w:color="auto"/>
            </w:tcBorders>
            <w:noWrap/>
            <w:vAlign w:val="bottom"/>
            <w:hideMark/>
          </w:tcPr>
          <w:p w14:paraId="3A1C2208"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1.042.000 </w:t>
            </w:r>
          </w:p>
        </w:tc>
      </w:tr>
      <w:tr w:rsidR="00B54F4E" w:rsidRPr="0032255F" w14:paraId="4CFAA5BA" w14:textId="77777777" w:rsidTr="006504C4">
        <w:trPr>
          <w:trHeight w:val="227"/>
        </w:trPr>
        <w:tc>
          <w:tcPr>
            <w:tcW w:w="930" w:type="pct"/>
            <w:tcBorders>
              <w:top w:val="nil"/>
              <w:left w:val="single" w:sz="8" w:space="0" w:color="auto"/>
              <w:bottom w:val="single" w:sz="8" w:space="0" w:color="auto"/>
              <w:right w:val="single" w:sz="4" w:space="0" w:color="auto"/>
            </w:tcBorders>
            <w:shd w:val="clear" w:color="000000" w:fill="F2F2F2"/>
            <w:noWrap/>
            <w:vAlign w:val="bottom"/>
            <w:hideMark/>
          </w:tcPr>
          <w:p w14:paraId="496A517B"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TOTAL</w:t>
            </w:r>
          </w:p>
        </w:tc>
        <w:tc>
          <w:tcPr>
            <w:tcW w:w="581" w:type="pct"/>
            <w:tcBorders>
              <w:top w:val="nil"/>
              <w:left w:val="single" w:sz="4" w:space="0" w:color="auto"/>
              <w:bottom w:val="single" w:sz="8" w:space="0" w:color="auto"/>
              <w:right w:val="single" w:sz="4" w:space="0" w:color="auto"/>
            </w:tcBorders>
            <w:shd w:val="clear" w:color="000000" w:fill="F2F2F2"/>
            <w:noWrap/>
            <w:vAlign w:val="bottom"/>
            <w:hideMark/>
          </w:tcPr>
          <w:p w14:paraId="0EC4AA5D" w14:textId="77777777" w:rsidR="00B54F4E" w:rsidRPr="0032255F" w:rsidRDefault="00B54F4E" w:rsidP="006504C4">
            <w:pPr>
              <w:spacing w:before="0" w:after="0"/>
              <w:jc w:val="center"/>
              <w:rPr>
                <w:rFonts w:ascii="Calibri" w:hAnsi="Calibri"/>
                <w:b/>
                <w:bCs/>
                <w:color w:val="000000"/>
                <w:sz w:val="18"/>
                <w:szCs w:val="18"/>
                <w:lang w:eastAsia="es-CO"/>
              </w:rPr>
            </w:pPr>
          </w:p>
        </w:tc>
        <w:tc>
          <w:tcPr>
            <w:tcW w:w="601" w:type="pct"/>
            <w:tcBorders>
              <w:top w:val="nil"/>
              <w:left w:val="single" w:sz="4" w:space="0" w:color="auto"/>
              <w:bottom w:val="single" w:sz="8" w:space="0" w:color="auto"/>
              <w:right w:val="single" w:sz="4" w:space="0" w:color="auto"/>
            </w:tcBorders>
            <w:shd w:val="clear" w:color="000000" w:fill="F2F2F2"/>
            <w:noWrap/>
            <w:vAlign w:val="bottom"/>
            <w:hideMark/>
          </w:tcPr>
          <w:p w14:paraId="29C85A9F"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19.784.665 </w:t>
            </w:r>
          </w:p>
        </w:tc>
        <w:tc>
          <w:tcPr>
            <w:tcW w:w="581" w:type="pct"/>
            <w:tcBorders>
              <w:top w:val="nil"/>
              <w:left w:val="single" w:sz="4" w:space="0" w:color="auto"/>
              <w:bottom w:val="single" w:sz="8" w:space="0" w:color="auto"/>
              <w:right w:val="single" w:sz="4" w:space="0" w:color="auto"/>
            </w:tcBorders>
            <w:shd w:val="clear" w:color="000000" w:fill="F2F2F2"/>
            <w:noWrap/>
            <w:vAlign w:val="bottom"/>
            <w:hideMark/>
          </w:tcPr>
          <w:p w14:paraId="06495F61" w14:textId="77777777" w:rsidR="00B54F4E" w:rsidRPr="0032255F" w:rsidRDefault="00B54F4E" w:rsidP="006504C4">
            <w:pPr>
              <w:spacing w:before="0" w:after="0"/>
              <w:jc w:val="right"/>
              <w:rPr>
                <w:rFonts w:ascii="Calibri" w:hAnsi="Calibri"/>
                <w:b/>
                <w:bCs/>
                <w:color w:val="000000"/>
                <w:sz w:val="18"/>
                <w:szCs w:val="18"/>
                <w:lang w:eastAsia="es-CO"/>
              </w:rPr>
            </w:pPr>
          </w:p>
        </w:tc>
        <w:tc>
          <w:tcPr>
            <w:tcW w:w="543" w:type="pct"/>
            <w:tcBorders>
              <w:top w:val="nil"/>
              <w:left w:val="single" w:sz="4" w:space="0" w:color="auto"/>
              <w:bottom w:val="single" w:sz="8" w:space="0" w:color="auto"/>
              <w:right w:val="single" w:sz="4" w:space="0" w:color="auto"/>
            </w:tcBorders>
            <w:shd w:val="clear" w:color="000000" w:fill="F2F2F2"/>
            <w:noWrap/>
            <w:vAlign w:val="bottom"/>
            <w:hideMark/>
          </w:tcPr>
          <w:p w14:paraId="47DCC901"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6.355.886 </w:t>
            </w:r>
          </w:p>
        </w:tc>
        <w:tc>
          <w:tcPr>
            <w:tcW w:w="581" w:type="pct"/>
            <w:tcBorders>
              <w:top w:val="nil"/>
              <w:left w:val="single" w:sz="4" w:space="0" w:color="auto"/>
              <w:bottom w:val="single" w:sz="8" w:space="0" w:color="auto"/>
              <w:right w:val="single" w:sz="4" w:space="0" w:color="auto"/>
            </w:tcBorders>
            <w:shd w:val="clear" w:color="000000" w:fill="F2F2F2"/>
            <w:noWrap/>
            <w:vAlign w:val="bottom"/>
            <w:hideMark/>
          </w:tcPr>
          <w:p w14:paraId="7C18111D" w14:textId="77777777" w:rsidR="00B54F4E" w:rsidRPr="0032255F" w:rsidRDefault="00B54F4E" w:rsidP="006504C4">
            <w:pPr>
              <w:spacing w:before="0" w:after="0"/>
              <w:jc w:val="left"/>
              <w:rPr>
                <w:rFonts w:ascii="Calibri" w:hAnsi="Calibri"/>
                <w:b/>
                <w:bCs/>
                <w:color w:val="000000"/>
                <w:sz w:val="18"/>
                <w:szCs w:val="18"/>
                <w:lang w:eastAsia="es-CO"/>
              </w:rPr>
            </w:pPr>
            <w:r w:rsidRPr="0032255F">
              <w:rPr>
                <w:rFonts w:ascii="Calibri" w:hAnsi="Calibri"/>
                <w:b/>
                <w:bCs/>
                <w:color w:val="000000"/>
                <w:sz w:val="18"/>
                <w:szCs w:val="18"/>
                <w:lang w:eastAsia="es-CO"/>
              </w:rPr>
              <w:t xml:space="preserve"> </w:t>
            </w:r>
          </w:p>
        </w:tc>
        <w:tc>
          <w:tcPr>
            <w:tcW w:w="465" w:type="pct"/>
            <w:tcBorders>
              <w:top w:val="nil"/>
              <w:left w:val="single" w:sz="4" w:space="0" w:color="auto"/>
              <w:bottom w:val="single" w:sz="8" w:space="0" w:color="auto"/>
              <w:right w:val="single" w:sz="4" w:space="0" w:color="auto"/>
            </w:tcBorders>
            <w:shd w:val="clear" w:color="000000" w:fill="F2F2F2"/>
            <w:noWrap/>
            <w:vAlign w:val="bottom"/>
            <w:hideMark/>
          </w:tcPr>
          <w:p w14:paraId="42557900"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621.311 </w:t>
            </w:r>
          </w:p>
        </w:tc>
        <w:tc>
          <w:tcPr>
            <w:tcW w:w="717" w:type="pct"/>
            <w:tcBorders>
              <w:top w:val="nil"/>
              <w:left w:val="single" w:sz="4" w:space="0" w:color="auto"/>
              <w:bottom w:val="single" w:sz="8" w:space="0" w:color="auto"/>
              <w:right w:val="single" w:sz="8" w:space="0" w:color="auto"/>
            </w:tcBorders>
            <w:shd w:val="clear" w:color="000000" w:fill="F2F2F2"/>
            <w:noWrap/>
            <w:vAlign w:val="bottom"/>
            <w:hideMark/>
          </w:tcPr>
          <w:p w14:paraId="640FCB64"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26.140.551 </w:t>
            </w:r>
          </w:p>
        </w:tc>
      </w:tr>
      <w:tr w:rsidR="00B54F4E" w:rsidRPr="0032255F" w14:paraId="3A700B85" w14:textId="77777777" w:rsidTr="006504C4">
        <w:trPr>
          <w:trHeight w:val="227"/>
        </w:trPr>
        <w:tc>
          <w:tcPr>
            <w:tcW w:w="930" w:type="pct"/>
            <w:tcBorders>
              <w:top w:val="nil"/>
              <w:left w:val="single" w:sz="8" w:space="0" w:color="auto"/>
              <w:bottom w:val="single" w:sz="8" w:space="0" w:color="auto"/>
              <w:right w:val="single" w:sz="4" w:space="0" w:color="auto"/>
            </w:tcBorders>
            <w:shd w:val="clear" w:color="000000" w:fill="D9D9D9"/>
            <w:noWrap/>
            <w:vAlign w:val="bottom"/>
            <w:hideMark/>
          </w:tcPr>
          <w:p w14:paraId="46B4A7B6"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Total 301-400</w:t>
            </w:r>
          </w:p>
        </w:tc>
        <w:tc>
          <w:tcPr>
            <w:tcW w:w="581" w:type="pct"/>
            <w:tcBorders>
              <w:top w:val="nil"/>
              <w:left w:val="single" w:sz="4" w:space="0" w:color="auto"/>
              <w:bottom w:val="single" w:sz="8" w:space="0" w:color="auto"/>
              <w:right w:val="single" w:sz="4" w:space="0" w:color="auto"/>
            </w:tcBorders>
            <w:shd w:val="clear" w:color="000000" w:fill="D9D9D9"/>
            <w:noWrap/>
            <w:vAlign w:val="bottom"/>
            <w:hideMark/>
          </w:tcPr>
          <w:p w14:paraId="1B92D47A" w14:textId="77777777" w:rsidR="00B54F4E" w:rsidRPr="0032255F" w:rsidRDefault="00B54F4E" w:rsidP="006504C4">
            <w:pPr>
              <w:spacing w:before="0" w:after="0"/>
              <w:jc w:val="center"/>
              <w:rPr>
                <w:rFonts w:ascii="Calibri" w:hAnsi="Calibri"/>
                <w:b/>
                <w:bCs/>
                <w:color w:val="000000"/>
                <w:sz w:val="18"/>
                <w:szCs w:val="18"/>
                <w:lang w:eastAsia="es-CO"/>
              </w:rPr>
            </w:pPr>
          </w:p>
        </w:tc>
        <w:tc>
          <w:tcPr>
            <w:tcW w:w="601" w:type="pct"/>
            <w:tcBorders>
              <w:top w:val="nil"/>
              <w:left w:val="single" w:sz="4" w:space="0" w:color="auto"/>
              <w:bottom w:val="single" w:sz="8" w:space="0" w:color="auto"/>
              <w:right w:val="single" w:sz="4" w:space="0" w:color="auto"/>
            </w:tcBorders>
            <w:shd w:val="clear" w:color="000000" w:fill="D9D9D9"/>
            <w:noWrap/>
            <w:vAlign w:val="bottom"/>
            <w:hideMark/>
          </w:tcPr>
          <w:p w14:paraId="6AEDFA40"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3.623.365 </w:t>
            </w:r>
          </w:p>
        </w:tc>
        <w:tc>
          <w:tcPr>
            <w:tcW w:w="581" w:type="pct"/>
            <w:tcBorders>
              <w:top w:val="nil"/>
              <w:left w:val="single" w:sz="4" w:space="0" w:color="auto"/>
              <w:bottom w:val="single" w:sz="8" w:space="0" w:color="auto"/>
              <w:right w:val="single" w:sz="4" w:space="0" w:color="auto"/>
            </w:tcBorders>
            <w:shd w:val="clear" w:color="000000" w:fill="D9D9D9"/>
            <w:noWrap/>
            <w:vAlign w:val="bottom"/>
            <w:hideMark/>
          </w:tcPr>
          <w:p w14:paraId="46A6505A" w14:textId="77777777" w:rsidR="00B54F4E" w:rsidRPr="0032255F" w:rsidRDefault="00B54F4E" w:rsidP="006504C4">
            <w:pPr>
              <w:spacing w:before="0" w:after="0"/>
              <w:jc w:val="right"/>
              <w:rPr>
                <w:rFonts w:ascii="Calibri" w:hAnsi="Calibri"/>
                <w:b/>
                <w:bCs/>
                <w:color w:val="000000"/>
                <w:sz w:val="18"/>
                <w:szCs w:val="18"/>
                <w:lang w:eastAsia="es-CO"/>
              </w:rPr>
            </w:pPr>
          </w:p>
        </w:tc>
        <w:tc>
          <w:tcPr>
            <w:tcW w:w="543" w:type="pct"/>
            <w:tcBorders>
              <w:top w:val="nil"/>
              <w:left w:val="single" w:sz="4" w:space="0" w:color="auto"/>
              <w:bottom w:val="single" w:sz="8" w:space="0" w:color="auto"/>
              <w:right w:val="single" w:sz="4" w:space="0" w:color="auto"/>
            </w:tcBorders>
            <w:shd w:val="clear" w:color="000000" w:fill="D9D9D9"/>
            <w:noWrap/>
            <w:vAlign w:val="bottom"/>
            <w:hideMark/>
          </w:tcPr>
          <w:p w14:paraId="75656422"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934.620 </w:t>
            </w:r>
          </w:p>
        </w:tc>
        <w:tc>
          <w:tcPr>
            <w:tcW w:w="581" w:type="pct"/>
            <w:tcBorders>
              <w:top w:val="nil"/>
              <w:left w:val="single" w:sz="4" w:space="0" w:color="auto"/>
              <w:bottom w:val="single" w:sz="8" w:space="0" w:color="auto"/>
              <w:right w:val="single" w:sz="4" w:space="0" w:color="auto"/>
            </w:tcBorders>
            <w:shd w:val="clear" w:color="000000" w:fill="D9D9D9"/>
            <w:noWrap/>
            <w:vAlign w:val="bottom"/>
            <w:hideMark/>
          </w:tcPr>
          <w:p w14:paraId="4DBF6B94" w14:textId="77777777" w:rsidR="00B54F4E" w:rsidRPr="0032255F" w:rsidRDefault="00B54F4E" w:rsidP="006504C4">
            <w:pPr>
              <w:spacing w:before="0" w:after="0"/>
              <w:jc w:val="right"/>
              <w:rPr>
                <w:rFonts w:ascii="Calibri" w:hAnsi="Calibri"/>
                <w:b/>
                <w:bCs/>
                <w:color w:val="000000"/>
                <w:sz w:val="18"/>
                <w:szCs w:val="18"/>
                <w:lang w:eastAsia="es-CO"/>
              </w:rPr>
            </w:pPr>
          </w:p>
        </w:tc>
        <w:tc>
          <w:tcPr>
            <w:tcW w:w="465" w:type="pct"/>
            <w:tcBorders>
              <w:top w:val="nil"/>
              <w:left w:val="single" w:sz="4" w:space="0" w:color="auto"/>
              <w:bottom w:val="single" w:sz="8" w:space="0" w:color="auto"/>
              <w:right w:val="nil"/>
            </w:tcBorders>
            <w:shd w:val="clear" w:color="000000" w:fill="D9D9D9"/>
            <w:noWrap/>
            <w:vAlign w:val="bottom"/>
            <w:hideMark/>
          </w:tcPr>
          <w:p w14:paraId="438EF717"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   </w:t>
            </w:r>
          </w:p>
        </w:tc>
        <w:tc>
          <w:tcPr>
            <w:tcW w:w="717" w:type="pct"/>
            <w:tcBorders>
              <w:top w:val="nil"/>
              <w:left w:val="single" w:sz="4" w:space="0" w:color="auto"/>
              <w:bottom w:val="single" w:sz="8" w:space="0" w:color="auto"/>
              <w:right w:val="single" w:sz="8" w:space="0" w:color="auto"/>
            </w:tcBorders>
            <w:shd w:val="clear" w:color="000000" w:fill="D9D9D9"/>
            <w:noWrap/>
            <w:vAlign w:val="bottom"/>
            <w:hideMark/>
          </w:tcPr>
          <w:p w14:paraId="5EA9FD87"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4.557.984 </w:t>
            </w:r>
          </w:p>
        </w:tc>
      </w:tr>
      <w:tr w:rsidR="00B54F4E" w:rsidRPr="0032255F" w14:paraId="5665EAE9" w14:textId="77777777" w:rsidTr="006504C4">
        <w:trPr>
          <w:trHeight w:val="227"/>
        </w:trPr>
        <w:tc>
          <w:tcPr>
            <w:tcW w:w="930" w:type="pct"/>
            <w:tcBorders>
              <w:top w:val="nil"/>
              <w:left w:val="single" w:sz="8" w:space="0" w:color="auto"/>
              <w:bottom w:val="single" w:sz="8" w:space="0" w:color="auto"/>
              <w:right w:val="single" w:sz="4" w:space="0" w:color="auto"/>
            </w:tcBorders>
            <w:noWrap/>
            <w:vAlign w:val="bottom"/>
            <w:hideMark/>
          </w:tcPr>
          <w:p w14:paraId="7776C13C"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Total 101 - 300</w:t>
            </w:r>
          </w:p>
        </w:tc>
        <w:tc>
          <w:tcPr>
            <w:tcW w:w="581" w:type="pct"/>
            <w:tcBorders>
              <w:top w:val="nil"/>
              <w:left w:val="single" w:sz="4" w:space="0" w:color="auto"/>
              <w:bottom w:val="single" w:sz="8" w:space="0" w:color="auto"/>
              <w:right w:val="single" w:sz="4" w:space="0" w:color="auto"/>
            </w:tcBorders>
            <w:noWrap/>
            <w:vAlign w:val="bottom"/>
            <w:hideMark/>
          </w:tcPr>
          <w:p w14:paraId="21E0056C" w14:textId="77777777" w:rsidR="00B54F4E" w:rsidRPr="0032255F" w:rsidRDefault="00B54F4E" w:rsidP="006504C4">
            <w:pPr>
              <w:spacing w:before="0" w:after="0"/>
              <w:jc w:val="center"/>
              <w:rPr>
                <w:rFonts w:ascii="Calibri" w:hAnsi="Calibri"/>
                <w:b/>
                <w:bCs/>
                <w:color w:val="000000"/>
                <w:sz w:val="18"/>
                <w:szCs w:val="18"/>
                <w:lang w:eastAsia="es-CO"/>
              </w:rPr>
            </w:pPr>
          </w:p>
        </w:tc>
        <w:tc>
          <w:tcPr>
            <w:tcW w:w="601" w:type="pct"/>
            <w:tcBorders>
              <w:top w:val="nil"/>
              <w:left w:val="single" w:sz="4" w:space="0" w:color="auto"/>
              <w:bottom w:val="single" w:sz="8" w:space="0" w:color="auto"/>
              <w:right w:val="single" w:sz="4" w:space="0" w:color="auto"/>
            </w:tcBorders>
            <w:noWrap/>
            <w:vAlign w:val="bottom"/>
            <w:hideMark/>
          </w:tcPr>
          <w:p w14:paraId="2A3CC5FF"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14.212.478 </w:t>
            </w:r>
          </w:p>
        </w:tc>
        <w:tc>
          <w:tcPr>
            <w:tcW w:w="581" w:type="pct"/>
            <w:tcBorders>
              <w:top w:val="nil"/>
              <w:left w:val="single" w:sz="4" w:space="0" w:color="auto"/>
              <w:bottom w:val="single" w:sz="8" w:space="0" w:color="auto"/>
              <w:right w:val="single" w:sz="4" w:space="0" w:color="auto"/>
            </w:tcBorders>
            <w:noWrap/>
            <w:vAlign w:val="bottom"/>
            <w:hideMark/>
          </w:tcPr>
          <w:p w14:paraId="78847F3B" w14:textId="77777777" w:rsidR="00B54F4E" w:rsidRPr="0032255F" w:rsidRDefault="00B54F4E" w:rsidP="006504C4">
            <w:pPr>
              <w:spacing w:before="0" w:after="0"/>
              <w:jc w:val="right"/>
              <w:rPr>
                <w:rFonts w:ascii="Calibri" w:hAnsi="Calibri"/>
                <w:b/>
                <w:bCs/>
                <w:color w:val="000000"/>
                <w:sz w:val="18"/>
                <w:szCs w:val="18"/>
                <w:lang w:eastAsia="es-CO"/>
              </w:rPr>
            </w:pPr>
          </w:p>
        </w:tc>
        <w:tc>
          <w:tcPr>
            <w:tcW w:w="543" w:type="pct"/>
            <w:tcBorders>
              <w:top w:val="nil"/>
              <w:left w:val="single" w:sz="4" w:space="0" w:color="auto"/>
              <w:bottom w:val="single" w:sz="8" w:space="0" w:color="auto"/>
              <w:right w:val="single" w:sz="4" w:space="0" w:color="auto"/>
            </w:tcBorders>
            <w:noWrap/>
            <w:vAlign w:val="bottom"/>
            <w:hideMark/>
          </w:tcPr>
          <w:p w14:paraId="0E11F219"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4.154.433 </w:t>
            </w:r>
          </w:p>
        </w:tc>
        <w:tc>
          <w:tcPr>
            <w:tcW w:w="581" w:type="pct"/>
            <w:tcBorders>
              <w:top w:val="nil"/>
              <w:left w:val="single" w:sz="4" w:space="0" w:color="auto"/>
              <w:bottom w:val="single" w:sz="8" w:space="0" w:color="auto"/>
              <w:right w:val="single" w:sz="4" w:space="0" w:color="auto"/>
            </w:tcBorders>
            <w:noWrap/>
            <w:vAlign w:val="bottom"/>
            <w:hideMark/>
          </w:tcPr>
          <w:p w14:paraId="61815FB4" w14:textId="77777777" w:rsidR="00B54F4E" w:rsidRPr="0032255F" w:rsidRDefault="00B54F4E" w:rsidP="006504C4">
            <w:pPr>
              <w:spacing w:before="0" w:after="0"/>
              <w:jc w:val="right"/>
              <w:rPr>
                <w:rFonts w:ascii="Calibri" w:hAnsi="Calibri"/>
                <w:b/>
                <w:bCs/>
                <w:color w:val="000000"/>
                <w:sz w:val="18"/>
                <w:szCs w:val="18"/>
                <w:lang w:eastAsia="es-CO"/>
              </w:rPr>
            </w:pPr>
          </w:p>
        </w:tc>
        <w:tc>
          <w:tcPr>
            <w:tcW w:w="465" w:type="pct"/>
            <w:tcBorders>
              <w:top w:val="nil"/>
              <w:left w:val="single" w:sz="4" w:space="0" w:color="auto"/>
              <w:bottom w:val="single" w:sz="8" w:space="0" w:color="auto"/>
              <w:right w:val="single" w:sz="4" w:space="0" w:color="auto"/>
            </w:tcBorders>
            <w:noWrap/>
            <w:vAlign w:val="bottom"/>
            <w:hideMark/>
          </w:tcPr>
          <w:p w14:paraId="3B416631"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411.982 </w:t>
            </w:r>
          </w:p>
        </w:tc>
        <w:tc>
          <w:tcPr>
            <w:tcW w:w="717" w:type="pct"/>
            <w:tcBorders>
              <w:top w:val="nil"/>
              <w:left w:val="single" w:sz="4" w:space="0" w:color="auto"/>
              <w:bottom w:val="single" w:sz="8" w:space="0" w:color="auto"/>
              <w:right w:val="single" w:sz="8" w:space="0" w:color="auto"/>
            </w:tcBorders>
            <w:noWrap/>
            <w:vAlign w:val="bottom"/>
            <w:hideMark/>
          </w:tcPr>
          <w:p w14:paraId="56FA2B8F"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18.366.911 </w:t>
            </w:r>
          </w:p>
        </w:tc>
      </w:tr>
      <w:tr w:rsidR="00B54F4E" w:rsidRPr="0032255F" w14:paraId="0F4EE376" w14:textId="77777777" w:rsidTr="006504C4">
        <w:trPr>
          <w:trHeight w:val="227"/>
        </w:trPr>
        <w:tc>
          <w:tcPr>
            <w:tcW w:w="930" w:type="pct"/>
            <w:tcBorders>
              <w:top w:val="nil"/>
              <w:left w:val="single" w:sz="8" w:space="0" w:color="auto"/>
              <w:bottom w:val="single" w:sz="8" w:space="0" w:color="auto"/>
              <w:right w:val="single" w:sz="4" w:space="0" w:color="auto"/>
            </w:tcBorders>
            <w:shd w:val="clear" w:color="000000" w:fill="D6DCE4"/>
            <w:noWrap/>
            <w:vAlign w:val="bottom"/>
            <w:hideMark/>
          </w:tcPr>
          <w:p w14:paraId="1EF1BDF2" w14:textId="77777777" w:rsidR="00B54F4E" w:rsidRPr="0032255F" w:rsidRDefault="00B54F4E" w:rsidP="006504C4">
            <w:pPr>
              <w:spacing w:before="0" w:after="0"/>
              <w:jc w:val="center"/>
              <w:rPr>
                <w:rFonts w:ascii="Calibri" w:hAnsi="Calibri"/>
                <w:b/>
                <w:bCs/>
                <w:color w:val="000000"/>
                <w:sz w:val="18"/>
                <w:szCs w:val="18"/>
                <w:lang w:eastAsia="es-CO"/>
              </w:rPr>
            </w:pPr>
            <w:r w:rsidRPr="0032255F">
              <w:rPr>
                <w:rFonts w:ascii="Calibri" w:hAnsi="Calibri"/>
                <w:b/>
                <w:bCs/>
                <w:color w:val="000000"/>
                <w:sz w:val="18"/>
                <w:szCs w:val="18"/>
                <w:lang w:eastAsia="es-CO"/>
              </w:rPr>
              <w:t>Total 0 - 100</w:t>
            </w:r>
          </w:p>
        </w:tc>
        <w:tc>
          <w:tcPr>
            <w:tcW w:w="581" w:type="pct"/>
            <w:tcBorders>
              <w:top w:val="nil"/>
              <w:left w:val="single" w:sz="4" w:space="0" w:color="auto"/>
              <w:bottom w:val="single" w:sz="8" w:space="0" w:color="auto"/>
              <w:right w:val="single" w:sz="4" w:space="0" w:color="auto"/>
            </w:tcBorders>
            <w:shd w:val="clear" w:color="000000" w:fill="D6DCE4"/>
            <w:noWrap/>
            <w:vAlign w:val="bottom"/>
            <w:hideMark/>
          </w:tcPr>
          <w:p w14:paraId="3B10A376" w14:textId="77777777" w:rsidR="00B54F4E" w:rsidRPr="0032255F" w:rsidRDefault="00B54F4E" w:rsidP="006504C4">
            <w:pPr>
              <w:spacing w:before="0" w:after="0"/>
              <w:jc w:val="center"/>
              <w:rPr>
                <w:rFonts w:ascii="Calibri" w:hAnsi="Calibri"/>
                <w:b/>
                <w:bCs/>
                <w:color w:val="000000"/>
                <w:sz w:val="18"/>
                <w:szCs w:val="18"/>
                <w:lang w:eastAsia="es-CO"/>
              </w:rPr>
            </w:pPr>
          </w:p>
        </w:tc>
        <w:tc>
          <w:tcPr>
            <w:tcW w:w="601" w:type="pct"/>
            <w:tcBorders>
              <w:top w:val="nil"/>
              <w:left w:val="single" w:sz="4" w:space="0" w:color="auto"/>
              <w:bottom w:val="single" w:sz="8" w:space="0" w:color="auto"/>
              <w:right w:val="single" w:sz="4" w:space="0" w:color="auto"/>
            </w:tcBorders>
            <w:shd w:val="clear" w:color="000000" w:fill="D6DCE4"/>
            <w:noWrap/>
            <w:vAlign w:val="bottom"/>
            <w:hideMark/>
          </w:tcPr>
          <w:p w14:paraId="085BC8B4"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1.948.823 </w:t>
            </w:r>
          </w:p>
        </w:tc>
        <w:tc>
          <w:tcPr>
            <w:tcW w:w="581" w:type="pct"/>
            <w:tcBorders>
              <w:top w:val="nil"/>
              <w:left w:val="single" w:sz="4" w:space="0" w:color="auto"/>
              <w:bottom w:val="single" w:sz="8" w:space="0" w:color="auto"/>
              <w:right w:val="single" w:sz="4" w:space="0" w:color="auto"/>
            </w:tcBorders>
            <w:shd w:val="clear" w:color="000000" w:fill="D6DCE4"/>
            <w:noWrap/>
            <w:vAlign w:val="bottom"/>
            <w:hideMark/>
          </w:tcPr>
          <w:p w14:paraId="442F44E8" w14:textId="77777777" w:rsidR="00B54F4E" w:rsidRPr="0032255F" w:rsidRDefault="00B54F4E" w:rsidP="006504C4">
            <w:pPr>
              <w:spacing w:before="0" w:after="0"/>
              <w:jc w:val="right"/>
              <w:rPr>
                <w:rFonts w:ascii="Calibri" w:hAnsi="Calibri"/>
                <w:b/>
                <w:bCs/>
                <w:color w:val="000000"/>
                <w:sz w:val="18"/>
                <w:szCs w:val="18"/>
                <w:lang w:eastAsia="es-CO"/>
              </w:rPr>
            </w:pPr>
          </w:p>
        </w:tc>
        <w:tc>
          <w:tcPr>
            <w:tcW w:w="543" w:type="pct"/>
            <w:tcBorders>
              <w:top w:val="nil"/>
              <w:left w:val="single" w:sz="4" w:space="0" w:color="auto"/>
              <w:bottom w:val="single" w:sz="8" w:space="0" w:color="auto"/>
              <w:right w:val="single" w:sz="4" w:space="0" w:color="auto"/>
            </w:tcBorders>
            <w:shd w:val="clear" w:color="000000" w:fill="D6DCE4"/>
            <w:noWrap/>
            <w:vAlign w:val="bottom"/>
            <w:hideMark/>
          </w:tcPr>
          <w:p w14:paraId="647355DD"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1.266.833 </w:t>
            </w:r>
          </w:p>
        </w:tc>
        <w:tc>
          <w:tcPr>
            <w:tcW w:w="581" w:type="pct"/>
            <w:tcBorders>
              <w:top w:val="nil"/>
              <w:left w:val="single" w:sz="4" w:space="0" w:color="auto"/>
              <w:bottom w:val="single" w:sz="8" w:space="0" w:color="auto"/>
              <w:right w:val="single" w:sz="4" w:space="0" w:color="auto"/>
            </w:tcBorders>
            <w:shd w:val="clear" w:color="000000" w:fill="D6DCE4"/>
            <w:noWrap/>
            <w:vAlign w:val="bottom"/>
            <w:hideMark/>
          </w:tcPr>
          <w:p w14:paraId="37B1FA78" w14:textId="77777777" w:rsidR="00B54F4E" w:rsidRPr="0032255F" w:rsidRDefault="00B54F4E" w:rsidP="006504C4">
            <w:pPr>
              <w:spacing w:before="0" w:after="0"/>
              <w:jc w:val="right"/>
              <w:rPr>
                <w:rFonts w:ascii="Calibri" w:hAnsi="Calibri"/>
                <w:b/>
                <w:bCs/>
                <w:color w:val="000000"/>
                <w:sz w:val="18"/>
                <w:szCs w:val="18"/>
                <w:lang w:eastAsia="es-CO"/>
              </w:rPr>
            </w:pPr>
          </w:p>
        </w:tc>
        <w:tc>
          <w:tcPr>
            <w:tcW w:w="465" w:type="pct"/>
            <w:tcBorders>
              <w:top w:val="nil"/>
              <w:left w:val="single" w:sz="4" w:space="0" w:color="auto"/>
              <w:bottom w:val="single" w:sz="8" w:space="0" w:color="auto"/>
              <w:right w:val="single" w:sz="4" w:space="0" w:color="auto"/>
            </w:tcBorders>
            <w:shd w:val="clear" w:color="000000" w:fill="D6DCE4"/>
            <w:noWrap/>
            <w:vAlign w:val="bottom"/>
            <w:hideMark/>
          </w:tcPr>
          <w:p w14:paraId="41E298BF"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209.329 </w:t>
            </w:r>
          </w:p>
        </w:tc>
        <w:tc>
          <w:tcPr>
            <w:tcW w:w="717" w:type="pct"/>
            <w:tcBorders>
              <w:top w:val="nil"/>
              <w:left w:val="single" w:sz="4" w:space="0" w:color="auto"/>
              <w:bottom w:val="single" w:sz="8" w:space="0" w:color="auto"/>
              <w:right w:val="single" w:sz="8" w:space="0" w:color="auto"/>
            </w:tcBorders>
            <w:shd w:val="clear" w:color="000000" w:fill="D6DCE4"/>
            <w:noWrap/>
            <w:vAlign w:val="bottom"/>
            <w:hideMark/>
          </w:tcPr>
          <w:p w14:paraId="2D0AB858" w14:textId="77777777" w:rsidR="00B54F4E" w:rsidRPr="0032255F" w:rsidRDefault="00B54F4E" w:rsidP="006504C4">
            <w:pPr>
              <w:spacing w:before="0" w:after="0"/>
              <w:jc w:val="right"/>
              <w:rPr>
                <w:rFonts w:ascii="Calibri" w:hAnsi="Calibri"/>
                <w:b/>
                <w:bCs/>
                <w:color w:val="000000"/>
                <w:sz w:val="18"/>
                <w:szCs w:val="18"/>
                <w:lang w:eastAsia="es-CO"/>
              </w:rPr>
            </w:pPr>
            <w:r w:rsidRPr="0032255F">
              <w:rPr>
                <w:rFonts w:ascii="Calibri" w:hAnsi="Calibri"/>
                <w:b/>
                <w:bCs/>
                <w:color w:val="000000"/>
                <w:sz w:val="18"/>
                <w:szCs w:val="18"/>
                <w:lang w:eastAsia="es-CO"/>
              </w:rPr>
              <w:t xml:space="preserve"> 3.215.656 </w:t>
            </w:r>
          </w:p>
        </w:tc>
      </w:tr>
    </w:tbl>
    <w:p w14:paraId="6078D106" w14:textId="77777777" w:rsidR="00B54F4E" w:rsidRDefault="00B54F4E" w:rsidP="00B54F4E">
      <w:pPr>
        <w:spacing w:before="0" w:after="160" w:line="259" w:lineRule="auto"/>
        <w:rPr>
          <w:rFonts w:eastAsiaTheme="majorEastAsia"/>
        </w:rPr>
      </w:pPr>
      <w:r>
        <w:rPr>
          <w:rFonts w:eastAsiaTheme="majorEastAsia"/>
        </w:rPr>
        <w:t xml:space="preserve">Las decisiones </w:t>
      </w:r>
      <w:r w:rsidRPr="00C40D1D">
        <w:rPr>
          <w:rFonts w:eastAsiaTheme="majorEastAsia"/>
        </w:rPr>
        <w:t>o</w:t>
      </w:r>
      <w:r>
        <w:rPr>
          <w:rFonts w:eastAsiaTheme="majorEastAsia"/>
        </w:rPr>
        <w:t>rientada</w:t>
      </w:r>
      <w:r w:rsidRPr="00C40D1D">
        <w:rPr>
          <w:rFonts w:eastAsiaTheme="majorEastAsia"/>
        </w:rPr>
        <w:t>s a mejorar la focalización de los subsidios otorgados al consumo eléctrico</w:t>
      </w:r>
      <w:r>
        <w:rPr>
          <w:rFonts w:eastAsiaTheme="majorEastAsia"/>
        </w:rPr>
        <w:t xml:space="preserve"> al </w:t>
      </w:r>
      <w:r w:rsidRPr="00C40D1D">
        <w:rPr>
          <w:rFonts w:eastAsiaTheme="majorEastAsia"/>
        </w:rPr>
        <w:t>reducir los consumos subsidiados mediante el FET hasta 300 kWh/mes a partir de 2016 y 2017, arrojará un beneficio fiscal para el Tesoro Nacional del orden de USD 9 millones anuales</w:t>
      </w:r>
      <w:r>
        <w:rPr>
          <w:rFonts w:eastAsiaTheme="majorEastAsia"/>
        </w:rPr>
        <w:t xml:space="preserve"> (USD</w:t>
      </w:r>
      <w:r w:rsidRPr="000724E3">
        <w:rPr>
          <w:rFonts w:eastAsiaTheme="majorEastAsia"/>
        </w:rPr>
        <w:t>4.557.984</w:t>
      </w:r>
      <w:r>
        <w:rPr>
          <w:rFonts w:eastAsiaTheme="majorEastAsia"/>
        </w:rPr>
        <w:t xml:space="preserve"> por 2 - , asumiendo que el segundo semestre representa un valor igual al del primer semestre de 2015)</w:t>
      </w:r>
      <w:r w:rsidRPr="00C40D1D">
        <w:rPr>
          <w:rFonts w:eastAsiaTheme="majorEastAsia"/>
        </w:rPr>
        <w:t xml:space="preserve">, en comparación con los subsidios que fueron otorgados </w:t>
      </w:r>
      <w:r>
        <w:rPr>
          <w:rFonts w:eastAsiaTheme="majorEastAsia"/>
        </w:rPr>
        <w:t>por dicho Fondo en el año 2015.</w:t>
      </w:r>
    </w:p>
    <w:p w14:paraId="15F7C500" w14:textId="77777777" w:rsidR="00B54F4E" w:rsidRDefault="00B54F4E" w:rsidP="00B54F4E">
      <w:pPr>
        <w:spacing w:before="0" w:after="160" w:line="259" w:lineRule="auto"/>
        <w:rPr>
          <w:rFonts w:eastAsiaTheme="majorEastAsia"/>
        </w:rPr>
      </w:pPr>
      <w:r>
        <w:rPr>
          <w:rFonts w:eastAsiaTheme="majorEastAsia"/>
        </w:rPr>
        <w:t>Dado que e</w:t>
      </w:r>
      <w:r w:rsidRPr="00C40D1D">
        <w:rPr>
          <w:rFonts w:eastAsiaTheme="majorEastAsia"/>
        </w:rPr>
        <w:t xml:space="preserve">l FET fue prorrogado hasta el 2020 con lo cual, el desmonte de los subsidios para el consumo entre 301 y 400 kWh/mes representaría un ahorro fiscal del orden de USD 36 millones en dicho período, de haberse continuado con el subsidio. </w:t>
      </w:r>
    </w:p>
    <w:p w14:paraId="5D4D411A" w14:textId="77777777" w:rsidR="00B54F4E" w:rsidRPr="000724E3" w:rsidRDefault="00B54F4E" w:rsidP="00B54F4E">
      <w:pPr>
        <w:pStyle w:val="Heading3"/>
      </w:pPr>
      <w:bookmarkStart w:id="141" w:name="_Toc484097038"/>
      <w:r w:rsidRPr="00C40D1D">
        <w:t>An</w:t>
      </w:r>
      <w:r>
        <w:t>álisis de</w:t>
      </w:r>
      <w:r w:rsidRPr="00C40D1D">
        <w:t xml:space="preserve"> </w:t>
      </w:r>
      <w:r>
        <w:t xml:space="preserve">sensibilidad de los </w:t>
      </w:r>
      <w:r w:rsidRPr="00C40D1D">
        <w:t>beneficios de la racionalización de los subsidios en el sector energético</w:t>
      </w:r>
      <w:bookmarkEnd w:id="141"/>
    </w:p>
    <w:p w14:paraId="77C773CF" w14:textId="77777777" w:rsidR="00B54F4E" w:rsidRDefault="00B54F4E" w:rsidP="00B54F4E">
      <w:pPr>
        <w:spacing w:before="0" w:after="160" w:line="259" w:lineRule="auto"/>
        <w:rPr>
          <w:rFonts w:eastAsiaTheme="majorEastAsia"/>
        </w:rPr>
      </w:pPr>
      <w:r>
        <w:rPr>
          <w:rFonts w:eastAsiaTheme="majorEastAsia"/>
        </w:rPr>
        <w:t xml:space="preserve">El análisis de sensibilidad considera el desmonte futuro del FET. </w:t>
      </w:r>
      <w:r w:rsidRPr="00C40D1D">
        <w:rPr>
          <w:rFonts w:eastAsiaTheme="majorEastAsia"/>
        </w:rPr>
        <w:t>De materializarse en 2020 la terminación del FET (el cual se ha prorrogado por períodos de 4 años desde su creación en 2004), permitiría un ahorro fiscal adicional del orden de USD 43 millones anuales a partir de 2021, con lo cual la focalización de los subsidios quedaría hacia el consumo de subsistencia de ley de hasta 100 kWh/mes y clientes especiales (jubilados, etc.), financiados mediante subsidios cruzados en las tarifas por los usuarios de mayores consumos.</w:t>
      </w:r>
    </w:p>
    <w:p w14:paraId="39B2C595" w14:textId="77777777" w:rsidR="00B54F4E" w:rsidRDefault="00B54F4E" w:rsidP="00B54F4E">
      <w:pPr>
        <w:spacing w:before="0" w:after="160" w:line="259" w:lineRule="auto"/>
        <w:jc w:val="left"/>
      </w:pPr>
      <w:r>
        <w:br w:type="page"/>
      </w:r>
    </w:p>
    <w:p w14:paraId="1A52C8DC" w14:textId="77777777" w:rsidR="00B54F4E" w:rsidRDefault="00B54F4E" w:rsidP="00B54F4E">
      <w:pPr>
        <w:pStyle w:val="Heading1"/>
      </w:pPr>
      <w:bookmarkStart w:id="142" w:name="_Ref481402409"/>
      <w:bookmarkStart w:id="143" w:name="_Toc484097039"/>
      <w:r>
        <w:lastRenderedPageBreak/>
        <w:t>Anexo 1</w:t>
      </w:r>
      <w:r w:rsidRPr="00E06C95">
        <w:t xml:space="preserve"> </w:t>
      </w:r>
      <w:r>
        <w:t>- S</w:t>
      </w:r>
      <w:r w:rsidRPr="00BB3B7A">
        <w:t>upuestos de costos de O&amp;M y de generación</w:t>
      </w:r>
      <w:bookmarkEnd w:id="142"/>
      <w:bookmarkEnd w:id="143"/>
    </w:p>
    <w:tbl>
      <w:tblPr>
        <w:tblW w:w="5000" w:type="pct"/>
        <w:tblCellMar>
          <w:left w:w="0" w:type="dxa"/>
          <w:right w:w="0" w:type="dxa"/>
        </w:tblCellMar>
        <w:tblLook w:val="04A0" w:firstRow="1" w:lastRow="0" w:firstColumn="1" w:lastColumn="0" w:noHBand="0" w:noVBand="1"/>
      </w:tblPr>
      <w:tblGrid>
        <w:gridCol w:w="3686"/>
        <w:gridCol w:w="283"/>
        <w:gridCol w:w="3625"/>
        <w:gridCol w:w="1244"/>
      </w:tblGrid>
      <w:tr w:rsidR="00B54F4E" w:rsidRPr="00897992" w14:paraId="6EA9EBBE" w14:textId="77777777" w:rsidTr="006504C4">
        <w:trPr>
          <w:trHeight w:val="175"/>
        </w:trPr>
        <w:tc>
          <w:tcPr>
            <w:tcW w:w="2085" w:type="pct"/>
            <w:tcBorders>
              <w:top w:val="nil"/>
              <w:left w:val="nil"/>
              <w:bottom w:val="single" w:sz="4" w:space="0" w:color="auto"/>
              <w:right w:val="nil"/>
            </w:tcBorders>
            <w:shd w:val="clear" w:color="auto" w:fill="auto"/>
            <w:noWrap/>
            <w:vAlign w:val="bottom"/>
            <w:hideMark/>
          </w:tcPr>
          <w:p w14:paraId="74F070B1" w14:textId="77777777" w:rsidR="00B54F4E" w:rsidRPr="00897992" w:rsidRDefault="00B54F4E" w:rsidP="006504C4">
            <w:pPr>
              <w:spacing w:before="0" w:after="0"/>
              <w:jc w:val="left"/>
              <w:rPr>
                <w:rFonts w:ascii="Calibri" w:hAnsi="Calibri" w:cs="Calibri"/>
                <w:b/>
                <w:bCs/>
                <w:color w:val="000000"/>
                <w:sz w:val="20"/>
                <w:szCs w:val="22"/>
              </w:rPr>
            </w:pPr>
            <w:r w:rsidRPr="00897992">
              <w:rPr>
                <w:rFonts w:ascii="Calibri" w:hAnsi="Calibri" w:cs="Calibri"/>
                <w:b/>
                <w:bCs/>
                <w:color w:val="000000"/>
                <w:sz w:val="20"/>
                <w:szCs w:val="22"/>
              </w:rPr>
              <w:t>Unidades de conversión</w:t>
            </w:r>
          </w:p>
        </w:tc>
        <w:tc>
          <w:tcPr>
            <w:tcW w:w="2211" w:type="pct"/>
            <w:gridSpan w:val="2"/>
            <w:tcBorders>
              <w:top w:val="nil"/>
              <w:left w:val="nil"/>
              <w:bottom w:val="single" w:sz="4" w:space="0" w:color="auto"/>
              <w:right w:val="nil"/>
            </w:tcBorders>
            <w:shd w:val="clear" w:color="auto" w:fill="auto"/>
            <w:noWrap/>
            <w:vAlign w:val="bottom"/>
            <w:hideMark/>
          </w:tcPr>
          <w:p w14:paraId="47202F29" w14:textId="77777777" w:rsidR="00B54F4E" w:rsidRPr="00897992" w:rsidRDefault="00B54F4E" w:rsidP="006504C4">
            <w:pPr>
              <w:spacing w:before="0" w:after="0"/>
              <w:rPr>
                <w:rFonts w:ascii="Calibri" w:hAnsi="Calibri" w:cs="Calibri"/>
                <w:b/>
                <w:bCs/>
                <w:color w:val="000000"/>
                <w:sz w:val="20"/>
                <w:szCs w:val="22"/>
              </w:rPr>
            </w:pPr>
            <w:r w:rsidRPr="00897992">
              <w:rPr>
                <w:rFonts w:ascii="Calibri" w:hAnsi="Calibri" w:cs="Calibri"/>
                <w:b/>
                <w:bCs/>
                <w:color w:val="000000"/>
                <w:sz w:val="20"/>
                <w:szCs w:val="22"/>
              </w:rPr>
              <w:t> </w:t>
            </w:r>
          </w:p>
        </w:tc>
        <w:tc>
          <w:tcPr>
            <w:tcW w:w="704" w:type="pct"/>
            <w:tcBorders>
              <w:top w:val="nil"/>
              <w:left w:val="nil"/>
              <w:bottom w:val="single" w:sz="4" w:space="0" w:color="auto"/>
              <w:right w:val="nil"/>
            </w:tcBorders>
            <w:shd w:val="clear" w:color="auto" w:fill="auto"/>
            <w:noWrap/>
            <w:vAlign w:val="bottom"/>
            <w:hideMark/>
          </w:tcPr>
          <w:p w14:paraId="38BE1149" w14:textId="77777777" w:rsidR="00B54F4E" w:rsidRPr="00897992" w:rsidRDefault="00B54F4E" w:rsidP="006504C4">
            <w:pPr>
              <w:spacing w:before="0" w:after="0"/>
              <w:rPr>
                <w:rFonts w:ascii="Calibri" w:hAnsi="Calibri" w:cs="Calibri"/>
                <w:b/>
                <w:bCs/>
                <w:color w:val="000000"/>
                <w:sz w:val="20"/>
                <w:szCs w:val="22"/>
              </w:rPr>
            </w:pPr>
            <w:r w:rsidRPr="00897992">
              <w:rPr>
                <w:rFonts w:ascii="Calibri" w:hAnsi="Calibri" w:cs="Calibri"/>
                <w:b/>
                <w:bCs/>
                <w:color w:val="000000"/>
                <w:sz w:val="20"/>
                <w:szCs w:val="22"/>
              </w:rPr>
              <w:t> </w:t>
            </w:r>
          </w:p>
        </w:tc>
      </w:tr>
      <w:tr w:rsidR="00B54F4E" w:rsidRPr="00897992" w14:paraId="00014882" w14:textId="77777777" w:rsidTr="006504C4">
        <w:trPr>
          <w:trHeight w:val="175"/>
        </w:trPr>
        <w:tc>
          <w:tcPr>
            <w:tcW w:w="2245" w:type="pct"/>
            <w:gridSpan w:val="2"/>
            <w:tcBorders>
              <w:top w:val="nil"/>
              <w:left w:val="nil"/>
              <w:bottom w:val="nil"/>
              <w:right w:val="nil"/>
            </w:tcBorders>
            <w:shd w:val="clear" w:color="auto" w:fill="auto"/>
            <w:noWrap/>
            <w:tcMar>
              <w:top w:w="0" w:type="dxa"/>
              <w:left w:w="135" w:type="dxa"/>
              <w:bottom w:w="0" w:type="dxa"/>
              <w:right w:w="0" w:type="dxa"/>
            </w:tcMar>
            <w:vAlign w:val="bottom"/>
            <w:hideMark/>
          </w:tcPr>
          <w:p w14:paraId="07C5CA25"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Destillate Fuel Oil</w:t>
            </w:r>
          </w:p>
        </w:tc>
        <w:tc>
          <w:tcPr>
            <w:tcW w:w="2051" w:type="pct"/>
            <w:tcBorders>
              <w:top w:val="nil"/>
              <w:left w:val="nil"/>
              <w:bottom w:val="nil"/>
              <w:right w:val="nil"/>
            </w:tcBorders>
            <w:shd w:val="clear" w:color="auto" w:fill="auto"/>
            <w:noWrap/>
            <w:tcMar>
              <w:top w:w="0" w:type="dxa"/>
              <w:left w:w="135" w:type="dxa"/>
              <w:bottom w:w="0" w:type="dxa"/>
              <w:right w:w="0" w:type="dxa"/>
            </w:tcMar>
            <w:vAlign w:val="bottom"/>
            <w:hideMark/>
          </w:tcPr>
          <w:p w14:paraId="49E89321"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MMBTU/gal</w:t>
            </w:r>
          </w:p>
        </w:tc>
        <w:tc>
          <w:tcPr>
            <w:tcW w:w="704" w:type="pct"/>
            <w:tcBorders>
              <w:top w:val="nil"/>
              <w:left w:val="nil"/>
              <w:bottom w:val="nil"/>
              <w:right w:val="nil"/>
            </w:tcBorders>
            <w:shd w:val="clear" w:color="auto" w:fill="auto"/>
            <w:noWrap/>
            <w:tcMar>
              <w:top w:w="0" w:type="dxa"/>
              <w:left w:w="135" w:type="dxa"/>
              <w:bottom w:w="0" w:type="dxa"/>
              <w:right w:w="0" w:type="dxa"/>
            </w:tcMar>
            <w:vAlign w:val="bottom"/>
            <w:hideMark/>
          </w:tcPr>
          <w:p w14:paraId="7A6140D6"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0,137</w:t>
            </w:r>
          </w:p>
        </w:tc>
      </w:tr>
      <w:tr w:rsidR="00B54F4E" w:rsidRPr="00897992" w14:paraId="52D6AB0D" w14:textId="77777777" w:rsidTr="006504C4">
        <w:trPr>
          <w:trHeight w:val="175"/>
        </w:trPr>
        <w:tc>
          <w:tcPr>
            <w:tcW w:w="2245" w:type="pct"/>
            <w:gridSpan w:val="2"/>
            <w:tcBorders>
              <w:top w:val="nil"/>
              <w:left w:val="nil"/>
              <w:bottom w:val="nil"/>
              <w:right w:val="nil"/>
            </w:tcBorders>
            <w:shd w:val="clear" w:color="auto" w:fill="auto"/>
            <w:noWrap/>
            <w:tcMar>
              <w:top w:w="0" w:type="dxa"/>
              <w:left w:w="135" w:type="dxa"/>
              <w:bottom w:w="0" w:type="dxa"/>
              <w:right w:w="0" w:type="dxa"/>
            </w:tcMar>
            <w:vAlign w:val="bottom"/>
            <w:hideMark/>
          </w:tcPr>
          <w:p w14:paraId="4C4752F5"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Residual Fuel Oil</w:t>
            </w:r>
          </w:p>
        </w:tc>
        <w:tc>
          <w:tcPr>
            <w:tcW w:w="2051" w:type="pct"/>
            <w:tcBorders>
              <w:top w:val="nil"/>
              <w:left w:val="nil"/>
              <w:bottom w:val="nil"/>
              <w:right w:val="nil"/>
            </w:tcBorders>
            <w:shd w:val="clear" w:color="auto" w:fill="auto"/>
            <w:noWrap/>
            <w:tcMar>
              <w:top w:w="0" w:type="dxa"/>
              <w:left w:w="135" w:type="dxa"/>
              <w:bottom w:w="0" w:type="dxa"/>
              <w:right w:w="0" w:type="dxa"/>
            </w:tcMar>
            <w:vAlign w:val="bottom"/>
            <w:hideMark/>
          </w:tcPr>
          <w:p w14:paraId="67464F87"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MMBTU/gal</w:t>
            </w:r>
          </w:p>
        </w:tc>
        <w:tc>
          <w:tcPr>
            <w:tcW w:w="704" w:type="pct"/>
            <w:tcBorders>
              <w:top w:val="nil"/>
              <w:left w:val="nil"/>
              <w:bottom w:val="nil"/>
              <w:right w:val="nil"/>
            </w:tcBorders>
            <w:shd w:val="clear" w:color="auto" w:fill="auto"/>
            <w:noWrap/>
            <w:tcMar>
              <w:top w:w="0" w:type="dxa"/>
              <w:left w:w="135" w:type="dxa"/>
              <w:bottom w:w="0" w:type="dxa"/>
              <w:right w:w="0" w:type="dxa"/>
            </w:tcMar>
            <w:vAlign w:val="bottom"/>
            <w:hideMark/>
          </w:tcPr>
          <w:p w14:paraId="0F65E389"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0,150</w:t>
            </w:r>
          </w:p>
        </w:tc>
      </w:tr>
      <w:tr w:rsidR="00B54F4E" w:rsidRPr="00897992" w14:paraId="766269B4" w14:textId="77777777" w:rsidTr="006504C4">
        <w:trPr>
          <w:trHeight w:val="175"/>
        </w:trPr>
        <w:tc>
          <w:tcPr>
            <w:tcW w:w="2245" w:type="pct"/>
            <w:gridSpan w:val="2"/>
            <w:tcBorders>
              <w:top w:val="nil"/>
              <w:left w:val="nil"/>
              <w:bottom w:val="nil"/>
              <w:right w:val="nil"/>
            </w:tcBorders>
            <w:shd w:val="clear" w:color="auto" w:fill="auto"/>
            <w:noWrap/>
            <w:tcMar>
              <w:top w:w="0" w:type="dxa"/>
              <w:left w:w="135" w:type="dxa"/>
              <w:bottom w:w="0" w:type="dxa"/>
              <w:right w:w="0" w:type="dxa"/>
            </w:tcMar>
            <w:vAlign w:val="bottom"/>
            <w:hideMark/>
          </w:tcPr>
          <w:p w14:paraId="106CF8FA"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Coal</w:t>
            </w:r>
          </w:p>
        </w:tc>
        <w:tc>
          <w:tcPr>
            <w:tcW w:w="2051" w:type="pct"/>
            <w:tcBorders>
              <w:top w:val="nil"/>
              <w:left w:val="nil"/>
              <w:bottom w:val="nil"/>
              <w:right w:val="nil"/>
            </w:tcBorders>
            <w:shd w:val="clear" w:color="auto" w:fill="auto"/>
            <w:noWrap/>
            <w:tcMar>
              <w:top w:w="0" w:type="dxa"/>
              <w:left w:w="135" w:type="dxa"/>
              <w:bottom w:w="0" w:type="dxa"/>
              <w:right w:w="0" w:type="dxa"/>
            </w:tcMar>
            <w:vAlign w:val="bottom"/>
            <w:hideMark/>
          </w:tcPr>
          <w:p w14:paraId="3F984DD6"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MMBTU/short ton</w:t>
            </w:r>
          </w:p>
        </w:tc>
        <w:tc>
          <w:tcPr>
            <w:tcW w:w="704" w:type="pct"/>
            <w:tcBorders>
              <w:top w:val="nil"/>
              <w:left w:val="nil"/>
              <w:bottom w:val="nil"/>
              <w:right w:val="nil"/>
            </w:tcBorders>
            <w:shd w:val="clear" w:color="auto" w:fill="auto"/>
            <w:noWrap/>
            <w:tcMar>
              <w:top w:w="0" w:type="dxa"/>
              <w:left w:w="135" w:type="dxa"/>
              <w:bottom w:w="0" w:type="dxa"/>
              <w:right w:w="0" w:type="dxa"/>
            </w:tcMar>
            <w:vAlign w:val="bottom"/>
            <w:hideMark/>
          </w:tcPr>
          <w:p w14:paraId="50EEDB5D"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24,800</w:t>
            </w:r>
          </w:p>
        </w:tc>
      </w:tr>
      <w:tr w:rsidR="00B54F4E" w:rsidRPr="00897992" w14:paraId="0013AD3D" w14:textId="77777777" w:rsidTr="006504C4">
        <w:trPr>
          <w:trHeight w:val="175"/>
        </w:trPr>
        <w:tc>
          <w:tcPr>
            <w:tcW w:w="2245" w:type="pct"/>
            <w:gridSpan w:val="2"/>
            <w:tcBorders>
              <w:top w:val="nil"/>
              <w:left w:val="nil"/>
              <w:bottom w:val="nil"/>
              <w:right w:val="nil"/>
            </w:tcBorders>
            <w:shd w:val="clear" w:color="auto" w:fill="auto"/>
            <w:noWrap/>
            <w:tcMar>
              <w:top w:w="0" w:type="dxa"/>
              <w:left w:w="135" w:type="dxa"/>
              <w:bottom w:w="0" w:type="dxa"/>
              <w:right w:w="0" w:type="dxa"/>
            </w:tcMar>
            <w:vAlign w:val="bottom"/>
            <w:hideMark/>
          </w:tcPr>
          <w:p w14:paraId="387E2650"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Coal</w:t>
            </w:r>
          </w:p>
        </w:tc>
        <w:tc>
          <w:tcPr>
            <w:tcW w:w="2051" w:type="pct"/>
            <w:tcBorders>
              <w:top w:val="nil"/>
              <w:left w:val="nil"/>
              <w:bottom w:val="nil"/>
              <w:right w:val="nil"/>
            </w:tcBorders>
            <w:shd w:val="clear" w:color="auto" w:fill="auto"/>
            <w:noWrap/>
            <w:tcMar>
              <w:top w:w="0" w:type="dxa"/>
              <w:left w:w="135" w:type="dxa"/>
              <w:bottom w:w="0" w:type="dxa"/>
              <w:right w:w="0" w:type="dxa"/>
            </w:tcMar>
            <w:vAlign w:val="bottom"/>
            <w:hideMark/>
          </w:tcPr>
          <w:p w14:paraId="5A9091B8"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MMBTU/metric tonne</w:t>
            </w:r>
          </w:p>
        </w:tc>
        <w:tc>
          <w:tcPr>
            <w:tcW w:w="704" w:type="pct"/>
            <w:tcBorders>
              <w:top w:val="nil"/>
              <w:left w:val="nil"/>
              <w:bottom w:val="nil"/>
              <w:right w:val="nil"/>
            </w:tcBorders>
            <w:shd w:val="clear" w:color="auto" w:fill="auto"/>
            <w:noWrap/>
            <w:tcMar>
              <w:top w:w="0" w:type="dxa"/>
              <w:left w:w="135" w:type="dxa"/>
              <w:bottom w:w="0" w:type="dxa"/>
              <w:right w:w="0" w:type="dxa"/>
            </w:tcMar>
            <w:vAlign w:val="bottom"/>
            <w:hideMark/>
          </w:tcPr>
          <w:p w14:paraId="773324B2"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27,337</w:t>
            </w:r>
          </w:p>
        </w:tc>
      </w:tr>
      <w:tr w:rsidR="00B54F4E" w:rsidRPr="00897992" w14:paraId="3A89DBE1" w14:textId="77777777" w:rsidTr="006504C4">
        <w:trPr>
          <w:trHeight w:val="175"/>
        </w:trPr>
        <w:tc>
          <w:tcPr>
            <w:tcW w:w="2245" w:type="pct"/>
            <w:gridSpan w:val="2"/>
            <w:tcBorders>
              <w:top w:val="nil"/>
              <w:left w:val="nil"/>
              <w:bottom w:val="single" w:sz="4" w:space="0" w:color="auto"/>
              <w:right w:val="nil"/>
            </w:tcBorders>
            <w:shd w:val="clear" w:color="auto" w:fill="auto"/>
            <w:noWrap/>
            <w:tcMar>
              <w:top w:w="0" w:type="dxa"/>
              <w:left w:w="135" w:type="dxa"/>
              <w:bottom w:w="0" w:type="dxa"/>
              <w:right w:w="0" w:type="dxa"/>
            </w:tcMar>
            <w:vAlign w:val="bottom"/>
            <w:hideMark/>
          </w:tcPr>
          <w:p w14:paraId="0DE9B848"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 </w:t>
            </w:r>
          </w:p>
        </w:tc>
        <w:tc>
          <w:tcPr>
            <w:tcW w:w="2051" w:type="pct"/>
            <w:tcBorders>
              <w:top w:val="nil"/>
              <w:left w:val="nil"/>
              <w:bottom w:val="single" w:sz="4" w:space="0" w:color="auto"/>
              <w:right w:val="nil"/>
            </w:tcBorders>
            <w:shd w:val="clear" w:color="auto" w:fill="auto"/>
            <w:noWrap/>
            <w:tcMar>
              <w:top w:w="0" w:type="dxa"/>
              <w:left w:w="135" w:type="dxa"/>
              <w:bottom w:w="0" w:type="dxa"/>
              <w:right w:w="0" w:type="dxa"/>
            </w:tcMar>
            <w:vAlign w:val="bottom"/>
            <w:hideMark/>
          </w:tcPr>
          <w:p w14:paraId="5A4F61B2"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 </w:t>
            </w:r>
          </w:p>
        </w:tc>
        <w:tc>
          <w:tcPr>
            <w:tcW w:w="704" w:type="pct"/>
            <w:tcBorders>
              <w:top w:val="nil"/>
              <w:left w:val="nil"/>
              <w:bottom w:val="single" w:sz="4" w:space="0" w:color="auto"/>
              <w:right w:val="nil"/>
            </w:tcBorders>
            <w:shd w:val="clear" w:color="auto" w:fill="auto"/>
            <w:noWrap/>
            <w:tcMar>
              <w:top w:w="0" w:type="dxa"/>
              <w:left w:w="135" w:type="dxa"/>
              <w:bottom w:w="0" w:type="dxa"/>
              <w:right w:w="0" w:type="dxa"/>
            </w:tcMar>
            <w:vAlign w:val="bottom"/>
            <w:hideMark/>
          </w:tcPr>
          <w:p w14:paraId="3263D25C"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 </w:t>
            </w:r>
          </w:p>
        </w:tc>
      </w:tr>
    </w:tbl>
    <w:p w14:paraId="55C51304" w14:textId="77777777" w:rsidR="00B54F4E" w:rsidRDefault="00B54F4E" w:rsidP="00B54F4E">
      <w:pPr>
        <w:spacing w:before="0" w:after="160" w:line="259" w:lineRule="auto"/>
        <w:jc w:val="left"/>
      </w:pPr>
    </w:p>
    <w:tbl>
      <w:tblPr>
        <w:tblW w:w="5000" w:type="pct"/>
        <w:tblCellMar>
          <w:left w:w="0" w:type="dxa"/>
          <w:right w:w="0" w:type="dxa"/>
        </w:tblCellMar>
        <w:tblLook w:val="04A0" w:firstRow="1" w:lastRow="0" w:firstColumn="1" w:lastColumn="0" w:noHBand="0" w:noVBand="1"/>
      </w:tblPr>
      <w:tblGrid>
        <w:gridCol w:w="4111"/>
        <w:gridCol w:w="3362"/>
        <w:gridCol w:w="1365"/>
      </w:tblGrid>
      <w:tr w:rsidR="00B54F4E" w:rsidRPr="00897992" w14:paraId="7981C9C9" w14:textId="77777777" w:rsidTr="006504C4">
        <w:trPr>
          <w:trHeight w:val="300"/>
        </w:trPr>
        <w:tc>
          <w:tcPr>
            <w:tcW w:w="4228" w:type="pct"/>
            <w:gridSpan w:val="2"/>
            <w:tcBorders>
              <w:top w:val="nil"/>
              <w:left w:val="nil"/>
              <w:bottom w:val="nil"/>
              <w:right w:val="nil"/>
            </w:tcBorders>
            <w:shd w:val="clear" w:color="auto" w:fill="auto"/>
            <w:noWrap/>
            <w:vAlign w:val="bottom"/>
            <w:hideMark/>
          </w:tcPr>
          <w:p w14:paraId="047756D9" w14:textId="77777777" w:rsidR="00B54F4E" w:rsidRPr="00897992" w:rsidRDefault="00B54F4E" w:rsidP="006504C4">
            <w:pPr>
              <w:spacing w:before="0" w:after="0"/>
              <w:jc w:val="left"/>
              <w:rPr>
                <w:rFonts w:ascii="Calibri" w:hAnsi="Calibri" w:cs="Calibri"/>
                <w:b/>
                <w:bCs/>
                <w:color w:val="000000"/>
                <w:sz w:val="20"/>
                <w:szCs w:val="22"/>
              </w:rPr>
            </w:pPr>
            <w:r w:rsidRPr="00897992">
              <w:rPr>
                <w:rFonts w:ascii="Calibri" w:hAnsi="Calibri" w:cs="Calibri"/>
                <w:b/>
                <w:bCs/>
                <w:color w:val="000000"/>
                <w:sz w:val="20"/>
                <w:szCs w:val="22"/>
              </w:rPr>
              <w:t>Consumo específico para generación por combustible</w:t>
            </w:r>
          </w:p>
        </w:tc>
        <w:tc>
          <w:tcPr>
            <w:tcW w:w="772" w:type="pct"/>
            <w:tcBorders>
              <w:top w:val="nil"/>
              <w:left w:val="nil"/>
              <w:bottom w:val="nil"/>
              <w:right w:val="nil"/>
            </w:tcBorders>
            <w:shd w:val="clear" w:color="auto" w:fill="auto"/>
            <w:noWrap/>
            <w:vAlign w:val="bottom"/>
            <w:hideMark/>
          </w:tcPr>
          <w:p w14:paraId="714B86DD" w14:textId="77777777" w:rsidR="00B54F4E" w:rsidRPr="00897992" w:rsidRDefault="00B54F4E" w:rsidP="006504C4">
            <w:pPr>
              <w:spacing w:before="0" w:after="0"/>
              <w:rPr>
                <w:rFonts w:ascii="Calibri" w:hAnsi="Calibri" w:cs="Calibri"/>
                <w:b/>
                <w:bCs/>
                <w:color w:val="000000"/>
                <w:sz w:val="20"/>
                <w:szCs w:val="22"/>
              </w:rPr>
            </w:pPr>
          </w:p>
        </w:tc>
      </w:tr>
      <w:tr w:rsidR="00B54F4E" w:rsidRPr="00897992" w14:paraId="15A71390" w14:textId="77777777" w:rsidTr="006504C4">
        <w:trPr>
          <w:trHeight w:val="300"/>
        </w:trPr>
        <w:tc>
          <w:tcPr>
            <w:tcW w:w="2326" w:type="pct"/>
            <w:tcBorders>
              <w:top w:val="single" w:sz="4" w:space="0" w:color="auto"/>
              <w:left w:val="nil"/>
              <w:bottom w:val="nil"/>
              <w:right w:val="nil"/>
            </w:tcBorders>
            <w:shd w:val="clear" w:color="auto" w:fill="auto"/>
            <w:noWrap/>
            <w:tcMar>
              <w:top w:w="0" w:type="dxa"/>
              <w:left w:w="135" w:type="dxa"/>
              <w:bottom w:w="0" w:type="dxa"/>
              <w:right w:w="0" w:type="dxa"/>
            </w:tcMar>
            <w:vAlign w:val="bottom"/>
            <w:hideMark/>
          </w:tcPr>
          <w:p w14:paraId="03272DD1"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Diesel (FO2)</w:t>
            </w:r>
          </w:p>
        </w:tc>
        <w:tc>
          <w:tcPr>
            <w:tcW w:w="1902" w:type="pct"/>
            <w:tcBorders>
              <w:top w:val="single" w:sz="4" w:space="0" w:color="auto"/>
              <w:left w:val="nil"/>
              <w:bottom w:val="nil"/>
              <w:right w:val="nil"/>
            </w:tcBorders>
            <w:shd w:val="clear" w:color="auto" w:fill="auto"/>
            <w:noWrap/>
            <w:tcMar>
              <w:top w:w="0" w:type="dxa"/>
              <w:left w:w="135" w:type="dxa"/>
              <w:bottom w:w="0" w:type="dxa"/>
              <w:right w:w="0" w:type="dxa"/>
            </w:tcMar>
            <w:vAlign w:val="bottom"/>
            <w:hideMark/>
          </w:tcPr>
          <w:p w14:paraId="11155FE7"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gal/MWh</w:t>
            </w:r>
          </w:p>
        </w:tc>
        <w:tc>
          <w:tcPr>
            <w:tcW w:w="772" w:type="pct"/>
            <w:tcBorders>
              <w:top w:val="single" w:sz="4" w:space="0" w:color="auto"/>
              <w:left w:val="nil"/>
              <w:bottom w:val="nil"/>
              <w:right w:val="nil"/>
            </w:tcBorders>
            <w:shd w:val="clear" w:color="auto" w:fill="auto"/>
            <w:noWrap/>
            <w:tcMar>
              <w:top w:w="0" w:type="dxa"/>
              <w:left w:w="135" w:type="dxa"/>
              <w:bottom w:w="0" w:type="dxa"/>
              <w:right w:w="0" w:type="dxa"/>
            </w:tcMar>
            <w:vAlign w:val="bottom"/>
            <w:hideMark/>
          </w:tcPr>
          <w:p w14:paraId="7C0CE481"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81,15</w:t>
            </w:r>
          </w:p>
        </w:tc>
      </w:tr>
      <w:tr w:rsidR="00B54F4E" w:rsidRPr="00897992" w14:paraId="63A139AC" w14:textId="77777777" w:rsidTr="006504C4">
        <w:trPr>
          <w:trHeight w:val="300"/>
        </w:trPr>
        <w:tc>
          <w:tcPr>
            <w:tcW w:w="2326" w:type="pct"/>
            <w:tcBorders>
              <w:top w:val="nil"/>
              <w:left w:val="nil"/>
              <w:bottom w:val="single" w:sz="4" w:space="0" w:color="A6A6A6"/>
              <w:right w:val="nil"/>
            </w:tcBorders>
            <w:shd w:val="clear" w:color="auto" w:fill="auto"/>
            <w:noWrap/>
            <w:tcMar>
              <w:top w:w="0" w:type="dxa"/>
              <w:left w:w="135" w:type="dxa"/>
              <w:bottom w:w="0" w:type="dxa"/>
              <w:right w:w="0" w:type="dxa"/>
            </w:tcMar>
            <w:vAlign w:val="bottom"/>
            <w:hideMark/>
          </w:tcPr>
          <w:p w14:paraId="45A647F7"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Bunker (FO6)</w:t>
            </w:r>
          </w:p>
        </w:tc>
        <w:tc>
          <w:tcPr>
            <w:tcW w:w="1902" w:type="pct"/>
            <w:tcBorders>
              <w:top w:val="nil"/>
              <w:left w:val="nil"/>
              <w:bottom w:val="single" w:sz="4" w:space="0" w:color="A6A6A6"/>
              <w:right w:val="nil"/>
            </w:tcBorders>
            <w:shd w:val="clear" w:color="auto" w:fill="auto"/>
            <w:noWrap/>
            <w:tcMar>
              <w:top w:w="0" w:type="dxa"/>
              <w:left w:w="135" w:type="dxa"/>
              <w:bottom w:w="0" w:type="dxa"/>
              <w:right w:w="0" w:type="dxa"/>
            </w:tcMar>
            <w:vAlign w:val="bottom"/>
            <w:hideMark/>
          </w:tcPr>
          <w:p w14:paraId="1723A19B"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gal/MWh</w:t>
            </w:r>
          </w:p>
        </w:tc>
        <w:tc>
          <w:tcPr>
            <w:tcW w:w="772" w:type="pct"/>
            <w:tcBorders>
              <w:top w:val="nil"/>
              <w:left w:val="nil"/>
              <w:bottom w:val="single" w:sz="4" w:space="0" w:color="A6A6A6"/>
              <w:right w:val="nil"/>
            </w:tcBorders>
            <w:shd w:val="clear" w:color="auto" w:fill="auto"/>
            <w:noWrap/>
            <w:tcMar>
              <w:top w:w="0" w:type="dxa"/>
              <w:left w:w="135" w:type="dxa"/>
              <w:bottom w:w="0" w:type="dxa"/>
              <w:right w:w="0" w:type="dxa"/>
            </w:tcMar>
            <w:vAlign w:val="bottom"/>
            <w:hideMark/>
          </w:tcPr>
          <w:p w14:paraId="4CFB66BD"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60,32</w:t>
            </w:r>
          </w:p>
        </w:tc>
      </w:tr>
      <w:tr w:rsidR="00B54F4E" w:rsidRPr="00897992" w14:paraId="1C955025" w14:textId="77777777" w:rsidTr="006504C4">
        <w:trPr>
          <w:trHeight w:val="300"/>
        </w:trPr>
        <w:tc>
          <w:tcPr>
            <w:tcW w:w="2326" w:type="pct"/>
            <w:tcBorders>
              <w:top w:val="nil"/>
              <w:left w:val="nil"/>
              <w:bottom w:val="nil"/>
              <w:right w:val="nil"/>
            </w:tcBorders>
            <w:shd w:val="clear" w:color="auto" w:fill="auto"/>
            <w:noWrap/>
            <w:tcMar>
              <w:top w:w="0" w:type="dxa"/>
              <w:left w:w="135" w:type="dxa"/>
              <w:bottom w:w="0" w:type="dxa"/>
              <w:right w:w="0" w:type="dxa"/>
            </w:tcMar>
            <w:vAlign w:val="bottom"/>
            <w:hideMark/>
          </w:tcPr>
          <w:p w14:paraId="3B2E7398"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Diesel (FO2)</w:t>
            </w:r>
          </w:p>
        </w:tc>
        <w:tc>
          <w:tcPr>
            <w:tcW w:w="1902" w:type="pct"/>
            <w:tcBorders>
              <w:top w:val="nil"/>
              <w:left w:val="nil"/>
              <w:bottom w:val="nil"/>
              <w:right w:val="nil"/>
            </w:tcBorders>
            <w:shd w:val="clear" w:color="auto" w:fill="auto"/>
            <w:noWrap/>
            <w:tcMar>
              <w:top w:w="0" w:type="dxa"/>
              <w:left w:w="135" w:type="dxa"/>
              <w:bottom w:w="0" w:type="dxa"/>
              <w:right w:w="0" w:type="dxa"/>
            </w:tcMar>
            <w:vAlign w:val="bottom"/>
            <w:hideMark/>
          </w:tcPr>
          <w:p w14:paraId="00156E95"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MMBTU/MWh</w:t>
            </w:r>
          </w:p>
        </w:tc>
        <w:tc>
          <w:tcPr>
            <w:tcW w:w="772" w:type="pct"/>
            <w:tcBorders>
              <w:top w:val="nil"/>
              <w:left w:val="nil"/>
              <w:bottom w:val="nil"/>
              <w:right w:val="nil"/>
            </w:tcBorders>
            <w:shd w:val="clear" w:color="auto" w:fill="auto"/>
            <w:noWrap/>
            <w:tcMar>
              <w:top w:w="0" w:type="dxa"/>
              <w:left w:w="135" w:type="dxa"/>
              <w:bottom w:w="0" w:type="dxa"/>
              <w:right w:w="0" w:type="dxa"/>
            </w:tcMar>
            <w:vAlign w:val="bottom"/>
            <w:hideMark/>
          </w:tcPr>
          <w:p w14:paraId="513FEDDE" w14:textId="77777777" w:rsidR="00B54F4E" w:rsidRPr="00897992" w:rsidRDefault="00B54F4E" w:rsidP="006504C4">
            <w:pPr>
              <w:spacing w:before="0" w:after="0"/>
              <w:ind w:firstLineChars="100" w:firstLine="200"/>
              <w:rPr>
                <w:rFonts w:ascii="Calibri" w:hAnsi="Calibri" w:cs="Calibri"/>
                <w:color w:val="000000" w:themeColor="text1"/>
                <w:sz w:val="20"/>
              </w:rPr>
            </w:pPr>
          </w:p>
        </w:tc>
      </w:tr>
      <w:tr w:rsidR="00B54F4E" w:rsidRPr="00897992" w14:paraId="428FB40E" w14:textId="77777777" w:rsidTr="006504C4">
        <w:trPr>
          <w:trHeight w:val="300"/>
        </w:trPr>
        <w:tc>
          <w:tcPr>
            <w:tcW w:w="2326" w:type="pct"/>
            <w:tcBorders>
              <w:top w:val="nil"/>
              <w:left w:val="nil"/>
              <w:bottom w:val="nil"/>
              <w:right w:val="nil"/>
            </w:tcBorders>
            <w:shd w:val="clear" w:color="auto" w:fill="auto"/>
            <w:noWrap/>
            <w:tcMar>
              <w:top w:w="0" w:type="dxa"/>
              <w:left w:w="135" w:type="dxa"/>
              <w:bottom w:w="0" w:type="dxa"/>
              <w:right w:w="0" w:type="dxa"/>
            </w:tcMar>
            <w:vAlign w:val="bottom"/>
            <w:hideMark/>
          </w:tcPr>
          <w:p w14:paraId="27304B2C"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Bunker (FO6)</w:t>
            </w:r>
          </w:p>
        </w:tc>
        <w:tc>
          <w:tcPr>
            <w:tcW w:w="1902" w:type="pct"/>
            <w:tcBorders>
              <w:top w:val="nil"/>
              <w:left w:val="nil"/>
              <w:bottom w:val="nil"/>
              <w:right w:val="nil"/>
            </w:tcBorders>
            <w:shd w:val="clear" w:color="auto" w:fill="auto"/>
            <w:noWrap/>
            <w:tcMar>
              <w:top w:w="0" w:type="dxa"/>
              <w:left w:w="135" w:type="dxa"/>
              <w:bottom w:w="0" w:type="dxa"/>
              <w:right w:w="0" w:type="dxa"/>
            </w:tcMar>
            <w:vAlign w:val="bottom"/>
            <w:hideMark/>
          </w:tcPr>
          <w:p w14:paraId="02C0A583"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MMBTU/MWh</w:t>
            </w:r>
          </w:p>
        </w:tc>
        <w:tc>
          <w:tcPr>
            <w:tcW w:w="772" w:type="pct"/>
            <w:tcBorders>
              <w:top w:val="nil"/>
              <w:left w:val="nil"/>
              <w:bottom w:val="nil"/>
              <w:right w:val="nil"/>
            </w:tcBorders>
            <w:shd w:val="clear" w:color="auto" w:fill="auto"/>
            <w:noWrap/>
            <w:tcMar>
              <w:top w:w="0" w:type="dxa"/>
              <w:left w:w="135" w:type="dxa"/>
              <w:bottom w:w="0" w:type="dxa"/>
              <w:right w:w="0" w:type="dxa"/>
            </w:tcMar>
            <w:vAlign w:val="bottom"/>
            <w:hideMark/>
          </w:tcPr>
          <w:p w14:paraId="339A53DA" w14:textId="77777777" w:rsidR="00B54F4E" w:rsidRPr="00897992" w:rsidRDefault="00B54F4E" w:rsidP="006504C4">
            <w:pPr>
              <w:spacing w:before="0" w:after="0"/>
              <w:ind w:firstLineChars="100" w:firstLine="200"/>
              <w:rPr>
                <w:rFonts w:ascii="Calibri" w:hAnsi="Calibri" w:cs="Calibri"/>
                <w:color w:val="000000" w:themeColor="text1"/>
                <w:sz w:val="20"/>
              </w:rPr>
            </w:pPr>
          </w:p>
        </w:tc>
      </w:tr>
      <w:tr w:rsidR="00B54F4E" w:rsidRPr="00897992" w14:paraId="5D3593C7" w14:textId="77777777" w:rsidTr="006504C4">
        <w:trPr>
          <w:trHeight w:val="300"/>
        </w:trPr>
        <w:tc>
          <w:tcPr>
            <w:tcW w:w="2326" w:type="pct"/>
            <w:tcBorders>
              <w:top w:val="nil"/>
              <w:left w:val="nil"/>
              <w:bottom w:val="nil"/>
              <w:right w:val="nil"/>
            </w:tcBorders>
            <w:shd w:val="clear" w:color="auto" w:fill="auto"/>
            <w:noWrap/>
            <w:tcMar>
              <w:top w:w="0" w:type="dxa"/>
              <w:left w:w="135" w:type="dxa"/>
              <w:bottom w:w="0" w:type="dxa"/>
              <w:right w:w="0" w:type="dxa"/>
            </w:tcMar>
            <w:vAlign w:val="bottom"/>
            <w:hideMark/>
          </w:tcPr>
          <w:p w14:paraId="1DFB501C"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Carbon</w:t>
            </w:r>
          </w:p>
        </w:tc>
        <w:tc>
          <w:tcPr>
            <w:tcW w:w="1902" w:type="pct"/>
            <w:tcBorders>
              <w:top w:val="nil"/>
              <w:left w:val="nil"/>
              <w:bottom w:val="nil"/>
              <w:right w:val="nil"/>
            </w:tcBorders>
            <w:shd w:val="clear" w:color="auto" w:fill="auto"/>
            <w:noWrap/>
            <w:tcMar>
              <w:top w:w="0" w:type="dxa"/>
              <w:left w:w="135" w:type="dxa"/>
              <w:bottom w:w="0" w:type="dxa"/>
              <w:right w:w="0" w:type="dxa"/>
            </w:tcMar>
            <w:vAlign w:val="bottom"/>
            <w:hideMark/>
          </w:tcPr>
          <w:p w14:paraId="4D3CFF8A"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MMBTU/MWh</w:t>
            </w:r>
          </w:p>
        </w:tc>
        <w:tc>
          <w:tcPr>
            <w:tcW w:w="772" w:type="pct"/>
            <w:tcBorders>
              <w:top w:val="nil"/>
              <w:left w:val="nil"/>
              <w:bottom w:val="nil"/>
              <w:right w:val="nil"/>
            </w:tcBorders>
            <w:shd w:val="clear" w:color="auto" w:fill="auto"/>
            <w:noWrap/>
            <w:tcMar>
              <w:top w:w="0" w:type="dxa"/>
              <w:left w:w="135" w:type="dxa"/>
              <w:bottom w:w="0" w:type="dxa"/>
              <w:right w:w="0" w:type="dxa"/>
            </w:tcMar>
            <w:vAlign w:val="bottom"/>
            <w:hideMark/>
          </w:tcPr>
          <w:p w14:paraId="382421E8"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10,93</w:t>
            </w:r>
          </w:p>
        </w:tc>
      </w:tr>
      <w:tr w:rsidR="00B54F4E" w:rsidRPr="00897992" w14:paraId="1C51D9B8" w14:textId="77777777" w:rsidTr="006504C4">
        <w:trPr>
          <w:trHeight w:val="300"/>
        </w:trPr>
        <w:tc>
          <w:tcPr>
            <w:tcW w:w="2326" w:type="pct"/>
            <w:tcBorders>
              <w:top w:val="nil"/>
              <w:left w:val="nil"/>
              <w:bottom w:val="single" w:sz="4" w:space="0" w:color="000000"/>
              <w:right w:val="nil"/>
            </w:tcBorders>
            <w:shd w:val="clear" w:color="auto" w:fill="auto"/>
            <w:noWrap/>
            <w:tcMar>
              <w:top w:w="0" w:type="dxa"/>
              <w:left w:w="135" w:type="dxa"/>
              <w:bottom w:w="0" w:type="dxa"/>
              <w:right w:w="0" w:type="dxa"/>
            </w:tcMar>
            <w:vAlign w:val="bottom"/>
            <w:hideMark/>
          </w:tcPr>
          <w:p w14:paraId="6B73129B" w14:textId="77777777" w:rsidR="00B54F4E" w:rsidRPr="00897992" w:rsidRDefault="00B54F4E" w:rsidP="006504C4">
            <w:pPr>
              <w:spacing w:before="0" w:after="0"/>
              <w:ind w:firstLineChars="100" w:firstLine="200"/>
              <w:rPr>
                <w:rFonts w:ascii="Calibri" w:hAnsi="Calibri" w:cs="Calibri"/>
                <w:color w:val="000000"/>
                <w:sz w:val="20"/>
                <w:szCs w:val="22"/>
              </w:rPr>
            </w:pPr>
            <w:r w:rsidRPr="00897992">
              <w:rPr>
                <w:rFonts w:ascii="Calibri" w:hAnsi="Calibri" w:cs="Calibri"/>
                <w:color w:val="000000"/>
                <w:sz w:val="20"/>
                <w:szCs w:val="22"/>
              </w:rPr>
              <w:t>Gas Natural</w:t>
            </w:r>
          </w:p>
        </w:tc>
        <w:tc>
          <w:tcPr>
            <w:tcW w:w="1902" w:type="pct"/>
            <w:tcBorders>
              <w:top w:val="nil"/>
              <w:left w:val="nil"/>
              <w:bottom w:val="single" w:sz="4" w:space="0" w:color="000000"/>
              <w:right w:val="nil"/>
            </w:tcBorders>
            <w:shd w:val="clear" w:color="auto" w:fill="auto"/>
            <w:noWrap/>
            <w:tcMar>
              <w:top w:w="0" w:type="dxa"/>
              <w:left w:w="135" w:type="dxa"/>
              <w:bottom w:w="0" w:type="dxa"/>
              <w:right w:w="0" w:type="dxa"/>
            </w:tcMar>
            <w:vAlign w:val="bottom"/>
            <w:hideMark/>
          </w:tcPr>
          <w:p w14:paraId="389DB1EE"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MMBTU/MWh</w:t>
            </w:r>
          </w:p>
        </w:tc>
        <w:tc>
          <w:tcPr>
            <w:tcW w:w="772" w:type="pct"/>
            <w:tcBorders>
              <w:top w:val="nil"/>
              <w:left w:val="nil"/>
              <w:bottom w:val="single" w:sz="4" w:space="0" w:color="000000"/>
              <w:right w:val="nil"/>
            </w:tcBorders>
            <w:shd w:val="clear" w:color="auto" w:fill="auto"/>
            <w:noWrap/>
            <w:tcMar>
              <w:top w:w="0" w:type="dxa"/>
              <w:left w:w="135" w:type="dxa"/>
              <w:bottom w:w="0" w:type="dxa"/>
              <w:right w:w="0" w:type="dxa"/>
            </w:tcMar>
            <w:vAlign w:val="bottom"/>
            <w:hideMark/>
          </w:tcPr>
          <w:p w14:paraId="14BFC76A" w14:textId="77777777" w:rsidR="00B54F4E" w:rsidRPr="00897992" w:rsidRDefault="00B54F4E" w:rsidP="006504C4">
            <w:pPr>
              <w:spacing w:before="0" w:after="0"/>
              <w:ind w:firstLineChars="100" w:firstLine="200"/>
              <w:rPr>
                <w:rFonts w:ascii="Calibri" w:hAnsi="Calibri" w:cs="Calibri"/>
                <w:color w:val="000000" w:themeColor="text1"/>
                <w:sz w:val="20"/>
              </w:rPr>
            </w:pPr>
            <w:r w:rsidRPr="00897992">
              <w:rPr>
                <w:rFonts w:ascii="Calibri" w:hAnsi="Calibri" w:cs="Calibri"/>
                <w:color w:val="000000" w:themeColor="text1"/>
                <w:sz w:val="20"/>
              </w:rPr>
              <w:t>6,67</w:t>
            </w:r>
          </w:p>
        </w:tc>
      </w:tr>
    </w:tbl>
    <w:p w14:paraId="0B1A21C4" w14:textId="77777777" w:rsidR="00B54F4E" w:rsidRDefault="00B54F4E" w:rsidP="00B54F4E">
      <w:pPr>
        <w:spacing w:before="0" w:after="160" w:line="259" w:lineRule="auto"/>
        <w:jc w:val="left"/>
      </w:pPr>
      <w:r>
        <w:t xml:space="preserve"> </w:t>
      </w:r>
    </w:p>
    <w:tbl>
      <w:tblPr>
        <w:tblW w:w="4984" w:type="pct"/>
        <w:tblCellMar>
          <w:left w:w="0" w:type="dxa"/>
          <w:right w:w="0" w:type="dxa"/>
        </w:tblCellMar>
        <w:tblLook w:val="04A0" w:firstRow="1" w:lastRow="0" w:firstColumn="1" w:lastColumn="0" w:noHBand="0" w:noVBand="1"/>
      </w:tblPr>
      <w:tblGrid>
        <w:gridCol w:w="2315"/>
        <w:gridCol w:w="5140"/>
        <w:gridCol w:w="1355"/>
      </w:tblGrid>
      <w:tr w:rsidR="00B54F4E" w:rsidRPr="00DD7BC9" w14:paraId="2EEAF461" w14:textId="77777777" w:rsidTr="006504C4">
        <w:trPr>
          <w:trHeight w:val="264"/>
        </w:trPr>
        <w:tc>
          <w:tcPr>
            <w:tcW w:w="1314" w:type="pct"/>
            <w:tcBorders>
              <w:top w:val="nil"/>
              <w:left w:val="nil"/>
              <w:bottom w:val="nil"/>
              <w:right w:val="nil"/>
            </w:tcBorders>
            <w:shd w:val="clear" w:color="auto" w:fill="auto"/>
            <w:noWrap/>
            <w:vAlign w:val="bottom"/>
            <w:hideMark/>
          </w:tcPr>
          <w:p w14:paraId="048E1F58" w14:textId="77777777" w:rsidR="00B54F4E" w:rsidRPr="009C1DDC" w:rsidRDefault="00B54F4E" w:rsidP="006504C4">
            <w:pPr>
              <w:spacing w:before="0" w:after="0"/>
              <w:jc w:val="left"/>
              <w:rPr>
                <w:rFonts w:ascii="Calibri" w:hAnsi="Calibri" w:cs="Calibri"/>
                <w:b/>
                <w:bCs/>
                <w:color w:val="000000"/>
                <w:sz w:val="20"/>
              </w:rPr>
            </w:pPr>
            <w:r w:rsidRPr="009C1DDC">
              <w:rPr>
                <w:rFonts w:ascii="Calibri" w:hAnsi="Calibri" w:cs="Calibri"/>
                <w:b/>
                <w:bCs/>
                <w:color w:val="000000"/>
                <w:sz w:val="20"/>
              </w:rPr>
              <w:t>Costos fijos totales de O&amp;M</w:t>
            </w:r>
          </w:p>
        </w:tc>
        <w:tc>
          <w:tcPr>
            <w:tcW w:w="2917" w:type="pct"/>
            <w:tcBorders>
              <w:top w:val="nil"/>
              <w:left w:val="nil"/>
              <w:bottom w:val="nil"/>
              <w:right w:val="nil"/>
            </w:tcBorders>
            <w:shd w:val="clear" w:color="auto" w:fill="auto"/>
            <w:noWrap/>
            <w:vAlign w:val="bottom"/>
            <w:hideMark/>
          </w:tcPr>
          <w:p w14:paraId="5B551CDA" w14:textId="77777777" w:rsidR="00B54F4E" w:rsidRPr="009C1DDC" w:rsidRDefault="00B54F4E" w:rsidP="006504C4">
            <w:pPr>
              <w:spacing w:before="0" w:after="0"/>
              <w:rPr>
                <w:rFonts w:ascii="Calibri" w:hAnsi="Calibri" w:cs="Calibri"/>
                <w:b/>
                <w:bCs/>
                <w:color w:val="000000"/>
                <w:sz w:val="20"/>
              </w:rPr>
            </w:pPr>
            <w:r w:rsidRPr="009C1DDC">
              <w:rPr>
                <w:rFonts w:ascii="Calibri" w:hAnsi="Calibri" w:cs="Calibri"/>
                <w:b/>
                <w:bCs/>
                <w:color w:val="000000"/>
                <w:sz w:val="20"/>
              </w:rPr>
              <w:t xml:space="preserve"> Por MW instalado y según tecnología de generación</w:t>
            </w:r>
          </w:p>
        </w:tc>
        <w:tc>
          <w:tcPr>
            <w:tcW w:w="769" w:type="pct"/>
            <w:tcBorders>
              <w:top w:val="nil"/>
              <w:left w:val="nil"/>
              <w:bottom w:val="nil"/>
              <w:right w:val="nil"/>
            </w:tcBorders>
            <w:shd w:val="clear" w:color="auto" w:fill="auto"/>
            <w:noWrap/>
            <w:vAlign w:val="bottom"/>
            <w:hideMark/>
          </w:tcPr>
          <w:p w14:paraId="6B40C5A3" w14:textId="77777777" w:rsidR="00B54F4E" w:rsidRPr="00DD7BC9" w:rsidRDefault="00B54F4E" w:rsidP="006504C4">
            <w:pPr>
              <w:spacing w:before="0" w:after="0"/>
              <w:rPr>
                <w:sz w:val="20"/>
              </w:rPr>
            </w:pPr>
          </w:p>
        </w:tc>
      </w:tr>
      <w:tr w:rsidR="00B54F4E" w:rsidRPr="00DD7BC9" w14:paraId="1086A5D0" w14:textId="77777777" w:rsidTr="006504C4">
        <w:trPr>
          <w:trHeight w:val="264"/>
        </w:trPr>
        <w:tc>
          <w:tcPr>
            <w:tcW w:w="1314" w:type="pct"/>
            <w:tcBorders>
              <w:top w:val="nil"/>
              <w:left w:val="nil"/>
              <w:bottom w:val="nil"/>
              <w:right w:val="nil"/>
            </w:tcBorders>
            <w:shd w:val="clear" w:color="auto" w:fill="auto"/>
            <w:noWrap/>
            <w:vAlign w:val="bottom"/>
            <w:hideMark/>
          </w:tcPr>
          <w:p w14:paraId="06ADF1F4" w14:textId="77777777" w:rsidR="00B54F4E" w:rsidRPr="00DD7BC9" w:rsidRDefault="00B54F4E" w:rsidP="006504C4">
            <w:pPr>
              <w:spacing w:before="0" w:after="0"/>
              <w:rPr>
                <w:rFonts w:ascii="Calibri" w:hAnsi="Calibri" w:cs="Calibri"/>
                <w:b/>
                <w:bCs/>
                <w:color w:val="000000"/>
                <w:sz w:val="20"/>
              </w:rPr>
            </w:pPr>
            <w:r w:rsidRPr="00DD7BC9">
              <w:rPr>
                <w:rFonts w:ascii="Calibri" w:hAnsi="Calibri" w:cs="Calibri"/>
                <w:b/>
                <w:bCs/>
                <w:color w:val="000000"/>
                <w:sz w:val="20"/>
              </w:rPr>
              <w:t>(MM US$ 2015)</w:t>
            </w:r>
          </w:p>
        </w:tc>
        <w:tc>
          <w:tcPr>
            <w:tcW w:w="2917" w:type="pct"/>
            <w:tcBorders>
              <w:top w:val="nil"/>
              <w:left w:val="nil"/>
              <w:bottom w:val="nil"/>
              <w:right w:val="nil"/>
            </w:tcBorders>
            <w:shd w:val="clear" w:color="auto" w:fill="auto"/>
            <w:noWrap/>
            <w:vAlign w:val="bottom"/>
            <w:hideMark/>
          </w:tcPr>
          <w:p w14:paraId="5A27C068" w14:textId="77777777" w:rsidR="00B54F4E" w:rsidRPr="00DD7BC9" w:rsidRDefault="00B54F4E" w:rsidP="006504C4">
            <w:pPr>
              <w:spacing w:before="0" w:after="0"/>
              <w:rPr>
                <w:rFonts w:ascii="Calibri" w:hAnsi="Calibri" w:cs="Calibri"/>
                <w:b/>
                <w:bCs/>
                <w:color w:val="000000"/>
                <w:sz w:val="20"/>
              </w:rPr>
            </w:pPr>
          </w:p>
        </w:tc>
        <w:tc>
          <w:tcPr>
            <w:tcW w:w="769" w:type="pct"/>
            <w:tcBorders>
              <w:top w:val="nil"/>
              <w:left w:val="nil"/>
              <w:bottom w:val="nil"/>
              <w:right w:val="nil"/>
            </w:tcBorders>
            <w:shd w:val="clear" w:color="auto" w:fill="auto"/>
            <w:noWrap/>
            <w:vAlign w:val="bottom"/>
            <w:hideMark/>
          </w:tcPr>
          <w:p w14:paraId="420D3A69" w14:textId="77777777" w:rsidR="00B54F4E" w:rsidRPr="00DD7BC9" w:rsidRDefault="00B54F4E" w:rsidP="006504C4">
            <w:pPr>
              <w:spacing w:before="0" w:after="0"/>
              <w:rPr>
                <w:sz w:val="20"/>
              </w:rPr>
            </w:pPr>
          </w:p>
        </w:tc>
      </w:tr>
      <w:tr w:rsidR="00B54F4E" w:rsidRPr="00DD7BC9" w14:paraId="292171CF" w14:textId="77777777" w:rsidTr="006504C4">
        <w:trPr>
          <w:trHeight w:val="264"/>
        </w:trPr>
        <w:tc>
          <w:tcPr>
            <w:tcW w:w="1314" w:type="pct"/>
            <w:tcBorders>
              <w:top w:val="nil"/>
              <w:left w:val="nil"/>
              <w:bottom w:val="single" w:sz="4" w:space="0" w:color="auto"/>
              <w:right w:val="nil"/>
            </w:tcBorders>
            <w:shd w:val="clear" w:color="auto" w:fill="auto"/>
            <w:noWrap/>
            <w:vAlign w:val="bottom"/>
            <w:hideMark/>
          </w:tcPr>
          <w:p w14:paraId="1893E3F9" w14:textId="77777777" w:rsidR="00B54F4E" w:rsidRPr="00DD7BC9" w:rsidRDefault="00B54F4E" w:rsidP="006504C4">
            <w:pPr>
              <w:spacing w:before="0" w:after="0"/>
              <w:rPr>
                <w:rFonts w:ascii="Calibri" w:hAnsi="Calibri" w:cs="Calibri"/>
                <w:color w:val="000000"/>
                <w:sz w:val="20"/>
              </w:rPr>
            </w:pPr>
            <w:r w:rsidRPr="00DD7BC9">
              <w:rPr>
                <w:rFonts w:ascii="Calibri" w:hAnsi="Calibri" w:cs="Calibri"/>
                <w:color w:val="000000"/>
                <w:sz w:val="20"/>
              </w:rPr>
              <w:t> </w:t>
            </w:r>
          </w:p>
        </w:tc>
        <w:tc>
          <w:tcPr>
            <w:tcW w:w="2917" w:type="pct"/>
            <w:tcBorders>
              <w:top w:val="nil"/>
              <w:left w:val="nil"/>
              <w:bottom w:val="single" w:sz="4" w:space="0" w:color="auto"/>
              <w:right w:val="nil"/>
            </w:tcBorders>
            <w:shd w:val="clear" w:color="auto" w:fill="auto"/>
            <w:noWrap/>
            <w:vAlign w:val="bottom"/>
            <w:hideMark/>
          </w:tcPr>
          <w:p w14:paraId="7C9D7EE7" w14:textId="77777777" w:rsidR="00B54F4E" w:rsidRPr="00DD7BC9" w:rsidRDefault="00B54F4E" w:rsidP="006504C4">
            <w:pPr>
              <w:spacing w:before="0" w:after="0"/>
              <w:rPr>
                <w:rFonts w:ascii="Calibri" w:hAnsi="Calibri" w:cs="Calibri"/>
                <w:color w:val="000000"/>
                <w:sz w:val="20"/>
              </w:rPr>
            </w:pPr>
            <w:r w:rsidRPr="00DD7BC9">
              <w:rPr>
                <w:rFonts w:ascii="Calibri" w:hAnsi="Calibri" w:cs="Calibri"/>
                <w:color w:val="000000"/>
                <w:sz w:val="20"/>
              </w:rPr>
              <w:t> </w:t>
            </w:r>
          </w:p>
        </w:tc>
        <w:tc>
          <w:tcPr>
            <w:tcW w:w="769" w:type="pct"/>
            <w:tcBorders>
              <w:top w:val="nil"/>
              <w:left w:val="nil"/>
              <w:bottom w:val="single" w:sz="4" w:space="0" w:color="auto"/>
              <w:right w:val="nil"/>
            </w:tcBorders>
            <w:shd w:val="clear" w:color="auto" w:fill="auto"/>
            <w:noWrap/>
            <w:vAlign w:val="bottom"/>
            <w:hideMark/>
          </w:tcPr>
          <w:p w14:paraId="411A4DA4" w14:textId="77777777" w:rsidR="00B54F4E" w:rsidRPr="00DD7BC9" w:rsidRDefault="00B54F4E" w:rsidP="006504C4">
            <w:pPr>
              <w:spacing w:before="0" w:after="0"/>
              <w:rPr>
                <w:rFonts w:ascii="Calibri" w:hAnsi="Calibri" w:cs="Calibri"/>
                <w:color w:val="000000"/>
                <w:sz w:val="20"/>
              </w:rPr>
            </w:pPr>
            <w:r w:rsidRPr="00DD7BC9">
              <w:rPr>
                <w:rFonts w:ascii="Calibri" w:hAnsi="Calibri" w:cs="Calibri"/>
                <w:color w:val="000000"/>
                <w:sz w:val="20"/>
              </w:rPr>
              <w:t> </w:t>
            </w:r>
          </w:p>
        </w:tc>
      </w:tr>
      <w:tr w:rsidR="00B54F4E" w:rsidRPr="00DD7BC9" w14:paraId="1F2DF025" w14:textId="77777777" w:rsidTr="006504C4">
        <w:trPr>
          <w:trHeight w:val="264"/>
        </w:trPr>
        <w:tc>
          <w:tcPr>
            <w:tcW w:w="1314" w:type="pct"/>
            <w:tcBorders>
              <w:top w:val="nil"/>
              <w:left w:val="single" w:sz="4" w:space="0" w:color="FFFFFF" w:themeColor="background1"/>
              <w:bottom w:val="nil"/>
              <w:right w:val="single" w:sz="4" w:space="0" w:color="A6A6A6"/>
            </w:tcBorders>
            <w:shd w:val="clear" w:color="auto" w:fill="auto"/>
            <w:noWrap/>
            <w:vAlign w:val="bottom"/>
            <w:hideMark/>
          </w:tcPr>
          <w:p w14:paraId="0317D4E4" w14:textId="77777777" w:rsidR="00B54F4E" w:rsidRPr="00DD7BC9" w:rsidRDefault="00B54F4E" w:rsidP="006504C4">
            <w:pPr>
              <w:spacing w:before="0" w:after="0"/>
              <w:rPr>
                <w:rFonts w:ascii="Calibri" w:hAnsi="Calibri" w:cs="Calibri"/>
                <w:color w:val="000000"/>
                <w:sz w:val="20"/>
              </w:rPr>
            </w:pPr>
            <w:r w:rsidRPr="00DD7BC9">
              <w:rPr>
                <w:rFonts w:ascii="Calibri" w:hAnsi="Calibri" w:cs="Calibri"/>
                <w:color w:val="000000"/>
                <w:sz w:val="20"/>
              </w:rPr>
              <w:t>Diesel</w:t>
            </w:r>
          </w:p>
        </w:tc>
        <w:tc>
          <w:tcPr>
            <w:tcW w:w="2917" w:type="pct"/>
            <w:tcBorders>
              <w:top w:val="nil"/>
              <w:left w:val="nil"/>
              <w:bottom w:val="nil"/>
              <w:right w:val="nil"/>
            </w:tcBorders>
            <w:shd w:val="clear" w:color="auto" w:fill="auto"/>
            <w:noWrap/>
            <w:vAlign w:val="bottom"/>
            <w:hideMark/>
          </w:tcPr>
          <w:p w14:paraId="444ED544"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nil"/>
              <w:left w:val="nil"/>
              <w:bottom w:val="nil"/>
              <w:right w:val="single" w:sz="4" w:space="0" w:color="FFFFFF" w:themeColor="background1"/>
            </w:tcBorders>
            <w:shd w:val="clear" w:color="auto" w:fill="auto"/>
            <w:noWrap/>
            <w:vAlign w:val="bottom"/>
            <w:hideMark/>
          </w:tcPr>
          <w:p w14:paraId="1F587284"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138.231</w:t>
            </w:r>
          </w:p>
        </w:tc>
      </w:tr>
      <w:tr w:rsidR="00B54F4E" w:rsidRPr="00DD7BC9" w14:paraId="74B42D44" w14:textId="77777777" w:rsidTr="006504C4">
        <w:trPr>
          <w:trHeight w:val="264"/>
        </w:trPr>
        <w:tc>
          <w:tcPr>
            <w:tcW w:w="1314" w:type="pct"/>
            <w:tcBorders>
              <w:top w:val="nil"/>
              <w:left w:val="single" w:sz="4" w:space="0" w:color="FFFFFF" w:themeColor="background1"/>
              <w:bottom w:val="nil"/>
              <w:right w:val="single" w:sz="4" w:space="0" w:color="A6A6A6"/>
            </w:tcBorders>
            <w:shd w:val="clear" w:color="auto" w:fill="auto"/>
            <w:noWrap/>
            <w:vAlign w:val="bottom"/>
            <w:hideMark/>
          </w:tcPr>
          <w:p w14:paraId="40628C24"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Bunker</w:t>
            </w:r>
          </w:p>
        </w:tc>
        <w:tc>
          <w:tcPr>
            <w:tcW w:w="2917" w:type="pct"/>
            <w:tcBorders>
              <w:top w:val="nil"/>
              <w:left w:val="nil"/>
              <w:bottom w:val="nil"/>
              <w:right w:val="nil"/>
            </w:tcBorders>
            <w:shd w:val="clear" w:color="auto" w:fill="auto"/>
            <w:noWrap/>
            <w:vAlign w:val="bottom"/>
            <w:hideMark/>
          </w:tcPr>
          <w:p w14:paraId="1FA70C9C"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nil"/>
              <w:left w:val="nil"/>
              <w:bottom w:val="nil"/>
              <w:right w:val="single" w:sz="4" w:space="0" w:color="FFFFFF" w:themeColor="background1"/>
            </w:tcBorders>
            <w:shd w:val="clear" w:color="auto" w:fill="auto"/>
            <w:noWrap/>
            <w:vAlign w:val="bottom"/>
            <w:hideMark/>
          </w:tcPr>
          <w:p w14:paraId="669B73BE"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138.231</w:t>
            </w:r>
          </w:p>
        </w:tc>
      </w:tr>
      <w:tr w:rsidR="00B54F4E" w:rsidRPr="00DD7BC9" w14:paraId="62E5A595" w14:textId="77777777" w:rsidTr="006504C4">
        <w:trPr>
          <w:trHeight w:val="264"/>
        </w:trPr>
        <w:tc>
          <w:tcPr>
            <w:tcW w:w="1314" w:type="pct"/>
            <w:tcBorders>
              <w:top w:val="nil"/>
              <w:left w:val="single" w:sz="4" w:space="0" w:color="FFFFFF" w:themeColor="background1"/>
              <w:bottom w:val="nil"/>
              <w:right w:val="single" w:sz="4" w:space="0" w:color="A6A6A6"/>
            </w:tcBorders>
            <w:shd w:val="clear" w:color="auto" w:fill="auto"/>
            <w:noWrap/>
            <w:vAlign w:val="bottom"/>
            <w:hideMark/>
          </w:tcPr>
          <w:p w14:paraId="3F398376"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Carbon</w:t>
            </w:r>
          </w:p>
        </w:tc>
        <w:tc>
          <w:tcPr>
            <w:tcW w:w="2917" w:type="pct"/>
            <w:tcBorders>
              <w:top w:val="nil"/>
              <w:left w:val="nil"/>
              <w:bottom w:val="nil"/>
              <w:right w:val="nil"/>
            </w:tcBorders>
            <w:shd w:val="clear" w:color="auto" w:fill="auto"/>
            <w:noWrap/>
            <w:vAlign w:val="bottom"/>
            <w:hideMark/>
          </w:tcPr>
          <w:p w14:paraId="1C752627"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nil"/>
              <w:left w:val="nil"/>
              <w:bottom w:val="nil"/>
              <w:right w:val="single" w:sz="4" w:space="0" w:color="FFFFFF" w:themeColor="background1"/>
            </w:tcBorders>
            <w:shd w:val="clear" w:color="auto" w:fill="auto"/>
            <w:noWrap/>
            <w:vAlign w:val="bottom"/>
            <w:hideMark/>
          </w:tcPr>
          <w:p w14:paraId="5545694E"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52.670</w:t>
            </w:r>
          </w:p>
        </w:tc>
      </w:tr>
      <w:tr w:rsidR="00B54F4E" w:rsidRPr="00DD7BC9" w14:paraId="2B07BE35" w14:textId="77777777" w:rsidTr="006504C4">
        <w:trPr>
          <w:trHeight w:val="264"/>
        </w:trPr>
        <w:tc>
          <w:tcPr>
            <w:tcW w:w="1314" w:type="pct"/>
            <w:tcBorders>
              <w:top w:val="nil"/>
              <w:left w:val="single" w:sz="4" w:space="0" w:color="FFFFFF" w:themeColor="background1"/>
              <w:bottom w:val="single" w:sz="4" w:space="0" w:color="BFBFBF"/>
              <w:right w:val="single" w:sz="4" w:space="0" w:color="A6A6A6"/>
            </w:tcBorders>
            <w:shd w:val="clear" w:color="auto" w:fill="auto"/>
            <w:noWrap/>
            <w:vAlign w:val="bottom"/>
            <w:hideMark/>
          </w:tcPr>
          <w:p w14:paraId="1F0E3393"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GNL</w:t>
            </w:r>
          </w:p>
        </w:tc>
        <w:tc>
          <w:tcPr>
            <w:tcW w:w="2917" w:type="pct"/>
            <w:tcBorders>
              <w:top w:val="nil"/>
              <w:left w:val="nil"/>
              <w:bottom w:val="single" w:sz="4" w:space="0" w:color="BFBFBF"/>
              <w:right w:val="nil"/>
            </w:tcBorders>
            <w:shd w:val="clear" w:color="auto" w:fill="auto"/>
            <w:noWrap/>
            <w:vAlign w:val="bottom"/>
            <w:hideMark/>
          </w:tcPr>
          <w:p w14:paraId="7EDD5E33"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nil"/>
              <w:left w:val="nil"/>
              <w:bottom w:val="single" w:sz="4" w:space="0" w:color="A6A6A6"/>
              <w:right w:val="single" w:sz="4" w:space="0" w:color="FFFFFF" w:themeColor="background1"/>
            </w:tcBorders>
            <w:shd w:val="clear" w:color="auto" w:fill="auto"/>
            <w:noWrap/>
            <w:vAlign w:val="bottom"/>
            <w:hideMark/>
          </w:tcPr>
          <w:p w14:paraId="0D73B587"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18.810</w:t>
            </w:r>
          </w:p>
        </w:tc>
      </w:tr>
      <w:tr w:rsidR="00B54F4E" w:rsidRPr="00DD7BC9" w14:paraId="177E019B" w14:textId="77777777" w:rsidTr="006504C4">
        <w:trPr>
          <w:trHeight w:val="264"/>
        </w:trPr>
        <w:tc>
          <w:tcPr>
            <w:tcW w:w="1314" w:type="pct"/>
            <w:tcBorders>
              <w:top w:val="nil"/>
              <w:left w:val="single" w:sz="4" w:space="0" w:color="FFFFFF" w:themeColor="background1"/>
              <w:bottom w:val="nil"/>
              <w:right w:val="single" w:sz="4" w:space="0" w:color="A6A6A6"/>
            </w:tcBorders>
            <w:shd w:val="clear" w:color="auto" w:fill="auto"/>
            <w:noWrap/>
            <w:vAlign w:val="bottom"/>
            <w:hideMark/>
          </w:tcPr>
          <w:p w14:paraId="6318B9A3"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Solar</w:t>
            </w:r>
          </w:p>
        </w:tc>
        <w:tc>
          <w:tcPr>
            <w:tcW w:w="2917" w:type="pct"/>
            <w:tcBorders>
              <w:top w:val="nil"/>
              <w:left w:val="nil"/>
              <w:bottom w:val="nil"/>
              <w:right w:val="nil"/>
            </w:tcBorders>
            <w:shd w:val="clear" w:color="auto" w:fill="auto"/>
            <w:noWrap/>
            <w:vAlign w:val="bottom"/>
            <w:hideMark/>
          </w:tcPr>
          <w:p w14:paraId="46969FDF"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nil"/>
              <w:left w:val="nil"/>
              <w:bottom w:val="nil"/>
              <w:right w:val="single" w:sz="4" w:space="0" w:color="FFFFFF" w:themeColor="background1"/>
            </w:tcBorders>
            <w:shd w:val="clear" w:color="auto" w:fill="auto"/>
            <w:noWrap/>
            <w:vAlign w:val="bottom"/>
            <w:hideMark/>
          </w:tcPr>
          <w:p w14:paraId="1B7FF8F1"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35.680</w:t>
            </w:r>
          </w:p>
        </w:tc>
      </w:tr>
      <w:tr w:rsidR="00B54F4E" w:rsidRPr="00DD7BC9" w14:paraId="41554F72" w14:textId="77777777" w:rsidTr="006504C4">
        <w:trPr>
          <w:trHeight w:val="264"/>
        </w:trPr>
        <w:tc>
          <w:tcPr>
            <w:tcW w:w="1314" w:type="pct"/>
            <w:tcBorders>
              <w:top w:val="nil"/>
              <w:left w:val="single" w:sz="4" w:space="0" w:color="FFFFFF" w:themeColor="background1"/>
              <w:bottom w:val="nil"/>
              <w:right w:val="single" w:sz="4" w:space="0" w:color="A6A6A6"/>
            </w:tcBorders>
            <w:shd w:val="clear" w:color="auto" w:fill="auto"/>
            <w:noWrap/>
            <w:vAlign w:val="bottom"/>
            <w:hideMark/>
          </w:tcPr>
          <w:p w14:paraId="581058CB"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Eolico</w:t>
            </w:r>
          </w:p>
        </w:tc>
        <w:tc>
          <w:tcPr>
            <w:tcW w:w="2917" w:type="pct"/>
            <w:tcBorders>
              <w:top w:val="nil"/>
              <w:left w:val="nil"/>
              <w:bottom w:val="nil"/>
              <w:right w:val="nil"/>
            </w:tcBorders>
            <w:shd w:val="clear" w:color="auto" w:fill="auto"/>
            <w:noWrap/>
            <w:vAlign w:val="bottom"/>
            <w:hideMark/>
          </w:tcPr>
          <w:p w14:paraId="062B5A83"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nil"/>
              <w:left w:val="nil"/>
              <w:bottom w:val="nil"/>
              <w:right w:val="single" w:sz="4" w:space="0" w:color="FFFFFF" w:themeColor="background1"/>
            </w:tcBorders>
            <w:shd w:val="clear" w:color="auto" w:fill="auto"/>
            <w:noWrap/>
            <w:vAlign w:val="bottom"/>
            <w:hideMark/>
          </w:tcPr>
          <w:p w14:paraId="483C033E"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15.500</w:t>
            </w:r>
          </w:p>
        </w:tc>
      </w:tr>
      <w:tr w:rsidR="00B54F4E" w:rsidRPr="00DD7BC9" w14:paraId="044DB305" w14:textId="77777777" w:rsidTr="006504C4">
        <w:trPr>
          <w:trHeight w:val="264"/>
        </w:trPr>
        <w:tc>
          <w:tcPr>
            <w:tcW w:w="1314" w:type="pct"/>
            <w:tcBorders>
              <w:top w:val="nil"/>
              <w:left w:val="single" w:sz="4" w:space="0" w:color="FFFFFF" w:themeColor="background1"/>
              <w:bottom w:val="single" w:sz="4" w:space="0" w:color="BFBFBF"/>
              <w:right w:val="single" w:sz="4" w:space="0" w:color="A6A6A6"/>
            </w:tcBorders>
            <w:shd w:val="clear" w:color="auto" w:fill="auto"/>
            <w:noWrap/>
            <w:vAlign w:val="bottom"/>
            <w:hideMark/>
          </w:tcPr>
          <w:p w14:paraId="00D58DCD"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BioGas</w:t>
            </w:r>
          </w:p>
        </w:tc>
        <w:tc>
          <w:tcPr>
            <w:tcW w:w="2917" w:type="pct"/>
            <w:tcBorders>
              <w:top w:val="nil"/>
              <w:left w:val="nil"/>
              <w:bottom w:val="nil"/>
              <w:right w:val="nil"/>
            </w:tcBorders>
            <w:shd w:val="clear" w:color="auto" w:fill="auto"/>
            <w:noWrap/>
            <w:vAlign w:val="bottom"/>
            <w:hideMark/>
          </w:tcPr>
          <w:p w14:paraId="1BADAC98"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nil"/>
              <w:left w:val="nil"/>
              <w:bottom w:val="single" w:sz="4" w:space="0" w:color="BFBFBF"/>
              <w:right w:val="single" w:sz="4" w:space="0" w:color="FFFFFF" w:themeColor="background1"/>
            </w:tcBorders>
            <w:shd w:val="clear" w:color="auto" w:fill="auto"/>
            <w:noWrap/>
            <w:vAlign w:val="bottom"/>
            <w:hideMark/>
          </w:tcPr>
          <w:p w14:paraId="70C302C2"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 </w:t>
            </w:r>
          </w:p>
        </w:tc>
      </w:tr>
      <w:tr w:rsidR="00B54F4E" w:rsidRPr="00DD7BC9" w14:paraId="14B4BF2E" w14:textId="77777777" w:rsidTr="006504C4">
        <w:trPr>
          <w:trHeight w:val="264"/>
        </w:trPr>
        <w:tc>
          <w:tcPr>
            <w:tcW w:w="1314" w:type="pct"/>
            <w:tcBorders>
              <w:top w:val="nil"/>
              <w:left w:val="single" w:sz="4" w:space="0" w:color="FFFFFF" w:themeColor="background1"/>
              <w:bottom w:val="single" w:sz="4" w:space="0" w:color="BFBFBF"/>
              <w:right w:val="single" w:sz="4" w:space="0" w:color="A6A6A6"/>
            </w:tcBorders>
            <w:shd w:val="clear" w:color="auto" w:fill="auto"/>
            <w:noWrap/>
            <w:vAlign w:val="bottom"/>
            <w:hideMark/>
          </w:tcPr>
          <w:p w14:paraId="33D97D4A"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ACP</w:t>
            </w:r>
          </w:p>
        </w:tc>
        <w:tc>
          <w:tcPr>
            <w:tcW w:w="2917" w:type="pct"/>
            <w:tcBorders>
              <w:top w:val="single" w:sz="4" w:space="0" w:color="BFBFBF"/>
              <w:left w:val="nil"/>
              <w:bottom w:val="single" w:sz="4" w:space="0" w:color="BFBFBF"/>
              <w:right w:val="nil"/>
            </w:tcBorders>
            <w:shd w:val="clear" w:color="auto" w:fill="auto"/>
            <w:noWrap/>
            <w:vAlign w:val="bottom"/>
            <w:hideMark/>
          </w:tcPr>
          <w:p w14:paraId="39A85BBF"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 </w:t>
            </w:r>
          </w:p>
        </w:tc>
        <w:tc>
          <w:tcPr>
            <w:tcW w:w="769" w:type="pct"/>
            <w:tcBorders>
              <w:top w:val="nil"/>
              <w:left w:val="nil"/>
              <w:bottom w:val="single" w:sz="4" w:space="0" w:color="BFBFBF"/>
              <w:right w:val="single" w:sz="4" w:space="0" w:color="FFFFFF" w:themeColor="background1"/>
            </w:tcBorders>
            <w:shd w:val="clear" w:color="auto" w:fill="auto"/>
            <w:noWrap/>
            <w:vAlign w:val="bottom"/>
            <w:hideMark/>
          </w:tcPr>
          <w:p w14:paraId="0AD47C64"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 </w:t>
            </w:r>
          </w:p>
        </w:tc>
      </w:tr>
      <w:tr w:rsidR="00B54F4E" w:rsidRPr="00DD7BC9" w14:paraId="1A7D1F3A" w14:textId="77777777" w:rsidTr="006504C4">
        <w:trPr>
          <w:trHeight w:val="264"/>
        </w:trPr>
        <w:tc>
          <w:tcPr>
            <w:tcW w:w="1314" w:type="pct"/>
            <w:tcBorders>
              <w:top w:val="single" w:sz="4" w:space="0" w:color="BFBFBF"/>
              <w:left w:val="single" w:sz="4" w:space="0" w:color="FFFFFF" w:themeColor="background1"/>
              <w:bottom w:val="single" w:sz="4" w:space="0" w:color="auto"/>
              <w:right w:val="single" w:sz="4" w:space="0" w:color="A6A6A6"/>
            </w:tcBorders>
            <w:shd w:val="clear" w:color="auto" w:fill="auto"/>
            <w:noWrap/>
            <w:vAlign w:val="bottom"/>
            <w:hideMark/>
          </w:tcPr>
          <w:p w14:paraId="7516F9AF" w14:textId="77777777" w:rsidR="00B54F4E" w:rsidRPr="00DD7BC9" w:rsidRDefault="00B54F4E" w:rsidP="006504C4">
            <w:pPr>
              <w:spacing w:before="0" w:after="0"/>
              <w:jc w:val="left"/>
              <w:rPr>
                <w:rFonts w:ascii="Calibri" w:hAnsi="Calibri" w:cs="Calibri"/>
                <w:color w:val="000000"/>
                <w:sz w:val="20"/>
              </w:rPr>
            </w:pPr>
            <w:r w:rsidRPr="00DD7BC9">
              <w:rPr>
                <w:rFonts w:ascii="Calibri" w:hAnsi="Calibri" w:cs="Calibri"/>
                <w:color w:val="000000"/>
                <w:sz w:val="20"/>
              </w:rPr>
              <w:t>Hidro</w:t>
            </w:r>
          </w:p>
        </w:tc>
        <w:tc>
          <w:tcPr>
            <w:tcW w:w="2917" w:type="pct"/>
            <w:tcBorders>
              <w:top w:val="single" w:sz="4" w:space="0" w:color="BFBFBF"/>
              <w:left w:val="nil"/>
              <w:bottom w:val="single" w:sz="4" w:space="0" w:color="auto"/>
              <w:right w:val="nil"/>
            </w:tcBorders>
            <w:shd w:val="clear" w:color="auto" w:fill="auto"/>
            <w:noWrap/>
            <w:vAlign w:val="bottom"/>
            <w:hideMark/>
          </w:tcPr>
          <w:p w14:paraId="0D75B4B3"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USD$/MW</w:t>
            </w:r>
          </w:p>
        </w:tc>
        <w:tc>
          <w:tcPr>
            <w:tcW w:w="769" w:type="pct"/>
            <w:tcBorders>
              <w:top w:val="single" w:sz="4" w:space="0" w:color="BFBFBF"/>
              <w:left w:val="nil"/>
              <w:bottom w:val="single" w:sz="4" w:space="0" w:color="auto"/>
              <w:right w:val="single" w:sz="4" w:space="0" w:color="FFFFFF" w:themeColor="background1"/>
            </w:tcBorders>
            <w:shd w:val="clear" w:color="auto" w:fill="auto"/>
            <w:noWrap/>
            <w:vAlign w:val="bottom"/>
            <w:hideMark/>
          </w:tcPr>
          <w:p w14:paraId="77A1EFE5" w14:textId="77777777" w:rsidR="00B54F4E" w:rsidRPr="00DD7BC9" w:rsidRDefault="00B54F4E" w:rsidP="006504C4">
            <w:pPr>
              <w:spacing w:before="0" w:after="0"/>
              <w:jc w:val="center"/>
              <w:rPr>
                <w:rFonts w:ascii="Calibri" w:hAnsi="Calibri" w:cs="Calibri"/>
                <w:color w:val="000000" w:themeColor="text1"/>
                <w:sz w:val="20"/>
              </w:rPr>
            </w:pPr>
            <w:r w:rsidRPr="00DD7BC9">
              <w:rPr>
                <w:rFonts w:ascii="Calibri" w:hAnsi="Calibri" w:cs="Calibri"/>
                <w:color w:val="000000" w:themeColor="text1"/>
                <w:sz w:val="20"/>
              </w:rPr>
              <w:t>34.979</w:t>
            </w:r>
          </w:p>
        </w:tc>
      </w:tr>
    </w:tbl>
    <w:p w14:paraId="4D23B170" w14:textId="77777777" w:rsidR="00B54F4E" w:rsidRDefault="00B54F4E" w:rsidP="00B54F4E">
      <w:pPr>
        <w:spacing w:before="0" w:after="160" w:line="259" w:lineRule="auto"/>
        <w:jc w:val="left"/>
      </w:pPr>
      <w:r>
        <w:t xml:space="preserve"> </w:t>
      </w:r>
    </w:p>
    <w:p w14:paraId="6D5AE675" w14:textId="77777777" w:rsidR="00B54F4E" w:rsidRDefault="00B54F4E" w:rsidP="00B54F4E">
      <w:pPr>
        <w:spacing w:before="0" w:after="160" w:line="259" w:lineRule="auto"/>
        <w:jc w:val="left"/>
        <w:rPr>
          <w:rFonts w:ascii="Calibri" w:hAnsi="Calibri" w:cs="Calibri"/>
          <w:b/>
          <w:bCs/>
          <w:color w:val="000000"/>
          <w:sz w:val="20"/>
          <w:highlight w:val="green"/>
        </w:rPr>
        <w:sectPr w:rsidR="00B54F4E">
          <w:footerReference w:type="default" r:id="rId26"/>
          <w:pgSz w:w="12240" w:h="15840"/>
          <w:pgMar w:top="1417" w:right="1701" w:bottom="1417" w:left="1701" w:header="708" w:footer="708" w:gutter="0"/>
          <w:cols w:space="708"/>
          <w:docGrid w:linePitch="360"/>
        </w:sectPr>
      </w:pPr>
    </w:p>
    <w:p w14:paraId="53480F5D" w14:textId="77777777" w:rsidR="00B54F4E" w:rsidRDefault="00B54F4E" w:rsidP="00B54F4E">
      <w:pPr>
        <w:spacing w:before="0" w:after="160" w:line="259" w:lineRule="auto"/>
        <w:jc w:val="left"/>
        <w:rPr>
          <w:rFonts w:ascii="Calibri" w:hAnsi="Calibri" w:cs="Calibri"/>
          <w:b/>
          <w:bCs/>
          <w:color w:val="000000"/>
          <w:sz w:val="20"/>
        </w:rPr>
      </w:pPr>
      <w:r w:rsidRPr="009C1DDC">
        <w:rPr>
          <w:rFonts w:ascii="Calibri" w:hAnsi="Calibri" w:cs="Calibri"/>
          <w:b/>
          <w:bCs/>
          <w:color w:val="000000"/>
          <w:sz w:val="20"/>
        </w:rPr>
        <w:lastRenderedPageBreak/>
        <w:t>Costo del combustible para generación</w:t>
      </w:r>
    </w:p>
    <w:p w14:paraId="0E823C2E" w14:textId="77777777" w:rsidR="00B54F4E" w:rsidRDefault="00B54F4E" w:rsidP="00B54F4E">
      <w:pPr>
        <w:spacing w:before="0" w:after="160" w:line="259" w:lineRule="auto"/>
        <w:jc w:val="left"/>
        <w:rPr>
          <w:rFonts w:ascii="Calibri" w:hAnsi="Calibri" w:cs="Calibri"/>
          <w:b/>
          <w:bCs/>
          <w:color w:val="000000"/>
          <w:sz w:val="20"/>
        </w:rPr>
      </w:pPr>
    </w:p>
    <w:tbl>
      <w:tblPr>
        <w:tblW w:w="0" w:type="auto"/>
        <w:tblCellMar>
          <w:top w:w="15" w:type="dxa"/>
          <w:left w:w="70" w:type="dxa"/>
          <w:bottom w:w="15" w:type="dxa"/>
          <w:right w:w="70" w:type="dxa"/>
        </w:tblCellMar>
        <w:tblLook w:val="04A0" w:firstRow="1" w:lastRow="0" w:firstColumn="1" w:lastColumn="0" w:noHBand="0" w:noVBand="1"/>
      </w:tblPr>
      <w:tblGrid>
        <w:gridCol w:w="2760"/>
        <w:gridCol w:w="983"/>
        <w:gridCol w:w="146"/>
        <w:gridCol w:w="586"/>
        <w:gridCol w:w="586"/>
        <w:gridCol w:w="586"/>
        <w:gridCol w:w="586"/>
        <w:gridCol w:w="586"/>
        <w:gridCol w:w="586"/>
        <w:gridCol w:w="586"/>
        <w:gridCol w:w="586"/>
        <w:gridCol w:w="586"/>
        <w:gridCol w:w="586"/>
        <w:gridCol w:w="586"/>
        <w:gridCol w:w="586"/>
        <w:gridCol w:w="586"/>
        <w:gridCol w:w="586"/>
        <w:gridCol w:w="586"/>
      </w:tblGrid>
      <w:tr w:rsidR="00B54F4E" w:rsidRPr="000C7A76" w14:paraId="6B9200F9" w14:textId="77777777" w:rsidTr="006504C4">
        <w:trPr>
          <w:trHeight w:val="300"/>
        </w:trPr>
        <w:tc>
          <w:tcPr>
            <w:tcW w:w="0" w:type="auto"/>
            <w:tcBorders>
              <w:top w:val="nil"/>
              <w:left w:val="nil"/>
              <w:bottom w:val="nil"/>
              <w:right w:val="nil"/>
            </w:tcBorders>
            <w:noWrap/>
            <w:vAlign w:val="bottom"/>
            <w:hideMark/>
          </w:tcPr>
          <w:p w14:paraId="354B5893" w14:textId="77777777" w:rsidR="00B54F4E" w:rsidRPr="000C7A76" w:rsidRDefault="00B54F4E" w:rsidP="006504C4">
            <w:pPr>
              <w:spacing w:before="0" w:after="0"/>
              <w:jc w:val="left"/>
              <w:rPr>
                <w:rFonts w:ascii="Calibri" w:hAnsi="Calibri" w:cs="Calibri"/>
                <w:b/>
                <w:bCs/>
                <w:color w:val="000000"/>
                <w:sz w:val="16"/>
                <w:szCs w:val="16"/>
                <w:lang w:eastAsia="es-CO"/>
              </w:rPr>
            </w:pPr>
            <w:r w:rsidRPr="000C7A76">
              <w:rPr>
                <w:rFonts w:ascii="Calibri" w:hAnsi="Calibri" w:cs="Calibri"/>
                <w:b/>
                <w:bCs/>
                <w:color w:val="000000"/>
                <w:sz w:val="16"/>
                <w:szCs w:val="16"/>
                <w:lang w:eastAsia="es-CO"/>
              </w:rPr>
              <w:t>Costo del combustible (Costa del Golfo)</w:t>
            </w:r>
          </w:p>
        </w:tc>
        <w:tc>
          <w:tcPr>
            <w:tcW w:w="0" w:type="auto"/>
            <w:tcBorders>
              <w:top w:val="nil"/>
              <w:left w:val="nil"/>
              <w:bottom w:val="nil"/>
              <w:right w:val="nil"/>
            </w:tcBorders>
            <w:noWrap/>
            <w:vAlign w:val="bottom"/>
            <w:hideMark/>
          </w:tcPr>
          <w:p w14:paraId="2691CB28" w14:textId="77777777" w:rsidR="00B54F4E" w:rsidRPr="000C7A76" w:rsidRDefault="00B54F4E" w:rsidP="006504C4">
            <w:pPr>
              <w:spacing w:before="0" w:after="0"/>
              <w:jc w:val="left"/>
              <w:rPr>
                <w:rFonts w:ascii="Calibri" w:hAnsi="Calibri" w:cs="Calibri"/>
                <w:b/>
                <w:bCs/>
                <w:color w:val="000000"/>
                <w:sz w:val="16"/>
                <w:szCs w:val="16"/>
                <w:lang w:eastAsia="es-CO"/>
              </w:rPr>
            </w:pPr>
          </w:p>
        </w:tc>
        <w:tc>
          <w:tcPr>
            <w:tcW w:w="0" w:type="auto"/>
            <w:tcBorders>
              <w:top w:val="nil"/>
              <w:left w:val="nil"/>
              <w:bottom w:val="nil"/>
              <w:right w:val="nil"/>
            </w:tcBorders>
            <w:noWrap/>
            <w:vAlign w:val="bottom"/>
            <w:hideMark/>
          </w:tcPr>
          <w:p w14:paraId="422B8982"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1B47211D"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2016</w:t>
            </w:r>
          </w:p>
        </w:tc>
        <w:tc>
          <w:tcPr>
            <w:tcW w:w="0" w:type="auto"/>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12CE03B2"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2017</w:t>
            </w: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047072F3"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2018</w:t>
            </w:r>
          </w:p>
        </w:tc>
        <w:tc>
          <w:tcPr>
            <w:tcW w:w="0" w:type="auto"/>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68F678FD"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2019</w:t>
            </w: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528C8243"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2020</w:t>
            </w:r>
          </w:p>
        </w:tc>
        <w:tc>
          <w:tcPr>
            <w:tcW w:w="0" w:type="auto"/>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736E23F2"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2021</w:t>
            </w: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6365F26C"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2022</w:t>
            </w:r>
          </w:p>
        </w:tc>
        <w:tc>
          <w:tcPr>
            <w:tcW w:w="0" w:type="auto"/>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59120EA5"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2023</w:t>
            </w: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24C8C1FC"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2024</w:t>
            </w:r>
          </w:p>
        </w:tc>
        <w:tc>
          <w:tcPr>
            <w:tcW w:w="0" w:type="auto"/>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44C6A58E"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2025</w:t>
            </w: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13CA1D98"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2026</w:t>
            </w:r>
          </w:p>
        </w:tc>
        <w:tc>
          <w:tcPr>
            <w:tcW w:w="0" w:type="auto"/>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4BDDFE00"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2027</w:t>
            </w: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1E661F2B"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2028</w:t>
            </w:r>
          </w:p>
        </w:tc>
        <w:tc>
          <w:tcPr>
            <w:tcW w:w="0" w:type="auto"/>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4EC66DF1"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2029</w:t>
            </w:r>
          </w:p>
        </w:tc>
        <w:tc>
          <w:tcPr>
            <w:tcW w:w="0" w:type="auto"/>
            <w:tcBorders>
              <w:top w:val="single" w:sz="4" w:space="0" w:color="FFFFFF"/>
              <w:left w:val="nil"/>
              <w:bottom w:val="single" w:sz="4" w:space="0" w:color="auto"/>
              <w:right w:val="single" w:sz="4" w:space="0" w:color="FFFFFF"/>
            </w:tcBorders>
            <w:shd w:val="clear" w:color="000000" w:fill="203764"/>
            <w:noWrap/>
            <w:vAlign w:val="bottom"/>
            <w:hideMark/>
          </w:tcPr>
          <w:p w14:paraId="2D748EAB"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2030</w:t>
            </w:r>
          </w:p>
        </w:tc>
      </w:tr>
      <w:tr w:rsidR="00B54F4E" w:rsidRPr="000C7A76" w14:paraId="4B1C7805" w14:textId="77777777" w:rsidTr="006504C4">
        <w:trPr>
          <w:trHeight w:val="300"/>
        </w:trPr>
        <w:tc>
          <w:tcPr>
            <w:tcW w:w="0" w:type="auto"/>
            <w:tcBorders>
              <w:top w:val="single" w:sz="4" w:space="0" w:color="auto"/>
              <w:left w:val="nil"/>
              <w:bottom w:val="nil"/>
              <w:right w:val="nil"/>
            </w:tcBorders>
            <w:noWrap/>
            <w:vAlign w:val="bottom"/>
            <w:hideMark/>
          </w:tcPr>
          <w:p w14:paraId="5B3C3BE7" w14:textId="77777777" w:rsidR="00B54F4E" w:rsidRPr="000C7A76" w:rsidRDefault="00B54F4E" w:rsidP="006504C4">
            <w:pPr>
              <w:spacing w:before="0" w:after="0"/>
              <w:ind w:firstLineChars="100" w:firstLine="16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Distillate FO - Diesel</w:t>
            </w:r>
          </w:p>
        </w:tc>
        <w:tc>
          <w:tcPr>
            <w:tcW w:w="0" w:type="auto"/>
            <w:tcBorders>
              <w:top w:val="single" w:sz="4" w:space="0" w:color="auto"/>
              <w:left w:val="nil"/>
              <w:bottom w:val="nil"/>
              <w:right w:val="nil"/>
            </w:tcBorders>
            <w:noWrap/>
            <w:vAlign w:val="bottom"/>
            <w:hideMark/>
          </w:tcPr>
          <w:p w14:paraId="30D2F90A" w14:textId="77777777" w:rsidR="00B54F4E" w:rsidRPr="000C7A76" w:rsidRDefault="00B54F4E" w:rsidP="006504C4">
            <w:pPr>
              <w:spacing w:before="0" w:after="0"/>
              <w:ind w:firstLineChars="100" w:firstLine="160"/>
              <w:jc w:val="lef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US$/MWh</w:t>
            </w:r>
          </w:p>
        </w:tc>
        <w:tc>
          <w:tcPr>
            <w:tcW w:w="0" w:type="auto"/>
            <w:tcBorders>
              <w:top w:val="single" w:sz="4" w:space="0" w:color="auto"/>
              <w:left w:val="nil"/>
              <w:bottom w:val="nil"/>
              <w:right w:val="nil"/>
            </w:tcBorders>
            <w:noWrap/>
            <w:vAlign w:val="bottom"/>
            <w:hideMark/>
          </w:tcPr>
          <w:p w14:paraId="28A8D298" w14:textId="77777777" w:rsidR="00B54F4E" w:rsidRPr="000C7A76" w:rsidRDefault="00B54F4E" w:rsidP="006504C4">
            <w:pPr>
              <w:spacing w:before="0" w:after="0"/>
              <w:ind w:firstLineChars="100" w:firstLine="160"/>
              <w:jc w:val="left"/>
              <w:rPr>
                <w:rFonts w:ascii="Calibri" w:hAnsi="Calibri" w:cs="Calibri"/>
                <w:color w:val="0000FF"/>
                <w:sz w:val="16"/>
                <w:szCs w:val="16"/>
                <w:lang w:eastAsia="es-CO"/>
              </w:rPr>
            </w:pPr>
          </w:p>
        </w:tc>
        <w:tc>
          <w:tcPr>
            <w:tcW w:w="0" w:type="auto"/>
            <w:tcBorders>
              <w:top w:val="nil"/>
              <w:left w:val="nil"/>
              <w:bottom w:val="nil"/>
              <w:right w:val="nil"/>
            </w:tcBorders>
            <w:noWrap/>
            <w:vAlign w:val="bottom"/>
            <w:hideMark/>
          </w:tcPr>
          <w:p w14:paraId="6FA3E283"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121,73</w:t>
            </w:r>
          </w:p>
        </w:tc>
        <w:tc>
          <w:tcPr>
            <w:tcW w:w="0" w:type="auto"/>
            <w:tcBorders>
              <w:top w:val="nil"/>
              <w:left w:val="nil"/>
              <w:bottom w:val="nil"/>
              <w:right w:val="nil"/>
            </w:tcBorders>
            <w:noWrap/>
            <w:vAlign w:val="bottom"/>
            <w:hideMark/>
          </w:tcPr>
          <w:p w14:paraId="7D35BEDC"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152,24</w:t>
            </w:r>
          </w:p>
        </w:tc>
        <w:tc>
          <w:tcPr>
            <w:tcW w:w="0" w:type="auto"/>
            <w:tcBorders>
              <w:top w:val="nil"/>
              <w:left w:val="nil"/>
              <w:bottom w:val="nil"/>
              <w:right w:val="nil"/>
            </w:tcBorders>
            <w:noWrap/>
            <w:vAlign w:val="bottom"/>
            <w:hideMark/>
          </w:tcPr>
          <w:p w14:paraId="11E8071E"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166,77</w:t>
            </w:r>
          </w:p>
        </w:tc>
        <w:tc>
          <w:tcPr>
            <w:tcW w:w="0" w:type="auto"/>
            <w:tcBorders>
              <w:top w:val="nil"/>
              <w:left w:val="nil"/>
              <w:bottom w:val="nil"/>
              <w:right w:val="nil"/>
            </w:tcBorders>
            <w:noWrap/>
            <w:vAlign w:val="bottom"/>
            <w:hideMark/>
          </w:tcPr>
          <w:p w14:paraId="0D65D3DB"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186,94</w:t>
            </w:r>
          </w:p>
        </w:tc>
        <w:tc>
          <w:tcPr>
            <w:tcW w:w="0" w:type="auto"/>
            <w:tcBorders>
              <w:top w:val="nil"/>
              <w:left w:val="nil"/>
              <w:bottom w:val="nil"/>
              <w:right w:val="nil"/>
            </w:tcBorders>
            <w:noWrap/>
            <w:vAlign w:val="bottom"/>
            <w:hideMark/>
          </w:tcPr>
          <w:p w14:paraId="167D36C0"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199,92</w:t>
            </w:r>
          </w:p>
        </w:tc>
        <w:tc>
          <w:tcPr>
            <w:tcW w:w="0" w:type="auto"/>
            <w:tcBorders>
              <w:top w:val="nil"/>
              <w:left w:val="nil"/>
              <w:bottom w:val="nil"/>
              <w:right w:val="nil"/>
            </w:tcBorders>
            <w:noWrap/>
            <w:vAlign w:val="bottom"/>
            <w:hideMark/>
          </w:tcPr>
          <w:p w14:paraId="5CAA3472"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208,64</w:t>
            </w:r>
          </w:p>
        </w:tc>
        <w:tc>
          <w:tcPr>
            <w:tcW w:w="0" w:type="auto"/>
            <w:tcBorders>
              <w:top w:val="nil"/>
              <w:left w:val="nil"/>
              <w:bottom w:val="nil"/>
              <w:right w:val="nil"/>
            </w:tcBorders>
            <w:noWrap/>
            <w:vAlign w:val="bottom"/>
            <w:hideMark/>
          </w:tcPr>
          <w:p w14:paraId="08AAEB4F"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216,61</w:t>
            </w:r>
          </w:p>
        </w:tc>
        <w:tc>
          <w:tcPr>
            <w:tcW w:w="0" w:type="auto"/>
            <w:tcBorders>
              <w:top w:val="nil"/>
              <w:left w:val="nil"/>
              <w:bottom w:val="nil"/>
              <w:right w:val="nil"/>
            </w:tcBorders>
            <w:noWrap/>
            <w:vAlign w:val="bottom"/>
            <w:hideMark/>
          </w:tcPr>
          <w:p w14:paraId="2011ECC6"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220,73</w:t>
            </w:r>
          </w:p>
        </w:tc>
        <w:tc>
          <w:tcPr>
            <w:tcW w:w="0" w:type="auto"/>
            <w:tcBorders>
              <w:top w:val="nil"/>
              <w:left w:val="nil"/>
              <w:bottom w:val="nil"/>
              <w:right w:val="nil"/>
            </w:tcBorders>
            <w:noWrap/>
            <w:vAlign w:val="bottom"/>
            <w:hideMark/>
          </w:tcPr>
          <w:p w14:paraId="6AB52ECF"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225,15</w:t>
            </w:r>
          </w:p>
        </w:tc>
        <w:tc>
          <w:tcPr>
            <w:tcW w:w="0" w:type="auto"/>
            <w:tcBorders>
              <w:top w:val="nil"/>
              <w:left w:val="nil"/>
              <w:bottom w:val="nil"/>
              <w:right w:val="nil"/>
            </w:tcBorders>
            <w:noWrap/>
            <w:vAlign w:val="bottom"/>
            <w:hideMark/>
          </w:tcPr>
          <w:p w14:paraId="43D1B4F5"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232,54</w:t>
            </w:r>
          </w:p>
        </w:tc>
        <w:tc>
          <w:tcPr>
            <w:tcW w:w="0" w:type="auto"/>
            <w:tcBorders>
              <w:top w:val="nil"/>
              <w:left w:val="nil"/>
              <w:bottom w:val="nil"/>
              <w:right w:val="nil"/>
            </w:tcBorders>
            <w:noWrap/>
            <w:vAlign w:val="bottom"/>
            <w:hideMark/>
          </w:tcPr>
          <w:p w14:paraId="5F17FB36"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239,16</w:t>
            </w:r>
          </w:p>
        </w:tc>
        <w:tc>
          <w:tcPr>
            <w:tcW w:w="0" w:type="auto"/>
            <w:tcBorders>
              <w:top w:val="nil"/>
              <w:left w:val="nil"/>
              <w:bottom w:val="nil"/>
              <w:right w:val="nil"/>
            </w:tcBorders>
            <w:noWrap/>
            <w:vAlign w:val="bottom"/>
            <w:hideMark/>
          </w:tcPr>
          <w:p w14:paraId="360D2926"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242,67</w:t>
            </w:r>
          </w:p>
        </w:tc>
        <w:tc>
          <w:tcPr>
            <w:tcW w:w="0" w:type="auto"/>
            <w:tcBorders>
              <w:top w:val="nil"/>
              <w:left w:val="nil"/>
              <w:bottom w:val="nil"/>
              <w:right w:val="nil"/>
            </w:tcBorders>
            <w:noWrap/>
            <w:vAlign w:val="bottom"/>
            <w:hideMark/>
          </w:tcPr>
          <w:p w14:paraId="31F06B2D"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244,12</w:t>
            </w:r>
          </w:p>
        </w:tc>
        <w:tc>
          <w:tcPr>
            <w:tcW w:w="0" w:type="auto"/>
            <w:tcBorders>
              <w:top w:val="nil"/>
              <w:left w:val="nil"/>
              <w:bottom w:val="nil"/>
              <w:right w:val="nil"/>
            </w:tcBorders>
            <w:noWrap/>
            <w:vAlign w:val="bottom"/>
            <w:hideMark/>
          </w:tcPr>
          <w:p w14:paraId="6F4C650D"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246,96</w:t>
            </w:r>
          </w:p>
        </w:tc>
        <w:tc>
          <w:tcPr>
            <w:tcW w:w="0" w:type="auto"/>
            <w:tcBorders>
              <w:top w:val="nil"/>
              <w:left w:val="nil"/>
              <w:bottom w:val="nil"/>
              <w:right w:val="nil"/>
            </w:tcBorders>
            <w:noWrap/>
            <w:vAlign w:val="bottom"/>
            <w:hideMark/>
          </w:tcPr>
          <w:p w14:paraId="60CD9D68"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254,34</w:t>
            </w:r>
          </w:p>
        </w:tc>
      </w:tr>
      <w:tr w:rsidR="00B54F4E" w:rsidRPr="000C7A76" w14:paraId="738019AF" w14:textId="77777777" w:rsidTr="006504C4">
        <w:trPr>
          <w:trHeight w:val="300"/>
        </w:trPr>
        <w:tc>
          <w:tcPr>
            <w:tcW w:w="0" w:type="auto"/>
            <w:tcBorders>
              <w:top w:val="nil"/>
              <w:left w:val="nil"/>
              <w:bottom w:val="nil"/>
              <w:right w:val="nil"/>
            </w:tcBorders>
            <w:noWrap/>
            <w:vAlign w:val="bottom"/>
            <w:hideMark/>
          </w:tcPr>
          <w:p w14:paraId="1E353E78" w14:textId="77777777" w:rsidR="00B54F4E" w:rsidRPr="000C7A76" w:rsidRDefault="00B54F4E" w:rsidP="006504C4">
            <w:pPr>
              <w:spacing w:before="0" w:after="0"/>
              <w:ind w:firstLineChars="100" w:firstLine="16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Residual Fuel Oil - Bunker</w:t>
            </w:r>
          </w:p>
        </w:tc>
        <w:tc>
          <w:tcPr>
            <w:tcW w:w="0" w:type="auto"/>
            <w:tcBorders>
              <w:top w:val="nil"/>
              <w:left w:val="nil"/>
              <w:bottom w:val="nil"/>
              <w:right w:val="nil"/>
            </w:tcBorders>
            <w:noWrap/>
            <w:vAlign w:val="bottom"/>
            <w:hideMark/>
          </w:tcPr>
          <w:p w14:paraId="7BAA5596" w14:textId="77777777" w:rsidR="00B54F4E" w:rsidRPr="000C7A76" w:rsidRDefault="00B54F4E" w:rsidP="006504C4">
            <w:pPr>
              <w:spacing w:before="0" w:after="0"/>
              <w:ind w:firstLineChars="100" w:firstLine="160"/>
              <w:jc w:val="lef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US$/MWh</w:t>
            </w:r>
          </w:p>
        </w:tc>
        <w:tc>
          <w:tcPr>
            <w:tcW w:w="0" w:type="auto"/>
            <w:tcBorders>
              <w:top w:val="nil"/>
              <w:left w:val="nil"/>
              <w:bottom w:val="nil"/>
              <w:right w:val="nil"/>
            </w:tcBorders>
            <w:noWrap/>
            <w:vAlign w:val="bottom"/>
            <w:hideMark/>
          </w:tcPr>
          <w:p w14:paraId="50A24D15" w14:textId="77777777" w:rsidR="00B54F4E" w:rsidRPr="000C7A76" w:rsidRDefault="00B54F4E" w:rsidP="006504C4">
            <w:pPr>
              <w:spacing w:before="0" w:after="0"/>
              <w:ind w:firstLineChars="100" w:firstLine="160"/>
              <w:jc w:val="left"/>
              <w:rPr>
                <w:rFonts w:ascii="Calibri" w:hAnsi="Calibri" w:cs="Calibri"/>
                <w:color w:val="0000FF"/>
                <w:sz w:val="16"/>
                <w:szCs w:val="16"/>
                <w:lang w:eastAsia="es-CO"/>
              </w:rPr>
            </w:pPr>
          </w:p>
        </w:tc>
        <w:tc>
          <w:tcPr>
            <w:tcW w:w="0" w:type="auto"/>
            <w:tcBorders>
              <w:top w:val="nil"/>
              <w:left w:val="nil"/>
              <w:bottom w:val="nil"/>
              <w:right w:val="nil"/>
            </w:tcBorders>
            <w:noWrap/>
            <w:vAlign w:val="bottom"/>
            <w:hideMark/>
          </w:tcPr>
          <w:p w14:paraId="7D74068D"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74,86</w:t>
            </w:r>
          </w:p>
        </w:tc>
        <w:tc>
          <w:tcPr>
            <w:tcW w:w="0" w:type="auto"/>
            <w:tcBorders>
              <w:top w:val="nil"/>
              <w:left w:val="nil"/>
              <w:bottom w:val="nil"/>
              <w:right w:val="nil"/>
            </w:tcBorders>
            <w:noWrap/>
            <w:vAlign w:val="bottom"/>
            <w:hideMark/>
          </w:tcPr>
          <w:p w14:paraId="672C4CF3"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96,82</w:t>
            </w:r>
          </w:p>
        </w:tc>
        <w:tc>
          <w:tcPr>
            <w:tcW w:w="0" w:type="auto"/>
            <w:tcBorders>
              <w:top w:val="nil"/>
              <w:left w:val="nil"/>
              <w:bottom w:val="nil"/>
              <w:right w:val="nil"/>
            </w:tcBorders>
            <w:noWrap/>
            <w:vAlign w:val="bottom"/>
            <w:hideMark/>
          </w:tcPr>
          <w:p w14:paraId="2990FEB0"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97,84</w:t>
            </w:r>
          </w:p>
        </w:tc>
        <w:tc>
          <w:tcPr>
            <w:tcW w:w="0" w:type="auto"/>
            <w:tcBorders>
              <w:top w:val="nil"/>
              <w:left w:val="nil"/>
              <w:bottom w:val="nil"/>
              <w:right w:val="nil"/>
            </w:tcBorders>
            <w:noWrap/>
            <w:vAlign w:val="bottom"/>
            <w:hideMark/>
          </w:tcPr>
          <w:p w14:paraId="3A877BCE"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109,68</w:t>
            </w:r>
          </w:p>
        </w:tc>
        <w:tc>
          <w:tcPr>
            <w:tcW w:w="0" w:type="auto"/>
            <w:tcBorders>
              <w:top w:val="nil"/>
              <w:left w:val="nil"/>
              <w:bottom w:val="nil"/>
              <w:right w:val="nil"/>
            </w:tcBorders>
            <w:noWrap/>
            <w:vAlign w:val="bottom"/>
            <w:hideMark/>
          </w:tcPr>
          <w:p w14:paraId="7AA56DD1"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117,29</w:t>
            </w:r>
          </w:p>
        </w:tc>
        <w:tc>
          <w:tcPr>
            <w:tcW w:w="0" w:type="auto"/>
            <w:tcBorders>
              <w:top w:val="nil"/>
              <w:left w:val="nil"/>
              <w:bottom w:val="nil"/>
              <w:right w:val="nil"/>
            </w:tcBorders>
            <w:noWrap/>
            <w:vAlign w:val="bottom"/>
            <w:hideMark/>
          </w:tcPr>
          <w:p w14:paraId="3772DEEA"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122,41</w:t>
            </w:r>
          </w:p>
        </w:tc>
        <w:tc>
          <w:tcPr>
            <w:tcW w:w="0" w:type="auto"/>
            <w:tcBorders>
              <w:top w:val="nil"/>
              <w:left w:val="nil"/>
              <w:bottom w:val="nil"/>
              <w:right w:val="nil"/>
            </w:tcBorders>
            <w:noWrap/>
            <w:vAlign w:val="bottom"/>
            <w:hideMark/>
          </w:tcPr>
          <w:p w14:paraId="4CDE97BD"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127,09</w:t>
            </w:r>
          </w:p>
        </w:tc>
        <w:tc>
          <w:tcPr>
            <w:tcW w:w="0" w:type="auto"/>
            <w:tcBorders>
              <w:top w:val="nil"/>
              <w:left w:val="nil"/>
              <w:bottom w:val="nil"/>
              <w:right w:val="nil"/>
            </w:tcBorders>
            <w:noWrap/>
            <w:vAlign w:val="bottom"/>
            <w:hideMark/>
          </w:tcPr>
          <w:p w14:paraId="12701A9C"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129,50</w:t>
            </w:r>
          </w:p>
        </w:tc>
        <w:tc>
          <w:tcPr>
            <w:tcW w:w="0" w:type="auto"/>
            <w:tcBorders>
              <w:top w:val="nil"/>
              <w:left w:val="nil"/>
              <w:bottom w:val="nil"/>
              <w:right w:val="nil"/>
            </w:tcBorders>
            <w:noWrap/>
            <w:vAlign w:val="bottom"/>
            <w:hideMark/>
          </w:tcPr>
          <w:p w14:paraId="71B98A31"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132,09</w:t>
            </w:r>
          </w:p>
        </w:tc>
        <w:tc>
          <w:tcPr>
            <w:tcW w:w="0" w:type="auto"/>
            <w:tcBorders>
              <w:top w:val="nil"/>
              <w:left w:val="nil"/>
              <w:bottom w:val="nil"/>
              <w:right w:val="nil"/>
            </w:tcBorders>
            <w:noWrap/>
            <w:vAlign w:val="bottom"/>
            <w:hideMark/>
          </w:tcPr>
          <w:p w14:paraId="75F76A7D"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136,43</w:t>
            </w:r>
          </w:p>
        </w:tc>
        <w:tc>
          <w:tcPr>
            <w:tcW w:w="0" w:type="auto"/>
            <w:tcBorders>
              <w:top w:val="nil"/>
              <w:left w:val="nil"/>
              <w:bottom w:val="nil"/>
              <w:right w:val="nil"/>
            </w:tcBorders>
            <w:noWrap/>
            <w:vAlign w:val="bottom"/>
            <w:hideMark/>
          </w:tcPr>
          <w:p w14:paraId="2FBD44CF"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140,32</w:t>
            </w:r>
          </w:p>
        </w:tc>
        <w:tc>
          <w:tcPr>
            <w:tcW w:w="0" w:type="auto"/>
            <w:tcBorders>
              <w:top w:val="nil"/>
              <w:left w:val="nil"/>
              <w:bottom w:val="nil"/>
              <w:right w:val="nil"/>
            </w:tcBorders>
            <w:noWrap/>
            <w:vAlign w:val="bottom"/>
            <w:hideMark/>
          </w:tcPr>
          <w:p w14:paraId="0B05755F"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142,38</w:t>
            </w:r>
          </w:p>
        </w:tc>
        <w:tc>
          <w:tcPr>
            <w:tcW w:w="0" w:type="auto"/>
            <w:tcBorders>
              <w:top w:val="nil"/>
              <w:left w:val="nil"/>
              <w:bottom w:val="nil"/>
              <w:right w:val="nil"/>
            </w:tcBorders>
            <w:noWrap/>
            <w:vAlign w:val="bottom"/>
            <w:hideMark/>
          </w:tcPr>
          <w:p w14:paraId="6B746B84"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143,23</w:t>
            </w:r>
          </w:p>
        </w:tc>
        <w:tc>
          <w:tcPr>
            <w:tcW w:w="0" w:type="auto"/>
            <w:tcBorders>
              <w:top w:val="nil"/>
              <w:left w:val="nil"/>
              <w:bottom w:val="nil"/>
              <w:right w:val="nil"/>
            </w:tcBorders>
            <w:noWrap/>
            <w:vAlign w:val="bottom"/>
            <w:hideMark/>
          </w:tcPr>
          <w:p w14:paraId="6C4D9505"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144,89</w:t>
            </w:r>
          </w:p>
        </w:tc>
        <w:tc>
          <w:tcPr>
            <w:tcW w:w="0" w:type="auto"/>
            <w:tcBorders>
              <w:top w:val="nil"/>
              <w:left w:val="nil"/>
              <w:bottom w:val="nil"/>
              <w:right w:val="nil"/>
            </w:tcBorders>
            <w:noWrap/>
            <w:vAlign w:val="bottom"/>
            <w:hideMark/>
          </w:tcPr>
          <w:p w14:paraId="775ADA92"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149,22</w:t>
            </w:r>
          </w:p>
        </w:tc>
      </w:tr>
      <w:tr w:rsidR="00B54F4E" w:rsidRPr="000C7A76" w14:paraId="5B1E7F9A" w14:textId="77777777" w:rsidTr="006504C4">
        <w:trPr>
          <w:trHeight w:val="300"/>
        </w:trPr>
        <w:tc>
          <w:tcPr>
            <w:tcW w:w="0" w:type="auto"/>
            <w:tcBorders>
              <w:top w:val="nil"/>
              <w:left w:val="nil"/>
              <w:bottom w:val="nil"/>
              <w:right w:val="nil"/>
            </w:tcBorders>
            <w:noWrap/>
            <w:vAlign w:val="bottom"/>
            <w:hideMark/>
          </w:tcPr>
          <w:p w14:paraId="14663827" w14:textId="77777777" w:rsidR="00B54F4E" w:rsidRPr="000C7A76" w:rsidRDefault="00B54F4E" w:rsidP="006504C4">
            <w:pPr>
              <w:spacing w:before="0" w:after="0"/>
              <w:ind w:firstLineChars="100" w:firstLine="16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Coal - Carbon</w:t>
            </w:r>
          </w:p>
        </w:tc>
        <w:tc>
          <w:tcPr>
            <w:tcW w:w="0" w:type="auto"/>
            <w:tcBorders>
              <w:top w:val="nil"/>
              <w:left w:val="nil"/>
              <w:bottom w:val="nil"/>
              <w:right w:val="nil"/>
            </w:tcBorders>
            <w:noWrap/>
            <w:vAlign w:val="bottom"/>
            <w:hideMark/>
          </w:tcPr>
          <w:p w14:paraId="3084E119" w14:textId="77777777" w:rsidR="00B54F4E" w:rsidRPr="000C7A76" w:rsidRDefault="00B54F4E" w:rsidP="006504C4">
            <w:pPr>
              <w:spacing w:before="0" w:after="0"/>
              <w:ind w:firstLineChars="100" w:firstLine="160"/>
              <w:jc w:val="lef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US$/MWh</w:t>
            </w:r>
          </w:p>
        </w:tc>
        <w:tc>
          <w:tcPr>
            <w:tcW w:w="0" w:type="auto"/>
            <w:tcBorders>
              <w:top w:val="nil"/>
              <w:left w:val="nil"/>
              <w:bottom w:val="nil"/>
              <w:right w:val="nil"/>
            </w:tcBorders>
            <w:noWrap/>
            <w:vAlign w:val="bottom"/>
            <w:hideMark/>
          </w:tcPr>
          <w:p w14:paraId="74BC4702" w14:textId="77777777" w:rsidR="00B54F4E" w:rsidRPr="000C7A76" w:rsidRDefault="00B54F4E" w:rsidP="006504C4">
            <w:pPr>
              <w:spacing w:before="0" w:after="0"/>
              <w:ind w:firstLineChars="100" w:firstLine="160"/>
              <w:jc w:val="left"/>
              <w:rPr>
                <w:rFonts w:ascii="Calibri" w:hAnsi="Calibri" w:cs="Calibri"/>
                <w:color w:val="0000FF"/>
                <w:sz w:val="16"/>
                <w:szCs w:val="16"/>
                <w:lang w:eastAsia="es-CO"/>
              </w:rPr>
            </w:pPr>
          </w:p>
        </w:tc>
        <w:tc>
          <w:tcPr>
            <w:tcW w:w="0" w:type="auto"/>
            <w:tcBorders>
              <w:top w:val="nil"/>
              <w:left w:val="nil"/>
              <w:bottom w:val="nil"/>
              <w:right w:val="nil"/>
            </w:tcBorders>
            <w:noWrap/>
            <w:vAlign w:val="bottom"/>
            <w:hideMark/>
          </w:tcPr>
          <w:p w14:paraId="75FD0A24"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57,30</w:t>
            </w:r>
          </w:p>
        </w:tc>
        <w:tc>
          <w:tcPr>
            <w:tcW w:w="0" w:type="auto"/>
            <w:tcBorders>
              <w:top w:val="nil"/>
              <w:left w:val="nil"/>
              <w:bottom w:val="nil"/>
              <w:right w:val="nil"/>
            </w:tcBorders>
            <w:noWrap/>
            <w:vAlign w:val="bottom"/>
            <w:hideMark/>
          </w:tcPr>
          <w:p w14:paraId="077AEF02"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58,25</w:t>
            </w:r>
          </w:p>
        </w:tc>
        <w:tc>
          <w:tcPr>
            <w:tcW w:w="0" w:type="auto"/>
            <w:tcBorders>
              <w:top w:val="nil"/>
              <w:left w:val="nil"/>
              <w:bottom w:val="nil"/>
              <w:right w:val="nil"/>
            </w:tcBorders>
            <w:noWrap/>
            <w:vAlign w:val="bottom"/>
            <w:hideMark/>
          </w:tcPr>
          <w:p w14:paraId="122FD0CF"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59,19</w:t>
            </w:r>
          </w:p>
        </w:tc>
        <w:tc>
          <w:tcPr>
            <w:tcW w:w="0" w:type="auto"/>
            <w:tcBorders>
              <w:top w:val="nil"/>
              <w:left w:val="nil"/>
              <w:bottom w:val="nil"/>
              <w:right w:val="nil"/>
            </w:tcBorders>
            <w:noWrap/>
            <w:vAlign w:val="bottom"/>
            <w:hideMark/>
          </w:tcPr>
          <w:p w14:paraId="4F6A47B3"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60,14</w:t>
            </w:r>
          </w:p>
        </w:tc>
        <w:tc>
          <w:tcPr>
            <w:tcW w:w="0" w:type="auto"/>
            <w:tcBorders>
              <w:top w:val="nil"/>
              <w:left w:val="nil"/>
              <w:bottom w:val="nil"/>
              <w:right w:val="nil"/>
            </w:tcBorders>
            <w:noWrap/>
            <w:vAlign w:val="bottom"/>
            <w:hideMark/>
          </w:tcPr>
          <w:p w14:paraId="3B4D8834"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61,08</w:t>
            </w:r>
          </w:p>
        </w:tc>
        <w:tc>
          <w:tcPr>
            <w:tcW w:w="0" w:type="auto"/>
            <w:tcBorders>
              <w:top w:val="nil"/>
              <w:left w:val="nil"/>
              <w:bottom w:val="nil"/>
              <w:right w:val="nil"/>
            </w:tcBorders>
            <w:noWrap/>
            <w:vAlign w:val="bottom"/>
            <w:hideMark/>
          </w:tcPr>
          <w:p w14:paraId="286EF521"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62,03</w:t>
            </w:r>
          </w:p>
        </w:tc>
        <w:tc>
          <w:tcPr>
            <w:tcW w:w="0" w:type="auto"/>
            <w:tcBorders>
              <w:top w:val="nil"/>
              <w:left w:val="nil"/>
              <w:bottom w:val="nil"/>
              <w:right w:val="nil"/>
            </w:tcBorders>
            <w:noWrap/>
            <w:vAlign w:val="bottom"/>
            <w:hideMark/>
          </w:tcPr>
          <w:p w14:paraId="43BEBC58"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62,97</w:t>
            </w:r>
          </w:p>
        </w:tc>
        <w:tc>
          <w:tcPr>
            <w:tcW w:w="0" w:type="auto"/>
            <w:tcBorders>
              <w:top w:val="nil"/>
              <w:left w:val="nil"/>
              <w:bottom w:val="nil"/>
              <w:right w:val="nil"/>
            </w:tcBorders>
            <w:noWrap/>
            <w:vAlign w:val="bottom"/>
            <w:hideMark/>
          </w:tcPr>
          <w:p w14:paraId="074C4F25"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63,92</w:t>
            </w:r>
          </w:p>
        </w:tc>
        <w:tc>
          <w:tcPr>
            <w:tcW w:w="0" w:type="auto"/>
            <w:tcBorders>
              <w:top w:val="nil"/>
              <w:left w:val="nil"/>
              <w:bottom w:val="nil"/>
              <w:right w:val="nil"/>
            </w:tcBorders>
            <w:noWrap/>
            <w:vAlign w:val="bottom"/>
            <w:hideMark/>
          </w:tcPr>
          <w:p w14:paraId="1584E362"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64,86</w:t>
            </w:r>
          </w:p>
        </w:tc>
        <w:tc>
          <w:tcPr>
            <w:tcW w:w="0" w:type="auto"/>
            <w:tcBorders>
              <w:top w:val="nil"/>
              <w:left w:val="nil"/>
              <w:bottom w:val="nil"/>
              <w:right w:val="nil"/>
            </w:tcBorders>
            <w:noWrap/>
            <w:vAlign w:val="bottom"/>
            <w:hideMark/>
          </w:tcPr>
          <w:p w14:paraId="2613EF22"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65,81</w:t>
            </w:r>
          </w:p>
        </w:tc>
        <w:tc>
          <w:tcPr>
            <w:tcW w:w="0" w:type="auto"/>
            <w:tcBorders>
              <w:top w:val="nil"/>
              <w:left w:val="nil"/>
              <w:bottom w:val="nil"/>
              <w:right w:val="nil"/>
            </w:tcBorders>
            <w:noWrap/>
            <w:vAlign w:val="bottom"/>
            <w:hideMark/>
          </w:tcPr>
          <w:p w14:paraId="65C9BE98"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66,75</w:t>
            </w:r>
          </w:p>
        </w:tc>
        <w:tc>
          <w:tcPr>
            <w:tcW w:w="0" w:type="auto"/>
            <w:tcBorders>
              <w:top w:val="nil"/>
              <w:left w:val="nil"/>
              <w:bottom w:val="nil"/>
              <w:right w:val="nil"/>
            </w:tcBorders>
            <w:noWrap/>
            <w:vAlign w:val="bottom"/>
            <w:hideMark/>
          </w:tcPr>
          <w:p w14:paraId="07A1C5DB"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67,70</w:t>
            </w:r>
          </w:p>
        </w:tc>
        <w:tc>
          <w:tcPr>
            <w:tcW w:w="0" w:type="auto"/>
            <w:tcBorders>
              <w:top w:val="nil"/>
              <w:left w:val="nil"/>
              <w:bottom w:val="nil"/>
              <w:right w:val="nil"/>
            </w:tcBorders>
            <w:noWrap/>
            <w:vAlign w:val="bottom"/>
            <w:hideMark/>
          </w:tcPr>
          <w:p w14:paraId="643026F7"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68,64</w:t>
            </w:r>
          </w:p>
        </w:tc>
        <w:tc>
          <w:tcPr>
            <w:tcW w:w="0" w:type="auto"/>
            <w:tcBorders>
              <w:top w:val="nil"/>
              <w:left w:val="nil"/>
              <w:bottom w:val="nil"/>
              <w:right w:val="nil"/>
            </w:tcBorders>
            <w:noWrap/>
            <w:vAlign w:val="bottom"/>
            <w:hideMark/>
          </w:tcPr>
          <w:p w14:paraId="2653CBB7"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69,58</w:t>
            </w:r>
          </w:p>
        </w:tc>
        <w:tc>
          <w:tcPr>
            <w:tcW w:w="0" w:type="auto"/>
            <w:tcBorders>
              <w:top w:val="nil"/>
              <w:left w:val="nil"/>
              <w:bottom w:val="nil"/>
              <w:right w:val="nil"/>
            </w:tcBorders>
            <w:noWrap/>
            <w:vAlign w:val="bottom"/>
            <w:hideMark/>
          </w:tcPr>
          <w:p w14:paraId="77BAFA3A"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70,53</w:t>
            </w:r>
          </w:p>
        </w:tc>
      </w:tr>
      <w:tr w:rsidR="00B54F4E" w:rsidRPr="000C7A76" w14:paraId="5FD5FC32" w14:textId="77777777" w:rsidTr="006504C4">
        <w:trPr>
          <w:trHeight w:val="300"/>
        </w:trPr>
        <w:tc>
          <w:tcPr>
            <w:tcW w:w="0" w:type="auto"/>
            <w:tcBorders>
              <w:top w:val="nil"/>
              <w:left w:val="nil"/>
              <w:bottom w:val="nil"/>
              <w:right w:val="nil"/>
            </w:tcBorders>
            <w:noWrap/>
            <w:vAlign w:val="bottom"/>
            <w:hideMark/>
          </w:tcPr>
          <w:p w14:paraId="3C120C97" w14:textId="77777777" w:rsidR="00B54F4E" w:rsidRPr="00CA1430" w:rsidRDefault="00B54F4E" w:rsidP="006504C4">
            <w:pPr>
              <w:spacing w:before="0" w:after="0"/>
              <w:ind w:firstLineChars="100" w:firstLine="160"/>
              <w:jc w:val="left"/>
              <w:rPr>
                <w:rFonts w:ascii="Calibri" w:hAnsi="Calibri" w:cs="Calibri"/>
                <w:color w:val="000000"/>
                <w:sz w:val="16"/>
                <w:szCs w:val="16"/>
                <w:lang w:val="pt-BR" w:eastAsia="es-CO"/>
              </w:rPr>
            </w:pPr>
            <w:r w:rsidRPr="00CA1430">
              <w:rPr>
                <w:rFonts w:ascii="Calibri" w:hAnsi="Calibri" w:cs="Calibri"/>
                <w:color w:val="000000"/>
                <w:sz w:val="16"/>
                <w:szCs w:val="16"/>
                <w:lang w:val="pt-BR" w:eastAsia="es-CO"/>
              </w:rPr>
              <w:t>Gas Natural + L +T +R</w:t>
            </w:r>
          </w:p>
        </w:tc>
        <w:tc>
          <w:tcPr>
            <w:tcW w:w="0" w:type="auto"/>
            <w:tcBorders>
              <w:top w:val="nil"/>
              <w:left w:val="nil"/>
              <w:bottom w:val="nil"/>
              <w:right w:val="nil"/>
            </w:tcBorders>
            <w:noWrap/>
            <w:vAlign w:val="bottom"/>
            <w:hideMark/>
          </w:tcPr>
          <w:p w14:paraId="1B79C7F0" w14:textId="77777777" w:rsidR="00B54F4E" w:rsidRPr="000C7A76" w:rsidRDefault="00B54F4E" w:rsidP="006504C4">
            <w:pPr>
              <w:spacing w:before="0" w:after="0"/>
              <w:ind w:firstLineChars="100" w:firstLine="160"/>
              <w:jc w:val="lef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US$/MWh</w:t>
            </w:r>
          </w:p>
        </w:tc>
        <w:tc>
          <w:tcPr>
            <w:tcW w:w="0" w:type="auto"/>
            <w:tcBorders>
              <w:top w:val="nil"/>
              <w:left w:val="nil"/>
              <w:bottom w:val="nil"/>
              <w:right w:val="nil"/>
            </w:tcBorders>
            <w:noWrap/>
            <w:vAlign w:val="bottom"/>
            <w:hideMark/>
          </w:tcPr>
          <w:p w14:paraId="29F7F5D1" w14:textId="77777777" w:rsidR="00B54F4E" w:rsidRPr="000C7A76" w:rsidRDefault="00B54F4E" w:rsidP="006504C4">
            <w:pPr>
              <w:spacing w:before="0" w:after="0"/>
              <w:ind w:firstLineChars="100" w:firstLine="160"/>
              <w:jc w:val="left"/>
              <w:rPr>
                <w:rFonts w:ascii="Calibri" w:hAnsi="Calibri" w:cs="Calibri"/>
                <w:color w:val="0000FF"/>
                <w:sz w:val="16"/>
                <w:szCs w:val="16"/>
                <w:lang w:eastAsia="es-CO"/>
              </w:rPr>
            </w:pPr>
          </w:p>
        </w:tc>
        <w:tc>
          <w:tcPr>
            <w:tcW w:w="0" w:type="auto"/>
            <w:tcBorders>
              <w:top w:val="nil"/>
              <w:left w:val="nil"/>
              <w:bottom w:val="nil"/>
              <w:right w:val="nil"/>
            </w:tcBorders>
            <w:noWrap/>
            <w:vAlign w:val="bottom"/>
            <w:hideMark/>
          </w:tcPr>
          <w:p w14:paraId="289E0C2C"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49,53</w:t>
            </w:r>
          </w:p>
        </w:tc>
        <w:tc>
          <w:tcPr>
            <w:tcW w:w="0" w:type="auto"/>
            <w:tcBorders>
              <w:top w:val="nil"/>
              <w:left w:val="nil"/>
              <w:bottom w:val="nil"/>
              <w:right w:val="nil"/>
            </w:tcBorders>
            <w:noWrap/>
            <w:vAlign w:val="bottom"/>
            <w:hideMark/>
          </w:tcPr>
          <w:p w14:paraId="5245C522"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54,67</w:t>
            </w:r>
          </w:p>
        </w:tc>
        <w:tc>
          <w:tcPr>
            <w:tcW w:w="0" w:type="auto"/>
            <w:tcBorders>
              <w:top w:val="nil"/>
              <w:left w:val="nil"/>
              <w:bottom w:val="nil"/>
              <w:right w:val="nil"/>
            </w:tcBorders>
            <w:noWrap/>
            <w:vAlign w:val="bottom"/>
            <w:hideMark/>
          </w:tcPr>
          <w:p w14:paraId="59A87853"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57,20</w:t>
            </w:r>
          </w:p>
        </w:tc>
        <w:tc>
          <w:tcPr>
            <w:tcW w:w="0" w:type="auto"/>
            <w:tcBorders>
              <w:top w:val="nil"/>
              <w:left w:val="nil"/>
              <w:bottom w:val="nil"/>
              <w:right w:val="nil"/>
            </w:tcBorders>
            <w:noWrap/>
            <w:vAlign w:val="bottom"/>
            <w:hideMark/>
          </w:tcPr>
          <w:p w14:paraId="2F1CF33A"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61,64</w:t>
            </w:r>
          </w:p>
        </w:tc>
        <w:tc>
          <w:tcPr>
            <w:tcW w:w="0" w:type="auto"/>
            <w:tcBorders>
              <w:top w:val="nil"/>
              <w:left w:val="nil"/>
              <w:bottom w:val="nil"/>
              <w:right w:val="nil"/>
            </w:tcBorders>
            <w:noWrap/>
            <w:vAlign w:val="bottom"/>
            <w:hideMark/>
          </w:tcPr>
          <w:p w14:paraId="04ABC134"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65,91</w:t>
            </w:r>
          </w:p>
        </w:tc>
        <w:tc>
          <w:tcPr>
            <w:tcW w:w="0" w:type="auto"/>
            <w:tcBorders>
              <w:top w:val="nil"/>
              <w:left w:val="nil"/>
              <w:bottom w:val="nil"/>
              <w:right w:val="nil"/>
            </w:tcBorders>
            <w:noWrap/>
            <w:vAlign w:val="bottom"/>
            <w:hideMark/>
          </w:tcPr>
          <w:p w14:paraId="4C1FA628"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65,01</w:t>
            </w:r>
          </w:p>
        </w:tc>
        <w:tc>
          <w:tcPr>
            <w:tcW w:w="0" w:type="auto"/>
            <w:tcBorders>
              <w:top w:val="nil"/>
              <w:left w:val="nil"/>
              <w:bottom w:val="nil"/>
              <w:right w:val="nil"/>
            </w:tcBorders>
            <w:noWrap/>
            <w:vAlign w:val="bottom"/>
            <w:hideMark/>
          </w:tcPr>
          <w:p w14:paraId="75362432"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63,94</w:t>
            </w:r>
          </w:p>
        </w:tc>
        <w:tc>
          <w:tcPr>
            <w:tcW w:w="0" w:type="auto"/>
            <w:tcBorders>
              <w:top w:val="nil"/>
              <w:left w:val="nil"/>
              <w:bottom w:val="nil"/>
              <w:right w:val="nil"/>
            </w:tcBorders>
            <w:noWrap/>
            <w:vAlign w:val="bottom"/>
            <w:hideMark/>
          </w:tcPr>
          <w:p w14:paraId="39177FEF"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64,14</w:t>
            </w:r>
          </w:p>
        </w:tc>
        <w:tc>
          <w:tcPr>
            <w:tcW w:w="0" w:type="auto"/>
            <w:tcBorders>
              <w:top w:val="nil"/>
              <w:left w:val="nil"/>
              <w:bottom w:val="nil"/>
              <w:right w:val="nil"/>
            </w:tcBorders>
            <w:noWrap/>
            <w:vAlign w:val="bottom"/>
            <w:hideMark/>
          </w:tcPr>
          <w:p w14:paraId="5593D1B5"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65,19</w:t>
            </w:r>
          </w:p>
        </w:tc>
        <w:tc>
          <w:tcPr>
            <w:tcW w:w="0" w:type="auto"/>
            <w:tcBorders>
              <w:top w:val="nil"/>
              <w:left w:val="nil"/>
              <w:bottom w:val="nil"/>
              <w:right w:val="nil"/>
            </w:tcBorders>
            <w:noWrap/>
            <w:vAlign w:val="bottom"/>
            <w:hideMark/>
          </w:tcPr>
          <w:p w14:paraId="22E0FD73"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65,92</w:t>
            </w:r>
          </w:p>
        </w:tc>
        <w:tc>
          <w:tcPr>
            <w:tcW w:w="0" w:type="auto"/>
            <w:tcBorders>
              <w:top w:val="nil"/>
              <w:left w:val="nil"/>
              <w:bottom w:val="nil"/>
              <w:right w:val="nil"/>
            </w:tcBorders>
            <w:noWrap/>
            <w:vAlign w:val="bottom"/>
            <w:hideMark/>
          </w:tcPr>
          <w:p w14:paraId="2C67DF73"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66,99</w:t>
            </w:r>
          </w:p>
        </w:tc>
        <w:tc>
          <w:tcPr>
            <w:tcW w:w="0" w:type="auto"/>
            <w:tcBorders>
              <w:top w:val="nil"/>
              <w:left w:val="nil"/>
              <w:bottom w:val="nil"/>
              <w:right w:val="nil"/>
            </w:tcBorders>
            <w:noWrap/>
            <w:vAlign w:val="bottom"/>
            <w:hideMark/>
          </w:tcPr>
          <w:p w14:paraId="27F3FADF"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67,87</w:t>
            </w:r>
          </w:p>
        </w:tc>
        <w:tc>
          <w:tcPr>
            <w:tcW w:w="0" w:type="auto"/>
            <w:tcBorders>
              <w:top w:val="nil"/>
              <w:left w:val="nil"/>
              <w:bottom w:val="nil"/>
              <w:right w:val="nil"/>
            </w:tcBorders>
            <w:noWrap/>
            <w:vAlign w:val="bottom"/>
            <w:hideMark/>
          </w:tcPr>
          <w:p w14:paraId="55EC0A69"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68,74</w:t>
            </w:r>
          </w:p>
        </w:tc>
        <w:tc>
          <w:tcPr>
            <w:tcW w:w="0" w:type="auto"/>
            <w:tcBorders>
              <w:top w:val="nil"/>
              <w:left w:val="nil"/>
              <w:bottom w:val="nil"/>
              <w:right w:val="nil"/>
            </w:tcBorders>
            <w:noWrap/>
            <w:vAlign w:val="bottom"/>
            <w:hideMark/>
          </w:tcPr>
          <w:p w14:paraId="5B585055"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69,52</w:t>
            </w:r>
          </w:p>
        </w:tc>
        <w:tc>
          <w:tcPr>
            <w:tcW w:w="0" w:type="auto"/>
            <w:tcBorders>
              <w:top w:val="nil"/>
              <w:left w:val="nil"/>
              <w:bottom w:val="nil"/>
              <w:right w:val="nil"/>
            </w:tcBorders>
            <w:noWrap/>
            <w:vAlign w:val="bottom"/>
            <w:hideMark/>
          </w:tcPr>
          <w:p w14:paraId="660EC630" w14:textId="77777777" w:rsidR="00B54F4E" w:rsidRPr="000C7A76" w:rsidRDefault="00B54F4E" w:rsidP="006504C4">
            <w:pPr>
              <w:spacing w:before="0" w:after="0"/>
              <w:jc w:val="right"/>
              <w:rPr>
                <w:rFonts w:ascii="Calibri" w:hAnsi="Calibri" w:cs="Calibri"/>
                <w:color w:val="000000"/>
                <w:sz w:val="16"/>
                <w:szCs w:val="16"/>
                <w:lang w:eastAsia="es-CO"/>
              </w:rPr>
            </w:pPr>
            <w:r w:rsidRPr="000C7A76">
              <w:rPr>
                <w:rFonts w:ascii="Calibri" w:hAnsi="Calibri" w:cs="Calibri"/>
                <w:color w:val="000000"/>
                <w:sz w:val="16"/>
                <w:szCs w:val="16"/>
                <w:lang w:eastAsia="es-CO"/>
              </w:rPr>
              <w:t>69,86</w:t>
            </w:r>
          </w:p>
        </w:tc>
      </w:tr>
      <w:tr w:rsidR="00B54F4E" w:rsidRPr="000C7A76" w14:paraId="0ED00A51" w14:textId="77777777" w:rsidTr="006504C4">
        <w:trPr>
          <w:trHeight w:val="300"/>
        </w:trPr>
        <w:tc>
          <w:tcPr>
            <w:tcW w:w="0" w:type="auto"/>
            <w:tcBorders>
              <w:top w:val="nil"/>
              <w:left w:val="nil"/>
              <w:bottom w:val="single" w:sz="4" w:space="0" w:color="auto"/>
              <w:right w:val="nil"/>
            </w:tcBorders>
            <w:noWrap/>
            <w:vAlign w:val="bottom"/>
            <w:hideMark/>
          </w:tcPr>
          <w:p w14:paraId="2F39056C" w14:textId="77777777" w:rsidR="00B54F4E" w:rsidRPr="000C7A76" w:rsidRDefault="00B54F4E" w:rsidP="006504C4">
            <w:pPr>
              <w:spacing w:before="0" w:after="0"/>
              <w:jc w:val="right"/>
              <w:rPr>
                <w:rFonts w:ascii="Calibri" w:hAnsi="Calibri" w:cs="Calibri"/>
                <w:color w:val="000000"/>
                <w:sz w:val="16"/>
                <w:szCs w:val="16"/>
                <w:lang w:eastAsia="es-CO"/>
              </w:rPr>
            </w:pPr>
          </w:p>
        </w:tc>
        <w:tc>
          <w:tcPr>
            <w:tcW w:w="0" w:type="auto"/>
            <w:tcBorders>
              <w:top w:val="nil"/>
              <w:left w:val="nil"/>
              <w:bottom w:val="single" w:sz="4" w:space="0" w:color="auto"/>
              <w:right w:val="nil"/>
            </w:tcBorders>
            <w:noWrap/>
            <w:vAlign w:val="bottom"/>
            <w:hideMark/>
          </w:tcPr>
          <w:p w14:paraId="3991D25B" w14:textId="77777777" w:rsidR="00B54F4E" w:rsidRPr="000C7A76" w:rsidRDefault="00B54F4E" w:rsidP="006504C4">
            <w:pPr>
              <w:spacing w:before="0" w:after="0"/>
              <w:ind w:firstLineChars="100" w:firstLine="16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2A3FC9E5" w14:textId="77777777" w:rsidR="00B54F4E" w:rsidRPr="000C7A76" w:rsidRDefault="00B54F4E" w:rsidP="006504C4">
            <w:pPr>
              <w:spacing w:before="0" w:after="0"/>
              <w:ind w:firstLineChars="100" w:firstLine="16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6C31320D" w14:textId="77777777" w:rsidR="00B54F4E" w:rsidRPr="000C7A76" w:rsidRDefault="00B54F4E" w:rsidP="006504C4">
            <w:pPr>
              <w:spacing w:before="0" w:after="0"/>
              <w:ind w:firstLineChars="100" w:firstLine="16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365A1116"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384E5647"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3050C11A"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250CDE16"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79B0AB16"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09A05492"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66D915F7"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312C9606"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1684303C"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683B2F48"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4191D3EB"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127BB464"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2EC427E3" w14:textId="77777777" w:rsidR="00B54F4E" w:rsidRPr="000C7A76" w:rsidRDefault="00B54F4E" w:rsidP="006504C4">
            <w:pPr>
              <w:spacing w:before="0" w:after="0"/>
              <w:jc w:val="left"/>
              <w:rPr>
                <w:rFonts w:ascii="Times New Roman" w:hAnsi="Times New Roman"/>
                <w:sz w:val="16"/>
                <w:szCs w:val="16"/>
                <w:lang w:eastAsia="es-CO"/>
              </w:rPr>
            </w:pPr>
          </w:p>
        </w:tc>
        <w:tc>
          <w:tcPr>
            <w:tcW w:w="0" w:type="auto"/>
            <w:tcBorders>
              <w:top w:val="nil"/>
              <w:left w:val="nil"/>
              <w:bottom w:val="single" w:sz="4" w:space="0" w:color="auto"/>
              <w:right w:val="nil"/>
            </w:tcBorders>
            <w:noWrap/>
            <w:vAlign w:val="bottom"/>
            <w:hideMark/>
          </w:tcPr>
          <w:p w14:paraId="363AF4D9" w14:textId="77777777" w:rsidR="00B54F4E" w:rsidRPr="000C7A76" w:rsidRDefault="00B54F4E" w:rsidP="006504C4">
            <w:pPr>
              <w:spacing w:before="0" w:after="0"/>
              <w:jc w:val="left"/>
              <w:rPr>
                <w:rFonts w:ascii="Times New Roman" w:hAnsi="Times New Roman"/>
                <w:sz w:val="16"/>
                <w:szCs w:val="16"/>
                <w:lang w:eastAsia="es-CO"/>
              </w:rPr>
            </w:pPr>
          </w:p>
        </w:tc>
      </w:tr>
    </w:tbl>
    <w:p w14:paraId="5E2884F7" w14:textId="77777777" w:rsidR="00B54F4E" w:rsidRDefault="00B54F4E" w:rsidP="00B54F4E">
      <w:pPr>
        <w:spacing w:before="0" w:after="160" w:line="259" w:lineRule="auto"/>
        <w:jc w:val="left"/>
        <w:rPr>
          <w:rFonts w:ascii="Calibri" w:hAnsi="Calibri" w:cs="Calibri"/>
          <w:b/>
          <w:bCs/>
          <w:color w:val="000000"/>
          <w:sz w:val="20"/>
        </w:rPr>
      </w:pPr>
      <w:r>
        <w:rPr>
          <w:rFonts w:ascii="Calibri" w:hAnsi="Calibri" w:cs="Calibri"/>
          <w:b/>
          <w:bCs/>
          <w:color w:val="000000"/>
          <w:sz w:val="20"/>
        </w:rPr>
        <w:br w:type="page"/>
      </w:r>
    </w:p>
    <w:p w14:paraId="5381D2C4" w14:textId="77777777" w:rsidR="00B54F4E" w:rsidRDefault="00B54F4E" w:rsidP="00B54F4E">
      <w:pPr>
        <w:spacing w:before="0" w:after="160" w:line="259" w:lineRule="auto"/>
        <w:jc w:val="left"/>
        <w:rPr>
          <w:rFonts w:ascii="Calibri" w:hAnsi="Calibri" w:cs="Calibri"/>
          <w:b/>
          <w:bCs/>
          <w:color w:val="000000"/>
          <w:sz w:val="20"/>
        </w:rPr>
      </w:pPr>
      <w:r w:rsidRPr="009C1DDC">
        <w:rPr>
          <w:rFonts w:ascii="Calibri" w:hAnsi="Calibri" w:cs="Calibri"/>
          <w:b/>
          <w:bCs/>
          <w:color w:val="000000"/>
          <w:sz w:val="20"/>
        </w:rPr>
        <w:lastRenderedPageBreak/>
        <w:t>Generación anual por tipo de tecnología</w:t>
      </w:r>
    </w:p>
    <w:tbl>
      <w:tblPr>
        <w:tblW w:w="5000" w:type="pct"/>
        <w:tblCellMar>
          <w:top w:w="15" w:type="dxa"/>
          <w:left w:w="70" w:type="dxa"/>
          <w:bottom w:w="15" w:type="dxa"/>
          <w:right w:w="70" w:type="dxa"/>
        </w:tblCellMar>
        <w:tblLook w:val="04A0" w:firstRow="1" w:lastRow="0" w:firstColumn="1" w:lastColumn="0" w:noHBand="0" w:noVBand="1"/>
      </w:tblPr>
      <w:tblGrid>
        <w:gridCol w:w="3150"/>
        <w:gridCol w:w="575"/>
        <w:gridCol w:w="161"/>
        <w:gridCol w:w="609"/>
        <w:gridCol w:w="265"/>
        <w:gridCol w:w="343"/>
        <w:gridCol w:w="244"/>
        <w:gridCol w:w="364"/>
        <w:gridCol w:w="224"/>
        <w:gridCol w:w="385"/>
        <w:gridCol w:w="203"/>
        <w:gridCol w:w="406"/>
        <w:gridCol w:w="182"/>
        <w:gridCol w:w="427"/>
        <w:gridCol w:w="161"/>
        <w:gridCol w:w="447"/>
        <w:gridCol w:w="140"/>
        <w:gridCol w:w="468"/>
        <w:gridCol w:w="120"/>
        <w:gridCol w:w="489"/>
        <w:gridCol w:w="99"/>
        <w:gridCol w:w="510"/>
        <w:gridCol w:w="78"/>
        <w:gridCol w:w="531"/>
        <w:gridCol w:w="57"/>
        <w:gridCol w:w="551"/>
        <w:gridCol w:w="36"/>
        <w:gridCol w:w="572"/>
        <w:gridCol w:w="16"/>
        <w:gridCol w:w="593"/>
        <w:gridCol w:w="598"/>
      </w:tblGrid>
      <w:tr w:rsidR="00B54F4E" w:rsidRPr="000C7A76" w14:paraId="27C3CFE6" w14:textId="77777777" w:rsidTr="006504C4">
        <w:trPr>
          <w:trHeight w:val="300"/>
        </w:trPr>
        <w:tc>
          <w:tcPr>
            <w:tcW w:w="1211" w:type="pct"/>
            <w:tcBorders>
              <w:top w:val="nil"/>
              <w:left w:val="nil"/>
              <w:bottom w:val="nil"/>
              <w:right w:val="nil"/>
            </w:tcBorders>
            <w:noWrap/>
            <w:vAlign w:val="bottom"/>
            <w:hideMark/>
          </w:tcPr>
          <w:p w14:paraId="367F9DA5" w14:textId="77777777" w:rsidR="00B54F4E" w:rsidRPr="000C7A76" w:rsidRDefault="00B54F4E" w:rsidP="006504C4">
            <w:pPr>
              <w:spacing w:before="0" w:after="0"/>
              <w:jc w:val="left"/>
              <w:rPr>
                <w:rFonts w:ascii="Calibri" w:hAnsi="Calibri" w:cs="Calibri"/>
                <w:b/>
                <w:bCs/>
                <w:color w:val="000000"/>
                <w:sz w:val="16"/>
                <w:szCs w:val="22"/>
                <w:lang w:eastAsia="es-CO"/>
              </w:rPr>
            </w:pPr>
            <w:r w:rsidRPr="000C7A76">
              <w:rPr>
                <w:rFonts w:ascii="Calibri" w:hAnsi="Calibri" w:cs="Calibri"/>
                <w:b/>
                <w:bCs/>
                <w:color w:val="000000"/>
                <w:sz w:val="16"/>
                <w:szCs w:val="22"/>
                <w:lang w:eastAsia="es-CO"/>
              </w:rPr>
              <w:t>Generación por tipo - Escenario de referencia</w:t>
            </w:r>
          </w:p>
        </w:tc>
        <w:tc>
          <w:tcPr>
            <w:tcW w:w="221" w:type="pct"/>
            <w:tcBorders>
              <w:top w:val="nil"/>
              <w:left w:val="nil"/>
              <w:bottom w:val="nil"/>
              <w:right w:val="nil"/>
            </w:tcBorders>
            <w:noWrap/>
            <w:vAlign w:val="bottom"/>
            <w:hideMark/>
          </w:tcPr>
          <w:p w14:paraId="58CF80C2" w14:textId="77777777" w:rsidR="00B54F4E" w:rsidRPr="000C7A76" w:rsidRDefault="00B54F4E" w:rsidP="006504C4">
            <w:pPr>
              <w:spacing w:before="0" w:after="0"/>
              <w:jc w:val="left"/>
              <w:rPr>
                <w:rFonts w:ascii="Calibri" w:hAnsi="Calibri" w:cs="Calibri"/>
                <w:b/>
                <w:bCs/>
                <w:color w:val="000000"/>
                <w:sz w:val="16"/>
                <w:szCs w:val="22"/>
                <w:lang w:eastAsia="es-CO"/>
              </w:rPr>
            </w:pPr>
          </w:p>
        </w:tc>
        <w:tc>
          <w:tcPr>
            <w:tcW w:w="62" w:type="pct"/>
            <w:tcBorders>
              <w:top w:val="nil"/>
              <w:left w:val="nil"/>
              <w:bottom w:val="nil"/>
              <w:right w:val="nil"/>
            </w:tcBorders>
            <w:noWrap/>
            <w:vAlign w:val="bottom"/>
            <w:hideMark/>
          </w:tcPr>
          <w:p w14:paraId="2B8B66B3" w14:textId="77777777" w:rsidR="00B54F4E" w:rsidRPr="000C7A76" w:rsidRDefault="00B54F4E" w:rsidP="006504C4">
            <w:pPr>
              <w:spacing w:before="0" w:after="0"/>
              <w:jc w:val="left"/>
              <w:rPr>
                <w:rFonts w:ascii="Times New Roman" w:hAnsi="Times New Roman"/>
                <w:sz w:val="16"/>
                <w:lang w:eastAsia="es-CO"/>
              </w:rPr>
            </w:pPr>
          </w:p>
        </w:tc>
        <w:tc>
          <w:tcPr>
            <w:tcW w:w="336" w:type="pct"/>
            <w:gridSpan w:val="2"/>
            <w:tcBorders>
              <w:top w:val="nil"/>
              <w:left w:val="nil"/>
              <w:bottom w:val="nil"/>
              <w:right w:val="nil"/>
            </w:tcBorders>
            <w:noWrap/>
            <w:vAlign w:val="bottom"/>
            <w:hideMark/>
          </w:tcPr>
          <w:p w14:paraId="1DEF9ACD"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0C125FAD"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37ED21FA"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1F3D3B28"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0B131E03"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77732092"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16B565D2"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480FE89A"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255B4872"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39F6F17D"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519B2B77"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48DF5304"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3A8091AD" w14:textId="77777777" w:rsidR="00B54F4E" w:rsidRPr="000C7A76" w:rsidRDefault="00B54F4E" w:rsidP="006504C4">
            <w:pPr>
              <w:spacing w:before="0" w:after="0"/>
              <w:jc w:val="left"/>
              <w:rPr>
                <w:rFonts w:ascii="Times New Roman" w:hAnsi="Times New Roman"/>
                <w:sz w:val="16"/>
                <w:lang w:eastAsia="es-CO"/>
              </w:rPr>
            </w:pPr>
          </w:p>
        </w:tc>
        <w:tc>
          <w:tcPr>
            <w:tcW w:w="226" w:type="pct"/>
            <w:tcBorders>
              <w:top w:val="nil"/>
              <w:left w:val="nil"/>
              <w:bottom w:val="nil"/>
              <w:right w:val="nil"/>
            </w:tcBorders>
            <w:noWrap/>
            <w:vAlign w:val="bottom"/>
            <w:hideMark/>
          </w:tcPr>
          <w:p w14:paraId="71616FCA" w14:textId="77777777" w:rsidR="00B54F4E" w:rsidRPr="000C7A76" w:rsidRDefault="00B54F4E" w:rsidP="006504C4">
            <w:pPr>
              <w:spacing w:before="0" w:after="0"/>
              <w:jc w:val="left"/>
              <w:rPr>
                <w:rFonts w:ascii="Times New Roman" w:hAnsi="Times New Roman"/>
                <w:sz w:val="16"/>
                <w:lang w:eastAsia="es-CO"/>
              </w:rPr>
            </w:pPr>
          </w:p>
        </w:tc>
        <w:tc>
          <w:tcPr>
            <w:tcW w:w="226" w:type="pct"/>
            <w:tcBorders>
              <w:top w:val="nil"/>
              <w:left w:val="nil"/>
              <w:bottom w:val="nil"/>
              <w:right w:val="nil"/>
            </w:tcBorders>
            <w:noWrap/>
            <w:vAlign w:val="bottom"/>
            <w:hideMark/>
          </w:tcPr>
          <w:p w14:paraId="420A7F56" w14:textId="77777777" w:rsidR="00B54F4E" w:rsidRPr="000C7A76" w:rsidRDefault="00B54F4E" w:rsidP="006504C4">
            <w:pPr>
              <w:spacing w:before="0" w:after="0"/>
              <w:jc w:val="left"/>
              <w:rPr>
                <w:rFonts w:ascii="Times New Roman" w:hAnsi="Times New Roman"/>
                <w:sz w:val="16"/>
                <w:lang w:eastAsia="es-CO"/>
              </w:rPr>
            </w:pPr>
          </w:p>
        </w:tc>
      </w:tr>
      <w:tr w:rsidR="00B54F4E" w:rsidRPr="000C7A76" w14:paraId="0D428F99" w14:textId="77777777" w:rsidTr="006504C4">
        <w:trPr>
          <w:trHeight w:val="300"/>
        </w:trPr>
        <w:tc>
          <w:tcPr>
            <w:tcW w:w="1211" w:type="pct"/>
            <w:tcBorders>
              <w:top w:val="nil"/>
              <w:left w:val="nil"/>
              <w:bottom w:val="nil"/>
              <w:right w:val="nil"/>
            </w:tcBorders>
            <w:noWrap/>
            <w:vAlign w:val="bottom"/>
            <w:hideMark/>
          </w:tcPr>
          <w:p w14:paraId="1E0B733D" w14:textId="77777777" w:rsidR="00B54F4E" w:rsidRPr="000C7A76" w:rsidRDefault="00B54F4E" w:rsidP="006504C4">
            <w:pPr>
              <w:spacing w:before="0" w:after="0"/>
              <w:jc w:val="left"/>
              <w:rPr>
                <w:rFonts w:ascii="Calibri" w:hAnsi="Calibri" w:cs="Calibri"/>
                <w:b/>
                <w:bCs/>
                <w:color w:val="000000"/>
                <w:sz w:val="16"/>
                <w:szCs w:val="22"/>
                <w:lang w:eastAsia="es-CO"/>
              </w:rPr>
            </w:pPr>
            <w:r w:rsidRPr="000C7A76">
              <w:rPr>
                <w:rFonts w:ascii="Calibri" w:hAnsi="Calibri" w:cs="Calibri"/>
                <w:b/>
                <w:bCs/>
                <w:color w:val="000000"/>
                <w:sz w:val="16"/>
                <w:szCs w:val="22"/>
                <w:lang w:eastAsia="es-CO"/>
              </w:rPr>
              <w:t>(GWh-Año)</w:t>
            </w:r>
          </w:p>
        </w:tc>
        <w:tc>
          <w:tcPr>
            <w:tcW w:w="221" w:type="pct"/>
            <w:tcBorders>
              <w:top w:val="nil"/>
              <w:left w:val="nil"/>
              <w:bottom w:val="nil"/>
              <w:right w:val="nil"/>
            </w:tcBorders>
            <w:noWrap/>
            <w:vAlign w:val="bottom"/>
            <w:hideMark/>
          </w:tcPr>
          <w:p w14:paraId="3850A5FB" w14:textId="77777777" w:rsidR="00B54F4E" w:rsidRPr="000C7A76" w:rsidRDefault="00B54F4E" w:rsidP="006504C4">
            <w:pPr>
              <w:spacing w:before="0" w:after="0"/>
              <w:jc w:val="left"/>
              <w:rPr>
                <w:rFonts w:ascii="Calibri" w:hAnsi="Calibri" w:cs="Calibri"/>
                <w:b/>
                <w:bCs/>
                <w:color w:val="000000"/>
                <w:sz w:val="16"/>
                <w:szCs w:val="22"/>
                <w:lang w:eastAsia="es-CO"/>
              </w:rPr>
            </w:pPr>
          </w:p>
        </w:tc>
        <w:tc>
          <w:tcPr>
            <w:tcW w:w="62" w:type="pct"/>
            <w:tcBorders>
              <w:top w:val="nil"/>
              <w:left w:val="nil"/>
              <w:bottom w:val="nil"/>
              <w:right w:val="nil"/>
            </w:tcBorders>
            <w:noWrap/>
            <w:vAlign w:val="bottom"/>
            <w:hideMark/>
          </w:tcPr>
          <w:p w14:paraId="08FC5837" w14:textId="77777777" w:rsidR="00B54F4E" w:rsidRPr="000C7A76" w:rsidRDefault="00B54F4E" w:rsidP="006504C4">
            <w:pPr>
              <w:spacing w:before="0" w:after="0"/>
              <w:jc w:val="left"/>
              <w:rPr>
                <w:rFonts w:ascii="Times New Roman" w:hAnsi="Times New Roman"/>
                <w:sz w:val="16"/>
                <w:lang w:eastAsia="es-CO"/>
              </w:rPr>
            </w:pPr>
          </w:p>
        </w:tc>
        <w:tc>
          <w:tcPr>
            <w:tcW w:w="336" w:type="pct"/>
            <w:gridSpan w:val="2"/>
            <w:tcBorders>
              <w:top w:val="nil"/>
              <w:left w:val="nil"/>
              <w:bottom w:val="nil"/>
              <w:right w:val="nil"/>
            </w:tcBorders>
            <w:noWrap/>
            <w:vAlign w:val="bottom"/>
            <w:hideMark/>
          </w:tcPr>
          <w:p w14:paraId="53D0FB23"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133F60A8"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016BD8F0"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216E22BE"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1937854E"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0201BBBF"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178C4546"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7B4A5712"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6DFB556B"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5E08E67A"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167EB2DC"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15A061EA" w14:textId="77777777" w:rsidR="00B54F4E" w:rsidRPr="000C7A76" w:rsidRDefault="00B54F4E" w:rsidP="006504C4">
            <w:pPr>
              <w:spacing w:before="0" w:after="0"/>
              <w:jc w:val="left"/>
              <w:rPr>
                <w:rFonts w:ascii="Times New Roman" w:hAnsi="Times New Roman"/>
                <w:sz w:val="16"/>
                <w:lang w:eastAsia="es-CO"/>
              </w:rPr>
            </w:pPr>
          </w:p>
        </w:tc>
        <w:tc>
          <w:tcPr>
            <w:tcW w:w="226" w:type="pct"/>
            <w:gridSpan w:val="2"/>
            <w:tcBorders>
              <w:top w:val="nil"/>
              <w:left w:val="nil"/>
              <w:bottom w:val="nil"/>
              <w:right w:val="nil"/>
            </w:tcBorders>
            <w:noWrap/>
            <w:vAlign w:val="bottom"/>
            <w:hideMark/>
          </w:tcPr>
          <w:p w14:paraId="44D90621" w14:textId="77777777" w:rsidR="00B54F4E" w:rsidRPr="000C7A76" w:rsidRDefault="00B54F4E" w:rsidP="006504C4">
            <w:pPr>
              <w:spacing w:before="0" w:after="0"/>
              <w:jc w:val="left"/>
              <w:rPr>
                <w:rFonts w:ascii="Times New Roman" w:hAnsi="Times New Roman"/>
                <w:sz w:val="16"/>
                <w:lang w:eastAsia="es-CO"/>
              </w:rPr>
            </w:pPr>
          </w:p>
        </w:tc>
        <w:tc>
          <w:tcPr>
            <w:tcW w:w="226" w:type="pct"/>
            <w:tcBorders>
              <w:top w:val="nil"/>
              <w:left w:val="nil"/>
              <w:bottom w:val="nil"/>
              <w:right w:val="nil"/>
            </w:tcBorders>
            <w:noWrap/>
            <w:vAlign w:val="bottom"/>
            <w:hideMark/>
          </w:tcPr>
          <w:p w14:paraId="54CCFBB3" w14:textId="77777777" w:rsidR="00B54F4E" w:rsidRPr="000C7A76" w:rsidRDefault="00B54F4E" w:rsidP="006504C4">
            <w:pPr>
              <w:spacing w:before="0" w:after="0"/>
              <w:jc w:val="left"/>
              <w:rPr>
                <w:rFonts w:ascii="Times New Roman" w:hAnsi="Times New Roman"/>
                <w:sz w:val="16"/>
                <w:lang w:eastAsia="es-CO"/>
              </w:rPr>
            </w:pPr>
          </w:p>
        </w:tc>
        <w:tc>
          <w:tcPr>
            <w:tcW w:w="226" w:type="pct"/>
            <w:tcBorders>
              <w:top w:val="nil"/>
              <w:left w:val="nil"/>
              <w:bottom w:val="nil"/>
              <w:right w:val="nil"/>
            </w:tcBorders>
            <w:noWrap/>
            <w:vAlign w:val="bottom"/>
            <w:hideMark/>
          </w:tcPr>
          <w:p w14:paraId="56E0E874" w14:textId="77777777" w:rsidR="00B54F4E" w:rsidRPr="000C7A76" w:rsidRDefault="00B54F4E" w:rsidP="006504C4">
            <w:pPr>
              <w:spacing w:before="0" w:after="0"/>
              <w:jc w:val="left"/>
              <w:rPr>
                <w:rFonts w:ascii="Times New Roman" w:hAnsi="Times New Roman"/>
                <w:sz w:val="16"/>
                <w:lang w:eastAsia="es-CO"/>
              </w:rPr>
            </w:pPr>
          </w:p>
        </w:tc>
      </w:tr>
      <w:tr w:rsidR="00B54F4E" w:rsidRPr="000C7A76" w14:paraId="5AE9A948" w14:textId="77777777" w:rsidTr="006504C4">
        <w:trPr>
          <w:trHeight w:val="300"/>
        </w:trPr>
        <w:tc>
          <w:tcPr>
            <w:tcW w:w="1211" w:type="pct"/>
            <w:tcBorders>
              <w:top w:val="nil"/>
              <w:left w:val="nil"/>
              <w:bottom w:val="single" w:sz="4" w:space="0" w:color="auto"/>
              <w:right w:val="nil"/>
            </w:tcBorders>
            <w:noWrap/>
            <w:vAlign w:val="bottom"/>
            <w:hideMark/>
          </w:tcPr>
          <w:p w14:paraId="4D8B91CF" w14:textId="77777777" w:rsidR="00B54F4E" w:rsidRPr="000C7A76" w:rsidRDefault="00B54F4E" w:rsidP="006504C4">
            <w:pPr>
              <w:spacing w:before="0" w:after="0"/>
              <w:jc w:val="left"/>
              <w:rPr>
                <w:rFonts w:ascii="Times New Roman" w:hAnsi="Times New Roman"/>
                <w:sz w:val="16"/>
                <w:lang w:eastAsia="es-CO"/>
              </w:rPr>
            </w:pPr>
          </w:p>
        </w:tc>
        <w:tc>
          <w:tcPr>
            <w:tcW w:w="221" w:type="pct"/>
            <w:tcBorders>
              <w:top w:val="nil"/>
              <w:left w:val="nil"/>
              <w:bottom w:val="single" w:sz="4" w:space="0" w:color="auto"/>
              <w:right w:val="nil"/>
            </w:tcBorders>
            <w:noWrap/>
            <w:vAlign w:val="bottom"/>
            <w:hideMark/>
          </w:tcPr>
          <w:p w14:paraId="7E6598FF" w14:textId="77777777" w:rsidR="00B54F4E" w:rsidRPr="000C7A76" w:rsidRDefault="00B54F4E" w:rsidP="006504C4">
            <w:pPr>
              <w:spacing w:before="0" w:after="0"/>
              <w:jc w:val="left"/>
              <w:rPr>
                <w:rFonts w:ascii="Times New Roman" w:hAnsi="Times New Roman"/>
                <w:sz w:val="16"/>
                <w:lang w:eastAsia="es-CO"/>
              </w:rPr>
            </w:pPr>
          </w:p>
        </w:tc>
        <w:tc>
          <w:tcPr>
            <w:tcW w:w="62" w:type="pct"/>
            <w:tcBorders>
              <w:top w:val="nil"/>
              <w:left w:val="nil"/>
              <w:bottom w:val="single" w:sz="4" w:space="0" w:color="auto"/>
              <w:right w:val="nil"/>
            </w:tcBorders>
            <w:noWrap/>
            <w:vAlign w:val="bottom"/>
            <w:hideMark/>
          </w:tcPr>
          <w:p w14:paraId="1AAB76EF"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single" w:sz="4" w:space="0" w:color="FFFFFF"/>
              <w:left w:val="nil"/>
              <w:bottom w:val="single" w:sz="4" w:space="0" w:color="auto"/>
              <w:right w:val="single" w:sz="4" w:space="0" w:color="FFFFFF"/>
            </w:tcBorders>
            <w:shd w:val="clear" w:color="000000" w:fill="203764"/>
            <w:noWrap/>
            <w:vAlign w:val="bottom"/>
            <w:hideMark/>
          </w:tcPr>
          <w:p w14:paraId="3EFE71E3"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2016</w:t>
            </w:r>
          </w:p>
        </w:tc>
        <w:tc>
          <w:tcPr>
            <w:tcW w:w="234"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4263DABF"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2017</w:t>
            </w:r>
          </w:p>
        </w:tc>
        <w:tc>
          <w:tcPr>
            <w:tcW w:w="234"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0BCB9D98"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2018</w:t>
            </w:r>
          </w:p>
        </w:tc>
        <w:tc>
          <w:tcPr>
            <w:tcW w:w="234"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1D697948"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2019</w:t>
            </w:r>
          </w:p>
        </w:tc>
        <w:tc>
          <w:tcPr>
            <w:tcW w:w="234"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25E874F"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2020</w:t>
            </w:r>
          </w:p>
        </w:tc>
        <w:tc>
          <w:tcPr>
            <w:tcW w:w="234"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2F79DED5"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2021</w:t>
            </w:r>
          </w:p>
        </w:tc>
        <w:tc>
          <w:tcPr>
            <w:tcW w:w="234"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7166520A"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2022</w:t>
            </w:r>
          </w:p>
        </w:tc>
        <w:tc>
          <w:tcPr>
            <w:tcW w:w="234"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7D664077"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2023</w:t>
            </w:r>
          </w:p>
        </w:tc>
        <w:tc>
          <w:tcPr>
            <w:tcW w:w="234"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6C418BB"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2024</w:t>
            </w:r>
          </w:p>
        </w:tc>
        <w:tc>
          <w:tcPr>
            <w:tcW w:w="234"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3BF58F62"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2025</w:t>
            </w:r>
          </w:p>
        </w:tc>
        <w:tc>
          <w:tcPr>
            <w:tcW w:w="234"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568A6716"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2026</w:t>
            </w:r>
          </w:p>
        </w:tc>
        <w:tc>
          <w:tcPr>
            <w:tcW w:w="234"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16A19195"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2027</w:t>
            </w:r>
          </w:p>
        </w:tc>
        <w:tc>
          <w:tcPr>
            <w:tcW w:w="234" w:type="pct"/>
            <w:gridSpan w:val="2"/>
            <w:tcBorders>
              <w:top w:val="single" w:sz="4" w:space="0" w:color="FFFFFF"/>
              <w:left w:val="nil"/>
              <w:bottom w:val="single" w:sz="4" w:space="0" w:color="auto"/>
              <w:right w:val="single" w:sz="4" w:space="0" w:color="FFFFFF"/>
            </w:tcBorders>
            <w:shd w:val="clear" w:color="000000" w:fill="203764"/>
            <w:noWrap/>
            <w:vAlign w:val="bottom"/>
            <w:hideMark/>
          </w:tcPr>
          <w:p w14:paraId="4F5ACBC2"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2028</w:t>
            </w:r>
          </w:p>
        </w:tc>
        <w:tc>
          <w:tcPr>
            <w:tcW w:w="234" w:type="pct"/>
            <w:gridSpan w:val="2"/>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6947A804"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2029</w:t>
            </w:r>
          </w:p>
        </w:tc>
        <w:tc>
          <w:tcPr>
            <w:tcW w:w="234" w:type="pct"/>
            <w:tcBorders>
              <w:top w:val="single" w:sz="4" w:space="0" w:color="FFFFFF"/>
              <w:left w:val="nil"/>
              <w:bottom w:val="single" w:sz="4" w:space="0" w:color="auto"/>
              <w:right w:val="single" w:sz="4" w:space="0" w:color="FFFFFF"/>
            </w:tcBorders>
            <w:shd w:val="clear" w:color="000000" w:fill="203764"/>
            <w:noWrap/>
            <w:vAlign w:val="bottom"/>
            <w:hideMark/>
          </w:tcPr>
          <w:p w14:paraId="7D0599C9" w14:textId="77777777" w:rsidR="00B54F4E" w:rsidRPr="000C7A76" w:rsidRDefault="00B54F4E" w:rsidP="006504C4">
            <w:pPr>
              <w:spacing w:before="0" w:after="0"/>
              <w:jc w:val="center"/>
              <w:rPr>
                <w:rFonts w:ascii="Calibri" w:hAnsi="Calibri" w:cs="Calibri"/>
                <w:color w:val="FFFFFF"/>
                <w:sz w:val="16"/>
                <w:szCs w:val="22"/>
                <w:lang w:eastAsia="es-CO"/>
              </w:rPr>
            </w:pPr>
            <w:r w:rsidRPr="000C7A76">
              <w:rPr>
                <w:rFonts w:ascii="Calibri" w:hAnsi="Calibri" w:cs="Calibri"/>
                <w:color w:val="FFFFFF"/>
                <w:sz w:val="16"/>
                <w:szCs w:val="22"/>
                <w:lang w:eastAsia="es-CO"/>
              </w:rPr>
              <w:t>2030</w:t>
            </w:r>
          </w:p>
        </w:tc>
      </w:tr>
      <w:tr w:rsidR="00B54F4E" w:rsidRPr="000C7A76" w14:paraId="2DF2C16E" w14:textId="77777777" w:rsidTr="006504C4">
        <w:trPr>
          <w:trHeight w:val="300"/>
        </w:trPr>
        <w:tc>
          <w:tcPr>
            <w:tcW w:w="1211" w:type="pct"/>
            <w:tcBorders>
              <w:top w:val="nil"/>
              <w:left w:val="nil"/>
              <w:bottom w:val="nil"/>
              <w:right w:val="nil"/>
            </w:tcBorders>
            <w:noWrap/>
            <w:vAlign w:val="bottom"/>
            <w:hideMark/>
          </w:tcPr>
          <w:p w14:paraId="51101356" w14:textId="77777777" w:rsidR="00B54F4E" w:rsidRPr="000C7A76" w:rsidRDefault="00B54F4E" w:rsidP="006504C4">
            <w:pPr>
              <w:spacing w:before="0" w:after="0"/>
              <w:jc w:val="left"/>
              <w:rPr>
                <w:rFonts w:ascii="Calibri" w:hAnsi="Calibri" w:cs="Calibri"/>
                <w:color w:val="000000"/>
                <w:sz w:val="16"/>
                <w:szCs w:val="22"/>
                <w:lang w:eastAsia="es-CO"/>
              </w:rPr>
            </w:pPr>
            <w:bookmarkStart w:id="144" w:name="Generacion!B47:S63"/>
            <w:r w:rsidRPr="000C7A76">
              <w:rPr>
                <w:rFonts w:ascii="Calibri" w:hAnsi="Calibri" w:cs="Calibri"/>
                <w:color w:val="000000"/>
                <w:sz w:val="16"/>
                <w:szCs w:val="22"/>
                <w:lang w:eastAsia="es-CO"/>
              </w:rPr>
              <w:t>Diesel</w:t>
            </w:r>
            <w:bookmarkEnd w:id="144"/>
          </w:p>
        </w:tc>
        <w:tc>
          <w:tcPr>
            <w:tcW w:w="221" w:type="pct"/>
            <w:tcBorders>
              <w:top w:val="nil"/>
              <w:left w:val="nil"/>
              <w:bottom w:val="nil"/>
              <w:right w:val="nil"/>
            </w:tcBorders>
            <w:noWrap/>
            <w:vAlign w:val="bottom"/>
            <w:hideMark/>
          </w:tcPr>
          <w:p w14:paraId="70C29E75"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7545F4FF"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17D4DCA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23</w:t>
            </w:r>
          </w:p>
        </w:tc>
        <w:tc>
          <w:tcPr>
            <w:tcW w:w="234" w:type="pct"/>
            <w:gridSpan w:val="2"/>
            <w:tcBorders>
              <w:top w:val="nil"/>
              <w:left w:val="nil"/>
              <w:bottom w:val="nil"/>
              <w:right w:val="nil"/>
            </w:tcBorders>
            <w:noWrap/>
            <w:vAlign w:val="bottom"/>
            <w:hideMark/>
          </w:tcPr>
          <w:p w14:paraId="5C2138B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018AE7E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48F0688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49E7FA4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63799AA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4B2E2A1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4510B99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2DADF4B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0592A05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651D435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2EACC9A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35C1DBB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nil"/>
              <w:right w:val="nil"/>
            </w:tcBorders>
            <w:noWrap/>
            <w:vAlign w:val="bottom"/>
            <w:hideMark/>
          </w:tcPr>
          <w:p w14:paraId="691714E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tcBorders>
              <w:top w:val="nil"/>
              <w:left w:val="nil"/>
              <w:bottom w:val="nil"/>
              <w:right w:val="nil"/>
            </w:tcBorders>
            <w:noWrap/>
            <w:vAlign w:val="bottom"/>
            <w:hideMark/>
          </w:tcPr>
          <w:p w14:paraId="358AEEA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r>
      <w:tr w:rsidR="00B54F4E" w:rsidRPr="000C7A76" w14:paraId="685EE499" w14:textId="77777777" w:rsidTr="006504C4">
        <w:trPr>
          <w:trHeight w:val="300"/>
        </w:trPr>
        <w:tc>
          <w:tcPr>
            <w:tcW w:w="1211" w:type="pct"/>
            <w:tcBorders>
              <w:top w:val="nil"/>
              <w:left w:val="nil"/>
              <w:bottom w:val="nil"/>
              <w:right w:val="nil"/>
            </w:tcBorders>
            <w:noWrap/>
            <w:vAlign w:val="bottom"/>
            <w:hideMark/>
          </w:tcPr>
          <w:p w14:paraId="54F37259"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Bunker</w:t>
            </w:r>
          </w:p>
        </w:tc>
        <w:tc>
          <w:tcPr>
            <w:tcW w:w="221" w:type="pct"/>
            <w:tcBorders>
              <w:top w:val="nil"/>
              <w:left w:val="nil"/>
              <w:bottom w:val="nil"/>
              <w:right w:val="nil"/>
            </w:tcBorders>
            <w:noWrap/>
            <w:vAlign w:val="bottom"/>
            <w:hideMark/>
          </w:tcPr>
          <w:p w14:paraId="1A76B4EC"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57078D7C"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57CBC06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1.689</w:t>
            </w:r>
          </w:p>
        </w:tc>
        <w:tc>
          <w:tcPr>
            <w:tcW w:w="234" w:type="pct"/>
            <w:gridSpan w:val="2"/>
            <w:tcBorders>
              <w:top w:val="nil"/>
              <w:left w:val="nil"/>
              <w:bottom w:val="nil"/>
              <w:right w:val="nil"/>
            </w:tcBorders>
            <w:noWrap/>
            <w:vAlign w:val="bottom"/>
            <w:hideMark/>
          </w:tcPr>
          <w:p w14:paraId="3EA076D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1.217</w:t>
            </w:r>
          </w:p>
        </w:tc>
        <w:tc>
          <w:tcPr>
            <w:tcW w:w="234" w:type="pct"/>
            <w:gridSpan w:val="2"/>
            <w:tcBorders>
              <w:top w:val="nil"/>
              <w:left w:val="nil"/>
              <w:bottom w:val="nil"/>
              <w:right w:val="nil"/>
            </w:tcBorders>
            <w:noWrap/>
            <w:vAlign w:val="bottom"/>
            <w:hideMark/>
          </w:tcPr>
          <w:p w14:paraId="2CFC375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544</w:t>
            </w:r>
          </w:p>
        </w:tc>
        <w:tc>
          <w:tcPr>
            <w:tcW w:w="234" w:type="pct"/>
            <w:gridSpan w:val="2"/>
            <w:tcBorders>
              <w:top w:val="nil"/>
              <w:left w:val="nil"/>
              <w:bottom w:val="nil"/>
              <w:right w:val="nil"/>
            </w:tcBorders>
            <w:noWrap/>
            <w:vAlign w:val="bottom"/>
            <w:hideMark/>
          </w:tcPr>
          <w:p w14:paraId="62E44D5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170</w:t>
            </w:r>
          </w:p>
        </w:tc>
        <w:tc>
          <w:tcPr>
            <w:tcW w:w="234" w:type="pct"/>
            <w:gridSpan w:val="2"/>
            <w:tcBorders>
              <w:top w:val="nil"/>
              <w:left w:val="nil"/>
              <w:bottom w:val="nil"/>
              <w:right w:val="nil"/>
            </w:tcBorders>
            <w:noWrap/>
            <w:vAlign w:val="bottom"/>
            <w:hideMark/>
          </w:tcPr>
          <w:p w14:paraId="6B77CDA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20</w:t>
            </w:r>
          </w:p>
        </w:tc>
        <w:tc>
          <w:tcPr>
            <w:tcW w:w="234" w:type="pct"/>
            <w:gridSpan w:val="2"/>
            <w:tcBorders>
              <w:top w:val="nil"/>
              <w:left w:val="nil"/>
              <w:bottom w:val="nil"/>
              <w:right w:val="nil"/>
            </w:tcBorders>
            <w:noWrap/>
            <w:vAlign w:val="bottom"/>
            <w:hideMark/>
          </w:tcPr>
          <w:p w14:paraId="6E1A8C9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15</w:t>
            </w:r>
          </w:p>
        </w:tc>
        <w:tc>
          <w:tcPr>
            <w:tcW w:w="234" w:type="pct"/>
            <w:gridSpan w:val="2"/>
            <w:tcBorders>
              <w:top w:val="nil"/>
              <w:left w:val="nil"/>
              <w:bottom w:val="nil"/>
              <w:right w:val="nil"/>
            </w:tcBorders>
            <w:noWrap/>
            <w:vAlign w:val="bottom"/>
            <w:hideMark/>
          </w:tcPr>
          <w:p w14:paraId="0B8F500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w:t>
            </w:r>
          </w:p>
        </w:tc>
        <w:tc>
          <w:tcPr>
            <w:tcW w:w="234" w:type="pct"/>
            <w:gridSpan w:val="2"/>
            <w:tcBorders>
              <w:top w:val="nil"/>
              <w:left w:val="nil"/>
              <w:bottom w:val="nil"/>
              <w:right w:val="nil"/>
            </w:tcBorders>
            <w:noWrap/>
            <w:vAlign w:val="bottom"/>
            <w:hideMark/>
          </w:tcPr>
          <w:p w14:paraId="13FCC1D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40</w:t>
            </w:r>
          </w:p>
        </w:tc>
        <w:tc>
          <w:tcPr>
            <w:tcW w:w="234" w:type="pct"/>
            <w:gridSpan w:val="2"/>
            <w:tcBorders>
              <w:top w:val="nil"/>
              <w:left w:val="nil"/>
              <w:bottom w:val="nil"/>
              <w:right w:val="nil"/>
            </w:tcBorders>
            <w:noWrap/>
            <w:vAlign w:val="bottom"/>
            <w:hideMark/>
          </w:tcPr>
          <w:p w14:paraId="62A4B3D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w:t>
            </w:r>
          </w:p>
        </w:tc>
        <w:tc>
          <w:tcPr>
            <w:tcW w:w="234" w:type="pct"/>
            <w:gridSpan w:val="2"/>
            <w:tcBorders>
              <w:top w:val="nil"/>
              <w:left w:val="nil"/>
              <w:bottom w:val="nil"/>
              <w:right w:val="nil"/>
            </w:tcBorders>
            <w:noWrap/>
            <w:vAlign w:val="bottom"/>
            <w:hideMark/>
          </w:tcPr>
          <w:p w14:paraId="6394001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77</w:t>
            </w:r>
          </w:p>
        </w:tc>
        <w:tc>
          <w:tcPr>
            <w:tcW w:w="234" w:type="pct"/>
            <w:gridSpan w:val="2"/>
            <w:tcBorders>
              <w:top w:val="nil"/>
              <w:left w:val="nil"/>
              <w:bottom w:val="nil"/>
              <w:right w:val="nil"/>
            </w:tcBorders>
            <w:noWrap/>
            <w:vAlign w:val="bottom"/>
            <w:hideMark/>
          </w:tcPr>
          <w:p w14:paraId="3FD3788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w:t>
            </w:r>
          </w:p>
        </w:tc>
        <w:tc>
          <w:tcPr>
            <w:tcW w:w="234" w:type="pct"/>
            <w:gridSpan w:val="2"/>
            <w:tcBorders>
              <w:top w:val="nil"/>
              <w:left w:val="nil"/>
              <w:bottom w:val="nil"/>
              <w:right w:val="nil"/>
            </w:tcBorders>
            <w:noWrap/>
            <w:vAlign w:val="bottom"/>
            <w:hideMark/>
          </w:tcPr>
          <w:p w14:paraId="2EC3792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w:t>
            </w:r>
          </w:p>
        </w:tc>
        <w:tc>
          <w:tcPr>
            <w:tcW w:w="234" w:type="pct"/>
            <w:gridSpan w:val="2"/>
            <w:tcBorders>
              <w:top w:val="nil"/>
              <w:left w:val="nil"/>
              <w:bottom w:val="nil"/>
              <w:right w:val="nil"/>
            </w:tcBorders>
            <w:noWrap/>
            <w:vAlign w:val="bottom"/>
            <w:hideMark/>
          </w:tcPr>
          <w:p w14:paraId="1C0CC50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16</w:t>
            </w:r>
          </w:p>
        </w:tc>
        <w:tc>
          <w:tcPr>
            <w:tcW w:w="234" w:type="pct"/>
            <w:gridSpan w:val="2"/>
            <w:tcBorders>
              <w:top w:val="nil"/>
              <w:left w:val="nil"/>
              <w:bottom w:val="nil"/>
              <w:right w:val="nil"/>
            </w:tcBorders>
            <w:noWrap/>
            <w:vAlign w:val="bottom"/>
            <w:hideMark/>
          </w:tcPr>
          <w:p w14:paraId="30EEBBC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w:t>
            </w:r>
          </w:p>
        </w:tc>
        <w:tc>
          <w:tcPr>
            <w:tcW w:w="234" w:type="pct"/>
            <w:tcBorders>
              <w:top w:val="nil"/>
              <w:left w:val="nil"/>
              <w:bottom w:val="nil"/>
              <w:right w:val="nil"/>
            </w:tcBorders>
            <w:noWrap/>
            <w:vAlign w:val="bottom"/>
            <w:hideMark/>
          </w:tcPr>
          <w:p w14:paraId="51A6001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w:t>
            </w:r>
          </w:p>
        </w:tc>
      </w:tr>
      <w:tr w:rsidR="00B54F4E" w:rsidRPr="000C7A76" w14:paraId="53216478" w14:textId="77777777" w:rsidTr="006504C4">
        <w:trPr>
          <w:trHeight w:val="300"/>
        </w:trPr>
        <w:tc>
          <w:tcPr>
            <w:tcW w:w="1211" w:type="pct"/>
            <w:tcBorders>
              <w:top w:val="nil"/>
              <w:left w:val="nil"/>
              <w:bottom w:val="nil"/>
              <w:right w:val="nil"/>
            </w:tcBorders>
            <w:noWrap/>
            <w:vAlign w:val="bottom"/>
            <w:hideMark/>
          </w:tcPr>
          <w:p w14:paraId="1B74A4CA"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Carbon</w:t>
            </w:r>
          </w:p>
        </w:tc>
        <w:tc>
          <w:tcPr>
            <w:tcW w:w="221" w:type="pct"/>
            <w:tcBorders>
              <w:top w:val="nil"/>
              <w:left w:val="nil"/>
              <w:bottom w:val="nil"/>
              <w:right w:val="nil"/>
            </w:tcBorders>
            <w:noWrap/>
            <w:vAlign w:val="bottom"/>
            <w:hideMark/>
          </w:tcPr>
          <w:p w14:paraId="64E29FBD"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65170500"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3F27CE0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562</w:t>
            </w:r>
          </w:p>
        </w:tc>
        <w:tc>
          <w:tcPr>
            <w:tcW w:w="234" w:type="pct"/>
            <w:gridSpan w:val="2"/>
            <w:tcBorders>
              <w:top w:val="nil"/>
              <w:left w:val="nil"/>
              <w:bottom w:val="nil"/>
              <w:right w:val="nil"/>
            </w:tcBorders>
            <w:noWrap/>
            <w:vAlign w:val="bottom"/>
            <w:hideMark/>
          </w:tcPr>
          <w:p w14:paraId="7518CEF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772</w:t>
            </w:r>
          </w:p>
        </w:tc>
        <w:tc>
          <w:tcPr>
            <w:tcW w:w="234" w:type="pct"/>
            <w:gridSpan w:val="2"/>
            <w:tcBorders>
              <w:top w:val="nil"/>
              <w:left w:val="nil"/>
              <w:bottom w:val="nil"/>
              <w:right w:val="nil"/>
            </w:tcBorders>
            <w:noWrap/>
            <w:vAlign w:val="bottom"/>
            <w:hideMark/>
          </w:tcPr>
          <w:p w14:paraId="53C9D34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1.624</w:t>
            </w:r>
          </w:p>
        </w:tc>
        <w:tc>
          <w:tcPr>
            <w:tcW w:w="234" w:type="pct"/>
            <w:gridSpan w:val="2"/>
            <w:tcBorders>
              <w:top w:val="nil"/>
              <w:left w:val="nil"/>
              <w:bottom w:val="nil"/>
              <w:right w:val="nil"/>
            </w:tcBorders>
            <w:noWrap/>
            <w:vAlign w:val="bottom"/>
            <w:hideMark/>
          </w:tcPr>
          <w:p w14:paraId="00BBC92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1.251</w:t>
            </w:r>
          </w:p>
        </w:tc>
        <w:tc>
          <w:tcPr>
            <w:tcW w:w="234" w:type="pct"/>
            <w:gridSpan w:val="2"/>
            <w:tcBorders>
              <w:top w:val="nil"/>
              <w:left w:val="nil"/>
              <w:bottom w:val="nil"/>
              <w:right w:val="nil"/>
            </w:tcBorders>
            <w:noWrap/>
            <w:vAlign w:val="bottom"/>
            <w:hideMark/>
          </w:tcPr>
          <w:p w14:paraId="3F21908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715</w:t>
            </w:r>
          </w:p>
        </w:tc>
        <w:tc>
          <w:tcPr>
            <w:tcW w:w="234" w:type="pct"/>
            <w:gridSpan w:val="2"/>
            <w:tcBorders>
              <w:top w:val="nil"/>
              <w:left w:val="nil"/>
              <w:bottom w:val="nil"/>
              <w:right w:val="nil"/>
            </w:tcBorders>
            <w:noWrap/>
            <w:vAlign w:val="bottom"/>
            <w:hideMark/>
          </w:tcPr>
          <w:p w14:paraId="05B241F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709</w:t>
            </w:r>
          </w:p>
        </w:tc>
        <w:tc>
          <w:tcPr>
            <w:tcW w:w="234" w:type="pct"/>
            <w:gridSpan w:val="2"/>
            <w:tcBorders>
              <w:top w:val="nil"/>
              <w:left w:val="nil"/>
              <w:bottom w:val="nil"/>
              <w:right w:val="nil"/>
            </w:tcBorders>
            <w:noWrap/>
            <w:vAlign w:val="bottom"/>
            <w:hideMark/>
          </w:tcPr>
          <w:p w14:paraId="22998B8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902</w:t>
            </w:r>
          </w:p>
        </w:tc>
        <w:tc>
          <w:tcPr>
            <w:tcW w:w="234" w:type="pct"/>
            <w:gridSpan w:val="2"/>
            <w:tcBorders>
              <w:top w:val="nil"/>
              <w:left w:val="nil"/>
              <w:bottom w:val="nil"/>
              <w:right w:val="nil"/>
            </w:tcBorders>
            <w:noWrap/>
            <w:vAlign w:val="bottom"/>
            <w:hideMark/>
          </w:tcPr>
          <w:p w14:paraId="7789A77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2.121</w:t>
            </w:r>
          </w:p>
        </w:tc>
        <w:tc>
          <w:tcPr>
            <w:tcW w:w="234" w:type="pct"/>
            <w:gridSpan w:val="2"/>
            <w:tcBorders>
              <w:top w:val="nil"/>
              <w:left w:val="nil"/>
              <w:bottom w:val="nil"/>
              <w:right w:val="nil"/>
            </w:tcBorders>
            <w:noWrap/>
            <w:vAlign w:val="bottom"/>
            <w:hideMark/>
          </w:tcPr>
          <w:p w14:paraId="76EB0EC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4.191</w:t>
            </w:r>
          </w:p>
        </w:tc>
        <w:tc>
          <w:tcPr>
            <w:tcW w:w="234" w:type="pct"/>
            <w:gridSpan w:val="2"/>
            <w:tcBorders>
              <w:top w:val="nil"/>
              <w:left w:val="nil"/>
              <w:bottom w:val="nil"/>
              <w:right w:val="nil"/>
            </w:tcBorders>
            <w:noWrap/>
            <w:vAlign w:val="bottom"/>
            <w:hideMark/>
          </w:tcPr>
          <w:p w14:paraId="32A37E5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4.379</w:t>
            </w:r>
          </w:p>
        </w:tc>
        <w:tc>
          <w:tcPr>
            <w:tcW w:w="234" w:type="pct"/>
            <w:gridSpan w:val="2"/>
            <w:tcBorders>
              <w:top w:val="nil"/>
              <w:left w:val="nil"/>
              <w:bottom w:val="nil"/>
              <w:right w:val="nil"/>
            </w:tcBorders>
            <w:noWrap/>
            <w:vAlign w:val="bottom"/>
            <w:hideMark/>
          </w:tcPr>
          <w:p w14:paraId="45331F3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4.323</w:t>
            </w:r>
          </w:p>
        </w:tc>
        <w:tc>
          <w:tcPr>
            <w:tcW w:w="234" w:type="pct"/>
            <w:gridSpan w:val="2"/>
            <w:tcBorders>
              <w:top w:val="nil"/>
              <w:left w:val="nil"/>
              <w:bottom w:val="nil"/>
              <w:right w:val="nil"/>
            </w:tcBorders>
            <w:noWrap/>
            <w:vAlign w:val="bottom"/>
            <w:hideMark/>
          </w:tcPr>
          <w:p w14:paraId="554200C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4.814</w:t>
            </w:r>
          </w:p>
        </w:tc>
        <w:tc>
          <w:tcPr>
            <w:tcW w:w="234" w:type="pct"/>
            <w:gridSpan w:val="2"/>
            <w:tcBorders>
              <w:top w:val="nil"/>
              <w:left w:val="nil"/>
              <w:bottom w:val="nil"/>
              <w:right w:val="nil"/>
            </w:tcBorders>
            <w:noWrap/>
            <w:vAlign w:val="bottom"/>
            <w:hideMark/>
          </w:tcPr>
          <w:p w14:paraId="6024FD8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5.059</w:t>
            </w:r>
          </w:p>
        </w:tc>
        <w:tc>
          <w:tcPr>
            <w:tcW w:w="234" w:type="pct"/>
            <w:gridSpan w:val="2"/>
            <w:tcBorders>
              <w:top w:val="nil"/>
              <w:left w:val="nil"/>
              <w:bottom w:val="nil"/>
              <w:right w:val="nil"/>
            </w:tcBorders>
            <w:noWrap/>
            <w:vAlign w:val="bottom"/>
            <w:hideMark/>
          </w:tcPr>
          <w:p w14:paraId="061E199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5.220</w:t>
            </w:r>
          </w:p>
        </w:tc>
        <w:tc>
          <w:tcPr>
            <w:tcW w:w="234" w:type="pct"/>
            <w:tcBorders>
              <w:top w:val="nil"/>
              <w:left w:val="nil"/>
              <w:bottom w:val="nil"/>
              <w:right w:val="nil"/>
            </w:tcBorders>
            <w:noWrap/>
            <w:vAlign w:val="bottom"/>
            <w:hideMark/>
          </w:tcPr>
          <w:p w14:paraId="4BC802D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5.340</w:t>
            </w:r>
          </w:p>
        </w:tc>
      </w:tr>
      <w:tr w:rsidR="00B54F4E" w:rsidRPr="000C7A76" w14:paraId="0BD96DC2" w14:textId="77777777" w:rsidTr="006504C4">
        <w:trPr>
          <w:trHeight w:val="300"/>
        </w:trPr>
        <w:tc>
          <w:tcPr>
            <w:tcW w:w="1211" w:type="pct"/>
            <w:tcBorders>
              <w:top w:val="nil"/>
              <w:left w:val="nil"/>
              <w:bottom w:val="single" w:sz="4" w:space="0" w:color="BFBFBF"/>
              <w:right w:val="nil"/>
            </w:tcBorders>
            <w:noWrap/>
            <w:vAlign w:val="bottom"/>
            <w:hideMark/>
          </w:tcPr>
          <w:p w14:paraId="4318272F"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GNL</w:t>
            </w:r>
          </w:p>
        </w:tc>
        <w:tc>
          <w:tcPr>
            <w:tcW w:w="221" w:type="pct"/>
            <w:tcBorders>
              <w:top w:val="nil"/>
              <w:left w:val="nil"/>
              <w:bottom w:val="single" w:sz="4" w:space="0" w:color="BFBFBF"/>
              <w:right w:val="nil"/>
            </w:tcBorders>
            <w:noWrap/>
            <w:vAlign w:val="bottom"/>
            <w:hideMark/>
          </w:tcPr>
          <w:p w14:paraId="10A41CE1"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single" w:sz="4" w:space="0" w:color="BFBFBF"/>
              <w:right w:val="nil"/>
            </w:tcBorders>
            <w:noWrap/>
            <w:vAlign w:val="bottom"/>
            <w:hideMark/>
          </w:tcPr>
          <w:p w14:paraId="02F49F4F"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single" w:sz="4" w:space="0" w:color="BFBFBF"/>
              <w:right w:val="nil"/>
            </w:tcBorders>
            <w:noWrap/>
            <w:vAlign w:val="bottom"/>
            <w:hideMark/>
          </w:tcPr>
          <w:p w14:paraId="7D905CA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single" w:sz="4" w:space="0" w:color="BFBFBF"/>
              <w:right w:val="nil"/>
            </w:tcBorders>
            <w:noWrap/>
            <w:vAlign w:val="bottom"/>
            <w:hideMark/>
          </w:tcPr>
          <w:p w14:paraId="26408E4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0</w:t>
            </w:r>
          </w:p>
        </w:tc>
        <w:tc>
          <w:tcPr>
            <w:tcW w:w="234" w:type="pct"/>
            <w:gridSpan w:val="2"/>
            <w:tcBorders>
              <w:top w:val="nil"/>
              <w:left w:val="nil"/>
              <w:bottom w:val="single" w:sz="4" w:space="0" w:color="BFBFBF"/>
              <w:right w:val="nil"/>
            </w:tcBorders>
            <w:noWrap/>
            <w:vAlign w:val="bottom"/>
            <w:hideMark/>
          </w:tcPr>
          <w:p w14:paraId="159E149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1.701</w:t>
            </w:r>
          </w:p>
        </w:tc>
        <w:tc>
          <w:tcPr>
            <w:tcW w:w="234" w:type="pct"/>
            <w:gridSpan w:val="2"/>
            <w:tcBorders>
              <w:top w:val="nil"/>
              <w:left w:val="nil"/>
              <w:bottom w:val="single" w:sz="4" w:space="0" w:color="BFBFBF"/>
              <w:right w:val="nil"/>
            </w:tcBorders>
            <w:noWrap/>
            <w:vAlign w:val="bottom"/>
            <w:hideMark/>
          </w:tcPr>
          <w:p w14:paraId="6C8837B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3.660</w:t>
            </w:r>
          </w:p>
        </w:tc>
        <w:tc>
          <w:tcPr>
            <w:tcW w:w="234" w:type="pct"/>
            <w:gridSpan w:val="2"/>
            <w:tcBorders>
              <w:top w:val="nil"/>
              <w:left w:val="nil"/>
              <w:bottom w:val="single" w:sz="4" w:space="0" w:color="BFBFBF"/>
              <w:right w:val="nil"/>
            </w:tcBorders>
            <w:noWrap/>
            <w:vAlign w:val="bottom"/>
            <w:hideMark/>
          </w:tcPr>
          <w:p w14:paraId="40CF8D4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4.668</w:t>
            </w:r>
          </w:p>
        </w:tc>
        <w:tc>
          <w:tcPr>
            <w:tcW w:w="234" w:type="pct"/>
            <w:gridSpan w:val="2"/>
            <w:tcBorders>
              <w:top w:val="nil"/>
              <w:left w:val="nil"/>
              <w:bottom w:val="single" w:sz="4" w:space="0" w:color="BFBFBF"/>
              <w:right w:val="nil"/>
            </w:tcBorders>
            <w:noWrap/>
            <w:vAlign w:val="bottom"/>
            <w:hideMark/>
          </w:tcPr>
          <w:p w14:paraId="756ABB9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4.640</w:t>
            </w:r>
          </w:p>
        </w:tc>
        <w:tc>
          <w:tcPr>
            <w:tcW w:w="234" w:type="pct"/>
            <w:gridSpan w:val="2"/>
            <w:tcBorders>
              <w:top w:val="nil"/>
              <w:left w:val="nil"/>
              <w:bottom w:val="single" w:sz="4" w:space="0" w:color="BFBFBF"/>
              <w:right w:val="nil"/>
            </w:tcBorders>
            <w:noWrap/>
            <w:vAlign w:val="bottom"/>
            <w:hideMark/>
          </w:tcPr>
          <w:p w14:paraId="1AACA7C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4.963</w:t>
            </w:r>
          </w:p>
        </w:tc>
        <w:tc>
          <w:tcPr>
            <w:tcW w:w="234" w:type="pct"/>
            <w:gridSpan w:val="2"/>
            <w:tcBorders>
              <w:top w:val="nil"/>
              <w:left w:val="nil"/>
              <w:bottom w:val="single" w:sz="4" w:space="0" w:color="BFBFBF"/>
              <w:right w:val="nil"/>
            </w:tcBorders>
            <w:noWrap/>
            <w:vAlign w:val="bottom"/>
            <w:hideMark/>
          </w:tcPr>
          <w:p w14:paraId="6CACDE5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4.748</w:t>
            </w:r>
          </w:p>
        </w:tc>
        <w:tc>
          <w:tcPr>
            <w:tcW w:w="234" w:type="pct"/>
            <w:gridSpan w:val="2"/>
            <w:tcBorders>
              <w:top w:val="nil"/>
              <w:left w:val="nil"/>
              <w:bottom w:val="single" w:sz="4" w:space="0" w:color="BFBFBF"/>
              <w:right w:val="nil"/>
            </w:tcBorders>
            <w:noWrap/>
            <w:vAlign w:val="bottom"/>
            <w:hideMark/>
          </w:tcPr>
          <w:p w14:paraId="3EDAD57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4.016</w:t>
            </w:r>
          </w:p>
        </w:tc>
        <w:tc>
          <w:tcPr>
            <w:tcW w:w="234" w:type="pct"/>
            <w:gridSpan w:val="2"/>
            <w:tcBorders>
              <w:top w:val="nil"/>
              <w:left w:val="nil"/>
              <w:bottom w:val="single" w:sz="4" w:space="0" w:color="BFBFBF"/>
              <w:right w:val="nil"/>
            </w:tcBorders>
            <w:noWrap/>
            <w:vAlign w:val="bottom"/>
            <w:hideMark/>
          </w:tcPr>
          <w:p w14:paraId="6C3D48F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4.375</w:t>
            </w:r>
          </w:p>
        </w:tc>
        <w:tc>
          <w:tcPr>
            <w:tcW w:w="234" w:type="pct"/>
            <w:gridSpan w:val="2"/>
            <w:tcBorders>
              <w:top w:val="nil"/>
              <w:left w:val="nil"/>
              <w:bottom w:val="single" w:sz="4" w:space="0" w:color="BFBFBF"/>
              <w:right w:val="nil"/>
            </w:tcBorders>
            <w:noWrap/>
            <w:vAlign w:val="bottom"/>
            <w:hideMark/>
          </w:tcPr>
          <w:p w14:paraId="0625382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5.491</w:t>
            </w:r>
          </w:p>
        </w:tc>
        <w:tc>
          <w:tcPr>
            <w:tcW w:w="234" w:type="pct"/>
            <w:gridSpan w:val="2"/>
            <w:tcBorders>
              <w:top w:val="nil"/>
              <w:left w:val="nil"/>
              <w:bottom w:val="single" w:sz="4" w:space="0" w:color="BFBFBF"/>
              <w:right w:val="nil"/>
            </w:tcBorders>
            <w:noWrap/>
            <w:vAlign w:val="bottom"/>
            <w:hideMark/>
          </w:tcPr>
          <w:p w14:paraId="5CE7CC9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6.032</w:t>
            </w:r>
          </w:p>
        </w:tc>
        <w:tc>
          <w:tcPr>
            <w:tcW w:w="234" w:type="pct"/>
            <w:gridSpan w:val="2"/>
            <w:tcBorders>
              <w:top w:val="nil"/>
              <w:left w:val="nil"/>
              <w:bottom w:val="single" w:sz="4" w:space="0" w:color="BFBFBF"/>
              <w:right w:val="nil"/>
            </w:tcBorders>
            <w:noWrap/>
            <w:vAlign w:val="bottom"/>
            <w:hideMark/>
          </w:tcPr>
          <w:p w14:paraId="439FAA7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6.485</w:t>
            </w:r>
          </w:p>
        </w:tc>
        <w:tc>
          <w:tcPr>
            <w:tcW w:w="234" w:type="pct"/>
            <w:gridSpan w:val="2"/>
            <w:tcBorders>
              <w:top w:val="nil"/>
              <w:left w:val="nil"/>
              <w:bottom w:val="single" w:sz="4" w:space="0" w:color="BFBFBF"/>
              <w:right w:val="nil"/>
            </w:tcBorders>
            <w:noWrap/>
            <w:vAlign w:val="bottom"/>
            <w:hideMark/>
          </w:tcPr>
          <w:p w14:paraId="5F5AB41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7.195</w:t>
            </w:r>
          </w:p>
        </w:tc>
        <w:tc>
          <w:tcPr>
            <w:tcW w:w="234" w:type="pct"/>
            <w:tcBorders>
              <w:top w:val="nil"/>
              <w:left w:val="nil"/>
              <w:bottom w:val="single" w:sz="4" w:space="0" w:color="BFBFBF"/>
              <w:right w:val="nil"/>
            </w:tcBorders>
            <w:noWrap/>
            <w:vAlign w:val="bottom"/>
            <w:hideMark/>
          </w:tcPr>
          <w:p w14:paraId="35BC175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7.684</w:t>
            </w:r>
          </w:p>
        </w:tc>
      </w:tr>
      <w:tr w:rsidR="00B54F4E" w:rsidRPr="000C7A76" w14:paraId="3CA9AA1A" w14:textId="77777777" w:rsidTr="006504C4">
        <w:trPr>
          <w:trHeight w:val="300"/>
        </w:trPr>
        <w:tc>
          <w:tcPr>
            <w:tcW w:w="1211" w:type="pct"/>
            <w:tcBorders>
              <w:top w:val="nil"/>
              <w:left w:val="nil"/>
              <w:bottom w:val="nil"/>
              <w:right w:val="nil"/>
            </w:tcBorders>
            <w:noWrap/>
            <w:vAlign w:val="bottom"/>
            <w:hideMark/>
          </w:tcPr>
          <w:p w14:paraId="2F546193"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Solar</w:t>
            </w:r>
          </w:p>
        </w:tc>
        <w:tc>
          <w:tcPr>
            <w:tcW w:w="221" w:type="pct"/>
            <w:tcBorders>
              <w:top w:val="nil"/>
              <w:left w:val="nil"/>
              <w:bottom w:val="nil"/>
              <w:right w:val="nil"/>
            </w:tcBorders>
            <w:noWrap/>
            <w:vAlign w:val="bottom"/>
            <w:hideMark/>
          </w:tcPr>
          <w:p w14:paraId="533023C9"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78D9B89F"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538CAD7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74</w:t>
            </w:r>
          </w:p>
        </w:tc>
        <w:tc>
          <w:tcPr>
            <w:tcW w:w="234" w:type="pct"/>
            <w:gridSpan w:val="2"/>
            <w:tcBorders>
              <w:top w:val="nil"/>
              <w:left w:val="nil"/>
              <w:bottom w:val="nil"/>
              <w:right w:val="nil"/>
            </w:tcBorders>
            <w:noWrap/>
            <w:vAlign w:val="bottom"/>
            <w:hideMark/>
          </w:tcPr>
          <w:p w14:paraId="56E771E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181</w:t>
            </w:r>
          </w:p>
        </w:tc>
        <w:tc>
          <w:tcPr>
            <w:tcW w:w="234" w:type="pct"/>
            <w:gridSpan w:val="2"/>
            <w:tcBorders>
              <w:top w:val="nil"/>
              <w:left w:val="nil"/>
              <w:bottom w:val="nil"/>
              <w:right w:val="nil"/>
            </w:tcBorders>
            <w:noWrap/>
            <w:vAlign w:val="bottom"/>
            <w:hideMark/>
          </w:tcPr>
          <w:p w14:paraId="0809127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468</w:t>
            </w:r>
          </w:p>
        </w:tc>
        <w:tc>
          <w:tcPr>
            <w:tcW w:w="234" w:type="pct"/>
            <w:gridSpan w:val="2"/>
            <w:tcBorders>
              <w:top w:val="nil"/>
              <w:left w:val="nil"/>
              <w:bottom w:val="nil"/>
              <w:right w:val="nil"/>
            </w:tcBorders>
            <w:noWrap/>
            <w:vAlign w:val="bottom"/>
            <w:hideMark/>
          </w:tcPr>
          <w:p w14:paraId="5F173D5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584</w:t>
            </w:r>
          </w:p>
        </w:tc>
        <w:tc>
          <w:tcPr>
            <w:tcW w:w="234" w:type="pct"/>
            <w:gridSpan w:val="2"/>
            <w:tcBorders>
              <w:top w:val="nil"/>
              <w:left w:val="nil"/>
              <w:bottom w:val="nil"/>
              <w:right w:val="nil"/>
            </w:tcBorders>
            <w:noWrap/>
            <w:vAlign w:val="bottom"/>
            <w:hideMark/>
          </w:tcPr>
          <w:p w14:paraId="199A37E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604</w:t>
            </w:r>
          </w:p>
        </w:tc>
        <w:tc>
          <w:tcPr>
            <w:tcW w:w="234" w:type="pct"/>
            <w:gridSpan w:val="2"/>
            <w:tcBorders>
              <w:top w:val="nil"/>
              <w:left w:val="nil"/>
              <w:bottom w:val="nil"/>
              <w:right w:val="nil"/>
            </w:tcBorders>
            <w:noWrap/>
            <w:vAlign w:val="bottom"/>
            <w:hideMark/>
          </w:tcPr>
          <w:p w14:paraId="4C609E2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646</w:t>
            </w:r>
          </w:p>
        </w:tc>
        <w:tc>
          <w:tcPr>
            <w:tcW w:w="234" w:type="pct"/>
            <w:gridSpan w:val="2"/>
            <w:tcBorders>
              <w:top w:val="nil"/>
              <w:left w:val="nil"/>
              <w:bottom w:val="nil"/>
              <w:right w:val="nil"/>
            </w:tcBorders>
            <w:noWrap/>
            <w:vAlign w:val="bottom"/>
            <w:hideMark/>
          </w:tcPr>
          <w:p w14:paraId="31A0C95D"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646</w:t>
            </w:r>
          </w:p>
        </w:tc>
        <w:tc>
          <w:tcPr>
            <w:tcW w:w="234" w:type="pct"/>
            <w:gridSpan w:val="2"/>
            <w:tcBorders>
              <w:top w:val="nil"/>
              <w:left w:val="nil"/>
              <w:bottom w:val="nil"/>
              <w:right w:val="nil"/>
            </w:tcBorders>
            <w:noWrap/>
            <w:vAlign w:val="bottom"/>
            <w:hideMark/>
          </w:tcPr>
          <w:p w14:paraId="0059C44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646</w:t>
            </w:r>
          </w:p>
        </w:tc>
        <w:tc>
          <w:tcPr>
            <w:tcW w:w="234" w:type="pct"/>
            <w:gridSpan w:val="2"/>
            <w:tcBorders>
              <w:top w:val="nil"/>
              <w:left w:val="nil"/>
              <w:bottom w:val="nil"/>
              <w:right w:val="nil"/>
            </w:tcBorders>
            <w:noWrap/>
            <w:vAlign w:val="bottom"/>
            <w:hideMark/>
          </w:tcPr>
          <w:p w14:paraId="0ECBF3A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646</w:t>
            </w:r>
          </w:p>
        </w:tc>
        <w:tc>
          <w:tcPr>
            <w:tcW w:w="234" w:type="pct"/>
            <w:gridSpan w:val="2"/>
            <w:tcBorders>
              <w:top w:val="nil"/>
              <w:left w:val="nil"/>
              <w:bottom w:val="nil"/>
              <w:right w:val="nil"/>
            </w:tcBorders>
            <w:noWrap/>
            <w:vAlign w:val="bottom"/>
            <w:hideMark/>
          </w:tcPr>
          <w:p w14:paraId="414ED39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646</w:t>
            </w:r>
          </w:p>
        </w:tc>
        <w:tc>
          <w:tcPr>
            <w:tcW w:w="234" w:type="pct"/>
            <w:gridSpan w:val="2"/>
            <w:tcBorders>
              <w:top w:val="nil"/>
              <w:left w:val="nil"/>
              <w:bottom w:val="nil"/>
              <w:right w:val="nil"/>
            </w:tcBorders>
            <w:noWrap/>
            <w:vAlign w:val="bottom"/>
            <w:hideMark/>
          </w:tcPr>
          <w:p w14:paraId="0818171D"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720</w:t>
            </w:r>
          </w:p>
        </w:tc>
        <w:tc>
          <w:tcPr>
            <w:tcW w:w="234" w:type="pct"/>
            <w:gridSpan w:val="2"/>
            <w:tcBorders>
              <w:top w:val="nil"/>
              <w:left w:val="nil"/>
              <w:bottom w:val="nil"/>
              <w:right w:val="nil"/>
            </w:tcBorders>
            <w:noWrap/>
            <w:vAlign w:val="bottom"/>
            <w:hideMark/>
          </w:tcPr>
          <w:p w14:paraId="1F3B75A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749</w:t>
            </w:r>
          </w:p>
        </w:tc>
        <w:tc>
          <w:tcPr>
            <w:tcW w:w="234" w:type="pct"/>
            <w:gridSpan w:val="2"/>
            <w:tcBorders>
              <w:top w:val="nil"/>
              <w:left w:val="nil"/>
              <w:bottom w:val="nil"/>
              <w:right w:val="nil"/>
            </w:tcBorders>
            <w:noWrap/>
            <w:vAlign w:val="bottom"/>
            <w:hideMark/>
          </w:tcPr>
          <w:p w14:paraId="471C368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816</w:t>
            </w:r>
          </w:p>
        </w:tc>
        <w:tc>
          <w:tcPr>
            <w:tcW w:w="234" w:type="pct"/>
            <w:gridSpan w:val="2"/>
            <w:tcBorders>
              <w:top w:val="nil"/>
              <w:left w:val="nil"/>
              <w:bottom w:val="nil"/>
              <w:right w:val="nil"/>
            </w:tcBorders>
            <w:noWrap/>
            <w:vAlign w:val="bottom"/>
            <w:hideMark/>
          </w:tcPr>
          <w:p w14:paraId="20654DE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816</w:t>
            </w:r>
          </w:p>
        </w:tc>
        <w:tc>
          <w:tcPr>
            <w:tcW w:w="234" w:type="pct"/>
            <w:tcBorders>
              <w:top w:val="nil"/>
              <w:left w:val="nil"/>
              <w:bottom w:val="nil"/>
              <w:right w:val="nil"/>
            </w:tcBorders>
            <w:noWrap/>
            <w:vAlign w:val="bottom"/>
            <w:hideMark/>
          </w:tcPr>
          <w:p w14:paraId="696AAE3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816</w:t>
            </w:r>
          </w:p>
        </w:tc>
      </w:tr>
      <w:tr w:rsidR="00B54F4E" w:rsidRPr="000C7A76" w14:paraId="2F9BE35A" w14:textId="77777777" w:rsidTr="006504C4">
        <w:trPr>
          <w:trHeight w:val="300"/>
        </w:trPr>
        <w:tc>
          <w:tcPr>
            <w:tcW w:w="1211" w:type="pct"/>
            <w:tcBorders>
              <w:top w:val="nil"/>
              <w:left w:val="nil"/>
              <w:bottom w:val="nil"/>
              <w:right w:val="nil"/>
            </w:tcBorders>
            <w:noWrap/>
            <w:vAlign w:val="bottom"/>
            <w:hideMark/>
          </w:tcPr>
          <w:p w14:paraId="53EF7D89"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Eolico</w:t>
            </w:r>
          </w:p>
        </w:tc>
        <w:tc>
          <w:tcPr>
            <w:tcW w:w="221" w:type="pct"/>
            <w:tcBorders>
              <w:top w:val="nil"/>
              <w:left w:val="nil"/>
              <w:bottom w:val="nil"/>
              <w:right w:val="nil"/>
            </w:tcBorders>
            <w:noWrap/>
            <w:vAlign w:val="bottom"/>
            <w:hideMark/>
          </w:tcPr>
          <w:p w14:paraId="25AFE5A9"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680A45A8"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6D1F1FE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715</w:t>
            </w:r>
          </w:p>
        </w:tc>
        <w:tc>
          <w:tcPr>
            <w:tcW w:w="234" w:type="pct"/>
            <w:gridSpan w:val="2"/>
            <w:tcBorders>
              <w:top w:val="nil"/>
              <w:left w:val="nil"/>
              <w:bottom w:val="nil"/>
              <w:right w:val="nil"/>
            </w:tcBorders>
            <w:noWrap/>
            <w:vAlign w:val="bottom"/>
            <w:hideMark/>
          </w:tcPr>
          <w:p w14:paraId="5E1729D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850</w:t>
            </w:r>
          </w:p>
        </w:tc>
        <w:tc>
          <w:tcPr>
            <w:tcW w:w="234" w:type="pct"/>
            <w:gridSpan w:val="2"/>
            <w:tcBorders>
              <w:top w:val="nil"/>
              <w:left w:val="nil"/>
              <w:bottom w:val="nil"/>
              <w:right w:val="nil"/>
            </w:tcBorders>
            <w:noWrap/>
            <w:vAlign w:val="bottom"/>
            <w:hideMark/>
          </w:tcPr>
          <w:p w14:paraId="39AD305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891</w:t>
            </w:r>
          </w:p>
        </w:tc>
        <w:tc>
          <w:tcPr>
            <w:tcW w:w="234" w:type="pct"/>
            <w:gridSpan w:val="2"/>
            <w:tcBorders>
              <w:top w:val="nil"/>
              <w:left w:val="nil"/>
              <w:bottom w:val="nil"/>
              <w:right w:val="nil"/>
            </w:tcBorders>
            <w:noWrap/>
            <w:vAlign w:val="bottom"/>
            <w:hideMark/>
          </w:tcPr>
          <w:p w14:paraId="4424508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1.116</w:t>
            </w:r>
          </w:p>
        </w:tc>
        <w:tc>
          <w:tcPr>
            <w:tcW w:w="234" w:type="pct"/>
            <w:gridSpan w:val="2"/>
            <w:tcBorders>
              <w:top w:val="nil"/>
              <w:left w:val="nil"/>
              <w:bottom w:val="nil"/>
              <w:right w:val="nil"/>
            </w:tcBorders>
            <w:noWrap/>
            <w:vAlign w:val="bottom"/>
            <w:hideMark/>
          </w:tcPr>
          <w:p w14:paraId="4031F32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1.190</w:t>
            </w:r>
          </w:p>
        </w:tc>
        <w:tc>
          <w:tcPr>
            <w:tcW w:w="234" w:type="pct"/>
            <w:gridSpan w:val="2"/>
            <w:tcBorders>
              <w:top w:val="nil"/>
              <w:left w:val="nil"/>
              <w:bottom w:val="nil"/>
              <w:right w:val="nil"/>
            </w:tcBorders>
            <w:noWrap/>
            <w:vAlign w:val="bottom"/>
            <w:hideMark/>
          </w:tcPr>
          <w:p w14:paraId="574919A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1.177</w:t>
            </w:r>
          </w:p>
        </w:tc>
        <w:tc>
          <w:tcPr>
            <w:tcW w:w="234" w:type="pct"/>
            <w:gridSpan w:val="2"/>
            <w:tcBorders>
              <w:top w:val="nil"/>
              <w:left w:val="nil"/>
              <w:bottom w:val="nil"/>
              <w:right w:val="nil"/>
            </w:tcBorders>
            <w:noWrap/>
            <w:vAlign w:val="bottom"/>
            <w:hideMark/>
          </w:tcPr>
          <w:p w14:paraId="2A69B4E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1.462</w:t>
            </w:r>
          </w:p>
        </w:tc>
        <w:tc>
          <w:tcPr>
            <w:tcW w:w="234" w:type="pct"/>
            <w:gridSpan w:val="2"/>
            <w:tcBorders>
              <w:top w:val="nil"/>
              <w:left w:val="nil"/>
              <w:bottom w:val="nil"/>
              <w:right w:val="nil"/>
            </w:tcBorders>
            <w:noWrap/>
            <w:vAlign w:val="bottom"/>
            <w:hideMark/>
          </w:tcPr>
          <w:p w14:paraId="344E7D6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1.430</w:t>
            </w:r>
          </w:p>
        </w:tc>
        <w:tc>
          <w:tcPr>
            <w:tcW w:w="234" w:type="pct"/>
            <w:gridSpan w:val="2"/>
            <w:tcBorders>
              <w:top w:val="nil"/>
              <w:left w:val="nil"/>
              <w:bottom w:val="nil"/>
              <w:right w:val="nil"/>
            </w:tcBorders>
            <w:noWrap/>
            <w:vAlign w:val="bottom"/>
            <w:hideMark/>
          </w:tcPr>
          <w:p w14:paraId="422CBC3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1.432</w:t>
            </w:r>
          </w:p>
        </w:tc>
        <w:tc>
          <w:tcPr>
            <w:tcW w:w="234" w:type="pct"/>
            <w:gridSpan w:val="2"/>
            <w:tcBorders>
              <w:top w:val="nil"/>
              <w:left w:val="nil"/>
              <w:bottom w:val="nil"/>
              <w:right w:val="nil"/>
            </w:tcBorders>
            <w:noWrap/>
            <w:vAlign w:val="bottom"/>
            <w:hideMark/>
          </w:tcPr>
          <w:p w14:paraId="493C885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1.433</w:t>
            </w:r>
          </w:p>
        </w:tc>
        <w:tc>
          <w:tcPr>
            <w:tcW w:w="234" w:type="pct"/>
            <w:gridSpan w:val="2"/>
            <w:tcBorders>
              <w:top w:val="nil"/>
              <w:left w:val="nil"/>
              <w:bottom w:val="nil"/>
              <w:right w:val="nil"/>
            </w:tcBorders>
            <w:noWrap/>
            <w:vAlign w:val="bottom"/>
            <w:hideMark/>
          </w:tcPr>
          <w:p w14:paraId="3247DBC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1.805</w:t>
            </w:r>
          </w:p>
        </w:tc>
        <w:tc>
          <w:tcPr>
            <w:tcW w:w="234" w:type="pct"/>
            <w:gridSpan w:val="2"/>
            <w:tcBorders>
              <w:top w:val="nil"/>
              <w:left w:val="nil"/>
              <w:bottom w:val="nil"/>
              <w:right w:val="nil"/>
            </w:tcBorders>
            <w:noWrap/>
            <w:vAlign w:val="bottom"/>
            <w:hideMark/>
          </w:tcPr>
          <w:p w14:paraId="09C66D0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2.084</w:t>
            </w:r>
          </w:p>
        </w:tc>
        <w:tc>
          <w:tcPr>
            <w:tcW w:w="234" w:type="pct"/>
            <w:gridSpan w:val="2"/>
            <w:tcBorders>
              <w:top w:val="nil"/>
              <w:left w:val="nil"/>
              <w:bottom w:val="nil"/>
              <w:right w:val="nil"/>
            </w:tcBorders>
            <w:noWrap/>
            <w:vAlign w:val="bottom"/>
            <w:hideMark/>
          </w:tcPr>
          <w:p w14:paraId="1C509CCD"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2.051</w:t>
            </w:r>
          </w:p>
        </w:tc>
        <w:tc>
          <w:tcPr>
            <w:tcW w:w="234" w:type="pct"/>
            <w:gridSpan w:val="2"/>
            <w:tcBorders>
              <w:top w:val="nil"/>
              <w:left w:val="nil"/>
              <w:bottom w:val="nil"/>
              <w:right w:val="nil"/>
            </w:tcBorders>
            <w:noWrap/>
            <w:vAlign w:val="bottom"/>
            <w:hideMark/>
          </w:tcPr>
          <w:p w14:paraId="5B9C2B5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2.083</w:t>
            </w:r>
          </w:p>
        </w:tc>
        <w:tc>
          <w:tcPr>
            <w:tcW w:w="234" w:type="pct"/>
            <w:tcBorders>
              <w:top w:val="nil"/>
              <w:left w:val="nil"/>
              <w:bottom w:val="nil"/>
              <w:right w:val="nil"/>
            </w:tcBorders>
            <w:noWrap/>
            <w:vAlign w:val="bottom"/>
            <w:hideMark/>
          </w:tcPr>
          <w:p w14:paraId="1138157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2.090</w:t>
            </w:r>
          </w:p>
        </w:tc>
      </w:tr>
      <w:tr w:rsidR="00B54F4E" w:rsidRPr="000C7A76" w14:paraId="3319592A" w14:textId="77777777" w:rsidTr="006504C4">
        <w:trPr>
          <w:trHeight w:val="300"/>
        </w:trPr>
        <w:tc>
          <w:tcPr>
            <w:tcW w:w="1211" w:type="pct"/>
            <w:tcBorders>
              <w:top w:val="nil"/>
              <w:left w:val="nil"/>
              <w:bottom w:val="single" w:sz="4" w:space="0" w:color="BFBFBF"/>
              <w:right w:val="nil"/>
            </w:tcBorders>
            <w:noWrap/>
            <w:vAlign w:val="bottom"/>
            <w:hideMark/>
          </w:tcPr>
          <w:p w14:paraId="0A6DAFDE"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BioGas</w:t>
            </w:r>
          </w:p>
        </w:tc>
        <w:tc>
          <w:tcPr>
            <w:tcW w:w="221" w:type="pct"/>
            <w:tcBorders>
              <w:top w:val="nil"/>
              <w:left w:val="nil"/>
              <w:bottom w:val="single" w:sz="4" w:space="0" w:color="BFBFBF"/>
              <w:right w:val="nil"/>
            </w:tcBorders>
            <w:noWrap/>
            <w:vAlign w:val="bottom"/>
            <w:hideMark/>
          </w:tcPr>
          <w:p w14:paraId="2D0085A8"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single" w:sz="4" w:space="0" w:color="BFBFBF"/>
              <w:right w:val="nil"/>
            </w:tcBorders>
            <w:noWrap/>
            <w:vAlign w:val="bottom"/>
            <w:hideMark/>
          </w:tcPr>
          <w:p w14:paraId="081445BE"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single" w:sz="4" w:space="0" w:color="BFBFBF"/>
              <w:right w:val="nil"/>
            </w:tcBorders>
            <w:noWrap/>
            <w:vAlign w:val="bottom"/>
            <w:hideMark/>
          </w:tcPr>
          <w:p w14:paraId="0CC436F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40</w:t>
            </w:r>
          </w:p>
        </w:tc>
        <w:tc>
          <w:tcPr>
            <w:tcW w:w="234" w:type="pct"/>
            <w:gridSpan w:val="2"/>
            <w:tcBorders>
              <w:top w:val="nil"/>
              <w:left w:val="nil"/>
              <w:bottom w:val="single" w:sz="4" w:space="0" w:color="BFBFBF"/>
              <w:right w:val="nil"/>
            </w:tcBorders>
            <w:noWrap/>
            <w:vAlign w:val="bottom"/>
            <w:hideMark/>
          </w:tcPr>
          <w:p w14:paraId="5E7E146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25E259E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779F2D7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309FD31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7E7227A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7C67BC4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32AFF4B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234D195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5FD1927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05ECCF1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68D1D33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549FC1D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gridSpan w:val="2"/>
            <w:tcBorders>
              <w:top w:val="nil"/>
              <w:left w:val="nil"/>
              <w:bottom w:val="single" w:sz="4" w:space="0" w:color="BFBFBF"/>
              <w:right w:val="nil"/>
            </w:tcBorders>
            <w:noWrap/>
            <w:vAlign w:val="bottom"/>
            <w:hideMark/>
          </w:tcPr>
          <w:p w14:paraId="0FDD049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c>
          <w:tcPr>
            <w:tcW w:w="234" w:type="pct"/>
            <w:tcBorders>
              <w:top w:val="nil"/>
              <w:left w:val="nil"/>
              <w:bottom w:val="single" w:sz="4" w:space="0" w:color="BFBFBF"/>
              <w:right w:val="nil"/>
            </w:tcBorders>
            <w:noWrap/>
            <w:vAlign w:val="bottom"/>
            <w:hideMark/>
          </w:tcPr>
          <w:p w14:paraId="2D04FAE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79</w:t>
            </w:r>
          </w:p>
        </w:tc>
      </w:tr>
      <w:tr w:rsidR="00B54F4E" w:rsidRPr="000C7A76" w14:paraId="7A6AF41F" w14:textId="77777777" w:rsidTr="006504C4">
        <w:trPr>
          <w:trHeight w:val="300"/>
        </w:trPr>
        <w:tc>
          <w:tcPr>
            <w:tcW w:w="1211" w:type="pct"/>
            <w:tcBorders>
              <w:top w:val="single" w:sz="4" w:space="0" w:color="BFBFBF"/>
              <w:left w:val="nil"/>
              <w:bottom w:val="single" w:sz="4" w:space="0" w:color="BFBFBF"/>
              <w:right w:val="nil"/>
            </w:tcBorders>
            <w:noWrap/>
            <w:vAlign w:val="bottom"/>
            <w:hideMark/>
          </w:tcPr>
          <w:p w14:paraId="6E7E6869"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ACP</w:t>
            </w:r>
          </w:p>
        </w:tc>
        <w:tc>
          <w:tcPr>
            <w:tcW w:w="221" w:type="pct"/>
            <w:tcBorders>
              <w:top w:val="single" w:sz="4" w:space="0" w:color="BFBFBF"/>
              <w:left w:val="nil"/>
              <w:bottom w:val="single" w:sz="4" w:space="0" w:color="BFBFBF"/>
              <w:right w:val="nil"/>
            </w:tcBorders>
            <w:noWrap/>
            <w:vAlign w:val="bottom"/>
            <w:hideMark/>
          </w:tcPr>
          <w:p w14:paraId="02788147"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single" w:sz="4" w:space="0" w:color="BFBFBF"/>
              <w:left w:val="nil"/>
              <w:bottom w:val="single" w:sz="4" w:space="0" w:color="BFBFBF"/>
              <w:right w:val="nil"/>
            </w:tcBorders>
            <w:noWrap/>
            <w:vAlign w:val="bottom"/>
            <w:hideMark/>
          </w:tcPr>
          <w:p w14:paraId="64044174"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single" w:sz="4" w:space="0" w:color="BFBFBF"/>
              <w:left w:val="nil"/>
              <w:bottom w:val="single" w:sz="4" w:space="0" w:color="BFBFBF"/>
              <w:right w:val="nil"/>
            </w:tcBorders>
            <w:noWrap/>
            <w:vAlign w:val="bottom"/>
            <w:hideMark/>
          </w:tcPr>
          <w:p w14:paraId="124FF5F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106</w:t>
            </w:r>
          </w:p>
        </w:tc>
        <w:tc>
          <w:tcPr>
            <w:tcW w:w="234" w:type="pct"/>
            <w:gridSpan w:val="2"/>
            <w:tcBorders>
              <w:top w:val="single" w:sz="4" w:space="0" w:color="BFBFBF"/>
              <w:left w:val="nil"/>
              <w:bottom w:val="single" w:sz="4" w:space="0" w:color="BFBFBF"/>
              <w:right w:val="nil"/>
            </w:tcBorders>
            <w:noWrap/>
            <w:vAlign w:val="bottom"/>
            <w:hideMark/>
          </w:tcPr>
          <w:p w14:paraId="209C6BD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329</w:t>
            </w:r>
          </w:p>
        </w:tc>
        <w:tc>
          <w:tcPr>
            <w:tcW w:w="234" w:type="pct"/>
            <w:gridSpan w:val="2"/>
            <w:tcBorders>
              <w:top w:val="single" w:sz="4" w:space="0" w:color="BFBFBF"/>
              <w:left w:val="nil"/>
              <w:bottom w:val="single" w:sz="4" w:space="0" w:color="BFBFBF"/>
              <w:right w:val="nil"/>
            </w:tcBorders>
            <w:noWrap/>
            <w:vAlign w:val="bottom"/>
            <w:hideMark/>
          </w:tcPr>
          <w:p w14:paraId="2BE0C4E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257</w:t>
            </w:r>
          </w:p>
        </w:tc>
        <w:tc>
          <w:tcPr>
            <w:tcW w:w="234" w:type="pct"/>
            <w:gridSpan w:val="2"/>
            <w:tcBorders>
              <w:top w:val="single" w:sz="4" w:space="0" w:color="BFBFBF"/>
              <w:left w:val="nil"/>
              <w:bottom w:val="single" w:sz="4" w:space="0" w:color="BFBFBF"/>
              <w:right w:val="nil"/>
            </w:tcBorders>
            <w:noWrap/>
            <w:vAlign w:val="bottom"/>
            <w:hideMark/>
          </w:tcPr>
          <w:p w14:paraId="68EFCB6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218</w:t>
            </w:r>
          </w:p>
        </w:tc>
        <w:tc>
          <w:tcPr>
            <w:tcW w:w="234" w:type="pct"/>
            <w:gridSpan w:val="2"/>
            <w:tcBorders>
              <w:top w:val="single" w:sz="4" w:space="0" w:color="BFBFBF"/>
              <w:left w:val="nil"/>
              <w:bottom w:val="single" w:sz="4" w:space="0" w:color="BFBFBF"/>
              <w:right w:val="nil"/>
            </w:tcBorders>
            <w:noWrap/>
            <w:vAlign w:val="bottom"/>
            <w:hideMark/>
          </w:tcPr>
          <w:p w14:paraId="525B32A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124</w:t>
            </w:r>
          </w:p>
        </w:tc>
        <w:tc>
          <w:tcPr>
            <w:tcW w:w="234" w:type="pct"/>
            <w:gridSpan w:val="2"/>
            <w:tcBorders>
              <w:top w:val="single" w:sz="4" w:space="0" w:color="BFBFBF"/>
              <w:left w:val="nil"/>
              <w:bottom w:val="single" w:sz="4" w:space="0" w:color="BFBFBF"/>
              <w:right w:val="nil"/>
            </w:tcBorders>
            <w:noWrap/>
            <w:vAlign w:val="bottom"/>
            <w:hideMark/>
          </w:tcPr>
          <w:p w14:paraId="0FB3947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78</w:t>
            </w:r>
          </w:p>
        </w:tc>
        <w:tc>
          <w:tcPr>
            <w:tcW w:w="234" w:type="pct"/>
            <w:gridSpan w:val="2"/>
            <w:tcBorders>
              <w:top w:val="single" w:sz="4" w:space="0" w:color="BFBFBF"/>
              <w:left w:val="nil"/>
              <w:bottom w:val="single" w:sz="4" w:space="0" w:color="BFBFBF"/>
              <w:right w:val="nil"/>
            </w:tcBorders>
            <w:noWrap/>
            <w:vAlign w:val="bottom"/>
            <w:hideMark/>
          </w:tcPr>
          <w:p w14:paraId="7752E0C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84</w:t>
            </w:r>
          </w:p>
        </w:tc>
        <w:tc>
          <w:tcPr>
            <w:tcW w:w="234" w:type="pct"/>
            <w:gridSpan w:val="2"/>
            <w:tcBorders>
              <w:top w:val="single" w:sz="4" w:space="0" w:color="BFBFBF"/>
              <w:left w:val="nil"/>
              <w:bottom w:val="single" w:sz="4" w:space="0" w:color="BFBFBF"/>
              <w:right w:val="nil"/>
            </w:tcBorders>
            <w:noWrap/>
            <w:vAlign w:val="bottom"/>
            <w:hideMark/>
          </w:tcPr>
          <w:p w14:paraId="418747A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98</w:t>
            </w:r>
          </w:p>
        </w:tc>
        <w:tc>
          <w:tcPr>
            <w:tcW w:w="234" w:type="pct"/>
            <w:gridSpan w:val="2"/>
            <w:tcBorders>
              <w:top w:val="single" w:sz="4" w:space="0" w:color="BFBFBF"/>
              <w:left w:val="nil"/>
              <w:bottom w:val="single" w:sz="4" w:space="0" w:color="BFBFBF"/>
              <w:right w:val="nil"/>
            </w:tcBorders>
            <w:noWrap/>
            <w:vAlign w:val="bottom"/>
            <w:hideMark/>
          </w:tcPr>
          <w:p w14:paraId="7DD4C59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74</w:t>
            </w:r>
          </w:p>
        </w:tc>
        <w:tc>
          <w:tcPr>
            <w:tcW w:w="234" w:type="pct"/>
            <w:gridSpan w:val="2"/>
            <w:tcBorders>
              <w:top w:val="single" w:sz="4" w:space="0" w:color="BFBFBF"/>
              <w:left w:val="nil"/>
              <w:bottom w:val="single" w:sz="4" w:space="0" w:color="BFBFBF"/>
              <w:right w:val="nil"/>
            </w:tcBorders>
            <w:noWrap/>
            <w:vAlign w:val="bottom"/>
            <w:hideMark/>
          </w:tcPr>
          <w:p w14:paraId="66ACBEE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90</w:t>
            </w:r>
          </w:p>
        </w:tc>
        <w:tc>
          <w:tcPr>
            <w:tcW w:w="234" w:type="pct"/>
            <w:gridSpan w:val="2"/>
            <w:tcBorders>
              <w:top w:val="single" w:sz="4" w:space="0" w:color="BFBFBF"/>
              <w:left w:val="nil"/>
              <w:bottom w:val="single" w:sz="4" w:space="0" w:color="BFBFBF"/>
              <w:right w:val="nil"/>
            </w:tcBorders>
            <w:noWrap/>
            <w:vAlign w:val="bottom"/>
            <w:hideMark/>
          </w:tcPr>
          <w:p w14:paraId="0C24220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65</w:t>
            </w:r>
          </w:p>
        </w:tc>
        <w:tc>
          <w:tcPr>
            <w:tcW w:w="234" w:type="pct"/>
            <w:gridSpan w:val="2"/>
            <w:tcBorders>
              <w:top w:val="single" w:sz="4" w:space="0" w:color="BFBFBF"/>
              <w:left w:val="nil"/>
              <w:bottom w:val="single" w:sz="4" w:space="0" w:color="BFBFBF"/>
              <w:right w:val="nil"/>
            </w:tcBorders>
            <w:noWrap/>
            <w:vAlign w:val="bottom"/>
            <w:hideMark/>
          </w:tcPr>
          <w:p w14:paraId="613AEB7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70</w:t>
            </w:r>
          </w:p>
        </w:tc>
        <w:tc>
          <w:tcPr>
            <w:tcW w:w="234" w:type="pct"/>
            <w:gridSpan w:val="2"/>
            <w:tcBorders>
              <w:top w:val="single" w:sz="4" w:space="0" w:color="BFBFBF"/>
              <w:left w:val="nil"/>
              <w:bottom w:val="single" w:sz="4" w:space="0" w:color="BFBFBF"/>
              <w:right w:val="nil"/>
            </w:tcBorders>
            <w:noWrap/>
            <w:vAlign w:val="bottom"/>
            <w:hideMark/>
          </w:tcPr>
          <w:p w14:paraId="2C673A0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72</w:t>
            </w:r>
          </w:p>
        </w:tc>
        <w:tc>
          <w:tcPr>
            <w:tcW w:w="234" w:type="pct"/>
            <w:gridSpan w:val="2"/>
            <w:tcBorders>
              <w:top w:val="single" w:sz="4" w:space="0" w:color="BFBFBF"/>
              <w:left w:val="nil"/>
              <w:bottom w:val="single" w:sz="4" w:space="0" w:color="BFBFBF"/>
              <w:right w:val="nil"/>
            </w:tcBorders>
            <w:noWrap/>
            <w:vAlign w:val="bottom"/>
            <w:hideMark/>
          </w:tcPr>
          <w:p w14:paraId="0F29C83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85</w:t>
            </w:r>
          </w:p>
        </w:tc>
        <w:tc>
          <w:tcPr>
            <w:tcW w:w="234" w:type="pct"/>
            <w:tcBorders>
              <w:top w:val="single" w:sz="4" w:space="0" w:color="BFBFBF"/>
              <w:left w:val="nil"/>
              <w:bottom w:val="single" w:sz="4" w:space="0" w:color="BFBFBF"/>
              <w:right w:val="nil"/>
            </w:tcBorders>
            <w:noWrap/>
            <w:vAlign w:val="bottom"/>
            <w:hideMark/>
          </w:tcPr>
          <w:p w14:paraId="50F24C6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94</w:t>
            </w:r>
          </w:p>
        </w:tc>
      </w:tr>
      <w:tr w:rsidR="00B54F4E" w:rsidRPr="000C7A76" w14:paraId="28CB430C" w14:textId="77777777" w:rsidTr="006504C4">
        <w:trPr>
          <w:trHeight w:val="300"/>
        </w:trPr>
        <w:tc>
          <w:tcPr>
            <w:tcW w:w="1211" w:type="pct"/>
            <w:tcBorders>
              <w:top w:val="nil"/>
              <w:left w:val="nil"/>
              <w:bottom w:val="nil"/>
              <w:right w:val="nil"/>
            </w:tcBorders>
            <w:noWrap/>
            <w:vAlign w:val="bottom"/>
            <w:hideMark/>
          </w:tcPr>
          <w:p w14:paraId="74243322"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TotalHidro</w:t>
            </w:r>
          </w:p>
        </w:tc>
        <w:tc>
          <w:tcPr>
            <w:tcW w:w="221" w:type="pct"/>
            <w:tcBorders>
              <w:top w:val="nil"/>
              <w:left w:val="nil"/>
              <w:bottom w:val="nil"/>
              <w:right w:val="nil"/>
            </w:tcBorders>
            <w:noWrap/>
            <w:vAlign w:val="bottom"/>
            <w:hideMark/>
          </w:tcPr>
          <w:p w14:paraId="2BCA9285"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1563B2D7"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2CD0904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7.357</w:t>
            </w:r>
          </w:p>
        </w:tc>
        <w:tc>
          <w:tcPr>
            <w:tcW w:w="234" w:type="pct"/>
            <w:gridSpan w:val="2"/>
            <w:tcBorders>
              <w:top w:val="nil"/>
              <w:left w:val="nil"/>
              <w:bottom w:val="nil"/>
              <w:right w:val="nil"/>
            </w:tcBorders>
            <w:noWrap/>
            <w:vAlign w:val="bottom"/>
            <w:hideMark/>
          </w:tcPr>
          <w:p w14:paraId="583B2FF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7.853</w:t>
            </w:r>
          </w:p>
        </w:tc>
        <w:tc>
          <w:tcPr>
            <w:tcW w:w="234" w:type="pct"/>
            <w:gridSpan w:val="2"/>
            <w:tcBorders>
              <w:top w:val="nil"/>
              <w:left w:val="nil"/>
              <w:bottom w:val="nil"/>
              <w:right w:val="nil"/>
            </w:tcBorders>
            <w:noWrap/>
            <w:vAlign w:val="bottom"/>
            <w:hideMark/>
          </w:tcPr>
          <w:p w14:paraId="71ACA19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8.090</w:t>
            </w:r>
          </w:p>
        </w:tc>
        <w:tc>
          <w:tcPr>
            <w:tcW w:w="234" w:type="pct"/>
            <w:gridSpan w:val="2"/>
            <w:tcBorders>
              <w:top w:val="nil"/>
              <w:left w:val="nil"/>
              <w:bottom w:val="nil"/>
              <w:right w:val="nil"/>
            </w:tcBorders>
            <w:noWrap/>
            <w:vAlign w:val="bottom"/>
            <w:hideMark/>
          </w:tcPr>
          <w:p w14:paraId="06C1511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8.215</w:t>
            </w:r>
          </w:p>
        </w:tc>
        <w:tc>
          <w:tcPr>
            <w:tcW w:w="234" w:type="pct"/>
            <w:gridSpan w:val="2"/>
            <w:tcBorders>
              <w:top w:val="nil"/>
              <w:left w:val="nil"/>
              <w:bottom w:val="nil"/>
              <w:right w:val="nil"/>
            </w:tcBorders>
            <w:noWrap/>
            <w:vAlign w:val="bottom"/>
            <w:hideMark/>
          </w:tcPr>
          <w:p w14:paraId="4151A53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9.037</w:t>
            </w:r>
          </w:p>
        </w:tc>
        <w:tc>
          <w:tcPr>
            <w:tcW w:w="234" w:type="pct"/>
            <w:gridSpan w:val="2"/>
            <w:tcBorders>
              <w:top w:val="nil"/>
              <w:left w:val="nil"/>
              <w:bottom w:val="nil"/>
              <w:right w:val="nil"/>
            </w:tcBorders>
            <w:noWrap/>
            <w:vAlign w:val="bottom"/>
            <w:hideMark/>
          </w:tcPr>
          <w:p w14:paraId="743C2D7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9.682</w:t>
            </w:r>
          </w:p>
        </w:tc>
        <w:tc>
          <w:tcPr>
            <w:tcW w:w="234" w:type="pct"/>
            <w:gridSpan w:val="2"/>
            <w:tcBorders>
              <w:top w:val="nil"/>
              <w:left w:val="nil"/>
              <w:bottom w:val="nil"/>
              <w:right w:val="nil"/>
            </w:tcBorders>
            <w:noWrap/>
            <w:vAlign w:val="bottom"/>
            <w:hideMark/>
          </w:tcPr>
          <w:p w14:paraId="43A8D2B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9.739</w:t>
            </w:r>
          </w:p>
        </w:tc>
        <w:tc>
          <w:tcPr>
            <w:tcW w:w="234" w:type="pct"/>
            <w:gridSpan w:val="2"/>
            <w:tcBorders>
              <w:top w:val="nil"/>
              <w:left w:val="nil"/>
              <w:bottom w:val="nil"/>
              <w:right w:val="nil"/>
            </w:tcBorders>
            <w:noWrap/>
            <w:vAlign w:val="bottom"/>
            <w:hideMark/>
          </w:tcPr>
          <w:p w14:paraId="3EA8C85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9.824</w:t>
            </w:r>
          </w:p>
        </w:tc>
        <w:tc>
          <w:tcPr>
            <w:tcW w:w="234" w:type="pct"/>
            <w:gridSpan w:val="2"/>
            <w:tcBorders>
              <w:top w:val="nil"/>
              <w:left w:val="nil"/>
              <w:bottom w:val="nil"/>
              <w:right w:val="nil"/>
            </w:tcBorders>
            <w:noWrap/>
            <w:vAlign w:val="bottom"/>
            <w:hideMark/>
          </w:tcPr>
          <w:p w14:paraId="6C1B8AB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9.859</w:t>
            </w:r>
          </w:p>
        </w:tc>
        <w:tc>
          <w:tcPr>
            <w:tcW w:w="234" w:type="pct"/>
            <w:gridSpan w:val="2"/>
            <w:tcBorders>
              <w:top w:val="nil"/>
              <w:left w:val="nil"/>
              <w:bottom w:val="nil"/>
              <w:right w:val="nil"/>
            </w:tcBorders>
            <w:noWrap/>
            <w:vAlign w:val="bottom"/>
            <w:hideMark/>
          </w:tcPr>
          <w:p w14:paraId="77A5CD7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9.737</w:t>
            </w:r>
          </w:p>
        </w:tc>
        <w:tc>
          <w:tcPr>
            <w:tcW w:w="234" w:type="pct"/>
            <w:gridSpan w:val="2"/>
            <w:tcBorders>
              <w:top w:val="nil"/>
              <w:left w:val="nil"/>
              <w:bottom w:val="nil"/>
              <w:right w:val="nil"/>
            </w:tcBorders>
            <w:noWrap/>
            <w:vAlign w:val="bottom"/>
            <w:hideMark/>
          </w:tcPr>
          <w:p w14:paraId="2EC874F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9.911</w:t>
            </w:r>
          </w:p>
        </w:tc>
        <w:tc>
          <w:tcPr>
            <w:tcW w:w="234" w:type="pct"/>
            <w:gridSpan w:val="2"/>
            <w:tcBorders>
              <w:top w:val="nil"/>
              <w:left w:val="nil"/>
              <w:bottom w:val="nil"/>
              <w:right w:val="nil"/>
            </w:tcBorders>
            <w:noWrap/>
            <w:vAlign w:val="bottom"/>
            <w:hideMark/>
          </w:tcPr>
          <w:p w14:paraId="5B3B479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9.667</w:t>
            </w:r>
          </w:p>
        </w:tc>
        <w:tc>
          <w:tcPr>
            <w:tcW w:w="234" w:type="pct"/>
            <w:gridSpan w:val="2"/>
            <w:tcBorders>
              <w:top w:val="nil"/>
              <w:left w:val="nil"/>
              <w:bottom w:val="nil"/>
              <w:right w:val="nil"/>
            </w:tcBorders>
            <w:noWrap/>
            <w:vAlign w:val="bottom"/>
            <w:hideMark/>
          </w:tcPr>
          <w:p w14:paraId="0C3690B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9.669</w:t>
            </w:r>
          </w:p>
        </w:tc>
        <w:tc>
          <w:tcPr>
            <w:tcW w:w="234" w:type="pct"/>
            <w:gridSpan w:val="2"/>
            <w:tcBorders>
              <w:top w:val="nil"/>
              <w:left w:val="nil"/>
              <w:bottom w:val="nil"/>
              <w:right w:val="nil"/>
            </w:tcBorders>
            <w:noWrap/>
            <w:vAlign w:val="bottom"/>
            <w:hideMark/>
          </w:tcPr>
          <w:p w14:paraId="2459EDE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9.873</w:t>
            </w:r>
          </w:p>
        </w:tc>
        <w:tc>
          <w:tcPr>
            <w:tcW w:w="234" w:type="pct"/>
            <w:tcBorders>
              <w:top w:val="nil"/>
              <w:left w:val="nil"/>
              <w:bottom w:val="nil"/>
              <w:right w:val="nil"/>
            </w:tcBorders>
            <w:noWrap/>
            <w:vAlign w:val="bottom"/>
            <w:hideMark/>
          </w:tcPr>
          <w:p w14:paraId="2907BC3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10.426</w:t>
            </w:r>
          </w:p>
        </w:tc>
      </w:tr>
      <w:tr w:rsidR="00B54F4E" w:rsidRPr="000C7A76" w14:paraId="162BDEA1" w14:textId="77777777" w:rsidTr="006504C4">
        <w:trPr>
          <w:trHeight w:val="300"/>
        </w:trPr>
        <w:tc>
          <w:tcPr>
            <w:tcW w:w="1211" w:type="pct"/>
            <w:tcBorders>
              <w:top w:val="nil"/>
              <w:left w:val="nil"/>
              <w:bottom w:val="nil"/>
              <w:right w:val="nil"/>
            </w:tcBorders>
            <w:noWrap/>
            <w:vAlign w:val="bottom"/>
            <w:hideMark/>
          </w:tcPr>
          <w:p w14:paraId="18D7F363"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TotalTermico</w:t>
            </w:r>
          </w:p>
        </w:tc>
        <w:tc>
          <w:tcPr>
            <w:tcW w:w="221" w:type="pct"/>
            <w:tcBorders>
              <w:top w:val="nil"/>
              <w:left w:val="nil"/>
              <w:bottom w:val="nil"/>
              <w:right w:val="nil"/>
            </w:tcBorders>
            <w:noWrap/>
            <w:vAlign w:val="bottom"/>
            <w:hideMark/>
          </w:tcPr>
          <w:p w14:paraId="2FA0D024"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475DD13D"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7530FB0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2.275</w:t>
            </w:r>
          </w:p>
        </w:tc>
        <w:tc>
          <w:tcPr>
            <w:tcW w:w="234" w:type="pct"/>
            <w:gridSpan w:val="2"/>
            <w:tcBorders>
              <w:top w:val="nil"/>
              <w:left w:val="nil"/>
              <w:bottom w:val="nil"/>
              <w:right w:val="nil"/>
            </w:tcBorders>
            <w:noWrap/>
            <w:vAlign w:val="bottom"/>
            <w:hideMark/>
          </w:tcPr>
          <w:p w14:paraId="731B54F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1.990</w:t>
            </w:r>
          </w:p>
        </w:tc>
        <w:tc>
          <w:tcPr>
            <w:tcW w:w="234" w:type="pct"/>
            <w:gridSpan w:val="2"/>
            <w:tcBorders>
              <w:top w:val="nil"/>
              <w:left w:val="nil"/>
              <w:bottom w:val="nil"/>
              <w:right w:val="nil"/>
            </w:tcBorders>
            <w:noWrap/>
            <w:vAlign w:val="bottom"/>
            <w:hideMark/>
          </w:tcPr>
          <w:p w14:paraId="7A98947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3.868</w:t>
            </w:r>
          </w:p>
        </w:tc>
        <w:tc>
          <w:tcPr>
            <w:tcW w:w="234" w:type="pct"/>
            <w:gridSpan w:val="2"/>
            <w:tcBorders>
              <w:top w:val="nil"/>
              <w:left w:val="nil"/>
              <w:bottom w:val="nil"/>
              <w:right w:val="nil"/>
            </w:tcBorders>
            <w:noWrap/>
            <w:vAlign w:val="bottom"/>
            <w:hideMark/>
          </w:tcPr>
          <w:p w14:paraId="4A84DE1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5.081</w:t>
            </w:r>
          </w:p>
        </w:tc>
        <w:tc>
          <w:tcPr>
            <w:tcW w:w="234" w:type="pct"/>
            <w:gridSpan w:val="2"/>
            <w:tcBorders>
              <w:top w:val="nil"/>
              <w:left w:val="nil"/>
              <w:bottom w:val="nil"/>
              <w:right w:val="nil"/>
            </w:tcBorders>
            <w:noWrap/>
            <w:vAlign w:val="bottom"/>
            <w:hideMark/>
          </w:tcPr>
          <w:p w14:paraId="6648129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5.403</w:t>
            </w:r>
          </w:p>
        </w:tc>
        <w:tc>
          <w:tcPr>
            <w:tcW w:w="234" w:type="pct"/>
            <w:gridSpan w:val="2"/>
            <w:tcBorders>
              <w:top w:val="nil"/>
              <w:left w:val="nil"/>
              <w:bottom w:val="nil"/>
              <w:right w:val="nil"/>
            </w:tcBorders>
            <w:noWrap/>
            <w:vAlign w:val="bottom"/>
            <w:hideMark/>
          </w:tcPr>
          <w:p w14:paraId="75FEBBB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5.364</w:t>
            </w:r>
          </w:p>
        </w:tc>
        <w:tc>
          <w:tcPr>
            <w:tcW w:w="234" w:type="pct"/>
            <w:gridSpan w:val="2"/>
            <w:tcBorders>
              <w:top w:val="nil"/>
              <w:left w:val="nil"/>
              <w:bottom w:val="nil"/>
              <w:right w:val="nil"/>
            </w:tcBorders>
            <w:noWrap/>
            <w:vAlign w:val="bottom"/>
            <w:hideMark/>
          </w:tcPr>
          <w:p w14:paraId="4875566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5.877</w:t>
            </w:r>
          </w:p>
        </w:tc>
        <w:tc>
          <w:tcPr>
            <w:tcW w:w="234" w:type="pct"/>
            <w:gridSpan w:val="2"/>
            <w:tcBorders>
              <w:top w:val="nil"/>
              <w:left w:val="nil"/>
              <w:bottom w:val="nil"/>
              <w:right w:val="nil"/>
            </w:tcBorders>
            <w:noWrap/>
            <w:vAlign w:val="bottom"/>
            <w:hideMark/>
          </w:tcPr>
          <w:p w14:paraId="5880299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6.908</w:t>
            </w:r>
          </w:p>
        </w:tc>
        <w:tc>
          <w:tcPr>
            <w:tcW w:w="234" w:type="pct"/>
            <w:gridSpan w:val="2"/>
            <w:tcBorders>
              <w:top w:val="nil"/>
              <w:left w:val="nil"/>
              <w:bottom w:val="nil"/>
              <w:right w:val="nil"/>
            </w:tcBorders>
            <w:noWrap/>
            <w:vAlign w:val="bottom"/>
            <w:hideMark/>
          </w:tcPr>
          <w:p w14:paraId="47C8A24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8.218</w:t>
            </w:r>
          </w:p>
        </w:tc>
        <w:tc>
          <w:tcPr>
            <w:tcW w:w="234" w:type="pct"/>
            <w:gridSpan w:val="2"/>
            <w:tcBorders>
              <w:top w:val="nil"/>
              <w:left w:val="nil"/>
              <w:bottom w:val="nil"/>
              <w:right w:val="nil"/>
            </w:tcBorders>
            <w:noWrap/>
            <w:vAlign w:val="bottom"/>
            <w:hideMark/>
          </w:tcPr>
          <w:p w14:paraId="77076E5D"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8.832</w:t>
            </w:r>
          </w:p>
        </w:tc>
        <w:tc>
          <w:tcPr>
            <w:tcW w:w="234" w:type="pct"/>
            <w:gridSpan w:val="2"/>
            <w:tcBorders>
              <w:top w:val="nil"/>
              <w:left w:val="nil"/>
              <w:bottom w:val="nil"/>
              <w:right w:val="nil"/>
            </w:tcBorders>
            <w:noWrap/>
            <w:vAlign w:val="bottom"/>
            <w:hideMark/>
          </w:tcPr>
          <w:p w14:paraId="7321D26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9.817</w:t>
            </w:r>
          </w:p>
        </w:tc>
        <w:tc>
          <w:tcPr>
            <w:tcW w:w="234" w:type="pct"/>
            <w:gridSpan w:val="2"/>
            <w:tcBorders>
              <w:top w:val="nil"/>
              <w:left w:val="nil"/>
              <w:bottom w:val="nil"/>
              <w:right w:val="nil"/>
            </w:tcBorders>
            <w:noWrap/>
            <w:vAlign w:val="bottom"/>
            <w:hideMark/>
          </w:tcPr>
          <w:p w14:paraId="7392AE7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10.859</w:t>
            </w:r>
          </w:p>
        </w:tc>
        <w:tc>
          <w:tcPr>
            <w:tcW w:w="234" w:type="pct"/>
            <w:gridSpan w:val="2"/>
            <w:tcBorders>
              <w:top w:val="nil"/>
              <w:left w:val="nil"/>
              <w:bottom w:val="nil"/>
              <w:right w:val="nil"/>
            </w:tcBorders>
            <w:noWrap/>
            <w:vAlign w:val="bottom"/>
            <w:hideMark/>
          </w:tcPr>
          <w:p w14:paraId="5D3CB3D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11.560</w:t>
            </w:r>
          </w:p>
        </w:tc>
        <w:tc>
          <w:tcPr>
            <w:tcW w:w="234" w:type="pct"/>
            <w:gridSpan w:val="2"/>
            <w:tcBorders>
              <w:top w:val="nil"/>
              <w:left w:val="nil"/>
              <w:bottom w:val="nil"/>
              <w:right w:val="nil"/>
            </w:tcBorders>
            <w:noWrap/>
            <w:vAlign w:val="bottom"/>
            <w:hideMark/>
          </w:tcPr>
          <w:p w14:paraId="7CCD505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12.420</w:t>
            </w:r>
          </w:p>
        </w:tc>
        <w:tc>
          <w:tcPr>
            <w:tcW w:w="234" w:type="pct"/>
            <w:tcBorders>
              <w:top w:val="nil"/>
              <w:left w:val="nil"/>
              <w:bottom w:val="nil"/>
              <w:right w:val="nil"/>
            </w:tcBorders>
            <w:noWrap/>
            <w:vAlign w:val="bottom"/>
            <w:hideMark/>
          </w:tcPr>
          <w:p w14:paraId="6B90341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13.026</w:t>
            </w:r>
          </w:p>
        </w:tc>
      </w:tr>
      <w:tr w:rsidR="00B54F4E" w:rsidRPr="000C7A76" w14:paraId="2ED64F68" w14:textId="77777777" w:rsidTr="006504C4">
        <w:trPr>
          <w:trHeight w:val="300"/>
        </w:trPr>
        <w:tc>
          <w:tcPr>
            <w:tcW w:w="1211" w:type="pct"/>
            <w:tcBorders>
              <w:top w:val="nil"/>
              <w:left w:val="nil"/>
              <w:bottom w:val="nil"/>
              <w:right w:val="nil"/>
            </w:tcBorders>
            <w:noWrap/>
            <w:vAlign w:val="bottom"/>
            <w:hideMark/>
          </w:tcPr>
          <w:p w14:paraId="2C0892D7"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TotalRennoConv</w:t>
            </w:r>
          </w:p>
        </w:tc>
        <w:tc>
          <w:tcPr>
            <w:tcW w:w="221" w:type="pct"/>
            <w:tcBorders>
              <w:top w:val="nil"/>
              <w:left w:val="nil"/>
              <w:bottom w:val="nil"/>
              <w:right w:val="nil"/>
            </w:tcBorders>
            <w:noWrap/>
            <w:vAlign w:val="bottom"/>
            <w:hideMark/>
          </w:tcPr>
          <w:p w14:paraId="5FF61F77"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0021FE83"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332D98B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829</w:t>
            </w:r>
          </w:p>
        </w:tc>
        <w:tc>
          <w:tcPr>
            <w:tcW w:w="234" w:type="pct"/>
            <w:gridSpan w:val="2"/>
            <w:tcBorders>
              <w:top w:val="nil"/>
              <w:left w:val="nil"/>
              <w:bottom w:val="nil"/>
              <w:right w:val="nil"/>
            </w:tcBorders>
            <w:noWrap/>
            <w:vAlign w:val="bottom"/>
            <w:hideMark/>
          </w:tcPr>
          <w:p w14:paraId="774990D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1.110</w:t>
            </w:r>
          </w:p>
        </w:tc>
        <w:tc>
          <w:tcPr>
            <w:tcW w:w="234" w:type="pct"/>
            <w:gridSpan w:val="2"/>
            <w:tcBorders>
              <w:top w:val="nil"/>
              <w:left w:val="nil"/>
              <w:bottom w:val="nil"/>
              <w:right w:val="nil"/>
            </w:tcBorders>
            <w:noWrap/>
            <w:vAlign w:val="bottom"/>
            <w:hideMark/>
          </w:tcPr>
          <w:p w14:paraId="5C4715F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1.439</w:t>
            </w:r>
          </w:p>
        </w:tc>
        <w:tc>
          <w:tcPr>
            <w:tcW w:w="234" w:type="pct"/>
            <w:gridSpan w:val="2"/>
            <w:tcBorders>
              <w:top w:val="nil"/>
              <w:left w:val="nil"/>
              <w:bottom w:val="nil"/>
              <w:right w:val="nil"/>
            </w:tcBorders>
            <w:noWrap/>
            <w:vAlign w:val="bottom"/>
            <w:hideMark/>
          </w:tcPr>
          <w:p w14:paraId="2E23BBF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1.779</w:t>
            </w:r>
          </w:p>
        </w:tc>
        <w:tc>
          <w:tcPr>
            <w:tcW w:w="234" w:type="pct"/>
            <w:gridSpan w:val="2"/>
            <w:tcBorders>
              <w:top w:val="nil"/>
              <w:left w:val="nil"/>
              <w:bottom w:val="nil"/>
              <w:right w:val="nil"/>
            </w:tcBorders>
            <w:noWrap/>
            <w:vAlign w:val="bottom"/>
            <w:hideMark/>
          </w:tcPr>
          <w:p w14:paraId="2BEED4E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1.873</w:t>
            </w:r>
          </w:p>
        </w:tc>
        <w:tc>
          <w:tcPr>
            <w:tcW w:w="234" w:type="pct"/>
            <w:gridSpan w:val="2"/>
            <w:tcBorders>
              <w:top w:val="nil"/>
              <w:left w:val="nil"/>
              <w:bottom w:val="nil"/>
              <w:right w:val="nil"/>
            </w:tcBorders>
            <w:noWrap/>
            <w:vAlign w:val="bottom"/>
            <w:hideMark/>
          </w:tcPr>
          <w:p w14:paraId="0469E05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1.901</w:t>
            </w:r>
          </w:p>
        </w:tc>
        <w:tc>
          <w:tcPr>
            <w:tcW w:w="234" w:type="pct"/>
            <w:gridSpan w:val="2"/>
            <w:tcBorders>
              <w:top w:val="nil"/>
              <w:left w:val="nil"/>
              <w:bottom w:val="nil"/>
              <w:right w:val="nil"/>
            </w:tcBorders>
            <w:noWrap/>
            <w:vAlign w:val="bottom"/>
            <w:hideMark/>
          </w:tcPr>
          <w:p w14:paraId="6CD0DF5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2.187</w:t>
            </w:r>
          </w:p>
        </w:tc>
        <w:tc>
          <w:tcPr>
            <w:tcW w:w="234" w:type="pct"/>
            <w:gridSpan w:val="2"/>
            <w:tcBorders>
              <w:top w:val="nil"/>
              <w:left w:val="nil"/>
              <w:bottom w:val="nil"/>
              <w:right w:val="nil"/>
            </w:tcBorders>
            <w:noWrap/>
            <w:vAlign w:val="bottom"/>
            <w:hideMark/>
          </w:tcPr>
          <w:p w14:paraId="241610F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2.155</w:t>
            </w:r>
          </w:p>
        </w:tc>
        <w:tc>
          <w:tcPr>
            <w:tcW w:w="234" w:type="pct"/>
            <w:gridSpan w:val="2"/>
            <w:tcBorders>
              <w:top w:val="nil"/>
              <w:left w:val="nil"/>
              <w:bottom w:val="nil"/>
              <w:right w:val="nil"/>
            </w:tcBorders>
            <w:noWrap/>
            <w:vAlign w:val="bottom"/>
            <w:hideMark/>
          </w:tcPr>
          <w:p w14:paraId="7D9571E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2.157</w:t>
            </w:r>
          </w:p>
        </w:tc>
        <w:tc>
          <w:tcPr>
            <w:tcW w:w="234" w:type="pct"/>
            <w:gridSpan w:val="2"/>
            <w:tcBorders>
              <w:top w:val="nil"/>
              <w:left w:val="nil"/>
              <w:bottom w:val="nil"/>
              <w:right w:val="nil"/>
            </w:tcBorders>
            <w:noWrap/>
            <w:vAlign w:val="bottom"/>
            <w:hideMark/>
          </w:tcPr>
          <w:p w14:paraId="694072A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2.158</w:t>
            </w:r>
          </w:p>
        </w:tc>
        <w:tc>
          <w:tcPr>
            <w:tcW w:w="234" w:type="pct"/>
            <w:gridSpan w:val="2"/>
            <w:tcBorders>
              <w:top w:val="nil"/>
              <w:left w:val="nil"/>
              <w:bottom w:val="nil"/>
              <w:right w:val="nil"/>
            </w:tcBorders>
            <w:noWrap/>
            <w:vAlign w:val="bottom"/>
            <w:hideMark/>
          </w:tcPr>
          <w:p w14:paraId="687B5DB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2.604</w:t>
            </w:r>
          </w:p>
        </w:tc>
        <w:tc>
          <w:tcPr>
            <w:tcW w:w="234" w:type="pct"/>
            <w:gridSpan w:val="2"/>
            <w:tcBorders>
              <w:top w:val="nil"/>
              <w:left w:val="nil"/>
              <w:bottom w:val="nil"/>
              <w:right w:val="nil"/>
            </w:tcBorders>
            <w:noWrap/>
            <w:vAlign w:val="bottom"/>
            <w:hideMark/>
          </w:tcPr>
          <w:p w14:paraId="5FC60DC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2.912</w:t>
            </w:r>
          </w:p>
        </w:tc>
        <w:tc>
          <w:tcPr>
            <w:tcW w:w="234" w:type="pct"/>
            <w:gridSpan w:val="2"/>
            <w:tcBorders>
              <w:top w:val="nil"/>
              <w:left w:val="nil"/>
              <w:bottom w:val="nil"/>
              <w:right w:val="nil"/>
            </w:tcBorders>
            <w:noWrap/>
            <w:vAlign w:val="bottom"/>
            <w:hideMark/>
          </w:tcPr>
          <w:p w14:paraId="4C0BEAF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2.946</w:t>
            </w:r>
          </w:p>
        </w:tc>
        <w:tc>
          <w:tcPr>
            <w:tcW w:w="234" w:type="pct"/>
            <w:gridSpan w:val="2"/>
            <w:tcBorders>
              <w:top w:val="nil"/>
              <w:left w:val="nil"/>
              <w:bottom w:val="nil"/>
              <w:right w:val="nil"/>
            </w:tcBorders>
            <w:noWrap/>
            <w:vAlign w:val="bottom"/>
            <w:hideMark/>
          </w:tcPr>
          <w:p w14:paraId="0041740D"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2.978</w:t>
            </w:r>
          </w:p>
        </w:tc>
        <w:tc>
          <w:tcPr>
            <w:tcW w:w="234" w:type="pct"/>
            <w:tcBorders>
              <w:top w:val="nil"/>
              <w:left w:val="nil"/>
              <w:bottom w:val="nil"/>
              <w:right w:val="nil"/>
            </w:tcBorders>
            <w:noWrap/>
            <w:vAlign w:val="bottom"/>
            <w:hideMark/>
          </w:tcPr>
          <w:p w14:paraId="6A0DCF4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2.984</w:t>
            </w:r>
          </w:p>
        </w:tc>
      </w:tr>
      <w:tr w:rsidR="00B54F4E" w:rsidRPr="000C7A76" w14:paraId="55EA2AE9" w14:textId="77777777" w:rsidTr="006504C4">
        <w:trPr>
          <w:trHeight w:val="300"/>
        </w:trPr>
        <w:tc>
          <w:tcPr>
            <w:tcW w:w="1211" w:type="pct"/>
            <w:tcBorders>
              <w:top w:val="nil"/>
              <w:left w:val="nil"/>
              <w:bottom w:val="nil"/>
              <w:right w:val="nil"/>
            </w:tcBorders>
            <w:noWrap/>
            <w:vAlign w:val="bottom"/>
            <w:hideMark/>
          </w:tcPr>
          <w:p w14:paraId="6EB124DE"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OfertaACP</w:t>
            </w:r>
          </w:p>
        </w:tc>
        <w:tc>
          <w:tcPr>
            <w:tcW w:w="221" w:type="pct"/>
            <w:tcBorders>
              <w:top w:val="nil"/>
              <w:left w:val="nil"/>
              <w:bottom w:val="nil"/>
              <w:right w:val="nil"/>
            </w:tcBorders>
            <w:noWrap/>
            <w:vAlign w:val="bottom"/>
            <w:hideMark/>
          </w:tcPr>
          <w:p w14:paraId="1CE03B8E"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6159876F"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42AD86C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106</w:t>
            </w:r>
          </w:p>
        </w:tc>
        <w:tc>
          <w:tcPr>
            <w:tcW w:w="234" w:type="pct"/>
            <w:gridSpan w:val="2"/>
            <w:tcBorders>
              <w:top w:val="nil"/>
              <w:left w:val="nil"/>
              <w:bottom w:val="nil"/>
              <w:right w:val="nil"/>
            </w:tcBorders>
            <w:noWrap/>
            <w:vAlign w:val="bottom"/>
            <w:hideMark/>
          </w:tcPr>
          <w:p w14:paraId="1618C89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329</w:t>
            </w:r>
          </w:p>
        </w:tc>
        <w:tc>
          <w:tcPr>
            <w:tcW w:w="234" w:type="pct"/>
            <w:gridSpan w:val="2"/>
            <w:tcBorders>
              <w:top w:val="nil"/>
              <w:left w:val="nil"/>
              <w:bottom w:val="nil"/>
              <w:right w:val="nil"/>
            </w:tcBorders>
            <w:noWrap/>
            <w:vAlign w:val="bottom"/>
            <w:hideMark/>
          </w:tcPr>
          <w:p w14:paraId="4FD39D6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257</w:t>
            </w:r>
          </w:p>
        </w:tc>
        <w:tc>
          <w:tcPr>
            <w:tcW w:w="234" w:type="pct"/>
            <w:gridSpan w:val="2"/>
            <w:tcBorders>
              <w:top w:val="nil"/>
              <w:left w:val="nil"/>
              <w:bottom w:val="nil"/>
              <w:right w:val="nil"/>
            </w:tcBorders>
            <w:noWrap/>
            <w:vAlign w:val="bottom"/>
            <w:hideMark/>
          </w:tcPr>
          <w:p w14:paraId="044A1E6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218</w:t>
            </w:r>
          </w:p>
        </w:tc>
        <w:tc>
          <w:tcPr>
            <w:tcW w:w="234" w:type="pct"/>
            <w:gridSpan w:val="2"/>
            <w:tcBorders>
              <w:top w:val="nil"/>
              <w:left w:val="nil"/>
              <w:bottom w:val="nil"/>
              <w:right w:val="nil"/>
            </w:tcBorders>
            <w:noWrap/>
            <w:vAlign w:val="bottom"/>
            <w:hideMark/>
          </w:tcPr>
          <w:p w14:paraId="2A7D592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124</w:t>
            </w:r>
          </w:p>
        </w:tc>
        <w:tc>
          <w:tcPr>
            <w:tcW w:w="234" w:type="pct"/>
            <w:gridSpan w:val="2"/>
            <w:tcBorders>
              <w:top w:val="nil"/>
              <w:left w:val="nil"/>
              <w:bottom w:val="nil"/>
              <w:right w:val="nil"/>
            </w:tcBorders>
            <w:noWrap/>
            <w:vAlign w:val="bottom"/>
            <w:hideMark/>
          </w:tcPr>
          <w:p w14:paraId="25D1A05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78</w:t>
            </w:r>
          </w:p>
        </w:tc>
        <w:tc>
          <w:tcPr>
            <w:tcW w:w="234" w:type="pct"/>
            <w:gridSpan w:val="2"/>
            <w:tcBorders>
              <w:top w:val="nil"/>
              <w:left w:val="nil"/>
              <w:bottom w:val="nil"/>
              <w:right w:val="nil"/>
            </w:tcBorders>
            <w:noWrap/>
            <w:vAlign w:val="bottom"/>
            <w:hideMark/>
          </w:tcPr>
          <w:p w14:paraId="76019A9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84</w:t>
            </w:r>
          </w:p>
        </w:tc>
        <w:tc>
          <w:tcPr>
            <w:tcW w:w="234" w:type="pct"/>
            <w:gridSpan w:val="2"/>
            <w:tcBorders>
              <w:top w:val="nil"/>
              <w:left w:val="nil"/>
              <w:bottom w:val="nil"/>
              <w:right w:val="nil"/>
            </w:tcBorders>
            <w:noWrap/>
            <w:vAlign w:val="bottom"/>
            <w:hideMark/>
          </w:tcPr>
          <w:p w14:paraId="3693D93D"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98</w:t>
            </w:r>
          </w:p>
        </w:tc>
        <w:tc>
          <w:tcPr>
            <w:tcW w:w="234" w:type="pct"/>
            <w:gridSpan w:val="2"/>
            <w:tcBorders>
              <w:top w:val="nil"/>
              <w:left w:val="nil"/>
              <w:bottom w:val="nil"/>
              <w:right w:val="nil"/>
            </w:tcBorders>
            <w:noWrap/>
            <w:vAlign w:val="bottom"/>
            <w:hideMark/>
          </w:tcPr>
          <w:p w14:paraId="6101B8E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74</w:t>
            </w:r>
          </w:p>
        </w:tc>
        <w:tc>
          <w:tcPr>
            <w:tcW w:w="234" w:type="pct"/>
            <w:gridSpan w:val="2"/>
            <w:tcBorders>
              <w:top w:val="nil"/>
              <w:left w:val="nil"/>
              <w:bottom w:val="nil"/>
              <w:right w:val="nil"/>
            </w:tcBorders>
            <w:noWrap/>
            <w:vAlign w:val="bottom"/>
            <w:hideMark/>
          </w:tcPr>
          <w:p w14:paraId="1A2025A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90</w:t>
            </w:r>
          </w:p>
        </w:tc>
        <w:tc>
          <w:tcPr>
            <w:tcW w:w="234" w:type="pct"/>
            <w:gridSpan w:val="2"/>
            <w:tcBorders>
              <w:top w:val="nil"/>
              <w:left w:val="nil"/>
              <w:bottom w:val="nil"/>
              <w:right w:val="nil"/>
            </w:tcBorders>
            <w:noWrap/>
            <w:vAlign w:val="bottom"/>
            <w:hideMark/>
          </w:tcPr>
          <w:p w14:paraId="5E5245E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65</w:t>
            </w:r>
          </w:p>
        </w:tc>
        <w:tc>
          <w:tcPr>
            <w:tcW w:w="234" w:type="pct"/>
            <w:gridSpan w:val="2"/>
            <w:tcBorders>
              <w:top w:val="nil"/>
              <w:left w:val="nil"/>
              <w:bottom w:val="nil"/>
              <w:right w:val="nil"/>
            </w:tcBorders>
            <w:noWrap/>
            <w:vAlign w:val="bottom"/>
            <w:hideMark/>
          </w:tcPr>
          <w:p w14:paraId="1551540A"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70</w:t>
            </w:r>
          </w:p>
        </w:tc>
        <w:tc>
          <w:tcPr>
            <w:tcW w:w="234" w:type="pct"/>
            <w:gridSpan w:val="2"/>
            <w:tcBorders>
              <w:top w:val="nil"/>
              <w:left w:val="nil"/>
              <w:bottom w:val="nil"/>
              <w:right w:val="nil"/>
            </w:tcBorders>
            <w:noWrap/>
            <w:vAlign w:val="bottom"/>
            <w:hideMark/>
          </w:tcPr>
          <w:p w14:paraId="6C11CD4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72</w:t>
            </w:r>
          </w:p>
        </w:tc>
        <w:tc>
          <w:tcPr>
            <w:tcW w:w="234" w:type="pct"/>
            <w:gridSpan w:val="2"/>
            <w:tcBorders>
              <w:top w:val="nil"/>
              <w:left w:val="nil"/>
              <w:bottom w:val="nil"/>
              <w:right w:val="nil"/>
            </w:tcBorders>
            <w:noWrap/>
            <w:vAlign w:val="bottom"/>
            <w:hideMark/>
          </w:tcPr>
          <w:p w14:paraId="01FD589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85</w:t>
            </w:r>
          </w:p>
        </w:tc>
        <w:tc>
          <w:tcPr>
            <w:tcW w:w="234" w:type="pct"/>
            <w:tcBorders>
              <w:top w:val="nil"/>
              <w:left w:val="nil"/>
              <w:bottom w:val="nil"/>
              <w:right w:val="nil"/>
            </w:tcBorders>
            <w:noWrap/>
            <w:vAlign w:val="bottom"/>
            <w:hideMark/>
          </w:tcPr>
          <w:p w14:paraId="6F3B6DA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94</w:t>
            </w:r>
          </w:p>
        </w:tc>
      </w:tr>
      <w:tr w:rsidR="00B54F4E" w:rsidRPr="000C7A76" w14:paraId="663ABF68" w14:textId="77777777" w:rsidTr="006504C4">
        <w:trPr>
          <w:trHeight w:val="300"/>
        </w:trPr>
        <w:tc>
          <w:tcPr>
            <w:tcW w:w="1211" w:type="pct"/>
            <w:tcBorders>
              <w:top w:val="single" w:sz="4" w:space="0" w:color="auto"/>
              <w:left w:val="nil"/>
              <w:bottom w:val="single" w:sz="4" w:space="0" w:color="auto"/>
              <w:right w:val="nil"/>
            </w:tcBorders>
            <w:noWrap/>
            <w:vAlign w:val="bottom"/>
            <w:hideMark/>
          </w:tcPr>
          <w:p w14:paraId="137D00A4" w14:textId="77777777" w:rsidR="00B54F4E" w:rsidRPr="000C7A76" w:rsidRDefault="00B54F4E" w:rsidP="006504C4">
            <w:pPr>
              <w:spacing w:before="0" w:after="0"/>
              <w:jc w:val="left"/>
              <w:rPr>
                <w:rFonts w:ascii="Calibri" w:hAnsi="Calibri" w:cs="Calibri"/>
                <w:b/>
                <w:bCs/>
                <w:color w:val="000000"/>
                <w:sz w:val="16"/>
                <w:szCs w:val="22"/>
                <w:lang w:eastAsia="es-CO"/>
              </w:rPr>
            </w:pPr>
            <w:r w:rsidRPr="000C7A76">
              <w:rPr>
                <w:rFonts w:ascii="Calibri" w:hAnsi="Calibri" w:cs="Calibri"/>
                <w:b/>
                <w:bCs/>
                <w:color w:val="000000"/>
                <w:sz w:val="16"/>
                <w:szCs w:val="22"/>
                <w:lang w:eastAsia="es-CO"/>
              </w:rPr>
              <w:t>TotalGen</w:t>
            </w:r>
          </w:p>
        </w:tc>
        <w:tc>
          <w:tcPr>
            <w:tcW w:w="221" w:type="pct"/>
            <w:tcBorders>
              <w:top w:val="single" w:sz="4" w:space="0" w:color="auto"/>
              <w:left w:val="nil"/>
              <w:bottom w:val="single" w:sz="4" w:space="0" w:color="auto"/>
              <w:right w:val="nil"/>
            </w:tcBorders>
            <w:noWrap/>
            <w:vAlign w:val="bottom"/>
            <w:hideMark/>
          </w:tcPr>
          <w:p w14:paraId="3D8E5ECE" w14:textId="77777777" w:rsidR="00B54F4E" w:rsidRPr="000C7A76" w:rsidRDefault="00B54F4E" w:rsidP="006504C4">
            <w:pPr>
              <w:spacing w:before="0" w:after="0"/>
              <w:jc w:val="left"/>
              <w:rPr>
                <w:rFonts w:ascii="Calibri" w:hAnsi="Calibri" w:cs="Calibri"/>
                <w:b/>
                <w:bCs/>
                <w:color w:val="000000"/>
                <w:sz w:val="16"/>
                <w:szCs w:val="22"/>
                <w:lang w:eastAsia="es-CO"/>
              </w:rPr>
            </w:pPr>
          </w:p>
        </w:tc>
        <w:tc>
          <w:tcPr>
            <w:tcW w:w="62" w:type="pct"/>
            <w:tcBorders>
              <w:top w:val="single" w:sz="4" w:space="0" w:color="auto"/>
              <w:left w:val="nil"/>
              <w:bottom w:val="single" w:sz="4" w:space="0" w:color="auto"/>
              <w:right w:val="nil"/>
            </w:tcBorders>
            <w:noWrap/>
            <w:vAlign w:val="bottom"/>
            <w:hideMark/>
          </w:tcPr>
          <w:p w14:paraId="19D7ECC4"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single" w:sz="4" w:space="0" w:color="auto"/>
              <w:left w:val="nil"/>
              <w:bottom w:val="single" w:sz="4" w:space="0" w:color="auto"/>
              <w:right w:val="nil"/>
            </w:tcBorders>
            <w:noWrap/>
            <w:vAlign w:val="bottom"/>
            <w:hideMark/>
          </w:tcPr>
          <w:p w14:paraId="0BA2CC36"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10.566</w:t>
            </w:r>
          </w:p>
        </w:tc>
        <w:tc>
          <w:tcPr>
            <w:tcW w:w="234" w:type="pct"/>
            <w:gridSpan w:val="2"/>
            <w:tcBorders>
              <w:top w:val="single" w:sz="4" w:space="0" w:color="auto"/>
              <w:left w:val="nil"/>
              <w:bottom w:val="single" w:sz="4" w:space="0" w:color="auto"/>
              <w:right w:val="nil"/>
            </w:tcBorders>
            <w:noWrap/>
            <w:vAlign w:val="bottom"/>
            <w:hideMark/>
          </w:tcPr>
          <w:p w14:paraId="7F80DF26"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11.281</w:t>
            </w:r>
          </w:p>
        </w:tc>
        <w:tc>
          <w:tcPr>
            <w:tcW w:w="234" w:type="pct"/>
            <w:gridSpan w:val="2"/>
            <w:tcBorders>
              <w:top w:val="single" w:sz="4" w:space="0" w:color="auto"/>
              <w:left w:val="nil"/>
              <w:bottom w:val="single" w:sz="4" w:space="0" w:color="auto"/>
              <w:right w:val="nil"/>
            </w:tcBorders>
            <w:noWrap/>
            <w:vAlign w:val="bottom"/>
            <w:hideMark/>
          </w:tcPr>
          <w:p w14:paraId="0DFDA31A"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13.654</w:t>
            </w:r>
          </w:p>
        </w:tc>
        <w:tc>
          <w:tcPr>
            <w:tcW w:w="234" w:type="pct"/>
            <w:gridSpan w:val="2"/>
            <w:tcBorders>
              <w:top w:val="single" w:sz="4" w:space="0" w:color="auto"/>
              <w:left w:val="nil"/>
              <w:bottom w:val="single" w:sz="4" w:space="0" w:color="auto"/>
              <w:right w:val="nil"/>
            </w:tcBorders>
            <w:noWrap/>
            <w:vAlign w:val="bottom"/>
            <w:hideMark/>
          </w:tcPr>
          <w:p w14:paraId="5666DE4E"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15.292</w:t>
            </w:r>
          </w:p>
        </w:tc>
        <w:tc>
          <w:tcPr>
            <w:tcW w:w="234" w:type="pct"/>
            <w:gridSpan w:val="2"/>
            <w:tcBorders>
              <w:top w:val="single" w:sz="4" w:space="0" w:color="auto"/>
              <w:left w:val="nil"/>
              <w:bottom w:val="single" w:sz="4" w:space="0" w:color="auto"/>
              <w:right w:val="nil"/>
            </w:tcBorders>
            <w:noWrap/>
            <w:vAlign w:val="bottom"/>
            <w:hideMark/>
          </w:tcPr>
          <w:p w14:paraId="436B4993"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16.438</w:t>
            </w:r>
          </w:p>
        </w:tc>
        <w:tc>
          <w:tcPr>
            <w:tcW w:w="234" w:type="pct"/>
            <w:gridSpan w:val="2"/>
            <w:tcBorders>
              <w:top w:val="single" w:sz="4" w:space="0" w:color="auto"/>
              <w:left w:val="nil"/>
              <w:bottom w:val="single" w:sz="4" w:space="0" w:color="auto"/>
              <w:right w:val="nil"/>
            </w:tcBorders>
            <w:noWrap/>
            <w:vAlign w:val="bottom"/>
            <w:hideMark/>
          </w:tcPr>
          <w:p w14:paraId="05F2742F"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17.025</w:t>
            </w:r>
          </w:p>
        </w:tc>
        <w:tc>
          <w:tcPr>
            <w:tcW w:w="234" w:type="pct"/>
            <w:gridSpan w:val="2"/>
            <w:tcBorders>
              <w:top w:val="single" w:sz="4" w:space="0" w:color="auto"/>
              <w:left w:val="nil"/>
              <w:bottom w:val="single" w:sz="4" w:space="0" w:color="auto"/>
              <w:right w:val="nil"/>
            </w:tcBorders>
            <w:noWrap/>
            <w:vAlign w:val="bottom"/>
            <w:hideMark/>
          </w:tcPr>
          <w:p w14:paraId="415FD224"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17.886</w:t>
            </w:r>
          </w:p>
        </w:tc>
        <w:tc>
          <w:tcPr>
            <w:tcW w:w="234" w:type="pct"/>
            <w:gridSpan w:val="2"/>
            <w:tcBorders>
              <w:top w:val="single" w:sz="4" w:space="0" w:color="auto"/>
              <w:left w:val="nil"/>
              <w:bottom w:val="single" w:sz="4" w:space="0" w:color="auto"/>
              <w:right w:val="nil"/>
            </w:tcBorders>
            <w:noWrap/>
            <w:vAlign w:val="bottom"/>
            <w:hideMark/>
          </w:tcPr>
          <w:p w14:paraId="140D8938"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18.986</w:t>
            </w:r>
          </w:p>
        </w:tc>
        <w:tc>
          <w:tcPr>
            <w:tcW w:w="234" w:type="pct"/>
            <w:gridSpan w:val="2"/>
            <w:tcBorders>
              <w:top w:val="single" w:sz="4" w:space="0" w:color="auto"/>
              <w:left w:val="nil"/>
              <w:bottom w:val="single" w:sz="4" w:space="0" w:color="auto"/>
              <w:right w:val="nil"/>
            </w:tcBorders>
            <w:noWrap/>
            <w:vAlign w:val="bottom"/>
            <w:hideMark/>
          </w:tcPr>
          <w:p w14:paraId="6655F086"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20.308</w:t>
            </w:r>
          </w:p>
        </w:tc>
        <w:tc>
          <w:tcPr>
            <w:tcW w:w="234" w:type="pct"/>
            <w:gridSpan w:val="2"/>
            <w:tcBorders>
              <w:top w:val="single" w:sz="4" w:space="0" w:color="auto"/>
              <w:left w:val="nil"/>
              <w:bottom w:val="single" w:sz="4" w:space="0" w:color="auto"/>
              <w:right w:val="nil"/>
            </w:tcBorders>
            <w:noWrap/>
            <w:vAlign w:val="bottom"/>
            <w:hideMark/>
          </w:tcPr>
          <w:p w14:paraId="09F933F4"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20.817</w:t>
            </w:r>
          </w:p>
        </w:tc>
        <w:tc>
          <w:tcPr>
            <w:tcW w:w="234" w:type="pct"/>
            <w:gridSpan w:val="2"/>
            <w:tcBorders>
              <w:top w:val="single" w:sz="4" w:space="0" w:color="auto"/>
              <w:left w:val="nil"/>
              <w:bottom w:val="single" w:sz="4" w:space="0" w:color="auto"/>
              <w:right w:val="nil"/>
            </w:tcBorders>
            <w:noWrap/>
            <w:vAlign w:val="bottom"/>
            <w:hideMark/>
          </w:tcPr>
          <w:p w14:paraId="384AC100"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22.396</w:t>
            </w:r>
          </w:p>
        </w:tc>
        <w:tc>
          <w:tcPr>
            <w:tcW w:w="234" w:type="pct"/>
            <w:gridSpan w:val="2"/>
            <w:tcBorders>
              <w:top w:val="single" w:sz="4" w:space="0" w:color="auto"/>
              <w:left w:val="nil"/>
              <w:bottom w:val="single" w:sz="4" w:space="0" w:color="auto"/>
              <w:right w:val="nil"/>
            </w:tcBorders>
            <w:noWrap/>
            <w:vAlign w:val="bottom"/>
            <w:hideMark/>
          </w:tcPr>
          <w:p w14:paraId="26DB0108"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23.508</w:t>
            </w:r>
          </w:p>
        </w:tc>
        <w:tc>
          <w:tcPr>
            <w:tcW w:w="234" w:type="pct"/>
            <w:gridSpan w:val="2"/>
            <w:tcBorders>
              <w:top w:val="single" w:sz="4" w:space="0" w:color="auto"/>
              <w:left w:val="nil"/>
              <w:bottom w:val="single" w:sz="4" w:space="0" w:color="auto"/>
              <w:right w:val="nil"/>
            </w:tcBorders>
            <w:noWrap/>
            <w:vAlign w:val="bottom"/>
            <w:hideMark/>
          </w:tcPr>
          <w:p w14:paraId="3AC35631"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24.247</w:t>
            </w:r>
          </w:p>
        </w:tc>
        <w:tc>
          <w:tcPr>
            <w:tcW w:w="234" w:type="pct"/>
            <w:gridSpan w:val="2"/>
            <w:tcBorders>
              <w:top w:val="single" w:sz="4" w:space="0" w:color="auto"/>
              <w:left w:val="nil"/>
              <w:bottom w:val="single" w:sz="4" w:space="0" w:color="auto"/>
              <w:right w:val="nil"/>
            </w:tcBorders>
            <w:noWrap/>
            <w:vAlign w:val="bottom"/>
            <w:hideMark/>
          </w:tcPr>
          <w:p w14:paraId="72CE57CF"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25.356</w:t>
            </w:r>
          </w:p>
        </w:tc>
        <w:tc>
          <w:tcPr>
            <w:tcW w:w="234" w:type="pct"/>
            <w:tcBorders>
              <w:top w:val="single" w:sz="4" w:space="0" w:color="auto"/>
              <w:left w:val="nil"/>
              <w:bottom w:val="single" w:sz="4" w:space="0" w:color="auto"/>
              <w:right w:val="nil"/>
            </w:tcBorders>
            <w:noWrap/>
            <w:vAlign w:val="bottom"/>
            <w:hideMark/>
          </w:tcPr>
          <w:p w14:paraId="710BA15F" w14:textId="77777777" w:rsidR="00B54F4E" w:rsidRPr="000C7A76" w:rsidRDefault="00B54F4E" w:rsidP="006504C4">
            <w:pPr>
              <w:spacing w:before="0" w:after="0"/>
              <w:jc w:val="right"/>
              <w:rPr>
                <w:rFonts w:ascii="Calibri" w:hAnsi="Calibri" w:cs="Calibri"/>
                <w:b/>
                <w:bCs/>
                <w:color w:val="000000" w:themeColor="text1"/>
                <w:sz w:val="16"/>
                <w:szCs w:val="22"/>
                <w:lang w:eastAsia="es-CO"/>
              </w:rPr>
            </w:pPr>
            <w:r w:rsidRPr="000C7A76">
              <w:rPr>
                <w:rFonts w:ascii="Calibri" w:hAnsi="Calibri" w:cs="Calibri"/>
                <w:b/>
                <w:bCs/>
                <w:color w:val="000000" w:themeColor="text1"/>
                <w:sz w:val="16"/>
                <w:szCs w:val="22"/>
                <w:lang w:eastAsia="es-CO"/>
              </w:rPr>
              <w:t>26.531</w:t>
            </w:r>
          </w:p>
        </w:tc>
      </w:tr>
      <w:tr w:rsidR="00B54F4E" w:rsidRPr="000C7A76" w14:paraId="2EBED3D3" w14:textId="77777777" w:rsidTr="006504C4">
        <w:trPr>
          <w:trHeight w:val="300"/>
        </w:trPr>
        <w:tc>
          <w:tcPr>
            <w:tcW w:w="1211" w:type="pct"/>
            <w:tcBorders>
              <w:top w:val="nil"/>
              <w:left w:val="nil"/>
              <w:bottom w:val="nil"/>
              <w:right w:val="nil"/>
            </w:tcBorders>
            <w:noWrap/>
            <w:vAlign w:val="bottom"/>
            <w:hideMark/>
          </w:tcPr>
          <w:p w14:paraId="76CDE965"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Exportaciones</w:t>
            </w:r>
          </w:p>
        </w:tc>
        <w:tc>
          <w:tcPr>
            <w:tcW w:w="221" w:type="pct"/>
            <w:tcBorders>
              <w:top w:val="nil"/>
              <w:left w:val="nil"/>
              <w:bottom w:val="nil"/>
              <w:right w:val="nil"/>
            </w:tcBorders>
            <w:noWrap/>
            <w:vAlign w:val="bottom"/>
            <w:hideMark/>
          </w:tcPr>
          <w:p w14:paraId="547FC81E"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452D0DA0"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6C708E1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47</w:t>
            </w:r>
          </w:p>
        </w:tc>
        <w:tc>
          <w:tcPr>
            <w:tcW w:w="234" w:type="pct"/>
            <w:gridSpan w:val="2"/>
            <w:tcBorders>
              <w:top w:val="nil"/>
              <w:left w:val="nil"/>
              <w:bottom w:val="nil"/>
              <w:right w:val="nil"/>
            </w:tcBorders>
            <w:noWrap/>
            <w:vAlign w:val="bottom"/>
            <w:hideMark/>
          </w:tcPr>
          <w:p w14:paraId="3507CF7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113</w:t>
            </w:r>
          </w:p>
        </w:tc>
        <w:tc>
          <w:tcPr>
            <w:tcW w:w="234" w:type="pct"/>
            <w:gridSpan w:val="2"/>
            <w:tcBorders>
              <w:top w:val="nil"/>
              <w:left w:val="nil"/>
              <w:bottom w:val="nil"/>
              <w:right w:val="nil"/>
            </w:tcBorders>
            <w:noWrap/>
            <w:vAlign w:val="bottom"/>
            <w:hideMark/>
          </w:tcPr>
          <w:p w14:paraId="07AECA3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307</w:t>
            </w:r>
          </w:p>
        </w:tc>
        <w:tc>
          <w:tcPr>
            <w:tcW w:w="234" w:type="pct"/>
            <w:gridSpan w:val="2"/>
            <w:tcBorders>
              <w:top w:val="nil"/>
              <w:left w:val="nil"/>
              <w:bottom w:val="nil"/>
              <w:right w:val="nil"/>
            </w:tcBorders>
            <w:noWrap/>
            <w:vAlign w:val="bottom"/>
            <w:hideMark/>
          </w:tcPr>
          <w:p w14:paraId="5791875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737</w:t>
            </w:r>
          </w:p>
        </w:tc>
        <w:tc>
          <w:tcPr>
            <w:tcW w:w="234" w:type="pct"/>
            <w:gridSpan w:val="2"/>
            <w:tcBorders>
              <w:top w:val="nil"/>
              <w:left w:val="nil"/>
              <w:bottom w:val="nil"/>
              <w:right w:val="nil"/>
            </w:tcBorders>
            <w:noWrap/>
            <w:vAlign w:val="bottom"/>
            <w:hideMark/>
          </w:tcPr>
          <w:p w14:paraId="0501CDC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1.297</w:t>
            </w:r>
          </w:p>
        </w:tc>
        <w:tc>
          <w:tcPr>
            <w:tcW w:w="234" w:type="pct"/>
            <w:gridSpan w:val="2"/>
            <w:tcBorders>
              <w:top w:val="nil"/>
              <w:left w:val="nil"/>
              <w:bottom w:val="nil"/>
              <w:right w:val="nil"/>
            </w:tcBorders>
            <w:noWrap/>
            <w:vAlign w:val="bottom"/>
            <w:hideMark/>
          </w:tcPr>
          <w:p w14:paraId="3140157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1.167</w:t>
            </w:r>
          </w:p>
        </w:tc>
        <w:tc>
          <w:tcPr>
            <w:tcW w:w="234" w:type="pct"/>
            <w:gridSpan w:val="2"/>
            <w:tcBorders>
              <w:top w:val="nil"/>
              <w:left w:val="nil"/>
              <w:bottom w:val="nil"/>
              <w:right w:val="nil"/>
            </w:tcBorders>
            <w:noWrap/>
            <w:vAlign w:val="bottom"/>
            <w:hideMark/>
          </w:tcPr>
          <w:p w14:paraId="0284960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1.213</w:t>
            </w:r>
          </w:p>
        </w:tc>
        <w:tc>
          <w:tcPr>
            <w:tcW w:w="234" w:type="pct"/>
            <w:gridSpan w:val="2"/>
            <w:tcBorders>
              <w:top w:val="nil"/>
              <w:left w:val="nil"/>
              <w:bottom w:val="nil"/>
              <w:right w:val="nil"/>
            </w:tcBorders>
            <w:noWrap/>
            <w:vAlign w:val="bottom"/>
            <w:hideMark/>
          </w:tcPr>
          <w:p w14:paraId="337D5B6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1.381</w:t>
            </w:r>
          </w:p>
        </w:tc>
        <w:tc>
          <w:tcPr>
            <w:tcW w:w="234" w:type="pct"/>
            <w:gridSpan w:val="2"/>
            <w:tcBorders>
              <w:top w:val="nil"/>
              <w:left w:val="nil"/>
              <w:bottom w:val="nil"/>
              <w:right w:val="nil"/>
            </w:tcBorders>
            <w:noWrap/>
            <w:vAlign w:val="bottom"/>
            <w:hideMark/>
          </w:tcPr>
          <w:p w14:paraId="6B290AE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1.703</w:t>
            </w:r>
          </w:p>
        </w:tc>
        <w:tc>
          <w:tcPr>
            <w:tcW w:w="234" w:type="pct"/>
            <w:gridSpan w:val="2"/>
            <w:tcBorders>
              <w:top w:val="nil"/>
              <w:left w:val="nil"/>
              <w:bottom w:val="nil"/>
              <w:right w:val="nil"/>
            </w:tcBorders>
            <w:noWrap/>
            <w:vAlign w:val="bottom"/>
            <w:hideMark/>
          </w:tcPr>
          <w:p w14:paraId="2093905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1.428</w:t>
            </w:r>
          </w:p>
        </w:tc>
        <w:tc>
          <w:tcPr>
            <w:tcW w:w="234" w:type="pct"/>
            <w:gridSpan w:val="2"/>
            <w:tcBorders>
              <w:top w:val="nil"/>
              <w:left w:val="nil"/>
              <w:bottom w:val="nil"/>
              <w:right w:val="nil"/>
            </w:tcBorders>
            <w:noWrap/>
            <w:vAlign w:val="bottom"/>
            <w:hideMark/>
          </w:tcPr>
          <w:p w14:paraId="5815266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1.806</w:t>
            </w:r>
          </w:p>
        </w:tc>
        <w:tc>
          <w:tcPr>
            <w:tcW w:w="234" w:type="pct"/>
            <w:gridSpan w:val="2"/>
            <w:tcBorders>
              <w:top w:val="nil"/>
              <w:left w:val="nil"/>
              <w:bottom w:val="nil"/>
              <w:right w:val="nil"/>
            </w:tcBorders>
            <w:noWrap/>
            <w:vAlign w:val="bottom"/>
            <w:hideMark/>
          </w:tcPr>
          <w:p w14:paraId="3E6F449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1.868</w:t>
            </w:r>
          </w:p>
        </w:tc>
        <w:tc>
          <w:tcPr>
            <w:tcW w:w="234" w:type="pct"/>
            <w:gridSpan w:val="2"/>
            <w:tcBorders>
              <w:top w:val="nil"/>
              <w:left w:val="nil"/>
              <w:bottom w:val="nil"/>
              <w:right w:val="nil"/>
            </w:tcBorders>
            <w:noWrap/>
            <w:vAlign w:val="bottom"/>
            <w:hideMark/>
          </w:tcPr>
          <w:p w14:paraId="4DA7226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1.632</w:t>
            </w:r>
          </w:p>
        </w:tc>
        <w:tc>
          <w:tcPr>
            <w:tcW w:w="234" w:type="pct"/>
            <w:gridSpan w:val="2"/>
            <w:tcBorders>
              <w:top w:val="nil"/>
              <w:left w:val="nil"/>
              <w:bottom w:val="nil"/>
              <w:right w:val="nil"/>
            </w:tcBorders>
            <w:noWrap/>
            <w:vAlign w:val="bottom"/>
            <w:hideMark/>
          </w:tcPr>
          <w:p w14:paraId="1FDFC98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1.593</w:t>
            </w:r>
          </w:p>
        </w:tc>
        <w:tc>
          <w:tcPr>
            <w:tcW w:w="234" w:type="pct"/>
            <w:tcBorders>
              <w:top w:val="nil"/>
              <w:left w:val="nil"/>
              <w:bottom w:val="nil"/>
              <w:right w:val="nil"/>
            </w:tcBorders>
            <w:noWrap/>
            <w:vAlign w:val="bottom"/>
            <w:hideMark/>
          </w:tcPr>
          <w:p w14:paraId="6743CA9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1.572</w:t>
            </w:r>
          </w:p>
        </w:tc>
      </w:tr>
      <w:tr w:rsidR="00B54F4E" w:rsidRPr="000C7A76" w14:paraId="4AD27D43" w14:textId="77777777" w:rsidTr="006504C4">
        <w:trPr>
          <w:trHeight w:val="300"/>
        </w:trPr>
        <w:tc>
          <w:tcPr>
            <w:tcW w:w="1211" w:type="pct"/>
            <w:tcBorders>
              <w:top w:val="nil"/>
              <w:left w:val="nil"/>
              <w:bottom w:val="nil"/>
              <w:right w:val="nil"/>
            </w:tcBorders>
            <w:noWrap/>
            <w:vAlign w:val="bottom"/>
            <w:hideMark/>
          </w:tcPr>
          <w:p w14:paraId="69D11380"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Importaciones</w:t>
            </w:r>
          </w:p>
        </w:tc>
        <w:tc>
          <w:tcPr>
            <w:tcW w:w="221" w:type="pct"/>
            <w:tcBorders>
              <w:top w:val="nil"/>
              <w:left w:val="nil"/>
              <w:bottom w:val="nil"/>
              <w:right w:val="nil"/>
            </w:tcBorders>
            <w:noWrap/>
            <w:vAlign w:val="bottom"/>
            <w:hideMark/>
          </w:tcPr>
          <w:p w14:paraId="14E60B24"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58461E4C"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1505289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90</w:t>
            </w:r>
          </w:p>
        </w:tc>
        <w:tc>
          <w:tcPr>
            <w:tcW w:w="234" w:type="pct"/>
            <w:gridSpan w:val="2"/>
            <w:tcBorders>
              <w:top w:val="nil"/>
              <w:left w:val="nil"/>
              <w:bottom w:val="nil"/>
              <w:right w:val="nil"/>
            </w:tcBorders>
            <w:noWrap/>
            <w:vAlign w:val="bottom"/>
            <w:hideMark/>
          </w:tcPr>
          <w:p w14:paraId="01F41B88"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136</w:t>
            </w:r>
          </w:p>
        </w:tc>
        <w:tc>
          <w:tcPr>
            <w:tcW w:w="234" w:type="pct"/>
            <w:gridSpan w:val="2"/>
            <w:tcBorders>
              <w:top w:val="nil"/>
              <w:left w:val="nil"/>
              <w:bottom w:val="nil"/>
              <w:right w:val="nil"/>
            </w:tcBorders>
            <w:noWrap/>
            <w:vAlign w:val="bottom"/>
            <w:hideMark/>
          </w:tcPr>
          <w:p w14:paraId="0CD0D3A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487</w:t>
            </w:r>
          </w:p>
        </w:tc>
        <w:tc>
          <w:tcPr>
            <w:tcW w:w="234" w:type="pct"/>
            <w:gridSpan w:val="2"/>
            <w:tcBorders>
              <w:top w:val="nil"/>
              <w:left w:val="nil"/>
              <w:bottom w:val="nil"/>
              <w:right w:val="nil"/>
            </w:tcBorders>
            <w:noWrap/>
            <w:vAlign w:val="bottom"/>
            <w:hideMark/>
          </w:tcPr>
          <w:p w14:paraId="425362D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81</w:t>
            </w:r>
          </w:p>
        </w:tc>
        <w:tc>
          <w:tcPr>
            <w:tcW w:w="234" w:type="pct"/>
            <w:gridSpan w:val="2"/>
            <w:tcBorders>
              <w:top w:val="nil"/>
              <w:left w:val="nil"/>
              <w:bottom w:val="nil"/>
              <w:right w:val="nil"/>
            </w:tcBorders>
            <w:noWrap/>
            <w:vAlign w:val="bottom"/>
            <w:hideMark/>
          </w:tcPr>
          <w:p w14:paraId="1403A80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292</w:t>
            </w:r>
          </w:p>
        </w:tc>
        <w:tc>
          <w:tcPr>
            <w:tcW w:w="234" w:type="pct"/>
            <w:gridSpan w:val="2"/>
            <w:tcBorders>
              <w:top w:val="nil"/>
              <w:left w:val="nil"/>
              <w:bottom w:val="nil"/>
              <w:right w:val="nil"/>
            </w:tcBorders>
            <w:noWrap/>
            <w:vAlign w:val="bottom"/>
            <w:hideMark/>
          </w:tcPr>
          <w:p w14:paraId="6B525F4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305</w:t>
            </w:r>
          </w:p>
        </w:tc>
        <w:tc>
          <w:tcPr>
            <w:tcW w:w="234" w:type="pct"/>
            <w:gridSpan w:val="2"/>
            <w:tcBorders>
              <w:top w:val="nil"/>
              <w:left w:val="nil"/>
              <w:bottom w:val="nil"/>
              <w:right w:val="nil"/>
            </w:tcBorders>
            <w:noWrap/>
            <w:vAlign w:val="bottom"/>
            <w:hideMark/>
          </w:tcPr>
          <w:p w14:paraId="521ED46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355</w:t>
            </w:r>
          </w:p>
        </w:tc>
        <w:tc>
          <w:tcPr>
            <w:tcW w:w="234" w:type="pct"/>
            <w:gridSpan w:val="2"/>
            <w:tcBorders>
              <w:top w:val="nil"/>
              <w:left w:val="nil"/>
              <w:bottom w:val="nil"/>
              <w:right w:val="nil"/>
            </w:tcBorders>
            <w:noWrap/>
            <w:vAlign w:val="bottom"/>
            <w:hideMark/>
          </w:tcPr>
          <w:p w14:paraId="03C66B2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273</w:t>
            </w:r>
          </w:p>
        </w:tc>
        <w:tc>
          <w:tcPr>
            <w:tcW w:w="234" w:type="pct"/>
            <w:gridSpan w:val="2"/>
            <w:tcBorders>
              <w:top w:val="nil"/>
              <w:left w:val="nil"/>
              <w:bottom w:val="nil"/>
              <w:right w:val="nil"/>
            </w:tcBorders>
            <w:noWrap/>
            <w:vAlign w:val="bottom"/>
            <w:hideMark/>
          </w:tcPr>
          <w:p w14:paraId="6E0874F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211</w:t>
            </w:r>
          </w:p>
        </w:tc>
        <w:tc>
          <w:tcPr>
            <w:tcW w:w="234" w:type="pct"/>
            <w:gridSpan w:val="2"/>
            <w:tcBorders>
              <w:top w:val="nil"/>
              <w:left w:val="nil"/>
              <w:bottom w:val="nil"/>
              <w:right w:val="nil"/>
            </w:tcBorders>
            <w:noWrap/>
            <w:vAlign w:val="bottom"/>
            <w:hideMark/>
          </w:tcPr>
          <w:p w14:paraId="557B95A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434</w:t>
            </w:r>
          </w:p>
        </w:tc>
        <w:tc>
          <w:tcPr>
            <w:tcW w:w="234" w:type="pct"/>
            <w:gridSpan w:val="2"/>
            <w:tcBorders>
              <w:top w:val="nil"/>
              <w:left w:val="nil"/>
              <w:bottom w:val="nil"/>
              <w:right w:val="nil"/>
            </w:tcBorders>
            <w:noWrap/>
            <w:vAlign w:val="bottom"/>
            <w:hideMark/>
          </w:tcPr>
          <w:p w14:paraId="0129CA0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229</w:t>
            </w:r>
          </w:p>
        </w:tc>
        <w:tc>
          <w:tcPr>
            <w:tcW w:w="234" w:type="pct"/>
            <w:gridSpan w:val="2"/>
            <w:tcBorders>
              <w:top w:val="nil"/>
              <w:left w:val="nil"/>
              <w:bottom w:val="nil"/>
              <w:right w:val="nil"/>
            </w:tcBorders>
            <w:noWrap/>
            <w:vAlign w:val="bottom"/>
            <w:hideMark/>
          </w:tcPr>
          <w:p w14:paraId="3B37CFD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264</w:t>
            </w:r>
          </w:p>
        </w:tc>
        <w:tc>
          <w:tcPr>
            <w:tcW w:w="234" w:type="pct"/>
            <w:gridSpan w:val="2"/>
            <w:tcBorders>
              <w:top w:val="nil"/>
              <w:left w:val="nil"/>
              <w:bottom w:val="nil"/>
              <w:right w:val="nil"/>
            </w:tcBorders>
            <w:noWrap/>
            <w:vAlign w:val="bottom"/>
            <w:hideMark/>
          </w:tcPr>
          <w:p w14:paraId="672C995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474</w:t>
            </w:r>
          </w:p>
        </w:tc>
        <w:tc>
          <w:tcPr>
            <w:tcW w:w="234" w:type="pct"/>
            <w:gridSpan w:val="2"/>
            <w:tcBorders>
              <w:top w:val="nil"/>
              <w:left w:val="nil"/>
              <w:bottom w:val="nil"/>
              <w:right w:val="nil"/>
            </w:tcBorders>
            <w:noWrap/>
            <w:vAlign w:val="bottom"/>
            <w:hideMark/>
          </w:tcPr>
          <w:p w14:paraId="35043D3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500</w:t>
            </w:r>
          </w:p>
        </w:tc>
        <w:tc>
          <w:tcPr>
            <w:tcW w:w="234" w:type="pct"/>
            <w:tcBorders>
              <w:top w:val="nil"/>
              <w:left w:val="nil"/>
              <w:bottom w:val="nil"/>
              <w:right w:val="nil"/>
            </w:tcBorders>
            <w:noWrap/>
            <w:vAlign w:val="bottom"/>
            <w:hideMark/>
          </w:tcPr>
          <w:p w14:paraId="7EACEB7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535</w:t>
            </w:r>
          </w:p>
        </w:tc>
      </w:tr>
      <w:tr w:rsidR="00B54F4E" w:rsidRPr="000C7A76" w14:paraId="277F26C2" w14:textId="77777777" w:rsidTr="006504C4">
        <w:trPr>
          <w:trHeight w:val="300"/>
        </w:trPr>
        <w:tc>
          <w:tcPr>
            <w:tcW w:w="1211" w:type="pct"/>
            <w:tcBorders>
              <w:top w:val="nil"/>
              <w:left w:val="nil"/>
              <w:bottom w:val="nil"/>
              <w:right w:val="nil"/>
            </w:tcBorders>
            <w:noWrap/>
            <w:vAlign w:val="bottom"/>
            <w:hideMark/>
          </w:tcPr>
          <w:p w14:paraId="081C5A5F"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Demanda</w:t>
            </w:r>
          </w:p>
        </w:tc>
        <w:tc>
          <w:tcPr>
            <w:tcW w:w="221" w:type="pct"/>
            <w:tcBorders>
              <w:top w:val="nil"/>
              <w:left w:val="nil"/>
              <w:bottom w:val="nil"/>
              <w:right w:val="nil"/>
            </w:tcBorders>
            <w:noWrap/>
            <w:vAlign w:val="bottom"/>
            <w:hideMark/>
          </w:tcPr>
          <w:p w14:paraId="42C3989F"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nil"/>
              <w:right w:val="nil"/>
            </w:tcBorders>
            <w:noWrap/>
            <w:vAlign w:val="bottom"/>
            <w:hideMark/>
          </w:tcPr>
          <w:p w14:paraId="64C2E8BF"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nil"/>
              <w:right w:val="nil"/>
            </w:tcBorders>
            <w:noWrap/>
            <w:vAlign w:val="bottom"/>
            <w:hideMark/>
          </w:tcPr>
          <w:p w14:paraId="2467D13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10.606</w:t>
            </w:r>
          </w:p>
        </w:tc>
        <w:tc>
          <w:tcPr>
            <w:tcW w:w="234" w:type="pct"/>
            <w:gridSpan w:val="2"/>
            <w:tcBorders>
              <w:top w:val="nil"/>
              <w:left w:val="nil"/>
              <w:bottom w:val="nil"/>
              <w:right w:val="nil"/>
            </w:tcBorders>
            <w:noWrap/>
            <w:vAlign w:val="bottom"/>
            <w:hideMark/>
          </w:tcPr>
          <w:p w14:paraId="3DD0E43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11.301</w:t>
            </w:r>
          </w:p>
        </w:tc>
        <w:tc>
          <w:tcPr>
            <w:tcW w:w="234" w:type="pct"/>
            <w:gridSpan w:val="2"/>
            <w:tcBorders>
              <w:top w:val="nil"/>
              <w:left w:val="nil"/>
              <w:bottom w:val="nil"/>
              <w:right w:val="nil"/>
            </w:tcBorders>
            <w:noWrap/>
            <w:vAlign w:val="bottom"/>
            <w:hideMark/>
          </w:tcPr>
          <w:p w14:paraId="11CF302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13.819</w:t>
            </w:r>
          </w:p>
        </w:tc>
        <w:tc>
          <w:tcPr>
            <w:tcW w:w="234" w:type="pct"/>
            <w:gridSpan w:val="2"/>
            <w:tcBorders>
              <w:top w:val="nil"/>
              <w:left w:val="nil"/>
              <w:bottom w:val="nil"/>
              <w:right w:val="nil"/>
            </w:tcBorders>
            <w:noWrap/>
            <w:vAlign w:val="bottom"/>
            <w:hideMark/>
          </w:tcPr>
          <w:p w14:paraId="54760CEC"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14.634</w:t>
            </w:r>
          </w:p>
        </w:tc>
        <w:tc>
          <w:tcPr>
            <w:tcW w:w="234" w:type="pct"/>
            <w:gridSpan w:val="2"/>
            <w:tcBorders>
              <w:top w:val="nil"/>
              <w:left w:val="nil"/>
              <w:bottom w:val="nil"/>
              <w:right w:val="nil"/>
            </w:tcBorders>
            <w:noWrap/>
            <w:vAlign w:val="bottom"/>
            <w:hideMark/>
          </w:tcPr>
          <w:p w14:paraId="4FDA96A5"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15.423</w:t>
            </w:r>
          </w:p>
        </w:tc>
        <w:tc>
          <w:tcPr>
            <w:tcW w:w="234" w:type="pct"/>
            <w:gridSpan w:val="2"/>
            <w:tcBorders>
              <w:top w:val="nil"/>
              <w:left w:val="nil"/>
              <w:bottom w:val="nil"/>
              <w:right w:val="nil"/>
            </w:tcBorders>
            <w:noWrap/>
            <w:vAlign w:val="bottom"/>
            <w:hideMark/>
          </w:tcPr>
          <w:p w14:paraId="0FD21AC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16.154</w:t>
            </w:r>
          </w:p>
        </w:tc>
        <w:tc>
          <w:tcPr>
            <w:tcW w:w="234" w:type="pct"/>
            <w:gridSpan w:val="2"/>
            <w:tcBorders>
              <w:top w:val="nil"/>
              <w:left w:val="nil"/>
              <w:bottom w:val="nil"/>
              <w:right w:val="nil"/>
            </w:tcBorders>
            <w:noWrap/>
            <w:vAlign w:val="bottom"/>
            <w:hideMark/>
          </w:tcPr>
          <w:p w14:paraId="0A59E7D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17.017</w:t>
            </w:r>
          </w:p>
        </w:tc>
        <w:tc>
          <w:tcPr>
            <w:tcW w:w="234" w:type="pct"/>
            <w:gridSpan w:val="2"/>
            <w:tcBorders>
              <w:top w:val="nil"/>
              <w:left w:val="nil"/>
              <w:bottom w:val="nil"/>
              <w:right w:val="nil"/>
            </w:tcBorders>
            <w:noWrap/>
            <w:vAlign w:val="bottom"/>
            <w:hideMark/>
          </w:tcPr>
          <w:p w14:paraId="361ECDC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17.870</w:t>
            </w:r>
          </w:p>
        </w:tc>
        <w:tc>
          <w:tcPr>
            <w:tcW w:w="234" w:type="pct"/>
            <w:gridSpan w:val="2"/>
            <w:tcBorders>
              <w:top w:val="nil"/>
              <w:left w:val="nil"/>
              <w:bottom w:val="nil"/>
              <w:right w:val="nil"/>
            </w:tcBorders>
            <w:noWrap/>
            <w:vAlign w:val="bottom"/>
            <w:hideMark/>
          </w:tcPr>
          <w:p w14:paraId="56C96CD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18.810</w:t>
            </w:r>
          </w:p>
        </w:tc>
        <w:tc>
          <w:tcPr>
            <w:tcW w:w="234" w:type="pct"/>
            <w:gridSpan w:val="2"/>
            <w:tcBorders>
              <w:top w:val="nil"/>
              <w:left w:val="nil"/>
              <w:bottom w:val="nil"/>
              <w:right w:val="nil"/>
            </w:tcBorders>
            <w:noWrap/>
            <w:vAlign w:val="bottom"/>
            <w:hideMark/>
          </w:tcPr>
          <w:p w14:paraId="08613F43"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19.810</w:t>
            </w:r>
          </w:p>
        </w:tc>
        <w:tc>
          <w:tcPr>
            <w:tcW w:w="234" w:type="pct"/>
            <w:gridSpan w:val="2"/>
            <w:tcBorders>
              <w:top w:val="nil"/>
              <w:left w:val="nil"/>
              <w:bottom w:val="nil"/>
              <w:right w:val="nil"/>
            </w:tcBorders>
            <w:noWrap/>
            <w:vAlign w:val="bottom"/>
            <w:hideMark/>
          </w:tcPr>
          <w:p w14:paraId="15C4A7F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20.813</w:t>
            </w:r>
          </w:p>
        </w:tc>
        <w:tc>
          <w:tcPr>
            <w:tcW w:w="234" w:type="pct"/>
            <w:gridSpan w:val="2"/>
            <w:tcBorders>
              <w:top w:val="nil"/>
              <w:left w:val="nil"/>
              <w:bottom w:val="nil"/>
              <w:right w:val="nil"/>
            </w:tcBorders>
            <w:noWrap/>
            <w:vAlign w:val="bottom"/>
            <w:hideMark/>
          </w:tcPr>
          <w:p w14:paraId="346B575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21.897</w:t>
            </w:r>
          </w:p>
        </w:tc>
        <w:tc>
          <w:tcPr>
            <w:tcW w:w="234" w:type="pct"/>
            <w:gridSpan w:val="2"/>
            <w:tcBorders>
              <w:top w:val="nil"/>
              <w:left w:val="nil"/>
              <w:bottom w:val="nil"/>
              <w:right w:val="nil"/>
            </w:tcBorders>
            <w:noWrap/>
            <w:vAlign w:val="bottom"/>
            <w:hideMark/>
          </w:tcPr>
          <w:p w14:paraId="15016996"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23.076</w:t>
            </w:r>
          </w:p>
        </w:tc>
        <w:tc>
          <w:tcPr>
            <w:tcW w:w="234" w:type="pct"/>
            <w:gridSpan w:val="2"/>
            <w:tcBorders>
              <w:top w:val="nil"/>
              <w:left w:val="nil"/>
              <w:bottom w:val="nil"/>
              <w:right w:val="nil"/>
            </w:tcBorders>
            <w:noWrap/>
            <w:vAlign w:val="bottom"/>
            <w:hideMark/>
          </w:tcPr>
          <w:p w14:paraId="723C6AF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24.249</w:t>
            </w:r>
          </w:p>
        </w:tc>
        <w:tc>
          <w:tcPr>
            <w:tcW w:w="234" w:type="pct"/>
            <w:tcBorders>
              <w:top w:val="nil"/>
              <w:left w:val="nil"/>
              <w:bottom w:val="nil"/>
              <w:right w:val="nil"/>
            </w:tcBorders>
            <w:noWrap/>
            <w:vAlign w:val="bottom"/>
            <w:hideMark/>
          </w:tcPr>
          <w:p w14:paraId="12DF9C6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25.478</w:t>
            </w:r>
          </w:p>
        </w:tc>
      </w:tr>
      <w:tr w:rsidR="00B54F4E" w:rsidRPr="000C7A76" w14:paraId="040FDD12" w14:textId="77777777" w:rsidTr="006504C4">
        <w:trPr>
          <w:trHeight w:val="300"/>
        </w:trPr>
        <w:tc>
          <w:tcPr>
            <w:tcW w:w="1211" w:type="pct"/>
            <w:tcBorders>
              <w:top w:val="nil"/>
              <w:left w:val="nil"/>
              <w:bottom w:val="single" w:sz="4" w:space="0" w:color="auto"/>
              <w:right w:val="nil"/>
            </w:tcBorders>
            <w:noWrap/>
            <w:vAlign w:val="bottom"/>
            <w:hideMark/>
          </w:tcPr>
          <w:p w14:paraId="53FE9B12" w14:textId="77777777" w:rsidR="00B54F4E" w:rsidRPr="000C7A76" w:rsidRDefault="00B54F4E" w:rsidP="006504C4">
            <w:pPr>
              <w:spacing w:before="0" w:after="0"/>
              <w:jc w:val="left"/>
              <w:rPr>
                <w:rFonts w:ascii="Calibri" w:hAnsi="Calibri" w:cs="Calibri"/>
                <w:color w:val="000000"/>
                <w:sz w:val="16"/>
                <w:szCs w:val="22"/>
                <w:lang w:eastAsia="es-CO"/>
              </w:rPr>
            </w:pPr>
            <w:r w:rsidRPr="000C7A76">
              <w:rPr>
                <w:rFonts w:ascii="Calibri" w:hAnsi="Calibri" w:cs="Calibri"/>
                <w:color w:val="000000"/>
                <w:sz w:val="16"/>
                <w:szCs w:val="22"/>
                <w:lang w:eastAsia="es-CO"/>
              </w:rPr>
              <w:t>Perdidas</w:t>
            </w:r>
          </w:p>
        </w:tc>
        <w:tc>
          <w:tcPr>
            <w:tcW w:w="221" w:type="pct"/>
            <w:tcBorders>
              <w:top w:val="nil"/>
              <w:left w:val="nil"/>
              <w:bottom w:val="single" w:sz="4" w:space="0" w:color="auto"/>
              <w:right w:val="nil"/>
            </w:tcBorders>
            <w:noWrap/>
            <w:vAlign w:val="bottom"/>
            <w:hideMark/>
          </w:tcPr>
          <w:p w14:paraId="698FDD06" w14:textId="77777777" w:rsidR="00B54F4E" w:rsidRPr="000C7A76" w:rsidRDefault="00B54F4E" w:rsidP="006504C4">
            <w:pPr>
              <w:spacing w:before="0" w:after="0"/>
              <w:jc w:val="left"/>
              <w:rPr>
                <w:rFonts w:ascii="Calibri" w:hAnsi="Calibri" w:cs="Calibri"/>
                <w:color w:val="000000"/>
                <w:sz w:val="16"/>
                <w:szCs w:val="22"/>
                <w:lang w:eastAsia="es-CO"/>
              </w:rPr>
            </w:pPr>
          </w:p>
        </w:tc>
        <w:tc>
          <w:tcPr>
            <w:tcW w:w="62" w:type="pct"/>
            <w:tcBorders>
              <w:top w:val="nil"/>
              <w:left w:val="nil"/>
              <w:bottom w:val="single" w:sz="4" w:space="0" w:color="auto"/>
              <w:right w:val="nil"/>
            </w:tcBorders>
            <w:noWrap/>
            <w:vAlign w:val="bottom"/>
            <w:hideMark/>
          </w:tcPr>
          <w:p w14:paraId="4F1F2710" w14:textId="77777777" w:rsidR="00B54F4E" w:rsidRPr="000C7A76" w:rsidRDefault="00B54F4E" w:rsidP="006504C4">
            <w:pPr>
              <w:spacing w:before="0" w:after="0"/>
              <w:jc w:val="left"/>
              <w:rPr>
                <w:rFonts w:ascii="Times New Roman" w:hAnsi="Times New Roman"/>
                <w:sz w:val="16"/>
                <w:lang w:eastAsia="es-CO"/>
              </w:rPr>
            </w:pPr>
          </w:p>
        </w:tc>
        <w:tc>
          <w:tcPr>
            <w:tcW w:w="234" w:type="pct"/>
            <w:tcBorders>
              <w:top w:val="nil"/>
              <w:left w:val="nil"/>
              <w:bottom w:val="single" w:sz="4" w:space="0" w:color="auto"/>
              <w:right w:val="nil"/>
            </w:tcBorders>
            <w:noWrap/>
            <w:vAlign w:val="bottom"/>
            <w:hideMark/>
          </w:tcPr>
          <w:p w14:paraId="792A82A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3</w:t>
            </w:r>
          </w:p>
        </w:tc>
        <w:tc>
          <w:tcPr>
            <w:tcW w:w="234" w:type="pct"/>
            <w:gridSpan w:val="2"/>
            <w:tcBorders>
              <w:top w:val="nil"/>
              <w:left w:val="nil"/>
              <w:bottom w:val="single" w:sz="4" w:space="0" w:color="auto"/>
              <w:right w:val="nil"/>
            </w:tcBorders>
            <w:noWrap/>
            <w:vAlign w:val="bottom"/>
            <w:hideMark/>
          </w:tcPr>
          <w:p w14:paraId="6EE230F4"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4</w:t>
            </w:r>
          </w:p>
        </w:tc>
        <w:tc>
          <w:tcPr>
            <w:tcW w:w="234" w:type="pct"/>
            <w:gridSpan w:val="2"/>
            <w:tcBorders>
              <w:top w:val="nil"/>
              <w:left w:val="nil"/>
              <w:bottom w:val="single" w:sz="4" w:space="0" w:color="auto"/>
              <w:right w:val="nil"/>
            </w:tcBorders>
            <w:noWrap/>
            <w:vAlign w:val="bottom"/>
            <w:hideMark/>
          </w:tcPr>
          <w:p w14:paraId="767CF22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w:t>
            </w:r>
          </w:p>
        </w:tc>
        <w:tc>
          <w:tcPr>
            <w:tcW w:w="234" w:type="pct"/>
            <w:gridSpan w:val="2"/>
            <w:tcBorders>
              <w:top w:val="nil"/>
              <w:left w:val="nil"/>
              <w:bottom w:val="single" w:sz="4" w:space="0" w:color="auto"/>
              <w:right w:val="nil"/>
            </w:tcBorders>
            <w:noWrap/>
            <w:vAlign w:val="bottom"/>
            <w:hideMark/>
          </w:tcPr>
          <w:p w14:paraId="3262C99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2</w:t>
            </w:r>
          </w:p>
        </w:tc>
        <w:tc>
          <w:tcPr>
            <w:tcW w:w="234" w:type="pct"/>
            <w:gridSpan w:val="2"/>
            <w:tcBorders>
              <w:top w:val="nil"/>
              <w:left w:val="nil"/>
              <w:bottom w:val="single" w:sz="4" w:space="0" w:color="auto"/>
              <w:right w:val="nil"/>
            </w:tcBorders>
            <w:noWrap/>
            <w:vAlign w:val="bottom"/>
            <w:hideMark/>
          </w:tcPr>
          <w:p w14:paraId="12DB7BD9"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w:t>
            </w:r>
          </w:p>
        </w:tc>
        <w:tc>
          <w:tcPr>
            <w:tcW w:w="234" w:type="pct"/>
            <w:gridSpan w:val="2"/>
            <w:tcBorders>
              <w:top w:val="nil"/>
              <w:left w:val="nil"/>
              <w:bottom w:val="single" w:sz="4" w:space="0" w:color="auto"/>
              <w:right w:val="nil"/>
            </w:tcBorders>
            <w:noWrap/>
            <w:vAlign w:val="bottom"/>
            <w:hideMark/>
          </w:tcPr>
          <w:p w14:paraId="092AE1D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9</w:t>
            </w:r>
          </w:p>
        </w:tc>
        <w:tc>
          <w:tcPr>
            <w:tcW w:w="234" w:type="pct"/>
            <w:gridSpan w:val="2"/>
            <w:tcBorders>
              <w:top w:val="nil"/>
              <w:left w:val="nil"/>
              <w:bottom w:val="single" w:sz="4" w:space="0" w:color="auto"/>
              <w:right w:val="nil"/>
            </w:tcBorders>
            <w:noWrap/>
            <w:vAlign w:val="bottom"/>
            <w:hideMark/>
          </w:tcPr>
          <w:p w14:paraId="4D26BCD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11</w:t>
            </w:r>
          </w:p>
        </w:tc>
        <w:tc>
          <w:tcPr>
            <w:tcW w:w="234" w:type="pct"/>
            <w:gridSpan w:val="2"/>
            <w:tcBorders>
              <w:top w:val="nil"/>
              <w:left w:val="nil"/>
              <w:bottom w:val="single" w:sz="4" w:space="0" w:color="auto"/>
              <w:right w:val="nil"/>
            </w:tcBorders>
            <w:noWrap/>
            <w:vAlign w:val="bottom"/>
            <w:hideMark/>
          </w:tcPr>
          <w:p w14:paraId="62264AE2"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w:t>
            </w:r>
          </w:p>
        </w:tc>
        <w:tc>
          <w:tcPr>
            <w:tcW w:w="234" w:type="pct"/>
            <w:gridSpan w:val="2"/>
            <w:tcBorders>
              <w:top w:val="nil"/>
              <w:left w:val="nil"/>
              <w:bottom w:val="single" w:sz="4" w:space="0" w:color="auto"/>
              <w:right w:val="nil"/>
            </w:tcBorders>
            <w:noWrap/>
            <w:vAlign w:val="bottom"/>
            <w:hideMark/>
          </w:tcPr>
          <w:p w14:paraId="72139957"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w:t>
            </w:r>
          </w:p>
        </w:tc>
        <w:tc>
          <w:tcPr>
            <w:tcW w:w="234" w:type="pct"/>
            <w:gridSpan w:val="2"/>
            <w:tcBorders>
              <w:top w:val="nil"/>
              <w:left w:val="nil"/>
              <w:bottom w:val="single" w:sz="4" w:space="0" w:color="auto"/>
              <w:right w:val="nil"/>
            </w:tcBorders>
            <w:noWrap/>
            <w:vAlign w:val="bottom"/>
            <w:hideMark/>
          </w:tcPr>
          <w:p w14:paraId="74EE8541"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13</w:t>
            </w:r>
          </w:p>
        </w:tc>
        <w:tc>
          <w:tcPr>
            <w:tcW w:w="234" w:type="pct"/>
            <w:gridSpan w:val="2"/>
            <w:tcBorders>
              <w:top w:val="nil"/>
              <w:left w:val="nil"/>
              <w:bottom w:val="single" w:sz="4" w:space="0" w:color="auto"/>
              <w:right w:val="nil"/>
            </w:tcBorders>
            <w:noWrap/>
            <w:vAlign w:val="bottom"/>
            <w:hideMark/>
          </w:tcPr>
          <w:p w14:paraId="7D7B091E"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7</w:t>
            </w:r>
          </w:p>
        </w:tc>
        <w:tc>
          <w:tcPr>
            <w:tcW w:w="234" w:type="pct"/>
            <w:gridSpan w:val="2"/>
            <w:tcBorders>
              <w:top w:val="nil"/>
              <w:left w:val="nil"/>
              <w:bottom w:val="single" w:sz="4" w:space="0" w:color="auto"/>
              <w:right w:val="nil"/>
            </w:tcBorders>
            <w:noWrap/>
            <w:vAlign w:val="bottom"/>
            <w:hideMark/>
          </w:tcPr>
          <w:p w14:paraId="7419C380"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8</w:t>
            </w:r>
          </w:p>
        </w:tc>
        <w:tc>
          <w:tcPr>
            <w:tcW w:w="234" w:type="pct"/>
            <w:gridSpan w:val="2"/>
            <w:tcBorders>
              <w:top w:val="nil"/>
              <w:left w:val="nil"/>
              <w:bottom w:val="single" w:sz="4" w:space="0" w:color="auto"/>
              <w:right w:val="nil"/>
            </w:tcBorders>
            <w:noWrap/>
            <w:vAlign w:val="bottom"/>
            <w:hideMark/>
          </w:tcPr>
          <w:p w14:paraId="1B6DEC3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14</w:t>
            </w:r>
          </w:p>
        </w:tc>
        <w:tc>
          <w:tcPr>
            <w:tcW w:w="234" w:type="pct"/>
            <w:gridSpan w:val="2"/>
            <w:tcBorders>
              <w:top w:val="nil"/>
              <w:left w:val="nil"/>
              <w:bottom w:val="single" w:sz="4" w:space="0" w:color="auto"/>
              <w:right w:val="nil"/>
            </w:tcBorders>
            <w:noWrap/>
            <w:vAlign w:val="bottom"/>
            <w:hideMark/>
          </w:tcPr>
          <w:p w14:paraId="630C481B"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15</w:t>
            </w:r>
          </w:p>
        </w:tc>
        <w:tc>
          <w:tcPr>
            <w:tcW w:w="234" w:type="pct"/>
            <w:tcBorders>
              <w:top w:val="nil"/>
              <w:left w:val="nil"/>
              <w:bottom w:val="single" w:sz="4" w:space="0" w:color="auto"/>
              <w:right w:val="nil"/>
            </w:tcBorders>
            <w:noWrap/>
            <w:vAlign w:val="bottom"/>
            <w:hideMark/>
          </w:tcPr>
          <w:p w14:paraId="6937283F" w14:textId="77777777" w:rsidR="00B54F4E" w:rsidRPr="000C7A76" w:rsidRDefault="00B54F4E" w:rsidP="006504C4">
            <w:pPr>
              <w:spacing w:before="0" w:after="0"/>
              <w:jc w:val="right"/>
              <w:rPr>
                <w:rFonts w:ascii="Calibri" w:hAnsi="Calibri" w:cs="Calibri"/>
                <w:color w:val="000000" w:themeColor="text1"/>
                <w:sz w:val="16"/>
                <w:szCs w:val="22"/>
                <w:lang w:eastAsia="es-CO"/>
              </w:rPr>
            </w:pPr>
            <w:r w:rsidRPr="000C7A76">
              <w:rPr>
                <w:rFonts w:ascii="Calibri" w:hAnsi="Calibri" w:cs="Calibri"/>
                <w:color w:val="000000" w:themeColor="text1"/>
                <w:sz w:val="16"/>
                <w:szCs w:val="22"/>
                <w:lang w:eastAsia="es-CO"/>
              </w:rPr>
              <w:t>16</w:t>
            </w:r>
          </w:p>
        </w:tc>
      </w:tr>
    </w:tbl>
    <w:p w14:paraId="6FA0A965" w14:textId="77777777" w:rsidR="00B54F4E" w:rsidRDefault="00B54F4E" w:rsidP="00B54F4E">
      <w:pPr>
        <w:spacing w:before="0" w:after="160" w:line="259" w:lineRule="auto"/>
        <w:jc w:val="left"/>
        <w:rPr>
          <w:rFonts w:ascii="Calibri" w:hAnsi="Calibri" w:cs="Calibri"/>
          <w:b/>
          <w:bCs/>
          <w:color w:val="000000"/>
          <w:sz w:val="20"/>
        </w:rPr>
      </w:pPr>
      <w:r>
        <w:rPr>
          <w:rFonts w:ascii="Calibri" w:hAnsi="Calibri" w:cs="Calibri"/>
          <w:b/>
          <w:bCs/>
          <w:color w:val="000000"/>
          <w:sz w:val="20"/>
        </w:rPr>
        <w:br w:type="page"/>
      </w:r>
    </w:p>
    <w:p w14:paraId="018F67D4" w14:textId="77777777" w:rsidR="00B54F4E" w:rsidRDefault="00B54F4E" w:rsidP="00B54F4E">
      <w:pPr>
        <w:spacing w:before="0" w:after="160" w:line="259" w:lineRule="auto"/>
        <w:jc w:val="left"/>
        <w:rPr>
          <w:rFonts w:ascii="Calibri" w:hAnsi="Calibri" w:cs="Calibri"/>
          <w:b/>
          <w:bCs/>
          <w:color w:val="000000"/>
          <w:sz w:val="20"/>
        </w:rPr>
      </w:pPr>
    </w:p>
    <w:tbl>
      <w:tblPr>
        <w:tblW w:w="5000" w:type="pct"/>
        <w:tblCellMar>
          <w:top w:w="15" w:type="dxa"/>
          <w:left w:w="70" w:type="dxa"/>
          <w:bottom w:w="15" w:type="dxa"/>
          <w:right w:w="70" w:type="dxa"/>
        </w:tblCellMar>
        <w:tblLook w:val="04A0" w:firstRow="1" w:lastRow="0" w:firstColumn="1" w:lastColumn="0" w:noHBand="0" w:noVBand="1"/>
      </w:tblPr>
      <w:tblGrid>
        <w:gridCol w:w="2935"/>
        <w:gridCol w:w="599"/>
        <w:gridCol w:w="472"/>
        <w:gridCol w:w="599"/>
        <w:gridCol w:w="599"/>
        <w:gridCol w:w="600"/>
        <w:gridCol w:w="600"/>
        <w:gridCol w:w="600"/>
        <w:gridCol w:w="600"/>
        <w:gridCol w:w="600"/>
        <w:gridCol w:w="600"/>
        <w:gridCol w:w="600"/>
        <w:gridCol w:w="600"/>
        <w:gridCol w:w="600"/>
        <w:gridCol w:w="600"/>
        <w:gridCol w:w="600"/>
        <w:gridCol w:w="600"/>
        <w:gridCol w:w="600"/>
      </w:tblGrid>
      <w:tr w:rsidR="00B54F4E" w:rsidRPr="000C7A76" w14:paraId="5ACFB917" w14:textId="77777777" w:rsidTr="006504C4">
        <w:trPr>
          <w:trHeight w:val="300"/>
        </w:trPr>
        <w:tc>
          <w:tcPr>
            <w:tcW w:w="847" w:type="pct"/>
            <w:tcBorders>
              <w:top w:val="nil"/>
              <w:left w:val="nil"/>
              <w:bottom w:val="nil"/>
              <w:right w:val="nil"/>
            </w:tcBorders>
            <w:noWrap/>
            <w:vAlign w:val="bottom"/>
            <w:hideMark/>
          </w:tcPr>
          <w:p w14:paraId="758EE549" w14:textId="77777777" w:rsidR="00B54F4E" w:rsidRPr="000C7A76" w:rsidRDefault="00B54F4E" w:rsidP="006504C4">
            <w:pPr>
              <w:spacing w:before="0" w:after="0"/>
              <w:jc w:val="left"/>
              <w:rPr>
                <w:rFonts w:ascii="Calibri" w:hAnsi="Calibri" w:cs="Calibri"/>
                <w:b/>
                <w:bCs/>
                <w:color w:val="000000"/>
                <w:sz w:val="16"/>
                <w:szCs w:val="16"/>
                <w:lang w:eastAsia="es-CO"/>
              </w:rPr>
            </w:pPr>
            <w:r w:rsidRPr="000C7A76">
              <w:rPr>
                <w:rFonts w:ascii="Calibri" w:hAnsi="Calibri" w:cs="Calibri"/>
                <w:b/>
                <w:bCs/>
                <w:color w:val="000000"/>
                <w:sz w:val="16"/>
                <w:szCs w:val="16"/>
                <w:lang w:eastAsia="es-CO"/>
              </w:rPr>
              <w:t>Generación por tipo - Escenario renovable</w:t>
            </w:r>
          </w:p>
        </w:tc>
        <w:tc>
          <w:tcPr>
            <w:tcW w:w="247" w:type="pct"/>
            <w:tcBorders>
              <w:top w:val="nil"/>
              <w:left w:val="nil"/>
              <w:bottom w:val="nil"/>
              <w:right w:val="nil"/>
            </w:tcBorders>
            <w:noWrap/>
            <w:vAlign w:val="bottom"/>
            <w:hideMark/>
          </w:tcPr>
          <w:p w14:paraId="05FF2759" w14:textId="77777777" w:rsidR="00B54F4E" w:rsidRPr="000C7A76" w:rsidRDefault="00B54F4E" w:rsidP="006504C4">
            <w:pPr>
              <w:spacing w:before="0" w:after="0"/>
              <w:jc w:val="left"/>
              <w:rPr>
                <w:rFonts w:ascii="Calibri" w:hAnsi="Calibri" w:cs="Calibri"/>
                <w:b/>
                <w:bCs/>
                <w:color w:val="000000"/>
                <w:sz w:val="16"/>
                <w:szCs w:val="16"/>
                <w:lang w:eastAsia="es-CO"/>
              </w:rPr>
            </w:pPr>
          </w:p>
        </w:tc>
        <w:tc>
          <w:tcPr>
            <w:tcW w:w="198" w:type="pct"/>
            <w:tcBorders>
              <w:top w:val="nil"/>
              <w:left w:val="nil"/>
              <w:bottom w:val="nil"/>
              <w:right w:val="nil"/>
            </w:tcBorders>
            <w:noWrap/>
            <w:vAlign w:val="bottom"/>
            <w:hideMark/>
          </w:tcPr>
          <w:p w14:paraId="289529B8"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7D6E4E02"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BB39E96"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4D79DB6"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5ECA11F4"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91F9862"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C2599CE"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698A4222"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78180B6F"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4D7B8F8B"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83EA8D5"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36DFA4FB"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3CC91477"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922E68F"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AF3C0D0"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4389C45" w14:textId="77777777" w:rsidR="00B54F4E" w:rsidRPr="000C7A76" w:rsidRDefault="00B54F4E" w:rsidP="006504C4">
            <w:pPr>
              <w:spacing w:before="0" w:after="0"/>
              <w:jc w:val="left"/>
              <w:rPr>
                <w:rFonts w:ascii="Times New Roman" w:hAnsi="Times New Roman"/>
                <w:sz w:val="16"/>
                <w:szCs w:val="16"/>
                <w:lang w:eastAsia="es-CO"/>
              </w:rPr>
            </w:pPr>
          </w:p>
        </w:tc>
      </w:tr>
      <w:tr w:rsidR="00B54F4E" w:rsidRPr="000C7A76" w14:paraId="6192B0D1" w14:textId="77777777" w:rsidTr="006504C4">
        <w:trPr>
          <w:trHeight w:val="300"/>
        </w:trPr>
        <w:tc>
          <w:tcPr>
            <w:tcW w:w="847" w:type="pct"/>
            <w:tcBorders>
              <w:top w:val="nil"/>
              <w:left w:val="nil"/>
              <w:bottom w:val="nil"/>
              <w:right w:val="nil"/>
            </w:tcBorders>
            <w:noWrap/>
            <w:vAlign w:val="bottom"/>
            <w:hideMark/>
          </w:tcPr>
          <w:p w14:paraId="6DFC7FC5" w14:textId="77777777" w:rsidR="00B54F4E" w:rsidRPr="000C7A76" w:rsidRDefault="00B54F4E" w:rsidP="006504C4">
            <w:pPr>
              <w:spacing w:before="0" w:after="0"/>
              <w:jc w:val="left"/>
              <w:rPr>
                <w:rFonts w:ascii="Calibri" w:hAnsi="Calibri" w:cs="Calibri"/>
                <w:b/>
                <w:bCs/>
                <w:color w:val="000000"/>
                <w:sz w:val="16"/>
                <w:szCs w:val="16"/>
                <w:lang w:eastAsia="es-CO"/>
              </w:rPr>
            </w:pPr>
            <w:r w:rsidRPr="000C7A76">
              <w:rPr>
                <w:rFonts w:ascii="Calibri" w:hAnsi="Calibri" w:cs="Calibri"/>
                <w:b/>
                <w:bCs/>
                <w:color w:val="000000"/>
                <w:sz w:val="16"/>
                <w:szCs w:val="16"/>
                <w:lang w:eastAsia="es-CO"/>
              </w:rPr>
              <w:t>(GWh-Año)</w:t>
            </w:r>
          </w:p>
        </w:tc>
        <w:tc>
          <w:tcPr>
            <w:tcW w:w="247" w:type="pct"/>
            <w:tcBorders>
              <w:top w:val="nil"/>
              <w:left w:val="nil"/>
              <w:bottom w:val="nil"/>
              <w:right w:val="nil"/>
            </w:tcBorders>
            <w:noWrap/>
            <w:vAlign w:val="bottom"/>
            <w:hideMark/>
          </w:tcPr>
          <w:p w14:paraId="0ABE8F4C" w14:textId="77777777" w:rsidR="00B54F4E" w:rsidRPr="000C7A76" w:rsidRDefault="00B54F4E" w:rsidP="006504C4">
            <w:pPr>
              <w:spacing w:before="0" w:after="0"/>
              <w:jc w:val="left"/>
              <w:rPr>
                <w:rFonts w:ascii="Calibri" w:hAnsi="Calibri" w:cs="Calibri"/>
                <w:b/>
                <w:bCs/>
                <w:color w:val="000000"/>
                <w:sz w:val="16"/>
                <w:szCs w:val="16"/>
                <w:lang w:eastAsia="es-CO"/>
              </w:rPr>
            </w:pPr>
          </w:p>
        </w:tc>
        <w:tc>
          <w:tcPr>
            <w:tcW w:w="198" w:type="pct"/>
            <w:tcBorders>
              <w:top w:val="nil"/>
              <w:left w:val="nil"/>
              <w:bottom w:val="nil"/>
              <w:right w:val="nil"/>
            </w:tcBorders>
            <w:noWrap/>
            <w:vAlign w:val="bottom"/>
            <w:hideMark/>
          </w:tcPr>
          <w:p w14:paraId="4B8C0B49"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5699BD98"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630B5465"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44B1A146"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6D84DA8F"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CC1A1E1"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4B6BE704"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58A59BA"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27A0DCCF"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6143B96E"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7E2D8EB1"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34C8256C"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7D50634B"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FFE23E4"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23B3AE2F"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3F2DF812" w14:textId="77777777" w:rsidR="00B54F4E" w:rsidRPr="000C7A76" w:rsidRDefault="00B54F4E" w:rsidP="006504C4">
            <w:pPr>
              <w:spacing w:before="0" w:after="0"/>
              <w:jc w:val="left"/>
              <w:rPr>
                <w:rFonts w:ascii="Times New Roman" w:hAnsi="Times New Roman"/>
                <w:sz w:val="16"/>
                <w:szCs w:val="16"/>
                <w:lang w:eastAsia="es-CO"/>
              </w:rPr>
            </w:pPr>
          </w:p>
        </w:tc>
      </w:tr>
      <w:tr w:rsidR="00B54F4E" w:rsidRPr="000C7A76" w14:paraId="658D3DCB" w14:textId="77777777" w:rsidTr="006504C4">
        <w:trPr>
          <w:trHeight w:val="300"/>
        </w:trPr>
        <w:tc>
          <w:tcPr>
            <w:tcW w:w="847" w:type="pct"/>
            <w:tcBorders>
              <w:top w:val="nil"/>
              <w:left w:val="nil"/>
              <w:bottom w:val="single" w:sz="4" w:space="0" w:color="auto"/>
              <w:right w:val="nil"/>
            </w:tcBorders>
            <w:noWrap/>
            <w:vAlign w:val="bottom"/>
            <w:hideMark/>
          </w:tcPr>
          <w:p w14:paraId="53961971"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single" w:sz="4" w:space="0" w:color="auto"/>
              <w:right w:val="nil"/>
            </w:tcBorders>
            <w:noWrap/>
            <w:vAlign w:val="bottom"/>
            <w:hideMark/>
          </w:tcPr>
          <w:p w14:paraId="405AE3E2" w14:textId="77777777" w:rsidR="00B54F4E" w:rsidRPr="000C7A76" w:rsidRDefault="00B54F4E" w:rsidP="006504C4">
            <w:pPr>
              <w:spacing w:before="0" w:after="0"/>
              <w:jc w:val="left"/>
              <w:rPr>
                <w:rFonts w:ascii="Times New Roman" w:hAnsi="Times New Roman"/>
                <w:sz w:val="16"/>
                <w:szCs w:val="16"/>
                <w:lang w:eastAsia="es-CO"/>
              </w:rPr>
            </w:pPr>
          </w:p>
        </w:tc>
        <w:tc>
          <w:tcPr>
            <w:tcW w:w="198" w:type="pct"/>
            <w:tcBorders>
              <w:top w:val="nil"/>
              <w:left w:val="nil"/>
              <w:bottom w:val="single" w:sz="4" w:space="0" w:color="auto"/>
              <w:right w:val="nil"/>
            </w:tcBorders>
            <w:noWrap/>
            <w:vAlign w:val="bottom"/>
            <w:hideMark/>
          </w:tcPr>
          <w:p w14:paraId="79E53B27"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6A1B3024"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2016</w:t>
            </w:r>
          </w:p>
        </w:tc>
        <w:tc>
          <w:tcPr>
            <w:tcW w:w="247"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3012C15A"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2017</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5A905F3A"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2018</w:t>
            </w:r>
          </w:p>
        </w:tc>
        <w:tc>
          <w:tcPr>
            <w:tcW w:w="247"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6FA2237C"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2019</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3A385012"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2020</w:t>
            </w:r>
          </w:p>
        </w:tc>
        <w:tc>
          <w:tcPr>
            <w:tcW w:w="247"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1D649E7A"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2021</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3820834A"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2022</w:t>
            </w:r>
          </w:p>
        </w:tc>
        <w:tc>
          <w:tcPr>
            <w:tcW w:w="247"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525986F9"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2023</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4F9BD72C"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2024</w:t>
            </w:r>
          </w:p>
        </w:tc>
        <w:tc>
          <w:tcPr>
            <w:tcW w:w="247"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289A8F39"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2025</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4C75482F"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2026</w:t>
            </w:r>
          </w:p>
        </w:tc>
        <w:tc>
          <w:tcPr>
            <w:tcW w:w="247"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4A5F220B"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2027</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3EA9DA36"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2028</w:t>
            </w:r>
          </w:p>
        </w:tc>
        <w:tc>
          <w:tcPr>
            <w:tcW w:w="247" w:type="pct"/>
            <w:tcBorders>
              <w:top w:val="single" w:sz="4" w:space="0" w:color="FFFFFF"/>
              <w:left w:val="single" w:sz="4" w:space="0" w:color="FFFFFF"/>
              <w:bottom w:val="single" w:sz="4" w:space="0" w:color="auto"/>
              <w:right w:val="single" w:sz="4" w:space="0" w:color="FFFFFF"/>
            </w:tcBorders>
            <w:shd w:val="clear" w:color="000000" w:fill="203764"/>
            <w:noWrap/>
            <w:vAlign w:val="bottom"/>
            <w:hideMark/>
          </w:tcPr>
          <w:p w14:paraId="152517C5"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2029</w:t>
            </w:r>
          </w:p>
        </w:tc>
        <w:tc>
          <w:tcPr>
            <w:tcW w:w="247" w:type="pct"/>
            <w:tcBorders>
              <w:top w:val="single" w:sz="4" w:space="0" w:color="FFFFFF"/>
              <w:left w:val="nil"/>
              <w:bottom w:val="single" w:sz="4" w:space="0" w:color="auto"/>
              <w:right w:val="single" w:sz="4" w:space="0" w:color="FFFFFF"/>
            </w:tcBorders>
            <w:shd w:val="clear" w:color="000000" w:fill="203764"/>
            <w:noWrap/>
            <w:vAlign w:val="bottom"/>
            <w:hideMark/>
          </w:tcPr>
          <w:p w14:paraId="4B0DA55A" w14:textId="77777777" w:rsidR="00B54F4E" w:rsidRPr="000C7A76" w:rsidRDefault="00B54F4E" w:rsidP="006504C4">
            <w:pPr>
              <w:spacing w:before="0" w:after="0"/>
              <w:jc w:val="center"/>
              <w:rPr>
                <w:rFonts w:ascii="Calibri" w:hAnsi="Calibri" w:cs="Calibri"/>
                <w:color w:val="FFFFFF"/>
                <w:sz w:val="16"/>
                <w:szCs w:val="16"/>
                <w:lang w:eastAsia="es-CO"/>
              </w:rPr>
            </w:pPr>
            <w:r w:rsidRPr="000C7A76">
              <w:rPr>
                <w:rFonts w:ascii="Calibri" w:hAnsi="Calibri" w:cs="Calibri"/>
                <w:color w:val="FFFFFF"/>
                <w:sz w:val="16"/>
                <w:szCs w:val="16"/>
                <w:lang w:eastAsia="es-CO"/>
              </w:rPr>
              <w:t>2030</w:t>
            </w:r>
          </w:p>
        </w:tc>
      </w:tr>
      <w:tr w:rsidR="00B54F4E" w:rsidRPr="000C7A76" w14:paraId="0B51F8FC" w14:textId="77777777" w:rsidTr="006504C4">
        <w:trPr>
          <w:trHeight w:val="300"/>
        </w:trPr>
        <w:tc>
          <w:tcPr>
            <w:tcW w:w="847" w:type="pct"/>
            <w:tcBorders>
              <w:top w:val="nil"/>
              <w:left w:val="nil"/>
              <w:bottom w:val="nil"/>
              <w:right w:val="nil"/>
            </w:tcBorders>
            <w:noWrap/>
            <w:vAlign w:val="bottom"/>
            <w:hideMark/>
          </w:tcPr>
          <w:p w14:paraId="76887540" w14:textId="77777777" w:rsidR="00B54F4E" w:rsidRPr="000C7A76" w:rsidRDefault="00B54F4E" w:rsidP="006504C4">
            <w:pPr>
              <w:spacing w:before="0" w:after="0"/>
              <w:jc w:val="left"/>
              <w:rPr>
                <w:rFonts w:ascii="Calibri" w:hAnsi="Calibri" w:cs="Calibri"/>
                <w:color w:val="000000"/>
                <w:sz w:val="16"/>
                <w:szCs w:val="16"/>
                <w:lang w:eastAsia="es-CO"/>
              </w:rPr>
            </w:pPr>
            <w:bookmarkStart w:id="145" w:name="Generacion!B69:S85"/>
            <w:r w:rsidRPr="000C7A76">
              <w:rPr>
                <w:rFonts w:ascii="Calibri" w:hAnsi="Calibri" w:cs="Calibri"/>
                <w:color w:val="000000"/>
                <w:sz w:val="16"/>
                <w:szCs w:val="16"/>
                <w:lang w:eastAsia="es-CO"/>
              </w:rPr>
              <w:t>Diesel</w:t>
            </w:r>
            <w:bookmarkEnd w:id="145"/>
          </w:p>
        </w:tc>
        <w:tc>
          <w:tcPr>
            <w:tcW w:w="247" w:type="pct"/>
            <w:tcBorders>
              <w:top w:val="nil"/>
              <w:left w:val="nil"/>
              <w:bottom w:val="nil"/>
              <w:right w:val="nil"/>
            </w:tcBorders>
            <w:noWrap/>
            <w:vAlign w:val="bottom"/>
            <w:hideMark/>
          </w:tcPr>
          <w:p w14:paraId="6C0716A7"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66FCEEFD"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069568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23</w:t>
            </w:r>
          </w:p>
        </w:tc>
        <w:tc>
          <w:tcPr>
            <w:tcW w:w="247" w:type="pct"/>
            <w:tcBorders>
              <w:top w:val="nil"/>
              <w:left w:val="nil"/>
              <w:bottom w:val="nil"/>
              <w:right w:val="nil"/>
            </w:tcBorders>
            <w:noWrap/>
            <w:vAlign w:val="bottom"/>
            <w:hideMark/>
          </w:tcPr>
          <w:p w14:paraId="34291AC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27F47AA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6911AA3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65BBC22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6F13C7D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64E5E74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62E78CB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680DA86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6F02A7D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53EF0D2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14D83D7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46BA4C0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74038DE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4768675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r>
      <w:tr w:rsidR="00B54F4E" w:rsidRPr="000C7A76" w14:paraId="79CAA4EC" w14:textId="77777777" w:rsidTr="006504C4">
        <w:trPr>
          <w:trHeight w:val="300"/>
        </w:trPr>
        <w:tc>
          <w:tcPr>
            <w:tcW w:w="847" w:type="pct"/>
            <w:tcBorders>
              <w:top w:val="nil"/>
              <w:left w:val="nil"/>
              <w:bottom w:val="nil"/>
              <w:right w:val="nil"/>
            </w:tcBorders>
            <w:noWrap/>
            <w:vAlign w:val="bottom"/>
            <w:hideMark/>
          </w:tcPr>
          <w:p w14:paraId="62C996BD"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Bunker</w:t>
            </w:r>
          </w:p>
        </w:tc>
        <w:tc>
          <w:tcPr>
            <w:tcW w:w="247" w:type="pct"/>
            <w:tcBorders>
              <w:top w:val="nil"/>
              <w:left w:val="nil"/>
              <w:bottom w:val="nil"/>
              <w:right w:val="nil"/>
            </w:tcBorders>
            <w:noWrap/>
            <w:vAlign w:val="bottom"/>
            <w:hideMark/>
          </w:tcPr>
          <w:p w14:paraId="6AA8BD87"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667BE152"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397FFB9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1.689</w:t>
            </w:r>
          </w:p>
        </w:tc>
        <w:tc>
          <w:tcPr>
            <w:tcW w:w="247" w:type="pct"/>
            <w:tcBorders>
              <w:top w:val="nil"/>
              <w:left w:val="nil"/>
              <w:bottom w:val="nil"/>
              <w:right w:val="nil"/>
            </w:tcBorders>
            <w:noWrap/>
            <w:vAlign w:val="bottom"/>
            <w:hideMark/>
          </w:tcPr>
          <w:p w14:paraId="7DE4239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1.218</w:t>
            </w:r>
          </w:p>
        </w:tc>
        <w:tc>
          <w:tcPr>
            <w:tcW w:w="247" w:type="pct"/>
            <w:tcBorders>
              <w:top w:val="nil"/>
              <w:left w:val="nil"/>
              <w:bottom w:val="nil"/>
              <w:right w:val="nil"/>
            </w:tcBorders>
            <w:noWrap/>
            <w:vAlign w:val="bottom"/>
            <w:hideMark/>
          </w:tcPr>
          <w:p w14:paraId="3436B0E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535</w:t>
            </w:r>
          </w:p>
        </w:tc>
        <w:tc>
          <w:tcPr>
            <w:tcW w:w="247" w:type="pct"/>
            <w:tcBorders>
              <w:top w:val="nil"/>
              <w:left w:val="nil"/>
              <w:bottom w:val="nil"/>
              <w:right w:val="nil"/>
            </w:tcBorders>
            <w:noWrap/>
            <w:vAlign w:val="bottom"/>
            <w:hideMark/>
          </w:tcPr>
          <w:p w14:paraId="312E2FD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169</w:t>
            </w:r>
          </w:p>
        </w:tc>
        <w:tc>
          <w:tcPr>
            <w:tcW w:w="247" w:type="pct"/>
            <w:tcBorders>
              <w:top w:val="nil"/>
              <w:left w:val="nil"/>
              <w:bottom w:val="nil"/>
              <w:right w:val="nil"/>
            </w:tcBorders>
            <w:noWrap/>
            <w:vAlign w:val="bottom"/>
            <w:hideMark/>
          </w:tcPr>
          <w:p w14:paraId="53ED35D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12</w:t>
            </w:r>
          </w:p>
        </w:tc>
        <w:tc>
          <w:tcPr>
            <w:tcW w:w="247" w:type="pct"/>
            <w:tcBorders>
              <w:top w:val="nil"/>
              <w:left w:val="nil"/>
              <w:bottom w:val="nil"/>
              <w:right w:val="nil"/>
            </w:tcBorders>
            <w:noWrap/>
            <w:vAlign w:val="bottom"/>
            <w:hideMark/>
          </w:tcPr>
          <w:p w14:paraId="4E37A64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13</w:t>
            </w:r>
          </w:p>
        </w:tc>
        <w:tc>
          <w:tcPr>
            <w:tcW w:w="247" w:type="pct"/>
            <w:tcBorders>
              <w:top w:val="nil"/>
              <w:left w:val="nil"/>
              <w:bottom w:val="nil"/>
              <w:right w:val="nil"/>
            </w:tcBorders>
            <w:noWrap/>
            <w:vAlign w:val="bottom"/>
            <w:hideMark/>
          </w:tcPr>
          <w:p w14:paraId="47F24FC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w:t>
            </w:r>
          </w:p>
        </w:tc>
        <w:tc>
          <w:tcPr>
            <w:tcW w:w="247" w:type="pct"/>
            <w:tcBorders>
              <w:top w:val="nil"/>
              <w:left w:val="nil"/>
              <w:bottom w:val="nil"/>
              <w:right w:val="nil"/>
            </w:tcBorders>
            <w:noWrap/>
            <w:vAlign w:val="bottom"/>
            <w:hideMark/>
          </w:tcPr>
          <w:p w14:paraId="35EB4D4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w:t>
            </w:r>
          </w:p>
        </w:tc>
        <w:tc>
          <w:tcPr>
            <w:tcW w:w="247" w:type="pct"/>
            <w:tcBorders>
              <w:top w:val="nil"/>
              <w:left w:val="nil"/>
              <w:bottom w:val="nil"/>
              <w:right w:val="nil"/>
            </w:tcBorders>
            <w:noWrap/>
            <w:vAlign w:val="bottom"/>
            <w:hideMark/>
          </w:tcPr>
          <w:p w14:paraId="1F014BC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w:t>
            </w:r>
          </w:p>
        </w:tc>
        <w:tc>
          <w:tcPr>
            <w:tcW w:w="247" w:type="pct"/>
            <w:tcBorders>
              <w:top w:val="nil"/>
              <w:left w:val="nil"/>
              <w:bottom w:val="nil"/>
              <w:right w:val="nil"/>
            </w:tcBorders>
            <w:noWrap/>
            <w:vAlign w:val="bottom"/>
            <w:hideMark/>
          </w:tcPr>
          <w:p w14:paraId="0FC5E69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w:t>
            </w:r>
          </w:p>
        </w:tc>
        <w:tc>
          <w:tcPr>
            <w:tcW w:w="247" w:type="pct"/>
            <w:tcBorders>
              <w:top w:val="nil"/>
              <w:left w:val="nil"/>
              <w:bottom w:val="nil"/>
              <w:right w:val="nil"/>
            </w:tcBorders>
            <w:noWrap/>
            <w:vAlign w:val="bottom"/>
            <w:hideMark/>
          </w:tcPr>
          <w:p w14:paraId="362C170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547B6DA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1E29CBC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447A4DC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nil"/>
              <w:right w:val="nil"/>
            </w:tcBorders>
            <w:noWrap/>
            <w:vAlign w:val="bottom"/>
            <w:hideMark/>
          </w:tcPr>
          <w:p w14:paraId="2307B58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r>
      <w:tr w:rsidR="00B54F4E" w:rsidRPr="000C7A76" w14:paraId="5157913B" w14:textId="77777777" w:rsidTr="006504C4">
        <w:trPr>
          <w:trHeight w:val="300"/>
        </w:trPr>
        <w:tc>
          <w:tcPr>
            <w:tcW w:w="847" w:type="pct"/>
            <w:tcBorders>
              <w:top w:val="nil"/>
              <w:left w:val="nil"/>
              <w:bottom w:val="nil"/>
              <w:right w:val="nil"/>
            </w:tcBorders>
            <w:noWrap/>
            <w:vAlign w:val="bottom"/>
            <w:hideMark/>
          </w:tcPr>
          <w:p w14:paraId="6E25DF21"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Carbon</w:t>
            </w:r>
          </w:p>
        </w:tc>
        <w:tc>
          <w:tcPr>
            <w:tcW w:w="247" w:type="pct"/>
            <w:tcBorders>
              <w:top w:val="nil"/>
              <w:left w:val="nil"/>
              <w:bottom w:val="nil"/>
              <w:right w:val="nil"/>
            </w:tcBorders>
            <w:noWrap/>
            <w:vAlign w:val="bottom"/>
            <w:hideMark/>
          </w:tcPr>
          <w:p w14:paraId="3DEDD652"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6843DFD4"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EEEB24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562</w:t>
            </w:r>
          </w:p>
        </w:tc>
        <w:tc>
          <w:tcPr>
            <w:tcW w:w="247" w:type="pct"/>
            <w:tcBorders>
              <w:top w:val="nil"/>
              <w:left w:val="nil"/>
              <w:bottom w:val="nil"/>
              <w:right w:val="nil"/>
            </w:tcBorders>
            <w:noWrap/>
            <w:vAlign w:val="bottom"/>
            <w:hideMark/>
          </w:tcPr>
          <w:p w14:paraId="7639A3E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784</w:t>
            </w:r>
          </w:p>
        </w:tc>
        <w:tc>
          <w:tcPr>
            <w:tcW w:w="247" w:type="pct"/>
            <w:tcBorders>
              <w:top w:val="nil"/>
              <w:left w:val="nil"/>
              <w:bottom w:val="nil"/>
              <w:right w:val="nil"/>
            </w:tcBorders>
            <w:noWrap/>
            <w:vAlign w:val="bottom"/>
            <w:hideMark/>
          </w:tcPr>
          <w:p w14:paraId="1C51E6E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1.625</w:t>
            </w:r>
          </w:p>
        </w:tc>
        <w:tc>
          <w:tcPr>
            <w:tcW w:w="247" w:type="pct"/>
            <w:tcBorders>
              <w:top w:val="nil"/>
              <w:left w:val="nil"/>
              <w:bottom w:val="nil"/>
              <w:right w:val="nil"/>
            </w:tcBorders>
            <w:noWrap/>
            <w:vAlign w:val="bottom"/>
            <w:hideMark/>
          </w:tcPr>
          <w:p w14:paraId="0D13194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1.252</w:t>
            </w:r>
          </w:p>
        </w:tc>
        <w:tc>
          <w:tcPr>
            <w:tcW w:w="247" w:type="pct"/>
            <w:tcBorders>
              <w:top w:val="nil"/>
              <w:left w:val="nil"/>
              <w:bottom w:val="nil"/>
              <w:right w:val="nil"/>
            </w:tcBorders>
            <w:noWrap/>
            <w:vAlign w:val="bottom"/>
            <w:hideMark/>
          </w:tcPr>
          <w:p w14:paraId="30BDCD4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659</w:t>
            </w:r>
          </w:p>
        </w:tc>
        <w:tc>
          <w:tcPr>
            <w:tcW w:w="247" w:type="pct"/>
            <w:tcBorders>
              <w:top w:val="nil"/>
              <w:left w:val="nil"/>
              <w:bottom w:val="nil"/>
              <w:right w:val="nil"/>
            </w:tcBorders>
            <w:noWrap/>
            <w:vAlign w:val="bottom"/>
            <w:hideMark/>
          </w:tcPr>
          <w:p w14:paraId="7C79DD4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641</w:t>
            </w:r>
          </w:p>
        </w:tc>
        <w:tc>
          <w:tcPr>
            <w:tcW w:w="247" w:type="pct"/>
            <w:tcBorders>
              <w:top w:val="nil"/>
              <w:left w:val="nil"/>
              <w:bottom w:val="nil"/>
              <w:right w:val="nil"/>
            </w:tcBorders>
            <w:noWrap/>
            <w:vAlign w:val="bottom"/>
            <w:hideMark/>
          </w:tcPr>
          <w:p w14:paraId="6A2A287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705</w:t>
            </w:r>
          </w:p>
        </w:tc>
        <w:tc>
          <w:tcPr>
            <w:tcW w:w="247" w:type="pct"/>
            <w:tcBorders>
              <w:top w:val="nil"/>
              <w:left w:val="nil"/>
              <w:bottom w:val="nil"/>
              <w:right w:val="nil"/>
            </w:tcBorders>
            <w:noWrap/>
            <w:vAlign w:val="bottom"/>
            <w:hideMark/>
          </w:tcPr>
          <w:p w14:paraId="6E5EF78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1.533</w:t>
            </w:r>
          </w:p>
        </w:tc>
        <w:tc>
          <w:tcPr>
            <w:tcW w:w="247" w:type="pct"/>
            <w:tcBorders>
              <w:top w:val="nil"/>
              <w:left w:val="nil"/>
              <w:bottom w:val="nil"/>
              <w:right w:val="nil"/>
            </w:tcBorders>
            <w:noWrap/>
            <w:vAlign w:val="bottom"/>
            <w:hideMark/>
          </w:tcPr>
          <w:p w14:paraId="4C4AECE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1.870</w:t>
            </w:r>
          </w:p>
        </w:tc>
        <w:tc>
          <w:tcPr>
            <w:tcW w:w="247" w:type="pct"/>
            <w:tcBorders>
              <w:top w:val="nil"/>
              <w:left w:val="nil"/>
              <w:bottom w:val="nil"/>
              <w:right w:val="nil"/>
            </w:tcBorders>
            <w:noWrap/>
            <w:vAlign w:val="bottom"/>
            <w:hideMark/>
          </w:tcPr>
          <w:p w14:paraId="716E50D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1.971</w:t>
            </w:r>
          </w:p>
        </w:tc>
        <w:tc>
          <w:tcPr>
            <w:tcW w:w="247" w:type="pct"/>
            <w:tcBorders>
              <w:top w:val="nil"/>
              <w:left w:val="nil"/>
              <w:bottom w:val="nil"/>
              <w:right w:val="nil"/>
            </w:tcBorders>
            <w:noWrap/>
            <w:vAlign w:val="bottom"/>
            <w:hideMark/>
          </w:tcPr>
          <w:p w14:paraId="302172C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2.230</w:t>
            </w:r>
          </w:p>
        </w:tc>
        <w:tc>
          <w:tcPr>
            <w:tcW w:w="247" w:type="pct"/>
            <w:tcBorders>
              <w:top w:val="nil"/>
              <w:left w:val="nil"/>
              <w:bottom w:val="nil"/>
              <w:right w:val="nil"/>
            </w:tcBorders>
            <w:noWrap/>
            <w:vAlign w:val="bottom"/>
            <w:hideMark/>
          </w:tcPr>
          <w:p w14:paraId="0E3BED6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2.483</w:t>
            </w:r>
          </w:p>
        </w:tc>
        <w:tc>
          <w:tcPr>
            <w:tcW w:w="247" w:type="pct"/>
            <w:tcBorders>
              <w:top w:val="nil"/>
              <w:left w:val="nil"/>
              <w:bottom w:val="nil"/>
              <w:right w:val="nil"/>
            </w:tcBorders>
            <w:noWrap/>
            <w:vAlign w:val="bottom"/>
            <w:hideMark/>
          </w:tcPr>
          <w:p w14:paraId="2C0FE82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2.610</w:t>
            </w:r>
          </w:p>
        </w:tc>
        <w:tc>
          <w:tcPr>
            <w:tcW w:w="247" w:type="pct"/>
            <w:tcBorders>
              <w:top w:val="nil"/>
              <w:left w:val="nil"/>
              <w:bottom w:val="nil"/>
              <w:right w:val="nil"/>
            </w:tcBorders>
            <w:noWrap/>
            <w:vAlign w:val="bottom"/>
            <w:hideMark/>
          </w:tcPr>
          <w:p w14:paraId="794A088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2.658</w:t>
            </w:r>
          </w:p>
        </w:tc>
        <w:tc>
          <w:tcPr>
            <w:tcW w:w="247" w:type="pct"/>
            <w:tcBorders>
              <w:top w:val="nil"/>
              <w:left w:val="nil"/>
              <w:bottom w:val="nil"/>
              <w:right w:val="nil"/>
            </w:tcBorders>
            <w:noWrap/>
            <w:vAlign w:val="bottom"/>
            <w:hideMark/>
          </w:tcPr>
          <w:p w14:paraId="2836975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2.715</w:t>
            </w:r>
          </w:p>
        </w:tc>
      </w:tr>
      <w:tr w:rsidR="00B54F4E" w:rsidRPr="000C7A76" w14:paraId="4EB448EB" w14:textId="77777777" w:rsidTr="006504C4">
        <w:trPr>
          <w:trHeight w:val="300"/>
        </w:trPr>
        <w:tc>
          <w:tcPr>
            <w:tcW w:w="847" w:type="pct"/>
            <w:tcBorders>
              <w:top w:val="nil"/>
              <w:left w:val="nil"/>
              <w:bottom w:val="single" w:sz="4" w:space="0" w:color="BFBFBF"/>
              <w:right w:val="nil"/>
            </w:tcBorders>
            <w:noWrap/>
            <w:vAlign w:val="bottom"/>
            <w:hideMark/>
          </w:tcPr>
          <w:p w14:paraId="276B74FA"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GNL</w:t>
            </w:r>
          </w:p>
        </w:tc>
        <w:tc>
          <w:tcPr>
            <w:tcW w:w="247" w:type="pct"/>
            <w:tcBorders>
              <w:top w:val="nil"/>
              <w:left w:val="nil"/>
              <w:bottom w:val="single" w:sz="4" w:space="0" w:color="BFBFBF"/>
              <w:right w:val="nil"/>
            </w:tcBorders>
            <w:noWrap/>
            <w:vAlign w:val="bottom"/>
            <w:hideMark/>
          </w:tcPr>
          <w:p w14:paraId="60736DEA"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single" w:sz="4" w:space="0" w:color="BFBFBF"/>
              <w:right w:val="nil"/>
            </w:tcBorders>
            <w:noWrap/>
            <w:vAlign w:val="bottom"/>
            <w:hideMark/>
          </w:tcPr>
          <w:p w14:paraId="474C94B5"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single" w:sz="4" w:space="0" w:color="BFBFBF"/>
              <w:right w:val="nil"/>
            </w:tcBorders>
            <w:noWrap/>
            <w:vAlign w:val="bottom"/>
            <w:hideMark/>
          </w:tcPr>
          <w:p w14:paraId="5FF1B06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single" w:sz="4" w:space="0" w:color="BFBFBF"/>
              <w:right w:val="nil"/>
            </w:tcBorders>
            <w:noWrap/>
            <w:vAlign w:val="bottom"/>
            <w:hideMark/>
          </w:tcPr>
          <w:p w14:paraId="560958A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0</w:t>
            </w:r>
          </w:p>
        </w:tc>
        <w:tc>
          <w:tcPr>
            <w:tcW w:w="247" w:type="pct"/>
            <w:tcBorders>
              <w:top w:val="nil"/>
              <w:left w:val="nil"/>
              <w:bottom w:val="single" w:sz="4" w:space="0" w:color="BFBFBF"/>
              <w:right w:val="nil"/>
            </w:tcBorders>
            <w:noWrap/>
            <w:vAlign w:val="bottom"/>
            <w:hideMark/>
          </w:tcPr>
          <w:p w14:paraId="3F9AD47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1.703</w:t>
            </w:r>
          </w:p>
        </w:tc>
        <w:tc>
          <w:tcPr>
            <w:tcW w:w="247" w:type="pct"/>
            <w:tcBorders>
              <w:top w:val="nil"/>
              <w:left w:val="nil"/>
              <w:bottom w:val="single" w:sz="4" w:space="0" w:color="BFBFBF"/>
              <w:right w:val="nil"/>
            </w:tcBorders>
            <w:noWrap/>
            <w:vAlign w:val="bottom"/>
            <w:hideMark/>
          </w:tcPr>
          <w:p w14:paraId="31D58BE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3.651</w:t>
            </w:r>
          </w:p>
        </w:tc>
        <w:tc>
          <w:tcPr>
            <w:tcW w:w="247" w:type="pct"/>
            <w:tcBorders>
              <w:top w:val="nil"/>
              <w:left w:val="nil"/>
              <w:bottom w:val="single" w:sz="4" w:space="0" w:color="BFBFBF"/>
              <w:right w:val="nil"/>
            </w:tcBorders>
            <w:noWrap/>
            <w:vAlign w:val="bottom"/>
            <w:hideMark/>
          </w:tcPr>
          <w:p w14:paraId="68642ED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4.490</w:t>
            </w:r>
          </w:p>
        </w:tc>
        <w:tc>
          <w:tcPr>
            <w:tcW w:w="247" w:type="pct"/>
            <w:tcBorders>
              <w:top w:val="nil"/>
              <w:left w:val="nil"/>
              <w:bottom w:val="single" w:sz="4" w:space="0" w:color="BFBFBF"/>
              <w:right w:val="nil"/>
            </w:tcBorders>
            <w:noWrap/>
            <w:vAlign w:val="bottom"/>
            <w:hideMark/>
          </w:tcPr>
          <w:p w14:paraId="66661B3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4.371</w:t>
            </w:r>
          </w:p>
        </w:tc>
        <w:tc>
          <w:tcPr>
            <w:tcW w:w="247" w:type="pct"/>
            <w:tcBorders>
              <w:top w:val="nil"/>
              <w:left w:val="nil"/>
              <w:bottom w:val="single" w:sz="4" w:space="0" w:color="BFBFBF"/>
              <w:right w:val="nil"/>
            </w:tcBorders>
            <w:noWrap/>
            <w:vAlign w:val="bottom"/>
            <w:hideMark/>
          </w:tcPr>
          <w:p w14:paraId="762DF0E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4.473</w:t>
            </w:r>
          </w:p>
        </w:tc>
        <w:tc>
          <w:tcPr>
            <w:tcW w:w="247" w:type="pct"/>
            <w:tcBorders>
              <w:top w:val="nil"/>
              <w:left w:val="nil"/>
              <w:bottom w:val="single" w:sz="4" w:space="0" w:color="BFBFBF"/>
              <w:right w:val="nil"/>
            </w:tcBorders>
            <w:noWrap/>
            <w:vAlign w:val="bottom"/>
            <w:hideMark/>
          </w:tcPr>
          <w:p w14:paraId="5B7FC06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5.087</w:t>
            </w:r>
          </w:p>
        </w:tc>
        <w:tc>
          <w:tcPr>
            <w:tcW w:w="247" w:type="pct"/>
            <w:tcBorders>
              <w:top w:val="nil"/>
              <w:left w:val="nil"/>
              <w:bottom w:val="single" w:sz="4" w:space="0" w:color="BFBFBF"/>
              <w:right w:val="nil"/>
            </w:tcBorders>
            <w:noWrap/>
            <w:vAlign w:val="bottom"/>
            <w:hideMark/>
          </w:tcPr>
          <w:p w14:paraId="4F05449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5.341</w:t>
            </w:r>
          </w:p>
        </w:tc>
        <w:tc>
          <w:tcPr>
            <w:tcW w:w="247" w:type="pct"/>
            <w:tcBorders>
              <w:top w:val="nil"/>
              <w:left w:val="nil"/>
              <w:bottom w:val="single" w:sz="4" w:space="0" w:color="BFBFBF"/>
              <w:right w:val="nil"/>
            </w:tcBorders>
            <w:noWrap/>
            <w:vAlign w:val="bottom"/>
            <w:hideMark/>
          </w:tcPr>
          <w:p w14:paraId="1825943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5.872</w:t>
            </w:r>
          </w:p>
        </w:tc>
        <w:tc>
          <w:tcPr>
            <w:tcW w:w="247" w:type="pct"/>
            <w:tcBorders>
              <w:top w:val="nil"/>
              <w:left w:val="nil"/>
              <w:bottom w:val="single" w:sz="4" w:space="0" w:color="BFBFBF"/>
              <w:right w:val="nil"/>
            </w:tcBorders>
            <w:noWrap/>
            <w:vAlign w:val="bottom"/>
            <w:hideMark/>
          </w:tcPr>
          <w:p w14:paraId="74B4251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5.872</w:t>
            </w:r>
          </w:p>
        </w:tc>
        <w:tc>
          <w:tcPr>
            <w:tcW w:w="247" w:type="pct"/>
            <w:tcBorders>
              <w:top w:val="nil"/>
              <w:left w:val="nil"/>
              <w:bottom w:val="single" w:sz="4" w:space="0" w:color="BFBFBF"/>
              <w:right w:val="nil"/>
            </w:tcBorders>
            <w:noWrap/>
            <w:vAlign w:val="bottom"/>
            <w:hideMark/>
          </w:tcPr>
          <w:p w14:paraId="3E001A7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6.584</w:t>
            </w:r>
          </w:p>
        </w:tc>
        <w:tc>
          <w:tcPr>
            <w:tcW w:w="247" w:type="pct"/>
            <w:tcBorders>
              <w:top w:val="nil"/>
              <w:left w:val="nil"/>
              <w:bottom w:val="single" w:sz="4" w:space="0" w:color="BFBFBF"/>
              <w:right w:val="nil"/>
            </w:tcBorders>
            <w:noWrap/>
            <w:vAlign w:val="bottom"/>
            <w:hideMark/>
          </w:tcPr>
          <w:p w14:paraId="2504B7D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7.073</w:t>
            </w:r>
          </w:p>
        </w:tc>
        <w:tc>
          <w:tcPr>
            <w:tcW w:w="247" w:type="pct"/>
            <w:tcBorders>
              <w:top w:val="nil"/>
              <w:left w:val="nil"/>
              <w:bottom w:val="single" w:sz="4" w:space="0" w:color="BFBFBF"/>
              <w:right w:val="nil"/>
            </w:tcBorders>
            <w:noWrap/>
            <w:vAlign w:val="bottom"/>
            <w:hideMark/>
          </w:tcPr>
          <w:p w14:paraId="410CFD0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7.812</w:t>
            </w:r>
          </w:p>
        </w:tc>
        <w:tc>
          <w:tcPr>
            <w:tcW w:w="247" w:type="pct"/>
            <w:tcBorders>
              <w:top w:val="nil"/>
              <w:left w:val="nil"/>
              <w:bottom w:val="single" w:sz="4" w:space="0" w:color="BFBFBF"/>
              <w:right w:val="nil"/>
            </w:tcBorders>
            <w:noWrap/>
            <w:vAlign w:val="bottom"/>
            <w:hideMark/>
          </w:tcPr>
          <w:p w14:paraId="2A530A0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8.328</w:t>
            </w:r>
          </w:p>
        </w:tc>
      </w:tr>
      <w:tr w:rsidR="00B54F4E" w:rsidRPr="000C7A76" w14:paraId="07292033" w14:textId="77777777" w:rsidTr="006504C4">
        <w:trPr>
          <w:trHeight w:val="300"/>
        </w:trPr>
        <w:tc>
          <w:tcPr>
            <w:tcW w:w="847" w:type="pct"/>
            <w:tcBorders>
              <w:top w:val="nil"/>
              <w:left w:val="nil"/>
              <w:bottom w:val="nil"/>
              <w:right w:val="nil"/>
            </w:tcBorders>
            <w:noWrap/>
            <w:vAlign w:val="bottom"/>
            <w:hideMark/>
          </w:tcPr>
          <w:p w14:paraId="755E36CF"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Solar</w:t>
            </w:r>
          </w:p>
        </w:tc>
        <w:tc>
          <w:tcPr>
            <w:tcW w:w="247" w:type="pct"/>
            <w:tcBorders>
              <w:top w:val="nil"/>
              <w:left w:val="nil"/>
              <w:bottom w:val="nil"/>
              <w:right w:val="nil"/>
            </w:tcBorders>
            <w:noWrap/>
            <w:vAlign w:val="bottom"/>
            <w:hideMark/>
          </w:tcPr>
          <w:p w14:paraId="3A69A26E"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018919ED"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3B442E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74</w:t>
            </w:r>
          </w:p>
        </w:tc>
        <w:tc>
          <w:tcPr>
            <w:tcW w:w="247" w:type="pct"/>
            <w:tcBorders>
              <w:top w:val="nil"/>
              <w:left w:val="nil"/>
              <w:bottom w:val="nil"/>
              <w:right w:val="nil"/>
            </w:tcBorders>
            <w:noWrap/>
            <w:vAlign w:val="bottom"/>
            <w:hideMark/>
          </w:tcPr>
          <w:p w14:paraId="3577A5C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181</w:t>
            </w:r>
          </w:p>
        </w:tc>
        <w:tc>
          <w:tcPr>
            <w:tcW w:w="247" w:type="pct"/>
            <w:tcBorders>
              <w:top w:val="nil"/>
              <w:left w:val="nil"/>
              <w:bottom w:val="nil"/>
              <w:right w:val="nil"/>
            </w:tcBorders>
            <w:noWrap/>
            <w:vAlign w:val="bottom"/>
            <w:hideMark/>
          </w:tcPr>
          <w:p w14:paraId="4A1EE2E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468</w:t>
            </w:r>
          </w:p>
        </w:tc>
        <w:tc>
          <w:tcPr>
            <w:tcW w:w="247" w:type="pct"/>
            <w:tcBorders>
              <w:top w:val="nil"/>
              <w:left w:val="nil"/>
              <w:bottom w:val="nil"/>
              <w:right w:val="nil"/>
            </w:tcBorders>
            <w:noWrap/>
            <w:vAlign w:val="bottom"/>
            <w:hideMark/>
          </w:tcPr>
          <w:p w14:paraId="1DF3367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584</w:t>
            </w:r>
          </w:p>
        </w:tc>
        <w:tc>
          <w:tcPr>
            <w:tcW w:w="247" w:type="pct"/>
            <w:tcBorders>
              <w:top w:val="nil"/>
              <w:left w:val="nil"/>
              <w:bottom w:val="nil"/>
              <w:right w:val="nil"/>
            </w:tcBorders>
            <w:noWrap/>
            <w:vAlign w:val="bottom"/>
            <w:hideMark/>
          </w:tcPr>
          <w:p w14:paraId="167E6EA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840</w:t>
            </w:r>
          </w:p>
        </w:tc>
        <w:tc>
          <w:tcPr>
            <w:tcW w:w="247" w:type="pct"/>
            <w:tcBorders>
              <w:top w:val="nil"/>
              <w:left w:val="nil"/>
              <w:bottom w:val="nil"/>
              <w:right w:val="nil"/>
            </w:tcBorders>
            <w:noWrap/>
            <w:vAlign w:val="bottom"/>
            <w:hideMark/>
          </w:tcPr>
          <w:p w14:paraId="0B68695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1.004</w:t>
            </w:r>
          </w:p>
        </w:tc>
        <w:tc>
          <w:tcPr>
            <w:tcW w:w="247" w:type="pct"/>
            <w:tcBorders>
              <w:top w:val="nil"/>
              <w:left w:val="nil"/>
              <w:bottom w:val="nil"/>
              <w:right w:val="nil"/>
            </w:tcBorders>
            <w:noWrap/>
            <w:vAlign w:val="bottom"/>
            <w:hideMark/>
          </w:tcPr>
          <w:p w14:paraId="3F9F0D6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1.063</w:t>
            </w:r>
          </w:p>
        </w:tc>
        <w:tc>
          <w:tcPr>
            <w:tcW w:w="247" w:type="pct"/>
            <w:tcBorders>
              <w:top w:val="nil"/>
              <w:left w:val="nil"/>
              <w:bottom w:val="nil"/>
              <w:right w:val="nil"/>
            </w:tcBorders>
            <w:noWrap/>
            <w:vAlign w:val="bottom"/>
            <w:hideMark/>
          </w:tcPr>
          <w:p w14:paraId="53D2ACA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1.063</w:t>
            </w:r>
          </w:p>
        </w:tc>
        <w:tc>
          <w:tcPr>
            <w:tcW w:w="247" w:type="pct"/>
            <w:tcBorders>
              <w:top w:val="nil"/>
              <w:left w:val="nil"/>
              <w:bottom w:val="nil"/>
              <w:right w:val="nil"/>
            </w:tcBorders>
            <w:noWrap/>
            <w:vAlign w:val="bottom"/>
            <w:hideMark/>
          </w:tcPr>
          <w:p w14:paraId="5436098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1.063</w:t>
            </w:r>
          </w:p>
        </w:tc>
        <w:tc>
          <w:tcPr>
            <w:tcW w:w="247" w:type="pct"/>
            <w:tcBorders>
              <w:top w:val="nil"/>
              <w:left w:val="nil"/>
              <w:bottom w:val="nil"/>
              <w:right w:val="nil"/>
            </w:tcBorders>
            <w:noWrap/>
            <w:vAlign w:val="bottom"/>
            <w:hideMark/>
          </w:tcPr>
          <w:p w14:paraId="3819A81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1.063</w:t>
            </w:r>
          </w:p>
        </w:tc>
        <w:tc>
          <w:tcPr>
            <w:tcW w:w="247" w:type="pct"/>
            <w:tcBorders>
              <w:top w:val="nil"/>
              <w:left w:val="nil"/>
              <w:bottom w:val="nil"/>
              <w:right w:val="nil"/>
            </w:tcBorders>
            <w:noWrap/>
            <w:vAlign w:val="bottom"/>
            <w:hideMark/>
          </w:tcPr>
          <w:p w14:paraId="4B5143F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1.264</w:t>
            </w:r>
          </w:p>
        </w:tc>
        <w:tc>
          <w:tcPr>
            <w:tcW w:w="247" w:type="pct"/>
            <w:tcBorders>
              <w:top w:val="nil"/>
              <w:left w:val="nil"/>
              <w:bottom w:val="nil"/>
              <w:right w:val="nil"/>
            </w:tcBorders>
            <w:noWrap/>
            <w:vAlign w:val="bottom"/>
            <w:hideMark/>
          </w:tcPr>
          <w:p w14:paraId="07A9C9A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1.420</w:t>
            </w:r>
          </w:p>
        </w:tc>
        <w:tc>
          <w:tcPr>
            <w:tcW w:w="247" w:type="pct"/>
            <w:tcBorders>
              <w:top w:val="nil"/>
              <w:left w:val="nil"/>
              <w:bottom w:val="nil"/>
              <w:right w:val="nil"/>
            </w:tcBorders>
            <w:noWrap/>
            <w:vAlign w:val="bottom"/>
            <w:hideMark/>
          </w:tcPr>
          <w:p w14:paraId="17AAD55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1.538</w:t>
            </w:r>
          </w:p>
        </w:tc>
        <w:tc>
          <w:tcPr>
            <w:tcW w:w="247" w:type="pct"/>
            <w:tcBorders>
              <w:top w:val="nil"/>
              <w:left w:val="nil"/>
              <w:bottom w:val="nil"/>
              <w:right w:val="nil"/>
            </w:tcBorders>
            <w:noWrap/>
            <w:vAlign w:val="bottom"/>
            <w:hideMark/>
          </w:tcPr>
          <w:p w14:paraId="0FC7BFE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1.606</w:t>
            </w:r>
          </w:p>
        </w:tc>
        <w:tc>
          <w:tcPr>
            <w:tcW w:w="247" w:type="pct"/>
            <w:tcBorders>
              <w:top w:val="nil"/>
              <w:left w:val="nil"/>
              <w:bottom w:val="nil"/>
              <w:right w:val="nil"/>
            </w:tcBorders>
            <w:noWrap/>
            <w:vAlign w:val="bottom"/>
            <w:hideMark/>
          </w:tcPr>
          <w:p w14:paraId="7D1AC5F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1.606</w:t>
            </w:r>
          </w:p>
        </w:tc>
      </w:tr>
      <w:tr w:rsidR="00B54F4E" w:rsidRPr="000C7A76" w14:paraId="3E5296D5" w14:textId="77777777" w:rsidTr="006504C4">
        <w:trPr>
          <w:trHeight w:val="300"/>
        </w:trPr>
        <w:tc>
          <w:tcPr>
            <w:tcW w:w="847" w:type="pct"/>
            <w:tcBorders>
              <w:top w:val="nil"/>
              <w:left w:val="nil"/>
              <w:bottom w:val="nil"/>
              <w:right w:val="nil"/>
            </w:tcBorders>
            <w:noWrap/>
            <w:vAlign w:val="bottom"/>
            <w:hideMark/>
          </w:tcPr>
          <w:p w14:paraId="4FC4F00F"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Eolico</w:t>
            </w:r>
          </w:p>
        </w:tc>
        <w:tc>
          <w:tcPr>
            <w:tcW w:w="247" w:type="pct"/>
            <w:tcBorders>
              <w:top w:val="nil"/>
              <w:left w:val="nil"/>
              <w:bottom w:val="nil"/>
              <w:right w:val="nil"/>
            </w:tcBorders>
            <w:noWrap/>
            <w:vAlign w:val="bottom"/>
            <w:hideMark/>
          </w:tcPr>
          <w:p w14:paraId="513A5DBE"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472B2A40"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5E00A62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715</w:t>
            </w:r>
          </w:p>
        </w:tc>
        <w:tc>
          <w:tcPr>
            <w:tcW w:w="247" w:type="pct"/>
            <w:tcBorders>
              <w:top w:val="nil"/>
              <w:left w:val="nil"/>
              <w:bottom w:val="nil"/>
              <w:right w:val="nil"/>
            </w:tcBorders>
            <w:noWrap/>
            <w:vAlign w:val="bottom"/>
            <w:hideMark/>
          </w:tcPr>
          <w:p w14:paraId="59F2016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850</w:t>
            </w:r>
          </w:p>
        </w:tc>
        <w:tc>
          <w:tcPr>
            <w:tcW w:w="247" w:type="pct"/>
            <w:tcBorders>
              <w:top w:val="nil"/>
              <w:left w:val="nil"/>
              <w:bottom w:val="nil"/>
              <w:right w:val="nil"/>
            </w:tcBorders>
            <w:noWrap/>
            <w:vAlign w:val="bottom"/>
            <w:hideMark/>
          </w:tcPr>
          <w:p w14:paraId="342C95D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891</w:t>
            </w:r>
          </w:p>
        </w:tc>
        <w:tc>
          <w:tcPr>
            <w:tcW w:w="247" w:type="pct"/>
            <w:tcBorders>
              <w:top w:val="nil"/>
              <w:left w:val="nil"/>
              <w:bottom w:val="nil"/>
              <w:right w:val="nil"/>
            </w:tcBorders>
            <w:noWrap/>
            <w:vAlign w:val="bottom"/>
            <w:hideMark/>
          </w:tcPr>
          <w:p w14:paraId="2D7D7FF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1.116</w:t>
            </w:r>
          </w:p>
        </w:tc>
        <w:tc>
          <w:tcPr>
            <w:tcW w:w="247" w:type="pct"/>
            <w:tcBorders>
              <w:top w:val="nil"/>
              <w:left w:val="nil"/>
              <w:bottom w:val="nil"/>
              <w:right w:val="nil"/>
            </w:tcBorders>
            <w:noWrap/>
            <w:vAlign w:val="bottom"/>
            <w:hideMark/>
          </w:tcPr>
          <w:p w14:paraId="42A33AA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1.190</w:t>
            </w:r>
          </w:p>
        </w:tc>
        <w:tc>
          <w:tcPr>
            <w:tcW w:w="247" w:type="pct"/>
            <w:tcBorders>
              <w:top w:val="nil"/>
              <w:left w:val="nil"/>
              <w:bottom w:val="nil"/>
              <w:right w:val="nil"/>
            </w:tcBorders>
            <w:noWrap/>
            <w:vAlign w:val="bottom"/>
            <w:hideMark/>
          </w:tcPr>
          <w:p w14:paraId="0B0D6E7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1.177</w:t>
            </w:r>
          </w:p>
        </w:tc>
        <w:tc>
          <w:tcPr>
            <w:tcW w:w="247" w:type="pct"/>
            <w:tcBorders>
              <w:top w:val="nil"/>
              <w:left w:val="nil"/>
              <w:bottom w:val="nil"/>
              <w:right w:val="nil"/>
            </w:tcBorders>
            <w:noWrap/>
            <w:vAlign w:val="bottom"/>
            <w:hideMark/>
          </w:tcPr>
          <w:p w14:paraId="1D545AC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1.768</w:t>
            </w:r>
          </w:p>
        </w:tc>
        <w:tc>
          <w:tcPr>
            <w:tcW w:w="247" w:type="pct"/>
            <w:tcBorders>
              <w:top w:val="nil"/>
              <w:left w:val="nil"/>
              <w:bottom w:val="nil"/>
              <w:right w:val="nil"/>
            </w:tcBorders>
            <w:noWrap/>
            <w:vAlign w:val="bottom"/>
            <w:hideMark/>
          </w:tcPr>
          <w:p w14:paraId="482B1B9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1.732</w:t>
            </w:r>
          </w:p>
        </w:tc>
        <w:tc>
          <w:tcPr>
            <w:tcW w:w="247" w:type="pct"/>
            <w:tcBorders>
              <w:top w:val="nil"/>
              <w:left w:val="nil"/>
              <w:bottom w:val="nil"/>
              <w:right w:val="nil"/>
            </w:tcBorders>
            <w:noWrap/>
            <w:vAlign w:val="bottom"/>
            <w:hideMark/>
          </w:tcPr>
          <w:p w14:paraId="38CE82D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2.100</w:t>
            </w:r>
          </w:p>
        </w:tc>
        <w:tc>
          <w:tcPr>
            <w:tcW w:w="247" w:type="pct"/>
            <w:tcBorders>
              <w:top w:val="nil"/>
              <w:left w:val="nil"/>
              <w:bottom w:val="nil"/>
              <w:right w:val="nil"/>
            </w:tcBorders>
            <w:noWrap/>
            <w:vAlign w:val="bottom"/>
            <w:hideMark/>
          </w:tcPr>
          <w:p w14:paraId="657F40A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2.081</w:t>
            </w:r>
          </w:p>
        </w:tc>
        <w:tc>
          <w:tcPr>
            <w:tcW w:w="247" w:type="pct"/>
            <w:tcBorders>
              <w:top w:val="nil"/>
              <w:left w:val="nil"/>
              <w:bottom w:val="nil"/>
              <w:right w:val="nil"/>
            </w:tcBorders>
            <w:noWrap/>
            <w:vAlign w:val="bottom"/>
            <w:hideMark/>
          </w:tcPr>
          <w:p w14:paraId="5DE06E3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2.768</w:t>
            </w:r>
          </w:p>
        </w:tc>
        <w:tc>
          <w:tcPr>
            <w:tcW w:w="247" w:type="pct"/>
            <w:tcBorders>
              <w:top w:val="nil"/>
              <w:left w:val="nil"/>
              <w:bottom w:val="nil"/>
              <w:right w:val="nil"/>
            </w:tcBorders>
            <w:noWrap/>
            <w:vAlign w:val="bottom"/>
            <w:hideMark/>
          </w:tcPr>
          <w:p w14:paraId="05F0C6C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3.056</w:t>
            </w:r>
          </w:p>
        </w:tc>
        <w:tc>
          <w:tcPr>
            <w:tcW w:w="247" w:type="pct"/>
            <w:tcBorders>
              <w:top w:val="nil"/>
              <w:left w:val="nil"/>
              <w:bottom w:val="nil"/>
              <w:right w:val="nil"/>
            </w:tcBorders>
            <w:noWrap/>
            <w:vAlign w:val="bottom"/>
            <w:hideMark/>
          </w:tcPr>
          <w:p w14:paraId="0106FD9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3.052</w:t>
            </w:r>
          </w:p>
        </w:tc>
        <w:tc>
          <w:tcPr>
            <w:tcW w:w="247" w:type="pct"/>
            <w:tcBorders>
              <w:top w:val="nil"/>
              <w:left w:val="nil"/>
              <w:bottom w:val="nil"/>
              <w:right w:val="nil"/>
            </w:tcBorders>
            <w:noWrap/>
            <w:vAlign w:val="bottom"/>
            <w:hideMark/>
          </w:tcPr>
          <w:p w14:paraId="043A506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3.106</w:t>
            </w:r>
          </w:p>
        </w:tc>
        <w:tc>
          <w:tcPr>
            <w:tcW w:w="247" w:type="pct"/>
            <w:tcBorders>
              <w:top w:val="nil"/>
              <w:left w:val="nil"/>
              <w:bottom w:val="nil"/>
              <w:right w:val="nil"/>
            </w:tcBorders>
            <w:noWrap/>
            <w:vAlign w:val="bottom"/>
            <w:hideMark/>
          </w:tcPr>
          <w:p w14:paraId="4C2B907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3.129</w:t>
            </w:r>
          </w:p>
        </w:tc>
      </w:tr>
      <w:tr w:rsidR="00B54F4E" w:rsidRPr="000C7A76" w14:paraId="2BF6B18A" w14:textId="77777777" w:rsidTr="006504C4">
        <w:trPr>
          <w:trHeight w:val="300"/>
        </w:trPr>
        <w:tc>
          <w:tcPr>
            <w:tcW w:w="847" w:type="pct"/>
            <w:tcBorders>
              <w:top w:val="nil"/>
              <w:left w:val="nil"/>
              <w:bottom w:val="single" w:sz="4" w:space="0" w:color="BFBFBF"/>
              <w:right w:val="nil"/>
            </w:tcBorders>
            <w:noWrap/>
            <w:vAlign w:val="bottom"/>
            <w:hideMark/>
          </w:tcPr>
          <w:p w14:paraId="0171434C"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BioGas</w:t>
            </w:r>
          </w:p>
        </w:tc>
        <w:tc>
          <w:tcPr>
            <w:tcW w:w="247" w:type="pct"/>
            <w:tcBorders>
              <w:top w:val="nil"/>
              <w:left w:val="nil"/>
              <w:bottom w:val="single" w:sz="4" w:space="0" w:color="BFBFBF"/>
              <w:right w:val="nil"/>
            </w:tcBorders>
            <w:noWrap/>
            <w:vAlign w:val="bottom"/>
            <w:hideMark/>
          </w:tcPr>
          <w:p w14:paraId="712F6CE2"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single" w:sz="4" w:space="0" w:color="BFBFBF"/>
              <w:right w:val="nil"/>
            </w:tcBorders>
            <w:noWrap/>
            <w:vAlign w:val="bottom"/>
            <w:hideMark/>
          </w:tcPr>
          <w:p w14:paraId="437115BC"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single" w:sz="4" w:space="0" w:color="BFBFBF"/>
              <w:right w:val="nil"/>
            </w:tcBorders>
            <w:noWrap/>
            <w:vAlign w:val="bottom"/>
            <w:hideMark/>
          </w:tcPr>
          <w:p w14:paraId="645BA76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40</w:t>
            </w:r>
          </w:p>
        </w:tc>
        <w:tc>
          <w:tcPr>
            <w:tcW w:w="247" w:type="pct"/>
            <w:tcBorders>
              <w:top w:val="nil"/>
              <w:left w:val="nil"/>
              <w:bottom w:val="single" w:sz="4" w:space="0" w:color="BFBFBF"/>
              <w:right w:val="nil"/>
            </w:tcBorders>
            <w:noWrap/>
            <w:vAlign w:val="bottom"/>
            <w:hideMark/>
          </w:tcPr>
          <w:p w14:paraId="2B333AD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676645E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5995181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47CA34B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3356700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1614CB4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36C763F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1A5300A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7D4BEAA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6476753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2F7BA9C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362C24B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568A0F0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c>
          <w:tcPr>
            <w:tcW w:w="247" w:type="pct"/>
            <w:tcBorders>
              <w:top w:val="nil"/>
              <w:left w:val="nil"/>
              <w:bottom w:val="single" w:sz="4" w:space="0" w:color="BFBFBF"/>
              <w:right w:val="nil"/>
            </w:tcBorders>
            <w:noWrap/>
            <w:vAlign w:val="bottom"/>
            <w:hideMark/>
          </w:tcPr>
          <w:p w14:paraId="0970158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79</w:t>
            </w:r>
          </w:p>
        </w:tc>
      </w:tr>
      <w:tr w:rsidR="00B54F4E" w:rsidRPr="000C7A76" w14:paraId="7CA7CABF" w14:textId="77777777" w:rsidTr="006504C4">
        <w:trPr>
          <w:trHeight w:val="300"/>
        </w:trPr>
        <w:tc>
          <w:tcPr>
            <w:tcW w:w="847" w:type="pct"/>
            <w:tcBorders>
              <w:top w:val="single" w:sz="4" w:space="0" w:color="BFBFBF"/>
              <w:left w:val="nil"/>
              <w:bottom w:val="single" w:sz="4" w:space="0" w:color="BFBFBF"/>
              <w:right w:val="nil"/>
            </w:tcBorders>
            <w:noWrap/>
            <w:vAlign w:val="bottom"/>
            <w:hideMark/>
          </w:tcPr>
          <w:p w14:paraId="3205B847"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OfertaACP</w:t>
            </w:r>
          </w:p>
        </w:tc>
        <w:tc>
          <w:tcPr>
            <w:tcW w:w="247" w:type="pct"/>
            <w:tcBorders>
              <w:top w:val="single" w:sz="4" w:space="0" w:color="BFBFBF"/>
              <w:left w:val="nil"/>
              <w:bottom w:val="single" w:sz="4" w:space="0" w:color="BFBFBF"/>
              <w:right w:val="nil"/>
            </w:tcBorders>
            <w:noWrap/>
            <w:vAlign w:val="bottom"/>
            <w:hideMark/>
          </w:tcPr>
          <w:p w14:paraId="207B37AA"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single" w:sz="4" w:space="0" w:color="BFBFBF"/>
              <w:left w:val="nil"/>
              <w:bottom w:val="single" w:sz="4" w:space="0" w:color="BFBFBF"/>
              <w:right w:val="nil"/>
            </w:tcBorders>
            <w:noWrap/>
            <w:vAlign w:val="bottom"/>
            <w:hideMark/>
          </w:tcPr>
          <w:p w14:paraId="32132D41"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single" w:sz="4" w:space="0" w:color="BFBFBF"/>
              <w:left w:val="nil"/>
              <w:bottom w:val="single" w:sz="4" w:space="0" w:color="BFBFBF"/>
              <w:right w:val="nil"/>
            </w:tcBorders>
            <w:noWrap/>
            <w:vAlign w:val="bottom"/>
            <w:hideMark/>
          </w:tcPr>
          <w:p w14:paraId="24BBEEC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w:t>
            </w:r>
          </w:p>
        </w:tc>
        <w:tc>
          <w:tcPr>
            <w:tcW w:w="247" w:type="pct"/>
            <w:tcBorders>
              <w:top w:val="single" w:sz="4" w:space="0" w:color="BFBFBF"/>
              <w:left w:val="nil"/>
              <w:bottom w:val="single" w:sz="4" w:space="0" w:color="BFBFBF"/>
              <w:right w:val="nil"/>
            </w:tcBorders>
            <w:noWrap/>
            <w:vAlign w:val="bottom"/>
            <w:hideMark/>
          </w:tcPr>
          <w:p w14:paraId="58C526A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330</w:t>
            </w:r>
          </w:p>
        </w:tc>
        <w:tc>
          <w:tcPr>
            <w:tcW w:w="247" w:type="pct"/>
            <w:tcBorders>
              <w:top w:val="single" w:sz="4" w:space="0" w:color="BFBFBF"/>
              <w:left w:val="nil"/>
              <w:bottom w:val="single" w:sz="4" w:space="0" w:color="BFBFBF"/>
              <w:right w:val="nil"/>
            </w:tcBorders>
            <w:noWrap/>
            <w:vAlign w:val="bottom"/>
            <w:hideMark/>
          </w:tcPr>
          <w:p w14:paraId="1E68E25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257</w:t>
            </w:r>
          </w:p>
        </w:tc>
        <w:tc>
          <w:tcPr>
            <w:tcW w:w="247" w:type="pct"/>
            <w:tcBorders>
              <w:top w:val="single" w:sz="4" w:space="0" w:color="BFBFBF"/>
              <w:left w:val="nil"/>
              <w:bottom w:val="single" w:sz="4" w:space="0" w:color="BFBFBF"/>
              <w:right w:val="nil"/>
            </w:tcBorders>
            <w:noWrap/>
            <w:vAlign w:val="bottom"/>
            <w:hideMark/>
          </w:tcPr>
          <w:p w14:paraId="38C0A96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219</w:t>
            </w:r>
          </w:p>
        </w:tc>
        <w:tc>
          <w:tcPr>
            <w:tcW w:w="247" w:type="pct"/>
            <w:tcBorders>
              <w:top w:val="single" w:sz="4" w:space="0" w:color="BFBFBF"/>
              <w:left w:val="nil"/>
              <w:bottom w:val="single" w:sz="4" w:space="0" w:color="BFBFBF"/>
              <w:right w:val="nil"/>
            </w:tcBorders>
            <w:noWrap/>
            <w:vAlign w:val="bottom"/>
            <w:hideMark/>
          </w:tcPr>
          <w:p w14:paraId="522FC74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117</w:t>
            </w:r>
          </w:p>
        </w:tc>
        <w:tc>
          <w:tcPr>
            <w:tcW w:w="247" w:type="pct"/>
            <w:tcBorders>
              <w:top w:val="single" w:sz="4" w:space="0" w:color="BFBFBF"/>
              <w:left w:val="nil"/>
              <w:bottom w:val="single" w:sz="4" w:space="0" w:color="BFBFBF"/>
              <w:right w:val="nil"/>
            </w:tcBorders>
            <w:noWrap/>
            <w:vAlign w:val="bottom"/>
            <w:hideMark/>
          </w:tcPr>
          <w:p w14:paraId="0DFD007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77</w:t>
            </w:r>
          </w:p>
        </w:tc>
        <w:tc>
          <w:tcPr>
            <w:tcW w:w="247" w:type="pct"/>
            <w:tcBorders>
              <w:top w:val="single" w:sz="4" w:space="0" w:color="BFBFBF"/>
              <w:left w:val="nil"/>
              <w:bottom w:val="single" w:sz="4" w:space="0" w:color="BFBFBF"/>
              <w:right w:val="nil"/>
            </w:tcBorders>
            <w:noWrap/>
            <w:vAlign w:val="bottom"/>
            <w:hideMark/>
          </w:tcPr>
          <w:p w14:paraId="3E07402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78</w:t>
            </w:r>
          </w:p>
        </w:tc>
        <w:tc>
          <w:tcPr>
            <w:tcW w:w="247" w:type="pct"/>
            <w:tcBorders>
              <w:top w:val="single" w:sz="4" w:space="0" w:color="BFBFBF"/>
              <w:left w:val="nil"/>
              <w:bottom w:val="single" w:sz="4" w:space="0" w:color="BFBFBF"/>
              <w:right w:val="nil"/>
            </w:tcBorders>
            <w:noWrap/>
            <w:vAlign w:val="bottom"/>
            <w:hideMark/>
          </w:tcPr>
          <w:p w14:paraId="3735D69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73</w:t>
            </w:r>
          </w:p>
        </w:tc>
        <w:tc>
          <w:tcPr>
            <w:tcW w:w="247" w:type="pct"/>
            <w:tcBorders>
              <w:top w:val="single" w:sz="4" w:space="0" w:color="BFBFBF"/>
              <w:left w:val="nil"/>
              <w:bottom w:val="single" w:sz="4" w:space="0" w:color="BFBFBF"/>
              <w:right w:val="nil"/>
            </w:tcBorders>
            <w:noWrap/>
            <w:vAlign w:val="bottom"/>
            <w:hideMark/>
          </w:tcPr>
          <w:p w14:paraId="27771DD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69</w:t>
            </w:r>
          </w:p>
        </w:tc>
        <w:tc>
          <w:tcPr>
            <w:tcW w:w="247" w:type="pct"/>
            <w:tcBorders>
              <w:top w:val="single" w:sz="4" w:space="0" w:color="BFBFBF"/>
              <w:left w:val="nil"/>
              <w:bottom w:val="single" w:sz="4" w:space="0" w:color="BFBFBF"/>
              <w:right w:val="nil"/>
            </w:tcBorders>
            <w:noWrap/>
            <w:vAlign w:val="bottom"/>
            <w:hideMark/>
          </w:tcPr>
          <w:p w14:paraId="1FC00AD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66</w:t>
            </w:r>
          </w:p>
        </w:tc>
        <w:tc>
          <w:tcPr>
            <w:tcW w:w="247" w:type="pct"/>
            <w:tcBorders>
              <w:top w:val="single" w:sz="4" w:space="0" w:color="BFBFBF"/>
              <w:left w:val="nil"/>
              <w:bottom w:val="single" w:sz="4" w:space="0" w:color="BFBFBF"/>
              <w:right w:val="nil"/>
            </w:tcBorders>
            <w:noWrap/>
            <w:vAlign w:val="bottom"/>
            <w:hideMark/>
          </w:tcPr>
          <w:p w14:paraId="256D604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63</w:t>
            </w:r>
          </w:p>
        </w:tc>
        <w:tc>
          <w:tcPr>
            <w:tcW w:w="247" w:type="pct"/>
            <w:tcBorders>
              <w:top w:val="single" w:sz="4" w:space="0" w:color="BFBFBF"/>
              <w:left w:val="nil"/>
              <w:bottom w:val="single" w:sz="4" w:space="0" w:color="BFBFBF"/>
              <w:right w:val="nil"/>
            </w:tcBorders>
            <w:noWrap/>
            <w:vAlign w:val="bottom"/>
            <w:hideMark/>
          </w:tcPr>
          <w:p w14:paraId="7013732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63</w:t>
            </w:r>
          </w:p>
        </w:tc>
        <w:tc>
          <w:tcPr>
            <w:tcW w:w="247" w:type="pct"/>
            <w:tcBorders>
              <w:top w:val="single" w:sz="4" w:space="0" w:color="BFBFBF"/>
              <w:left w:val="nil"/>
              <w:bottom w:val="single" w:sz="4" w:space="0" w:color="BFBFBF"/>
              <w:right w:val="nil"/>
            </w:tcBorders>
            <w:noWrap/>
            <w:vAlign w:val="bottom"/>
            <w:hideMark/>
          </w:tcPr>
          <w:p w14:paraId="3534DC6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56</w:t>
            </w:r>
          </w:p>
        </w:tc>
        <w:tc>
          <w:tcPr>
            <w:tcW w:w="247" w:type="pct"/>
            <w:tcBorders>
              <w:top w:val="single" w:sz="4" w:space="0" w:color="BFBFBF"/>
              <w:left w:val="nil"/>
              <w:bottom w:val="single" w:sz="4" w:space="0" w:color="BFBFBF"/>
              <w:right w:val="nil"/>
            </w:tcBorders>
            <w:noWrap/>
            <w:vAlign w:val="bottom"/>
            <w:hideMark/>
          </w:tcPr>
          <w:p w14:paraId="47F861C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51</w:t>
            </w:r>
          </w:p>
        </w:tc>
        <w:tc>
          <w:tcPr>
            <w:tcW w:w="247" w:type="pct"/>
            <w:tcBorders>
              <w:top w:val="single" w:sz="4" w:space="0" w:color="BFBFBF"/>
              <w:left w:val="nil"/>
              <w:bottom w:val="single" w:sz="4" w:space="0" w:color="BFBFBF"/>
              <w:right w:val="nil"/>
            </w:tcBorders>
            <w:noWrap/>
            <w:vAlign w:val="bottom"/>
            <w:hideMark/>
          </w:tcPr>
          <w:p w14:paraId="1ECB69D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54</w:t>
            </w:r>
          </w:p>
        </w:tc>
      </w:tr>
      <w:tr w:rsidR="00B54F4E" w:rsidRPr="000C7A76" w14:paraId="07B75F76" w14:textId="77777777" w:rsidTr="006504C4">
        <w:trPr>
          <w:trHeight w:val="300"/>
        </w:trPr>
        <w:tc>
          <w:tcPr>
            <w:tcW w:w="847" w:type="pct"/>
            <w:tcBorders>
              <w:top w:val="nil"/>
              <w:left w:val="nil"/>
              <w:bottom w:val="nil"/>
              <w:right w:val="nil"/>
            </w:tcBorders>
            <w:noWrap/>
            <w:vAlign w:val="bottom"/>
            <w:hideMark/>
          </w:tcPr>
          <w:p w14:paraId="4C19EE55"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TotalHidro</w:t>
            </w:r>
          </w:p>
        </w:tc>
        <w:tc>
          <w:tcPr>
            <w:tcW w:w="247" w:type="pct"/>
            <w:tcBorders>
              <w:top w:val="nil"/>
              <w:left w:val="nil"/>
              <w:bottom w:val="nil"/>
              <w:right w:val="nil"/>
            </w:tcBorders>
            <w:noWrap/>
            <w:vAlign w:val="bottom"/>
            <w:hideMark/>
          </w:tcPr>
          <w:p w14:paraId="19D910EB"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376AB946"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4528B3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7.357</w:t>
            </w:r>
          </w:p>
        </w:tc>
        <w:tc>
          <w:tcPr>
            <w:tcW w:w="247" w:type="pct"/>
            <w:tcBorders>
              <w:top w:val="nil"/>
              <w:left w:val="nil"/>
              <w:bottom w:val="nil"/>
              <w:right w:val="nil"/>
            </w:tcBorders>
            <w:noWrap/>
            <w:vAlign w:val="bottom"/>
            <w:hideMark/>
          </w:tcPr>
          <w:p w14:paraId="3DB3C68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7.840</w:t>
            </w:r>
          </w:p>
        </w:tc>
        <w:tc>
          <w:tcPr>
            <w:tcW w:w="247" w:type="pct"/>
            <w:tcBorders>
              <w:top w:val="nil"/>
              <w:left w:val="nil"/>
              <w:bottom w:val="nil"/>
              <w:right w:val="nil"/>
            </w:tcBorders>
            <w:noWrap/>
            <w:vAlign w:val="bottom"/>
            <w:hideMark/>
          </w:tcPr>
          <w:p w14:paraId="34D4D59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8.098</w:t>
            </w:r>
          </w:p>
        </w:tc>
        <w:tc>
          <w:tcPr>
            <w:tcW w:w="247" w:type="pct"/>
            <w:tcBorders>
              <w:top w:val="nil"/>
              <w:left w:val="nil"/>
              <w:bottom w:val="nil"/>
              <w:right w:val="nil"/>
            </w:tcBorders>
            <w:noWrap/>
            <w:vAlign w:val="bottom"/>
            <w:hideMark/>
          </w:tcPr>
          <w:p w14:paraId="64127E1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8.224</w:t>
            </w:r>
          </w:p>
        </w:tc>
        <w:tc>
          <w:tcPr>
            <w:tcW w:w="247" w:type="pct"/>
            <w:tcBorders>
              <w:top w:val="nil"/>
              <w:left w:val="nil"/>
              <w:bottom w:val="nil"/>
              <w:right w:val="nil"/>
            </w:tcBorders>
            <w:noWrap/>
            <w:vAlign w:val="bottom"/>
            <w:hideMark/>
          </w:tcPr>
          <w:p w14:paraId="347CCED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9.102</w:t>
            </w:r>
          </w:p>
        </w:tc>
        <w:tc>
          <w:tcPr>
            <w:tcW w:w="247" w:type="pct"/>
            <w:tcBorders>
              <w:top w:val="nil"/>
              <w:left w:val="nil"/>
              <w:bottom w:val="nil"/>
              <w:right w:val="nil"/>
            </w:tcBorders>
            <w:noWrap/>
            <w:vAlign w:val="bottom"/>
            <w:hideMark/>
          </w:tcPr>
          <w:p w14:paraId="3318D43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9.744</w:t>
            </w:r>
          </w:p>
        </w:tc>
        <w:tc>
          <w:tcPr>
            <w:tcW w:w="247" w:type="pct"/>
            <w:tcBorders>
              <w:top w:val="nil"/>
              <w:left w:val="nil"/>
              <w:bottom w:val="nil"/>
              <w:right w:val="nil"/>
            </w:tcBorders>
            <w:noWrap/>
            <w:vAlign w:val="bottom"/>
            <w:hideMark/>
          </w:tcPr>
          <w:p w14:paraId="5A9148D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9.859</w:t>
            </w:r>
          </w:p>
        </w:tc>
        <w:tc>
          <w:tcPr>
            <w:tcW w:w="247" w:type="pct"/>
            <w:tcBorders>
              <w:top w:val="nil"/>
              <w:left w:val="nil"/>
              <w:bottom w:val="nil"/>
              <w:right w:val="nil"/>
            </w:tcBorders>
            <w:noWrap/>
            <w:vAlign w:val="bottom"/>
            <w:hideMark/>
          </w:tcPr>
          <w:p w14:paraId="12A3852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9.792</w:t>
            </w:r>
          </w:p>
        </w:tc>
        <w:tc>
          <w:tcPr>
            <w:tcW w:w="247" w:type="pct"/>
            <w:tcBorders>
              <w:top w:val="nil"/>
              <w:left w:val="nil"/>
              <w:bottom w:val="nil"/>
              <w:right w:val="nil"/>
            </w:tcBorders>
            <w:noWrap/>
            <w:vAlign w:val="bottom"/>
            <w:hideMark/>
          </w:tcPr>
          <w:p w14:paraId="2637A2A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9.942</w:t>
            </w:r>
          </w:p>
        </w:tc>
        <w:tc>
          <w:tcPr>
            <w:tcW w:w="247" w:type="pct"/>
            <w:tcBorders>
              <w:top w:val="nil"/>
              <w:left w:val="nil"/>
              <w:bottom w:val="nil"/>
              <w:right w:val="nil"/>
            </w:tcBorders>
            <w:noWrap/>
            <w:vAlign w:val="bottom"/>
            <w:hideMark/>
          </w:tcPr>
          <w:p w14:paraId="3F679BB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9.863</w:t>
            </w:r>
          </w:p>
        </w:tc>
        <w:tc>
          <w:tcPr>
            <w:tcW w:w="247" w:type="pct"/>
            <w:tcBorders>
              <w:top w:val="nil"/>
              <w:left w:val="nil"/>
              <w:bottom w:val="nil"/>
              <w:right w:val="nil"/>
            </w:tcBorders>
            <w:noWrap/>
            <w:vAlign w:val="bottom"/>
            <w:hideMark/>
          </w:tcPr>
          <w:p w14:paraId="04CD740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10.100</w:t>
            </w:r>
          </w:p>
        </w:tc>
        <w:tc>
          <w:tcPr>
            <w:tcW w:w="247" w:type="pct"/>
            <w:tcBorders>
              <w:top w:val="nil"/>
              <w:left w:val="nil"/>
              <w:bottom w:val="nil"/>
              <w:right w:val="nil"/>
            </w:tcBorders>
            <w:noWrap/>
            <w:vAlign w:val="bottom"/>
            <w:hideMark/>
          </w:tcPr>
          <w:p w14:paraId="58E9F5E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9.795</w:t>
            </w:r>
          </w:p>
        </w:tc>
        <w:tc>
          <w:tcPr>
            <w:tcW w:w="247" w:type="pct"/>
            <w:tcBorders>
              <w:top w:val="nil"/>
              <w:left w:val="nil"/>
              <w:bottom w:val="nil"/>
              <w:right w:val="nil"/>
            </w:tcBorders>
            <w:noWrap/>
            <w:vAlign w:val="bottom"/>
            <w:hideMark/>
          </w:tcPr>
          <w:p w14:paraId="228AACC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9.820</w:t>
            </w:r>
          </w:p>
        </w:tc>
        <w:tc>
          <w:tcPr>
            <w:tcW w:w="247" w:type="pct"/>
            <w:tcBorders>
              <w:top w:val="nil"/>
              <w:left w:val="nil"/>
              <w:bottom w:val="nil"/>
              <w:right w:val="nil"/>
            </w:tcBorders>
            <w:noWrap/>
            <w:vAlign w:val="bottom"/>
            <w:hideMark/>
          </w:tcPr>
          <w:p w14:paraId="3D141C2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10.059</w:t>
            </w:r>
          </w:p>
        </w:tc>
        <w:tc>
          <w:tcPr>
            <w:tcW w:w="247" w:type="pct"/>
            <w:tcBorders>
              <w:top w:val="nil"/>
              <w:left w:val="nil"/>
              <w:bottom w:val="nil"/>
              <w:right w:val="nil"/>
            </w:tcBorders>
            <w:noWrap/>
            <w:vAlign w:val="bottom"/>
            <w:hideMark/>
          </w:tcPr>
          <w:p w14:paraId="4789ACC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10.641</w:t>
            </w:r>
          </w:p>
        </w:tc>
      </w:tr>
      <w:tr w:rsidR="00B54F4E" w:rsidRPr="000C7A76" w14:paraId="03FC10F5" w14:textId="77777777" w:rsidTr="006504C4">
        <w:trPr>
          <w:trHeight w:val="300"/>
        </w:trPr>
        <w:tc>
          <w:tcPr>
            <w:tcW w:w="847" w:type="pct"/>
            <w:tcBorders>
              <w:top w:val="nil"/>
              <w:left w:val="nil"/>
              <w:bottom w:val="nil"/>
              <w:right w:val="nil"/>
            </w:tcBorders>
            <w:noWrap/>
            <w:vAlign w:val="bottom"/>
            <w:hideMark/>
          </w:tcPr>
          <w:p w14:paraId="20D5F8AD"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TotalTermico</w:t>
            </w:r>
          </w:p>
        </w:tc>
        <w:tc>
          <w:tcPr>
            <w:tcW w:w="247" w:type="pct"/>
            <w:tcBorders>
              <w:top w:val="nil"/>
              <w:left w:val="nil"/>
              <w:bottom w:val="nil"/>
              <w:right w:val="nil"/>
            </w:tcBorders>
            <w:noWrap/>
            <w:vAlign w:val="bottom"/>
            <w:hideMark/>
          </w:tcPr>
          <w:p w14:paraId="4BB1D146"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7FB64EC1"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0FF84AA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2.274</w:t>
            </w:r>
          </w:p>
        </w:tc>
        <w:tc>
          <w:tcPr>
            <w:tcW w:w="247" w:type="pct"/>
            <w:tcBorders>
              <w:top w:val="nil"/>
              <w:left w:val="nil"/>
              <w:bottom w:val="nil"/>
              <w:right w:val="nil"/>
            </w:tcBorders>
            <w:noWrap/>
            <w:vAlign w:val="bottom"/>
            <w:hideMark/>
          </w:tcPr>
          <w:p w14:paraId="435400E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2.002</w:t>
            </w:r>
          </w:p>
        </w:tc>
        <w:tc>
          <w:tcPr>
            <w:tcW w:w="247" w:type="pct"/>
            <w:tcBorders>
              <w:top w:val="nil"/>
              <w:left w:val="nil"/>
              <w:bottom w:val="nil"/>
              <w:right w:val="nil"/>
            </w:tcBorders>
            <w:noWrap/>
            <w:vAlign w:val="bottom"/>
            <w:hideMark/>
          </w:tcPr>
          <w:p w14:paraId="08B3151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3.863</w:t>
            </w:r>
          </w:p>
        </w:tc>
        <w:tc>
          <w:tcPr>
            <w:tcW w:w="247" w:type="pct"/>
            <w:tcBorders>
              <w:top w:val="nil"/>
              <w:left w:val="nil"/>
              <w:bottom w:val="nil"/>
              <w:right w:val="nil"/>
            </w:tcBorders>
            <w:noWrap/>
            <w:vAlign w:val="bottom"/>
            <w:hideMark/>
          </w:tcPr>
          <w:p w14:paraId="593C697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5.073</w:t>
            </w:r>
          </w:p>
        </w:tc>
        <w:tc>
          <w:tcPr>
            <w:tcW w:w="247" w:type="pct"/>
            <w:tcBorders>
              <w:top w:val="nil"/>
              <w:left w:val="nil"/>
              <w:bottom w:val="nil"/>
              <w:right w:val="nil"/>
            </w:tcBorders>
            <w:noWrap/>
            <w:vAlign w:val="bottom"/>
            <w:hideMark/>
          </w:tcPr>
          <w:p w14:paraId="7DA70C3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5.161</w:t>
            </w:r>
          </w:p>
        </w:tc>
        <w:tc>
          <w:tcPr>
            <w:tcW w:w="247" w:type="pct"/>
            <w:tcBorders>
              <w:top w:val="nil"/>
              <w:left w:val="nil"/>
              <w:bottom w:val="nil"/>
              <w:right w:val="nil"/>
            </w:tcBorders>
            <w:noWrap/>
            <w:vAlign w:val="bottom"/>
            <w:hideMark/>
          </w:tcPr>
          <w:p w14:paraId="0C8B875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5.025</w:t>
            </w:r>
          </w:p>
        </w:tc>
        <w:tc>
          <w:tcPr>
            <w:tcW w:w="247" w:type="pct"/>
            <w:tcBorders>
              <w:top w:val="nil"/>
              <w:left w:val="nil"/>
              <w:bottom w:val="nil"/>
              <w:right w:val="nil"/>
            </w:tcBorders>
            <w:noWrap/>
            <w:vAlign w:val="bottom"/>
            <w:hideMark/>
          </w:tcPr>
          <w:p w14:paraId="5FD4293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5.183</w:t>
            </w:r>
          </w:p>
        </w:tc>
        <w:tc>
          <w:tcPr>
            <w:tcW w:w="247" w:type="pct"/>
            <w:tcBorders>
              <w:top w:val="nil"/>
              <w:left w:val="nil"/>
              <w:bottom w:val="nil"/>
              <w:right w:val="nil"/>
            </w:tcBorders>
            <w:noWrap/>
            <w:vAlign w:val="bottom"/>
            <w:hideMark/>
          </w:tcPr>
          <w:p w14:paraId="693CF7B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6.622</w:t>
            </w:r>
          </w:p>
        </w:tc>
        <w:tc>
          <w:tcPr>
            <w:tcW w:w="247" w:type="pct"/>
            <w:tcBorders>
              <w:top w:val="nil"/>
              <w:left w:val="nil"/>
              <w:bottom w:val="nil"/>
              <w:right w:val="nil"/>
            </w:tcBorders>
            <w:noWrap/>
            <w:vAlign w:val="bottom"/>
            <w:hideMark/>
          </w:tcPr>
          <w:p w14:paraId="62F738A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7.215</w:t>
            </w:r>
          </w:p>
        </w:tc>
        <w:tc>
          <w:tcPr>
            <w:tcW w:w="247" w:type="pct"/>
            <w:tcBorders>
              <w:top w:val="nil"/>
              <w:left w:val="nil"/>
              <w:bottom w:val="nil"/>
              <w:right w:val="nil"/>
            </w:tcBorders>
            <w:noWrap/>
            <w:vAlign w:val="bottom"/>
            <w:hideMark/>
          </w:tcPr>
          <w:p w14:paraId="414592C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7.844</w:t>
            </w:r>
          </w:p>
        </w:tc>
        <w:tc>
          <w:tcPr>
            <w:tcW w:w="247" w:type="pct"/>
            <w:tcBorders>
              <w:top w:val="nil"/>
              <w:left w:val="nil"/>
              <w:bottom w:val="nil"/>
              <w:right w:val="nil"/>
            </w:tcBorders>
            <w:noWrap/>
            <w:vAlign w:val="bottom"/>
            <w:hideMark/>
          </w:tcPr>
          <w:p w14:paraId="251D691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8.102</w:t>
            </w:r>
          </w:p>
        </w:tc>
        <w:tc>
          <w:tcPr>
            <w:tcW w:w="247" w:type="pct"/>
            <w:tcBorders>
              <w:top w:val="nil"/>
              <w:left w:val="nil"/>
              <w:bottom w:val="nil"/>
              <w:right w:val="nil"/>
            </w:tcBorders>
            <w:noWrap/>
            <w:vAlign w:val="bottom"/>
            <w:hideMark/>
          </w:tcPr>
          <w:p w14:paraId="7454533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9.068</w:t>
            </w:r>
          </w:p>
        </w:tc>
        <w:tc>
          <w:tcPr>
            <w:tcW w:w="247" w:type="pct"/>
            <w:tcBorders>
              <w:top w:val="nil"/>
              <w:left w:val="nil"/>
              <w:bottom w:val="nil"/>
              <w:right w:val="nil"/>
            </w:tcBorders>
            <w:noWrap/>
            <w:vAlign w:val="bottom"/>
            <w:hideMark/>
          </w:tcPr>
          <w:p w14:paraId="62086A7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9.682</w:t>
            </w:r>
          </w:p>
        </w:tc>
        <w:tc>
          <w:tcPr>
            <w:tcW w:w="247" w:type="pct"/>
            <w:tcBorders>
              <w:top w:val="nil"/>
              <w:left w:val="nil"/>
              <w:bottom w:val="nil"/>
              <w:right w:val="nil"/>
            </w:tcBorders>
            <w:noWrap/>
            <w:vAlign w:val="bottom"/>
            <w:hideMark/>
          </w:tcPr>
          <w:p w14:paraId="77E97E8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10.470</w:t>
            </w:r>
          </w:p>
        </w:tc>
        <w:tc>
          <w:tcPr>
            <w:tcW w:w="247" w:type="pct"/>
            <w:tcBorders>
              <w:top w:val="nil"/>
              <w:left w:val="nil"/>
              <w:bottom w:val="nil"/>
              <w:right w:val="nil"/>
            </w:tcBorders>
            <w:noWrap/>
            <w:vAlign w:val="bottom"/>
            <w:hideMark/>
          </w:tcPr>
          <w:p w14:paraId="53A88B7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11.043</w:t>
            </w:r>
          </w:p>
        </w:tc>
      </w:tr>
      <w:tr w:rsidR="00B54F4E" w:rsidRPr="000C7A76" w14:paraId="4C12A1AD" w14:textId="77777777" w:rsidTr="006504C4">
        <w:trPr>
          <w:trHeight w:val="300"/>
        </w:trPr>
        <w:tc>
          <w:tcPr>
            <w:tcW w:w="847" w:type="pct"/>
            <w:tcBorders>
              <w:top w:val="nil"/>
              <w:left w:val="nil"/>
              <w:bottom w:val="nil"/>
              <w:right w:val="nil"/>
            </w:tcBorders>
            <w:noWrap/>
            <w:vAlign w:val="bottom"/>
            <w:hideMark/>
          </w:tcPr>
          <w:p w14:paraId="7823329C"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TotalRennoConv</w:t>
            </w:r>
          </w:p>
        </w:tc>
        <w:tc>
          <w:tcPr>
            <w:tcW w:w="247" w:type="pct"/>
            <w:tcBorders>
              <w:top w:val="nil"/>
              <w:left w:val="nil"/>
              <w:bottom w:val="nil"/>
              <w:right w:val="nil"/>
            </w:tcBorders>
            <w:noWrap/>
            <w:vAlign w:val="bottom"/>
            <w:hideMark/>
          </w:tcPr>
          <w:p w14:paraId="79597FEE"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798DD800"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51A472A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829</w:t>
            </w:r>
          </w:p>
        </w:tc>
        <w:tc>
          <w:tcPr>
            <w:tcW w:w="247" w:type="pct"/>
            <w:tcBorders>
              <w:top w:val="nil"/>
              <w:left w:val="nil"/>
              <w:bottom w:val="nil"/>
              <w:right w:val="nil"/>
            </w:tcBorders>
            <w:noWrap/>
            <w:vAlign w:val="bottom"/>
            <w:hideMark/>
          </w:tcPr>
          <w:p w14:paraId="2CCF7E3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1.110</w:t>
            </w:r>
          </w:p>
        </w:tc>
        <w:tc>
          <w:tcPr>
            <w:tcW w:w="247" w:type="pct"/>
            <w:tcBorders>
              <w:top w:val="nil"/>
              <w:left w:val="nil"/>
              <w:bottom w:val="nil"/>
              <w:right w:val="nil"/>
            </w:tcBorders>
            <w:noWrap/>
            <w:vAlign w:val="bottom"/>
            <w:hideMark/>
          </w:tcPr>
          <w:p w14:paraId="2F2995A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1.439</w:t>
            </w:r>
          </w:p>
        </w:tc>
        <w:tc>
          <w:tcPr>
            <w:tcW w:w="247" w:type="pct"/>
            <w:tcBorders>
              <w:top w:val="nil"/>
              <w:left w:val="nil"/>
              <w:bottom w:val="nil"/>
              <w:right w:val="nil"/>
            </w:tcBorders>
            <w:noWrap/>
            <w:vAlign w:val="bottom"/>
            <w:hideMark/>
          </w:tcPr>
          <w:p w14:paraId="695F6F8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1.779</w:t>
            </w:r>
          </w:p>
        </w:tc>
        <w:tc>
          <w:tcPr>
            <w:tcW w:w="247" w:type="pct"/>
            <w:tcBorders>
              <w:top w:val="nil"/>
              <w:left w:val="nil"/>
              <w:bottom w:val="nil"/>
              <w:right w:val="nil"/>
            </w:tcBorders>
            <w:noWrap/>
            <w:vAlign w:val="bottom"/>
            <w:hideMark/>
          </w:tcPr>
          <w:p w14:paraId="0D456C0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2.108</w:t>
            </w:r>
          </w:p>
        </w:tc>
        <w:tc>
          <w:tcPr>
            <w:tcW w:w="247" w:type="pct"/>
            <w:tcBorders>
              <w:top w:val="nil"/>
              <w:left w:val="nil"/>
              <w:bottom w:val="nil"/>
              <w:right w:val="nil"/>
            </w:tcBorders>
            <w:noWrap/>
            <w:vAlign w:val="bottom"/>
            <w:hideMark/>
          </w:tcPr>
          <w:p w14:paraId="3B4EED7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2.259</w:t>
            </w:r>
          </w:p>
        </w:tc>
        <w:tc>
          <w:tcPr>
            <w:tcW w:w="247" w:type="pct"/>
            <w:tcBorders>
              <w:top w:val="nil"/>
              <w:left w:val="nil"/>
              <w:bottom w:val="nil"/>
              <w:right w:val="nil"/>
            </w:tcBorders>
            <w:noWrap/>
            <w:vAlign w:val="bottom"/>
            <w:hideMark/>
          </w:tcPr>
          <w:p w14:paraId="5DF7BCC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2.910</w:t>
            </w:r>
          </w:p>
        </w:tc>
        <w:tc>
          <w:tcPr>
            <w:tcW w:w="247" w:type="pct"/>
            <w:tcBorders>
              <w:top w:val="nil"/>
              <w:left w:val="nil"/>
              <w:bottom w:val="nil"/>
              <w:right w:val="nil"/>
            </w:tcBorders>
            <w:noWrap/>
            <w:vAlign w:val="bottom"/>
            <w:hideMark/>
          </w:tcPr>
          <w:p w14:paraId="0412D98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2.874</w:t>
            </w:r>
          </w:p>
        </w:tc>
        <w:tc>
          <w:tcPr>
            <w:tcW w:w="247" w:type="pct"/>
            <w:tcBorders>
              <w:top w:val="nil"/>
              <w:left w:val="nil"/>
              <w:bottom w:val="nil"/>
              <w:right w:val="nil"/>
            </w:tcBorders>
            <w:noWrap/>
            <w:vAlign w:val="bottom"/>
            <w:hideMark/>
          </w:tcPr>
          <w:p w14:paraId="622F7D0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3.242</w:t>
            </w:r>
          </w:p>
        </w:tc>
        <w:tc>
          <w:tcPr>
            <w:tcW w:w="247" w:type="pct"/>
            <w:tcBorders>
              <w:top w:val="nil"/>
              <w:left w:val="nil"/>
              <w:bottom w:val="nil"/>
              <w:right w:val="nil"/>
            </w:tcBorders>
            <w:noWrap/>
            <w:vAlign w:val="bottom"/>
            <w:hideMark/>
          </w:tcPr>
          <w:p w14:paraId="52DBB0A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3.223</w:t>
            </w:r>
          </w:p>
        </w:tc>
        <w:tc>
          <w:tcPr>
            <w:tcW w:w="247" w:type="pct"/>
            <w:tcBorders>
              <w:top w:val="nil"/>
              <w:left w:val="nil"/>
              <w:bottom w:val="nil"/>
              <w:right w:val="nil"/>
            </w:tcBorders>
            <w:noWrap/>
            <w:vAlign w:val="bottom"/>
            <w:hideMark/>
          </w:tcPr>
          <w:p w14:paraId="5116062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4.111</w:t>
            </w:r>
          </w:p>
        </w:tc>
        <w:tc>
          <w:tcPr>
            <w:tcW w:w="247" w:type="pct"/>
            <w:tcBorders>
              <w:top w:val="nil"/>
              <w:left w:val="nil"/>
              <w:bottom w:val="nil"/>
              <w:right w:val="nil"/>
            </w:tcBorders>
            <w:noWrap/>
            <w:vAlign w:val="bottom"/>
            <w:hideMark/>
          </w:tcPr>
          <w:p w14:paraId="54F8266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4.555</w:t>
            </w:r>
          </w:p>
        </w:tc>
        <w:tc>
          <w:tcPr>
            <w:tcW w:w="247" w:type="pct"/>
            <w:tcBorders>
              <w:top w:val="nil"/>
              <w:left w:val="nil"/>
              <w:bottom w:val="nil"/>
              <w:right w:val="nil"/>
            </w:tcBorders>
            <w:noWrap/>
            <w:vAlign w:val="bottom"/>
            <w:hideMark/>
          </w:tcPr>
          <w:p w14:paraId="4EE5CB0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4.668</w:t>
            </w:r>
          </w:p>
        </w:tc>
        <w:tc>
          <w:tcPr>
            <w:tcW w:w="247" w:type="pct"/>
            <w:tcBorders>
              <w:top w:val="nil"/>
              <w:left w:val="nil"/>
              <w:bottom w:val="nil"/>
              <w:right w:val="nil"/>
            </w:tcBorders>
            <w:noWrap/>
            <w:vAlign w:val="bottom"/>
            <w:hideMark/>
          </w:tcPr>
          <w:p w14:paraId="60ABB42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4.791</w:t>
            </w:r>
          </w:p>
        </w:tc>
        <w:tc>
          <w:tcPr>
            <w:tcW w:w="247" w:type="pct"/>
            <w:tcBorders>
              <w:top w:val="nil"/>
              <w:left w:val="nil"/>
              <w:bottom w:val="nil"/>
              <w:right w:val="nil"/>
            </w:tcBorders>
            <w:noWrap/>
            <w:vAlign w:val="bottom"/>
            <w:hideMark/>
          </w:tcPr>
          <w:p w14:paraId="362BDEE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4.814</w:t>
            </w:r>
          </w:p>
        </w:tc>
      </w:tr>
      <w:tr w:rsidR="00B54F4E" w:rsidRPr="000C7A76" w14:paraId="2C884D75" w14:textId="77777777" w:rsidTr="006504C4">
        <w:trPr>
          <w:trHeight w:val="300"/>
        </w:trPr>
        <w:tc>
          <w:tcPr>
            <w:tcW w:w="847" w:type="pct"/>
            <w:tcBorders>
              <w:top w:val="nil"/>
              <w:left w:val="nil"/>
              <w:bottom w:val="nil"/>
              <w:right w:val="nil"/>
            </w:tcBorders>
            <w:noWrap/>
            <w:vAlign w:val="bottom"/>
            <w:hideMark/>
          </w:tcPr>
          <w:p w14:paraId="01D14351"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OfertaACP</w:t>
            </w:r>
          </w:p>
        </w:tc>
        <w:tc>
          <w:tcPr>
            <w:tcW w:w="247" w:type="pct"/>
            <w:tcBorders>
              <w:top w:val="nil"/>
              <w:left w:val="nil"/>
              <w:bottom w:val="nil"/>
              <w:right w:val="nil"/>
            </w:tcBorders>
            <w:noWrap/>
            <w:vAlign w:val="bottom"/>
            <w:hideMark/>
          </w:tcPr>
          <w:p w14:paraId="54102941"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0B0B909D"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55B7940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w:t>
            </w:r>
          </w:p>
        </w:tc>
        <w:tc>
          <w:tcPr>
            <w:tcW w:w="247" w:type="pct"/>
            <w:tcBorders>
              <w:top w:val="nil"/>
              <w:left w:val="nil"/>
              <w:bottom w:val="nil"/>
              <w:right w:val="nil"/>
            </w:tcBorders>
            <w:noWrap/>
            <w:vAlign w:val="bottom"/>
            <w:hideMark/>
          </w:tcPr>
          <w:p w14:paraId="7EB6A4D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330</w:t>
            </w:r>
          </w:p>
        </w:tc>
        <w:tc>
          <w:tcPr>
            <w:tcW w:w="247" w:type="pct"/>
            <w:tcBorders>
              <w:top w:val="nil"/>
              <w:left w:val="nil"/>
              <w:bottom w:val="nil"/>
              <w:right w:val="nil"/>
            </w:tcBorders>
            <w:noWrap/>
            <w:vAlign w:val="bottom"/>
            <w:hideMark/>
          </w:tcPr>
          <w:p w14:paraId="3FDE8CD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257</w:t>
            </w:r>
          </w:p>
        </w:tc>
        <w:tc>
          <w:tcPr>
            <w:tcW w:w="247" w:type="pct"/>
            <w:tcBorders>
              <w:top w:val="nil"/>
              <w:left w:val="nil"/>
              <w:bottom w:val="nil"/>
              <w:right w:val="nil"/>
            </w:tcBorders>
            <w:noWrap/>
            <w:vAlign w:val="bottom"/>
            <w:hideMark/>
          </w:tcPr>
          <w:p w14:paraId="57CE11E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219</w:t>
            </w:r>
          </w:p>
        </w:tc>
        <w:tc>
          <w:tcPr>
            <w:tcW w:w="247" w:type="pct"/>
            <w:tcBorders>
              <w:top w:val="nil"/>
              <w:left w:val="nil"/>
              <w:bottom w:val="nil"/>
              <w:right w:val="nil"/>
            </w:tcBorders>
            <w:noWrap/>
            <w:vAlign w:val="bottom"/>
            <w:hideMark/>
          </w:tcPr>
          <w:p w14:paraId="1791F08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117</w:t>
            </w:r>
          </w:p>
        </w:tc>
        <w:tc>
          <w:tcPr>
            <w:tcW w:w="247" w:type="pct"/>
            <w:tcBorders>
              <w:top w:val="nil"/>
              <w:left w:val="nil"/>
              <w:bottom w:val="nil"/>
              <w:right w:val="nil"/>
            </w:tcBorders>
            <w:noWrap/>
            <w:vAlign w:val="bottom"/>
            <w:hideMark/>
          </w:tcPr>
          <w:p w14:paraId="54C4956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77</w:t>
            </w:r>
          </w:p>
        </w:tc>
        <w:tc>
          <w:tcPr>
            <w:tcW w:w="247" w:type="pct"/>
            <w:tcBorders>
              <w:top w:val="nil"/>
              <w:left w:val="nil"/>
              <w:bottom w:val="nil"/>
              <w:right w:val="nil"/>
            </w:tcBorders>
            <w:noWrap/>
            <w:vAlign w:val="bottom"/>
            <w:hideMark/>
          </w:tcPr>
          <w:p w14:paraId="14A452A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78</w:t>
            </w:r>
          </w:p>
        </w:tc>
        <w:tc>
          <w:tcPr>
            <w:tcW w:w="247" w:type="pct"/>
            <w:tcBorders>
              <w:top w:val="nil"/>
              <w:left w:val="nil"/>
              <w:bottom w:val="nil"/>
              <w:right w:val="nil"/>
            </w:tcBorders>
            <w:noWrap/>
            <w:vAlign w:val="bottom"/>
            <w:hideMark/>
          </w:tcPr>
          <w:p w14:paraId="7F03C06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73</w:t>
            </w:r>
          </w:p>
        </w:tc>
        <w:tc>
          <w:tcPr>
            <w:tcW w:w="247" w:type="pct"/>
            <w:tcBorders>
              <w:top w:val="nil"/>
              <w:left w:val="nil"/>
              <w:bottom w:val="nil"/>
              <w:right w:val="nil"/>
            </w:tcBorders>
            <w:noWrap/>
            <w:vAlign w:val="bottom"/>
            <w:hideMark/>
          </w:tcPr>
          <w:p w14:paraId="4DF8692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69</w:t>
            </w:r>
          </w:p>
        </w:tc>
        <w:tc>
          <w:tcPr>
            <w:tcW w:w="247" w:type="pct"/>
            <w:tcBorders>
              <w:top w:val="nil"/>
              <w:left w:val="nil"/>
              <w:bottom w:val="nil"/>
              <w:right w:val="nil"/>
            </w:tcBorders>
            <w:noWrap/>
            <w:vAlign w:val="bottom"/>
            <w:hideMark/>
          </w:tcPr>
          <w:p w14:paraId="4DE62F2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66</w:t>
            </w:r>
          </w:p>
        </w:tc>
        <w:tc>
          <w:tcPr>
            <w:tcW w:w="247" w:type="pct"/>
            <w:tcBorders>
              <w:top w:val="nil"/>
              <w:left w:val="nil"/>
              <w:bottom w:val="nil"/>
              <w:right w:val="nil"/>
            </w:tcBorders>
            <w:noWrap/>
            <w:vAlign w:val="bottom"/>
            <w:hideMark/>
          </w:tcPr>
          <w:p w14:paraId="12AC5B1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63</w:t>
            </w:r>
          </w:p>
        </w:tc>
        <w:tc>
          <w:tcPr>
            <w:tcW w:w="247" w:type="pct"/>
            <w:tcBorders>
              <w:top w:val="nil"/>
              <w:left w:val="nil"/>
              <w:bottom w:val="nil"/>
              <w:right w:val="nil"/>
            </w:tcBorders>
            <w:noWrap/>
            <w:vAlign w:val="bottom"/>
            <w:hideMark/>
          </w:tcPr>
          <w:p w14:paraId="792F4C5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63</w:t>
            </w:r>
          </w:p>
        </w:tc>
        <w:tc>
          <w:tcPr>
            <w:tcW w:w="247" w:type="pct"/>
            <w:tcBorders>
              <w:top w:val="nil"/>
              <w:left w:val="nil"/>
              <w:bottom w:val="nil"/>
              <w:right w:val="nil"/>
            </w:tcBorders>
            <w:noWrap/>
            <w:vAlign w:val="bottom"/>
            <w:hideMark/>
          </w:tcPr>
          <w:p w14:paraId="2691387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56</w:t>
            </w:r>
          </w:p>
        </w:tc>
        <w:tc>
          <w:tcPr>
            <w:tcW w:w="247" w:type="pct"/>
            <w:tcBorders>
              <w:top w:val="nil"/>
              <w:left w:val="nil"/>
              <w:bottom w:val="nil"/>
              <w:right w:val="nil"/>
            </w:tcBorders>
            <w:noWrap/>
            <w:vAlign w:val="bottom"/>
            <w:hideMark/>
          </w:tcPr>
          <w:p w14:paraId="2C2F2AC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51</w:t>
            </w:r>
          </w:p>
        </w:tc>
        <w:tc>
          <w:tcPr>
            <w:tcW w:w="247" w:type="pct"/>
            <w:tcBorders>
              <w:top w:val="nil"/>
              <w:left w:val="nil"/>
              <w:bottom w:val="nil"/>
              <w:right w:val="nil"/>
            </w:tcBorders>
            <w:noWrap/>
            <w:vAlign w:val="bottom"/>
            <w:hideMark/>
          </w:tcPr>
          <w:p w14:paraId="28890B6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54</w:t>
            </w:r>
          </w:p>
        </w:tc>
      </w:tr>
      <w:tr w:rsidR="00B54F4E" w:rsidRPr="000C7A76" w14:paraId="2EECC798" w14:textId="77777777" w:rsidTr="006504C4">
        <w:trPr>
          <w:trHeight w:val="300"/>
        </w:trPr>
        <w:tc>
          <w:tcPr>
            <w:tcW w:w="847" w:type="pct"/>
            <w:tcBorders>
              <w:top w:val="single" w:sz="4" w:space="0" w:color="auto"/>
              <w:left w:val="nil"/>
              <w:bottom w:val="single" w:sz="4" w:space="0" w:color="auto"/>
              <w:right w:val="nil"/>
            </w:tcBorders>
            <w:noWrap/>
            <w:vAlign w:val="bottom"/>
            <w:hideMark/>
          </w:tcPr>
          <w:p w14:paraId="04105AD3" w14:textId="77777777" w:rsidR="00B54F4E" w:rsidRPr="000C7A76" w:rsidRDefault="00B54F4E" w:rsidP="006504C4">
            <w:pPr>
              <w:spacing w:before="0" w:after="0"/>
              <w:jc w:val="left"/>
              <w:rPr>
                <w:rFonts w:ascii="Calibri" w:hAnsi="Calibri" w:cs="Calibri"/>
                <w:b/>
                <w:bCs/>
                <w:color w:val="000000"/>
                <w:sz w:val="16"/>
                <w:szCs w:val="16"/>
                <w:lang w:eastAsia="es-CO"/>
              </w:rPr>
            </w:pPr>
            <w:r w:rsidRPr="000C7A76">
              <w:rPr>
                <w:rFonts w:ascii="Calibri" w:hAnsi="Calibri" w:cs="Calibri"/>
                <w:b/>
                <w:bCs/>
                <w:color w:val="000000"/>
                <w:sz w:val="16"/>
                <w:szCs w:val="16"/>
                <w:lang w:eastAsia="es-CO"/>
              </w:rPr>
              <w:t>TotalGen</w:t>
            </w:r>
          </w:p>
        </w:tc>
        <w:tc>
          <w:tcPr>
            <w:tcW w:w="247" w:type="pct"/>
            <w:tcBorders>
              <w:top w:val="single" w:sz="4" w:space="0" w:color="auto"/>
              <w:left w:val="nil"/>
              <w:bottom w:val="single" w:sz="4" w:space="0" w:color="auto"/>
              <w:right w:val="nil"/>
            </w:tcBorders>
            <w:noWrap/>
            <w:vAlign w:val="bottom"/>
            <w:hideMark/>
          </w:tcPr>
          <w:p w14:paraId="0278F18D" w14:textId="77777777" w:rsidR="00B54F4E" w:rsidRPr="000C7A76" w:rsidRDefault="00B54F4E" w:rsidP="006504C4">
            <w:pPr>
              <w:spacing w:before="0" w:after="0"/>
              <w:jc w:val="left"/>
              <w:rPr>
                <w:rFonts w:ascii="Calibri" w:hAnsi="Calibri" w:cs="Calibri"/>
                <w:b/>
                <w:bCs/>
                <w:color w:val="000000"/>
                <w:sz w:val="16"/>
                <w:szCs w:val="16"/>
                <w:lang w:eastAsia="es-CO"/>
              </w:rPr>
            </w:pPr>
          </w:p>
        </w:tc>
        <w:tc>
          <w:tcPr>
            <w:tcW w:w="198" w:type="pct"/>
            <w:tcBorders>
              <w:top w:val="single" w:sz="4" w:space="0" w:color="auto"/>
              <w:left w:val="nil"/>
              <w:bottom w:val="single" w:sz="4" w:space="0" w:color="auto"/>
              <w:right w:val="nil"/>
            </w:tcBorders>
            <w:noWrap/>
            <w:vAlign w:val="bottom"/>
            <w:hideMark/>
          </w:tcPr>
          <w:p w14:paraId="74D757BB"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single" w:sz="4" w:space="0" w:color="auto"/>
              <w:left w:val="nil"/>
              <w:bottom w:val="single" w:sz="4" w:space="0" w:color="auto"/>
              <w:right w:val="nil"/>
            </w:tcBorders>
            <w:noWrap/>
            <w:vAlign w:val="bottom"/>
            <w:hideMark/>
          </w:tcPr>
          <w:p w14:paraId="044D92E8"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10.566</w:t>
            </w:r>
          </w:p>
        </w:tc>
        <w:tc>
          <w:tcPr>
            <w:tcW w:w="247" w:type="pct"/>
            <w:tcBorders>
              <w:top w:val="single" w:sz="4" w:space="0" w:color="auto"/>
              <w:left w:val="nil"/>
              <w:bottom w:val="single" w:sz="4" w:space="0" w:color="auto"/>
              <w:right w:val="nil"/>
            </w:tcBorders>
            <w:noWrap/>
            <w:vAlign w:val="bottom"/>
            <w:hideMark/>
          </w:tcPr>
          <w:p w14:paraId="2F097CF7"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11.282</w:t>
            </w:r>
          </w:p>
        </w:tc>
        <w:tc>
          <w:tcPr>
            <w:tcW w:w="247" w:type="pct"/>
            <w:tcBorders>
              <w:top w:val="single" w:sz="4" w:space="0" w:color="auto"/>
              <w:left w:val="nil"/>
              <w:bottom w:val="single" w:sz="4" w:space="0" w:color="auto"/>
              <w:right w:val="nil"/>
            </w:tcBorders>
            <w:noWrap/>
            <w:vAlign w:val="bottom"/>
            <w:hideMark/>
          </w:tcPr>
          <w:p w14:paraId="1A0BC96E"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13.657</w:t>
            </w:r>
          </w:p>
        </w:tc>
        <w:tc>
          <w:tcPr>
            <w:tcW w:w="247" w:type="pct"/>
            <w:tcBorders>
              <w:top w:val="single" w:sz="4" w:space="0" w:color="auto"/>
              <w:left w:val="nil"/>
              <w:bottom w:val="single" w:sz="4" w:space="0" w:color="auto"/>
              <w:right w:val="nil"/>
            </w:tcBorders>
            <w:noWrap/>
            <w:vAlign w:val="bottom"/>
            <w:hideMark/>
          </w:tcPr>
          <w:p w14:paraId="513B2F31"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15.295</w:t>
            </w:r>
          </w:p>
        </w:tc>
        <w:tc>
          <w:tcPr>
            <w:tcW w:w="247" w:type="pct"/>
            <w:tcBorders>
              <w:top w:val="single" w:sz="4" w:space="0" w:color="auto"/>
              <w:left w:val="nil"/>
              <w:bottom w:val="single" w:sz="4" w:space="0" w:color="auto"/>
              <w:right w:val="nil"/>
            </w:tcBorders>
            <w:noWrap/>
            <w:vAlign w:val="bottom"/>
            <w:hideMark/>
          </w:tcPr>
          <w:p w14:paraId="668E4769"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16.489</w:t>
            </w:r>
          </w:p>
        </w:tc>
        <w:tc>
          <w:tcPr>
            <w:tcW w:w="247" w:type="pct"/>
            <w:tcBorders>
              <w:top w:val="single" w:sz="4" w:space="0" w:color="auto"/>
              <w:left w:val="nil"/>
              <w:bottom w:val="single" w:sz="4" w:space="0" w:color="auto"/>
              <w:right w:val="nil"/>
            </w:tcBorders>
            <w:noWrap/>
            <w:vAlign w:val="bottom"/>
            <w:hideMark/>
          </w:tcPr>
          <w:p w14:paraId="7B567476"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17.105</w:t>
            </w:r>
          </w:p>
        </w:tc>
        <w:tc>
          <w:tcPr>
            <w:tcW w:w="247" w:type="pct"/>
            <w:tcBorders>
              <w:top w:val="single" w:sz="4" w:space="0" w:color="auto"/>
              <w:left w:val="nil"/>
              <w:bottom w:val="single" w:sz="4" w:space="0" w:color="auto"/>
              <w:right w:val="nil"/>
            </w:tcBorders>
            <w:noWrap/>
            <w:vAlign w:val="bottom"/>
            <w:hideMark/>
          </w:tcPr>
          <w:p w14:paraId="3EBED398"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18.030</w:t>
            </w:r>
          </w:p>
        </w:tc>
        <w:tc>
          <w:tcPr>
            <w:tcW w:w="247" w:type="pct"/>
            <w:tcBorders>
              <w:top w:val="single" w:sz="4" w:space="0" w:color="auto"/>
              <w:left w:val="nil"/>
              <w:bottom w:val="single" w:sz="4" w:space="0" w:color="auto"/>
              <w:right w:val="nil"/>
            </w:tcBorders>
            <w:noWrap/>
            <w:vAlign w:val="bottom"/>
            <w:hideMark/>
          </w:tcPr>
          <w:p w14:paraId="39C84A75"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19.361</w:t>
            </w:r>
          </w:p>
        </w:tc>
        <w:tc>
          <w:tcPr>
            <w:tcW w:w="247" w:type="pct"/>
            <w:tcBorders>
              <w:top w:val="single" w:sz="4" w:space="0" w:color="auto"/>
              <w:left w:val="nil"/>
              <w:bottom w:val="single" w:sz="4" w:space="0" w:color="auto"/>
              <w:right w:val="nil"/>
            </w:tcBorders>
            <w:noWrap/>
            <w:vAlign w:val="bottom"/>
            <w:hideMark/>
          </w:tcPr>
          <w:p w14:paraId="53DD34FB"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20.468</w:t>
            </w:r>
          </w:p>
        </w:tc>
        <w:tc>
          <w:tcPr>
            <w:tcW w:w="247" w:type="pct"/>
            <w:tcBorders>
              <w:top w:val="single" w:sz="4" w:space="0" w:color="auto"/>
              <w:left w:val="nil"/>
              <w:bottom w:val="single" w:sz="4" w:space="0" w:color="auto"/>
              <w:right w:val="nil"/>
            </w:tcBorders>
            <w:noWrap/>
            <w:vAlign w:val="bottom"/>
            <w:hideMark/>
          </w:tcPr>
          <w:p w14:paraId="68467026"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20.996</w:t>
            </w:r>
          </w:p>
        </w:tc>
        <w:tc>
          <w:tcPr>
            <w:tcW w:w="247" w:type="pct"/>
            <w:tcBorders>
              <w:top w:val="single" w:sz="4" w:space="0" w:color="auto"/>
              <w:left w:val="nil"/>
              <w:bottom w:val="single" w:sz="4" w:space="0" w:color="auto"/>
              <w:right w:val="nil"/>
            </w:tcBorders>
            <w:noWrap/>
            <w:vAlign w:val="bottom"/>
            <w:hideMark/>
          </w:tcPr>
          <w:p w14:paraId="71496261"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22.375</w:t>
            </w:r>
          </w:p>
        </w:tc>
        <w:tc>
          <w:tcPr>
            <w:tcW w:w="247" w:type="pct"/>
            <w:tcBorders>
              <w:top w:val="single" w:sz="4" w:space="0" w:color="auto"/>
              <w:left w:val="nil"/>
              <w:bottom w:val="single" w:sz="4" w:space="0" w:color="auto"/>
              <w:right w:val="nil"/>
            </w:tcBorders>
            <w:noWrap/>
            <w:vAlign w:val="bottom"/>
            <w:hideMark/>
          </w:tcPr>
          <w:p w14:paraId="275017C1"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23.481</w:t>
            </w:r>
          </w:p>
        </w:tc>
        <w:tc>
          <w:tcPr>
            <w:tcW w:w="247" w:type="pct"/>
            <w:tcBorders>
              <w:top w:val="single" w:sz="4" w:space="0" w:color="auto"/>
              <w:left w:val="nil"/>
              <w:bottom w:val="single" w:sz="4" w:space="0" w:color="auto"/>
              <w:right w:val="nil"/>
            </w:tcBorders>
            <w:noWrap/>
            <w:vAlign w:val="bottom"/>
            <w:hideMark/>
          </w:tcPr>
          <w:p w14:paraId="46AC0BF9"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24.227</w:t>
            </w:r>
          </w:p>
        </w:tc>
        <w:tc>
          <w:tcPr>
            <w:tcW w:w="247" w:type="pct"/>
            <w:tcBorders>
              <w:top w:val="single" w:sz="4" w:space="0" w:color="auto"/>
              <w:left w:val="nil"/>
              <w:bottom w:val="single" w:sz="4" w:space="0" w:color="auto"/>
              <w:right w:val="nil"/>
            </w:tcBorders>
            <w:noWrap/>
            <w:vAlign w:val="bottom"/>
            <w:hideMark/>
          </w:tcPr>
          <w:p w14:paraId="51542686"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25.371</w:t>
            </w:r>
          </w:p>
        </w:tc>
        <w:tc>
          <w:tcPr>
            <w:tcW w:w="247" w:type="pct"/>
            <w:tcBorders>
              <w:top w:val="single" w:sz="4" w:space="0" w:color="auto"/>
              <w:left w:val="nil"/>
              <w:bottom w:val="single" w:sz="4" w:space="0" w:color="auto"/>
              <w:right w:val="nil"/>
            </w:tcBorders>
            <w:noWrap/>
            <w:vAlign w:val="bottom"/>
            <w:hideMark/>
          </w:tcPr>
          <w:p w14:paraId="2456BF11" w14:textId="77777777" w:rsidR="00B54F4E" w:rsidRPr="000C7A76" w:rsidRDefault="00B54F4E" w:rsidP="006504C4">
            <w:pPr>
              <w:spacing w:before="0" w:after="0"/>
              <w:jc w:val="right"/>
              <w:rPr>
                <w:rFonts w:ascii="Calibri" w:hAnsi="Calibri" w:cs="Calibri"/>
                <w:b/>
                <w:bCs/>
                <w:color w:val="000000" w:themeColor="text1"/>
                <w:sz w:val="16"/>
                <w:szCs w:val="16"/>
                <w:lang w:eastAsia="es-CO"/>
              </w:rPr>
            </w:pPr>
            <w:r w:rsidRPr="000C7A76">
              <w:rPr>
                <w:rFonts w:ascii="Calibri" w:hAnsi="Calibri" w:cs="Calibri"/>
                <w:b/>
                <w:bCs/>
                <w:color w:val="000000" w:themeColor="text1"/>
                <w:sz w:val="16"/>
                <w:szCs w:val="16"/>
                <w:lang w:eastAsia="es-CO"/>
              </w:rPr>
              <w:t>26.551</w:t>
            </w:r>
          </w:p>
        </w:tc>
      </w:tr>
      <w:tr w:rsidR="00B54F4E" w:rsidRPr="000C7A76" w14:paraId="4B0B08CF" w14:textId="77777777" w:rsidTr="006504C4">
        <w:trPr>
          <w:trHeight w:val="300"/>
        </w:trPr>
        <w:tc>
          <w:tcPr>
            <w:tcW w:w="847" w:type="pct"/>
            <w:tcBorders>
              <w:top w:val="nil"/>
              <w:left w:val="nil"/>
              <w:bottom w:val="nil"/>
              <w:right w:val="nil"/>
            </w:tcBorders>
            <w:noWrap/>
            <w:vAlign w:val="bottom"/>
            <w:hideMark/>
          </w:tcPr>
          <w:p w14:paraId="4CB1D295"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Exportaciones</w:t>
            </w:r>
          </w:p>
        </w:tc>
        <w:tc>
          <w:tcPr>
            <w:tcW w:w="247" w:type="pct"/>
            <w:tcBorders>
              <w:top w:val="nil"/>
              <w:left w:val="nil"/>
              <w:bottom w:val="nil"/>
              <w:right w:val="nil"/>
            </w:tcBorders>
            <w:noWrap/>
            <w:vAlign w:val="bottom"/>
            <w:hideMark/>
          </w:tcPr>
          <w:p w14:paraId="5CE87917"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5D7A54D3"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39150AF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47</w:t>
            </w:r>
          </w:p>
        </w:tc>
        <w:tc>
          <w:tcPr>
            <w:tcW w:w="247" w:type="pct"/>
            <w:tcBorders>
              <w:top w:val="nil"/>
              <w:left w:val="nil"/>
              <w:bottom w:val="nil"/>
              <w:right w:val="nil"/>
            </w:tcBorders>
            <w:noWrap/>
            <w:vAlign w:val="bottom"/>
            <w:hideMark/>
          </w:tcPr>
          <w:p w14:paraId="7752067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113</w:t>
            </w:r>
          </w:p>
        </w:tc>
        <w:tc>
          <w:tcPr>
            <w:tcW w:w="247" w:type="pct"/>
            <w:tcBorders>
              <w:top w:val="nil"/>
              <w:left w:val="nil"/>
              <w:bottom w:val="nil"/>
              <w:right w:val="nil"/>
            </w:tcBorders>
            <w:noWrap/>
            <w:vAlign w:val="bottom"/>
            <w:hideMark/>
          </w:tcPr>
          <w:p w14:paraId="20CFA6B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310</w:t>
            </w:r>
          </w:p>
        </w:tc>
        <w:tc>
          <w:tcPr>
            <w:tcW w:w="247" w:type="pct"/>
            <w:tcBorders>
              <w:top w:val="nil"/>
              <w:left w:val="nil"/>
              <w:bottom w:val="nil"/>
              <w:right w:val="nil"/>
            </w:tcBorders>
            <w:noWrap/>
            <w:vAlign w:val="bottom"/>
            <w:hideMark/>
          </w:tcPr>
          <w:p w14:paraId="593B115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739</w:t>
            </w:r>
          </w:p>
        </w:tc>
        <w:tc>
          <w:tcPr>
            <w:tcW w:w="247" w:type="pct"/>
            <w:tcBorders>
              <w:top w:val="nil"/>
              <w:left w:val="nil"/>
              <w:bottom w:val="nil"/>
              <w:right w:val="nil"/>
            </w:tcBorders>
            <w:noWrap/>
            <w:vAlign w:val="bottom"/>
            <w:hideMark/>
          </w:tcPr>
          <w:p w14:paraId="4A15418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1.333</w:t>
            </w:r>
          </w:p>
        </w:tc>
        <w:tc>
          <w:tcPr>
            <w:tcW w:w="247" w:type="pct"/>
            <w:tcBorders>
              <w:top w:val="nil"/>
              <w:left w:val="nil"/>
              <w:bottom w:val="nil"/>
              <w:right w:val="nil"/>
            </w:tcBorders>
            <w:noWrap/>
            <w:vAlign w:val="bottom"/>
            <w:hideMark/>
          </w:tcPr>
          <w:p w14:paraId="2C7F826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1.225</w:t>
            </w:r>
          </w:p>
        </w:tc>
        <w:tc>
          <w:tcPr>
            <w:tcW w:w="247" w:type="pct"/>
            <w:tcBorders>
              <w:top w:val="nil"/>
              <w:left w:val="nil"/>
              <w:bottom w:val="nil"/>
              <w:right w:val="nil"/>
            </w:tcBorders>
            <w:noWrap/>
            <w:vAlign w:val="bottom"/>
            <w:hideMark/>
          </w:tcPr>
          <w:p w14:paraId="32B98EC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1.310</w:t>
            </w:r>
          </w:p>
        </w:tc>
        <w:tc>
          <w:tcPr>
            <w:tcW w:w="247" w:type="pct"/>
            <w:tcBorders>
              <w:top w:val="nil"/>
              <w:left w:val="nil"/>
              <w:bottom w:val="nil"/>
              <w:right w:val="nil"/>
            </w:tcBorders>
            <w:noWrap/>
            <w:vAlign w:val="bottom"/>
            <w:hideMark/>
          </w:tcPr>
          <w:p w14:paraId="13A6D2A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1.650</w:t>
            </w:r>
          </w:p>
        </w:tc>
        <w:tc>
          <w:tcPr>
            <w:tcW w:w="247" w:type="pct"/>
            <w:tcBorders>
              <w:top w:val="nil"/>
              <w:left w:val="nil"/>
              <w:bottom w:val="nil"/>
              <w:right w:val="nil"/>
            </w:tcBorders>
            <w:noWrap/>
            <w:vAlign w:val="bottom"/>
            <w:hideMark/>
          </w:tcPr>
          <w:p w14:paraId="01EBA47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1.801</w:t>
            </w:r>
          </w:p>
        </w:tc>
        <w:tc>
          <w:tcPr>
            <w:tcW w:w="247" w:type="pct"/>
            <w:tcBorders>
              <w:top w:val="nil"/>
              <w:left w:val="nil"/>
              <w:bottom w:val="nil"/>
              <w:right w:val="nil"/>
            </w:tcBorders>
            <w:noWrap/>
            <w:vAlign w:val="bottom"/>
            <w:hideMark/>
          </w:tcPr>
          <w:p w14:paraId="4811164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1.516</w:t>
            </w:r>
          </w:p>
        </w:tc>
        <w:tc>
          <w:tcPr>
            <w:tcW w:w="247" w:type="pct"/>
            <w:tcBorders>
              <w:top w:val="nil"/>
              <w:left w:val="nil"/>
              <w:bottom w:val="nil"/>
              <w:right w:val="nil"/>
            </w:tcBorders>
            <w:noWrap/>
            <w:vAlign w:val="bottom"/>
            <w:hideMark/>
          </w:tcPr>
          <w:p w14:paraId="528FE88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1.780</w:t>
            </w:r>
          </w:p>
        </w:tc>
        <w:tc>
          <w:tcPr>
            <w:tcW w:w="247" w:type="pct"/>
            <w:tcBorders>
              <w:top w:val="nil"/>
              <w:left w:val="nil"/>
              <w:bottom w:val="nil"/>
              <w:right w:val="nil"/>
            </w:tcBorders>
            <w:noWrap/>
            <w:vAlign w:val="bottom"/>
            <w:hideMark/>
          </w:tcPr>
          <w:p w14:paraId="75D93C6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1.846</w:t>
            </w:r>
          </w:p>
        </w:tc>
        <w:tc>
          <w:tcPr>
            <w:tcW w:w="247" w:type="pct"/>
            <w:tcBorders>
              <w:top w:val="nil"/>
              <w:left w:val="nil"/>
              <w:bottom w:val="nil"/>
              <w:right w:val="nil"/>
            </w:tcBorders>
            <w:noWrap/>
            <w:vAlign w:val="bottom"/>
            <w:hideMark/>
          </w:tcPr>
          <w:p w14:paraId="29EEB9F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1.618</w:t>
            </w:r>
          </w:p>
        </w:tc>
        <w:tc>
          <w:tcPr>
            <w:tcW w:w="247" w:type="pct"/>
            <w:tcBorders>
              <w:top w:val="nil"/>
              <w:left w:val="nil"/>
              <w:bottom w:val="nil"/>
              <w:right w:val="nil"/>
            </w:tcBorders>
            <w:noWrap/>
            <w:vAlign w:val="bottom"/>
            <w:hideMark/>
          </w:tcPr>
          <w:p w14:paraId="4662343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1.618</w:t>
            </w:r>
          </w:p>
        </w:tc>
        <w:tc>
          <w:tcPr>
            <w:tcW w:w="247" w:type="pct"/>
            <w:tcBorders>
              <w:top w:val="nil"/>
              <w:left w:val="nil"/>
              <w:bottom w:val="nil"/>
              <w:right w:val="nil"/>
            </w:tcBorders>
            <w:noWrap/>
            <w:vAlign w:val="bottom"/>
            <w:hideMark/>
          </w:tcPr>
          <w:p w14:paraId="407B08B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1.601</w:t>
            </w:r>
          </w:p>
        </w:tc>
      </w:tr>
      <w:tr w:rsidR="00B54F4E" w:rsidRPr="000C7A76" w14:paraId="03D21BAE" w14:textId="77777777" w:rsidTr="006504C4">
        <w:trPr>
          <w:trHeight w:val="300"/>
        </w:trPr>
        <w:tc>
          <w:tcPr>
            <w:tcW w:w="847" w:type="pct"/>
            <w:tcBorders>
              <w:top w:val="nil"/>
              <w:left w:val="nil"/>
              <w:bottom w:val="nil"/>
              <w:right w:val="nil"/>
            </w:tcBorders>
            <w:noWrap/>
            <w:vAlign w:val="bottom"/>
            <w:hideMark/>
          </w:tcPr>
          <w:p w14:paraId="015DD85A"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Importaciones</w:t>
            </w:r>
          </w:p>
        </w:tc>
        <w:tc>
          <w:tcPr>
            <w:tcW w:w="247" w:type="pct"/>
            <w:tcBorders>
              <w:top w:val="nil"/>
              <w:left w:val="nil"/>
              <w:bottom w:val="nil"/>
              <w:right w:val="nil"/>
            </w:tcBorders>
            <w:noWrap/>
            <w:vAlign w:val="bottom"/>
            <w:hideMark/>
          </w:tcPr>
          <w:p w14:paraId="08419E6F"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5867C278"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1F9C592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90</w:t>
            </w:r>
          </w:p>
        </w:tc>
        <w:tc>
          <w:tcPr>
            <w:tcW w:w="247" w:type="pct"/>
            <w:tcBorders>
              <w:top w:val="nil"/>
              <w:left w:val="nil"/>
              <w:bottom w:val="nil"/>
              <w:right w:val="nil"/>
            </w:tcBorders>
            <w:noWrap/>
            <w:vAlign w:val="bottom"/>
            <w:hideMark/>
          </w:tcPr>
          <w:p w14:paraId="4C14664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136</w:t>
            </w:r>
          </w:p>
        </w:tc>
        <w:tc>
          <w:tcPr>
            <w:tcW w:w="247" w:type="pct"/>
            <w:tcBorders>
              <w:top w:val="nil"/>
              <w:left w:val="nil"/>
              <w:bottom w:val="nil"/>
              <w:right w:val="nil"/>
            </w:tcBorders>
            <w:noWrap/>
            <w:vAlign w:val="bottom"/>
            <w:hideMark/>
          </w:tcPr>
          <w:p w14:paraId="45A4DEC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487</w:t>
            </w:r>
          </w:p>
        </w:tc>
        <w:tc>
          <w:tcPr>
            <w:tcW w:w="247" w:type="pct"/>
            <w:tcBorders>
              <w:top w:val="nil"/>
              <w:left w:val="nil"/>
              <w:bottom w:val="nil"/>
              <w:right w:val="nil"/>
            </w:tcBorders>
            <w:noWrap/>
            <w:vAlign w:val="bottom"/>
            <w:hideMark/>
          </w:tcPr>
          <w:p w14:paraId="610447F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81</w:t>
            </w:r>
          </w:p>
        </w:tc>
        <w:tc>
          <w:tcPr>
            <w:tcW w:w="247" w:type="pct"/>
            <w:tcBorders>
              <w:top w:val="nil"/>
              <w:left w:val="nil"/>
              <w:bottom w:val="nil"/>
              <w:right w:val="nil"/>
            </w:tcBorders>
            <w:noWrap/>
            <w:vAlign w:val="bottom"/>
            <w:hideMark/>
          </w:tcPr>
          <w:p w14:paraId="7C49EBB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276</w:t>
            </w:r>
          </w:p>
        </w:tc>
        <w:tc>
          <w:tcPr>
            <w:tcW w:w="247" w:type="pct"/>
            <w:tcBorders>
              <w:top w:val="nil"/>
              <w:left w:val="nil"/>
              <w:bottom w:val="nil"/>
              <w:right w:val="nil"/>
            </w:tcBorders>
            <w:noWrap/>
            <w:vAlign w:val="bottom"/>
            <w:hideMark/>
          </w:tcPr>
          <w:p w14:paraId="3AE446D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283</w:t>
            </w:r>
          </w:p>
        </w:tc>
        <w:tc>
          <w:tcPr>
            <w:tcW w:w="247" w:type="pct"/>
            <w:tcBorders>
              <w:top w:val="nil"/>
              <w:left w:val="nil"/>
              <w:bottom w:val="nil"/>
              <w:right w:val="nil"/>
            </w:tcBorders>
            <w:noWrap/>
            <w:vAlign w:val="bottom"/>
            <w:hideMark/>
          </w:tcPr>
          <w:p w14:paraId="627E4FB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306</w:t>
            </w:r>
          </w:p>
        </w:tc>
        <w:tc>
          <w:tcPr>
            <w:tcW w:w="247" w:type="pct"/>
            <w:tcBorders>
              <w:top w:val="nil"/>
              <w:left w:val="nil"/>
              <w:bottom w:val="nil"/>
              <w:right w:val="nil"/>
            </w:tcBorders>
            <w:noWrap/>
            <w:vAlign w:val="bottom"/>
            <w:hideMark/>
          </w:tcPr>
          <w:p w14:paraId="22C40BE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164</w:t>
            </w:r>
          </w:p>
        </w:tc>
        <w:tc>
          <w:tcPr>
            <w:tcW w:w="247" w:type="pct"/>
            <w:tcBorders>
              <w:top w:val="nil"/>
              <w:left w:val="nil"/>
              <w:bottom w:val="nil"/>
              <w:right w:val="nil"/>
            </w:tcBorders>
            <w:noWrap/>
            <w:vAlign w:val="bottom"/>
            <w:hideMark/>
          </w:tcPr>
          <w:p w14:paraId="56084A4B"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147</w:t>
            </w:r>
          </w:p>
        </w:tc>
        <w:tc>
          <w:tcPr>
            <w:tcW w:w="247" w:type="pct"/>
            <w:tcBorders>
              <w:top w:val="nil"/>
              <w:left w:val="nil"/>
              <w:bottom w:val="nil"/>
              <w:right w:val="nil"/>
            </w:tcBorders>
            <w:noWrap/>
            <w:vAlign w:val="bottom"/>
            <w:hideMark/>
          </w:tcPr>
          <w:p w14:paraId="171708B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340</w:t>
            </w:r>
          </w:p>
        </w:tc>
        <w:tc>
          <w:tcPr>
            <w:tcW w:w="247" w:type="pct"/>
            <w:tcBorders>
              <w:top w:val="nil"/>
              <w:left w:val="nil"/>
              <w:bottom w:val="nil"/>
              <w:right w:val="nil"/>
            </w:tcBorders>
            <w:noWrap/>
            <w:vAlign w:val="bottom"/>
            <w:hideMark/>
          </w:tcPr>
          <w:p w14:paraId="69B757A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224</w:t>
            </w:r>
          </w:p>
        </w:tc>
        <w:tc>
          <w:tcPr>
            <w:tcW w:w="247" w:type="pct"/>
            <w:tcBorders>
              <w:top w:val="nil"/>
              <w:left w:val="nil"/>
              <w:bottom w:val="nil"/>
              <w:right w:val="nil"/>
            </w:tcBorders>
            <w:noWrap/>
            <w:vAlign w:val="bottom"/>
            <w:hideMark/>
          </w:tcPr>
          <w:p w14:paraId="39A9D04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270</w:t>
            </w:r>
          </w:p>
        </w:tc>
        <w:tc>
          <w:tcPr>
            <w:tcW w:w="247" w:type="pct"/>
            <w:tcBorders>
              <w:top w:val="nil"/>
              <w:left w:val="nil"/>
              <w:bottom w:val="nil"/>
              <w:right w:val="nil"/>
            </w:tcBorders>
            <w:noWrap/>
            <w:vAlign w:val="bottom"/>
            <w:hideMark/>
          </w:tcPr>
          <w:p w14:paraId="42A8C36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481</w:t>
            </w:r>
          </w:p>
        </w:tc>
        <w:tc>
          <w:tcPr>
            <w:tcW w:w="247" w:type="pct"/>
            <w:tcBorders>
              <w:top w:val="nil"/>
              <w:left w:val="nil"/>
              <w:bottom w:val="nil"/>
              <w:right w:val="nil"/>
            </w:tcBorders>
            <w:noWrap/>
            <w:vAlign w:val="bottom"/>
            <w:hideMark/>
          </w:tcPr>
          <w:p w14:paraId="5F5D57C7"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511</w:t>
            </w:r>
          </w:p>
        </w:tc>
        <w:tc>
          <w:tcPr>
            <w:tcW w:w="247" w:type="pct"/>
            <w:tcBorders>
              <w:top w:val="nil"/>
              <w:left w:val="nil"/>
              <w:bottom w:val="nil"/>
              <w:right w:val="nil"/>
            </w:tcBorders>
            <w:noWrap/>
            <w:vAlign w:val="bottom"/>
            <w:hideMark/>
          </w:tcPr>
          <w:p w14:paraId="1AFD55D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544</w:t>
            </w:r>
          </w:p>
        </w:tc>
      </w:tr>
      <w:tr w:rsidR="00B54F4E" w:rsidRPr="000C7A76" w14:paraId="4D43819F" w14:textId="77777777" w:rsidTr="006504C4">
        <w:trPr>
          <w:trHeight w:val="300"/>
        </w:trPr>
        <w:tc>
          <w:tcPr>
            <w:tcW w:w="847" w:type="pct"/>
            <w:tcBorders>
              <w:top w:val="nil"/>
              <w:left w:val="nil"/>
              <w:bottom w:val="nil"/>
              <w:right w:val="nil"/>
            </w:tcBorders>
            <w:noWrap/>
            <w:vAlign w:val="bottom"/>
            <w:hideMark/>
          </w:tcPr>
          <w:p w14:paraId="2E7C9324"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Demanda</w:t>
            </w:r>
          </w:p>
        </w:tc>
        <w:tc>
          <w:tcPr>
            <w:tcW w:w="247" w:type="pct"/>
            <w:tcBorders>
              <w:top w:val="nil"/>
              <w:left w:val="nil"/>
              <w:bottom w:val="nil"/>
              <w:right w:val="nil"/>
            </w:tcBorders>
            <w:noWrap/>
            <w:vAlign w:val="bottom"/>
            <w:hideMark/>
          </w:tcPr>
          <w:p w14:paraId="7C259701"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nil"/>
              <w:right w:val="nil"/>
            </w:tcBorders>
            <w:noWrap/>
            <w:vAlign w:val="bottom"/>
            <w:hideMark/>
          </w:tcPr>
          <w:p w14:paraId="491EF3C7"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nil"/>
              <w:right w:val="nil"/>
            </w:tcBorders>
            <w:noWrap/>
            <w:vAlign w:val="bottom"/>
            <w:hideMark/>
          </w:tcPr>
          <w:p w14:paraId="437B013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10.606</w:t>
            </w:r>
          </w:p>
        </w:tc>
        <w:tc>
          <w:tcPr>
            <w:tcW w:w="247" w:type="pct"/>
            <w:tcBorders>
              <w:top w:val="nil"/>
              <w:left w:val="nil"/>
              <w:bottom w:val="nil"/>
              <w:right w:val="nil"/>
            </w:tcBorders>
            <w:noWrap/>
            <w:vAlign w:val="bottom"/>
            <w:hideMark/>
          </w:tcPr>
          <w:p w14:paraId="60EA98B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11.301</w:t>
            </w:r>
          </w:p>
        </w:tc>
        <w:tc>
          <w:tcPr>
            <w:tcW w:w="247" w:type="pct"/>
            <w:tcBorders>
              <w:top w:val="nil"/>
              <w:left w:val="nil"/>
              <w:bottom w:val="nil"/>
              <w:right w:val="nil"/>
            </w:tcBorders>
            <w:noWrap/>
            <w:vAlign w:val="bottom"/>
            <w:hideMark/>
          </w:tcPr>
          <w:p w14:paraId="22F1500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13.819</w:t>
            </w:r>
          </w:p>
        </w:tc>
        <w:tc>
          <w:tcPr>
            <w:tcW w:w="247" w:type="pct"/>
            <w:tcBorders>
              <w:top w:val="nil"/>
              <w:left w:val="nil"/>
              <w:bottom w:val="nil"/>
              <w:right w:val="nil"/>
            </w:tcBorders>
            <w:noWrap/>
            <w:vAlign w:val="bottom"/>
            <w:hideMark/>
          </w:tcPr>
          <w:p w14:paraId="1E977163"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14.634</w:t>
            </w:r>
          </w:p>
        </w:tc>
        <w:tc>
          <w:tcPr>
            <w:tcW w:w="247" w:type="pct"/>
            <w:tcBorders>
              <w:top w:val="nil"/>
              <w:left w:val="nil"/>
              <w:bottom w:val="nil"/>
              <w:right w:val="nil"/>
            </w:tcBorders>
            <w:noWrap/>
            <w:vAlign w:val="bottom"/>
            <w:hideMark/>
          </w:tcPr>
          <w:p w14:paraId="32E5A4D4"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15.423</w:t>
            </w:r>
          </w:p>
        </w:tc>
        <w:tc>
          <w:tcPr>
            <w:tcW w:w="247" w:type="pct"/>
            <w:tcBorders>
              <w:top w:val="nil"/>
              <w:left w:val="nil"/>
              <w:bottom w:val="nil"/>
              <w:right w:val="nil"/>
            </w:tcBorders>
            <w:noWrap/>
            <w:vAlign w:val="bottom"/>
            <w:hideMark/>
          </w:tcPr>
          <w:p w14:paraId="2EF125E5"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16.154</w:t>
            </w:r>
          </w:p>
        </w:tc>
        <w:tc>
          <w:tcPr>
            <w:tcW w:w="247" w:type="pct"/>
            <w:tcBorders>
              <w:top w:val="nil"/>
              <w:left w:val="nil"/>
              <w:bottom w:val="nil"/>
              <w:right w:val="nil"/>
            </w:tcBorders>
            <w:noWrap/>
            <w:vAlign w:val="bottom"/>
            <w:hideMark/>
          </w:tcPr>
          <w:p w14:paraId="7447839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17.017</w:t>
            </w:r>
          </w:p>
        </w:tc>
        <w:tc>
          <w:tcPr>
            <w:tcW w:w="247" w:type="pct"/>
            <w:tcBorders>
              <w:top w:val="nil"/>
              <w:left w:val="nil"/>
              <w:bottom w:val="nil"/>
              <w:right w:val="nil"/>
            </w:tcBorders>
            <w:noWrap/>
            <w:vAlign w:val="bottom"/>
            <w:hideMark/>
          </w:tcPr>
          <w:p w14:paraId="76909ABC"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17.870</w:t>
            </w:r>
          </w:p>
        </w:tc>
        <w:tc>
          <w:tcPr>
            <w:tcW w:w="247" w:type="pct"/>
            <w:tcBorders>
              <w:top w:val="nil"/>
              <w:left w:val="nil"/>
              <w:bottom w:val="nil"/>
              <w:right w:val="nil"/>
            </w:tcBorders>
            <w:noWrap/>
            <w:vAlign w:val="bottom"/>
            <w:hideMark/>
          </w:tcPr>
          <w:p w14:paraId="248D1EC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18.810</w:t>
            </w:r>
          </w:p>
        </w:tc>
        <w:tc>
          <w:tcPr>
            <w:tcW w:w="247" w:type="pct"/>
            <w:tcBorders>
              <w:top w:val="nil"/>
              <w:left w:val="nil"/>
              <w:bottom w:val="nil"/>
              <w:right w:val="nil"/>
            </w:tcBorders>
            <w:noWrap/>
            <w:vAlign w:val="bottom"/>
            <w:hideMark/>
          </w:tcPr>
          <w:p w14:paraId="54E365B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19.810</w:t>
            </w:r>
          </w:p>
        </w:tc>
        <w:tc>
          <w:tcPr>
            <w:tcW w:w="247" w:type="pct"/>
            <w:tcBorders>
              <w:top w:val="nil"/>
              <w:left w:val="nil"/>
              <w:bottom w:val="nil"/>
              <w:right w:val="nil"/>
            </w:tcBorders>
            <w:noWrap/>
            <w:vAlign w:val="bottom"/>
            <w:hideMark/>
          </w:tcPr>
          <w:p w14:paraId="32C286C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20.813</w:t>
            </w:r>
          </w:p>
        </w:tc>
        <w:tc>
          <w:tcPr>
            <w:tcW w:w="247" w:type="pct"/>
            <w:tcBorders>
              <w:top w:val="nil"/>
              <w:left w:val="nil"/>
              <w:bottom w:val="nil"/>
              <w:right w:val="nil"/>
            </w:tcBorders>
            <w:noWrap/>
            <w:vAlign w:val="bottom"/>
            <w:hideMark/>
          </w:tcPr>
          <w:p w14:paraId="6BBA7ECD"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21.897</w:t>
            </w:r>
          </w:p>
        </w:tc>
        <w:tc>
          <w:tcPr>
            <w:tcW w:w="247" w:type="pct"/>
            <w:tcBorders>
              <w:top w:val="nil"/>
              <w:left w:val="nil"/>
              <w:bottom w:val="nil"/>
              <w:right w:val="nil"/>
            </w:tcBorders>
            <w:noWrap/>
            <w:vAlign w:val="bottom"/>
            <w:hideMark/>
          </w:tcPr>
          <w:p w14:paraId="6C9F62E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23.076</w:t>
            </w:r>
          </w:p>
        </w:tc>
        <w:tc>
          <w:tcPr>
            <w:tcW w:w="247" w:type="pct"/>
            <w:tcBorders>
              <w:top w:val="nil"/>
              <w:left w:val="nil"/>
              <w:bottom w:val="nil"/>
              <w:right w:val="nil"/>
            </w:tcBorders>
            <w:noWrap/>
            <w:vAlign w:val="bottom"/>
            <w:hideMark/>
          </w:tcPr>
          <w:p w14:paraId="39A1148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24.249</w:t>
            </w:r>
          </w:p>
        </w:tc>
        <w:tc>
          <w:tcPr>
            <w:tcW w:w="247" w:type="pct"/>
            <w:tcBorders>
              <w:top w:val="nil"/>
              <w:left w:val="nil"/>
              <w:bottom w:val="nil"/>
              <w:right w:val="nil"/>
            </w:tcBorders>
            <w:noWrap/>
            <w:vAlign w:val="bottom"/>
            <w:hideMark/>
          </w:tcPr>
          <w:p w14:paraId="739C465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25.478</w:t>
            </w:r>
          </w:p>
        </w:tc>
      </w:tr>
      <w:tr w:rsidR="00B54F4E" w:rsidRPr="000C7A76" w14:paraId="2A166794" w14:textId="77777777" w:rsidTr="006504C4">
        <w:trPr>
          <w:trHeight w:val="300"/>
        </w:trPr>
        <w:tc>
          <w:tcPr>
            <w:tcW w:w="847" w:type="pct"/>
            <w:tcBorders>
              <w:top w:val="nil"/>
              <w:left w:val="nil"/>
              <w:bottom w:val="single" w:sz="4" w:space="0" w:color="auto"/>
              <w:right w:val="nil"/>
            </w:tcBorders>
            <w:noWrap/>
            <w:vAlign w:val="bottom"/>
            <w:hideMark/>
          </w:tcPr>
          <w:p w14:paraId="31D0A115" w14:textId="77777777" w:rsidR="00B54F4E" w:rsidRPr="000C7A76" w:rsidRDefault="00B54F4E" w:rsidP="006504C4">
            <w:pPr>
              <w:spacing w:before="0" w:after="0"/>
              <w:jc w:val="left"/>
              <w:rPr>
                <w:rFonts w:ascii="Calibri" w:hAnsi="Calibri" w:cs="Calibri"/>
                <w:color w:val="000000"/>
                <w:sz w:val="16"/>
                <w:szCs w:val="16"/>
                <w:lang w:eastAsia="es-CO"/>
              </w:rPr>
            </w:pPr>
            <w:r w:rsidRPr="000C7A76">
              <w:rPr>
                <w:rFonts w:ascii="Calibri" w:hAnsi="Calibri" w:cs="Calibri"/>
                <w:color w:val="000000"/>
                <w:sz w:val="16"/>
                <w:szCs w:val="16"/>
                <w:lang w:eastAsia="es-CO"/>
              </w:rPr>
              <w:t>Perdidas</w:t>
            </w:r>
          </w:p>
        </w:tc>
        <w:tc>
          <w:tcPr>
            <w:tcW w:w="247" w:type="pct"/>
            <w:tcBorders>
              <w:top w:val="nil"/>
              <w:left w:val="nil"/>
              <w:bottom w:val="single" w:sz="4" w:space="0" w:color="auto"/>
              <w:right w:val="nil"/>
            </w:tcBorders>
            <w:noWrap/>
            <w:vAlign w:val="bottom"/>
            <w:hideMark/>
          </w:tcPr>
          <w:p w14:paraId="2BC060D2" w14:textId="77777777" w:rsidR="00B54F4E" w:rsidRPr="000C7A76" w:rsidRDefault="00B54F4E" w:rsidP="006504C4">
            <w:pPr>
              <w:spacing w:before="0" w:after="0"/>
              <w:jc w:val="left"/>
              <w:rPr>
                <w:rFonts w:ascii="Calibri" w:hAnsi="Calibri" w:cs="Calibri"/>
                <w:color w:val="000000"/>
                <w:sz w:val="16"/>
                <w:szCs w:val="16"/>
                <w:lang w:eastAsia="es-CO"/>
              </w:rPr>
            </w:pPr>
          </w:p>
        </w:tc>
        <w:tc>
          <w:tcPr>
            <w:tcW w:w="198" w:type="pct"/>
            <w:tcBorders>
              <w:top w:val="nil"/>
              <w:left w:val="nil"/>
              <w:bottom w:val="single" w:sz="4" w:space="0" w:color="auto"/>
              <w:right w:val="nil"/>
            </w:tcBorders>
            <w:noWrap/>
            <w:vAlign w:val="bottom"/>
            <w:hideMark/>
          </w:tcPr>
          <w:p w14:paraId="0E4F28FD" w14:textId="77777777" w:rsidR="00B54F4E" w:rsidRPr="000C7A76" w:rsidRDefault="00B54F4E" w:rsidP="006504C4">
            <w:pPr>
              <w:spacing w:before="0" w:after="0"/>
              <w:jc w:val="left"/>
              <w:rPr>
                <w:rFonts w:ascii="Times New Roman" w:hAnsi="Times New Roman"/>
                <w:sz w:val="16"/>
                <w:szCs w:val="16"/>
                <w:lang w:eastAsia="es-CO"/>
              </w:rPr>
            </w:pPr>
          </w:p>
        </w:tc>
        <w:tc>
          <w:tcPr>
            <w:tcW w:w="247" w:type="pct"/>
            <w:tcBorders>
              <w:top w:val="nil"/>
              <w:left w:val="nil"/>
              <w:bottom w:val="single" w:sz="4" w:space="0" w:color="auto"/>
              <w:right w:val="nil"/>
            </w:tcBorders>
            <w:noWrap/>
            <w:vAlign w:val="bottom"/>
            <w:hideMark/>
          </w:tcPr>
          <w:p w14:paraId="0DE43D7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3</w:t>
            </w:r>
          </w:p>
        </w:tc>
        <w:tc>
          <w:tcPr>
            <w:tcW w:w="247" w:type="pct"/>
            <w:tcBorders>
              <w:top w:val="nil"/>
              <w:left w:val="nil"/>
              <w:bottom w:val="single" w:sz="4" w:space="0" w:color="auto"/>
              <w:right w:val="nil"/>
            </w:tcBorders>
            <w:noWrap/>
            <w:vAlign w:val="bottom"/>
            <w:hideMark/>
          </w:tcPr>
          <w:p w14:paraId="0815CF2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4</w:t>
            </w:r>
          </w:p>
        </w:tc>
        <w:tc>
          <w:tcPr>
            <w:tcW w:w="247" w:type="pct"/>
            <w:tcBorders>
              <w:top w:val="nil"/>
              <w:left w:val="nil"/>
              <w:bottom w:val="single" w:sz="4" w:space="0" w:color="auto"/>
              <w:right w:val="nil"/>
            </w:tcBorders>
            <w:noWrap/>
            <w:vAlign w:val="bottom"/>
            <w:hideMark/>
          </w:tcPr>
          <w:p w14:paraId="47B7C582"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14</w:t>
            </w:r>
          </w:p>
        </w:tc>
        <w:tc>
          <w:tcPr>
            <w:tcW w:w="247" w:type="pct"/>
            <w:tcBorders>
              <w:top w:val="nil"/>
              <w:left w:val="nil"/>
              <w:bottom w:val="single" w:sz="4" w:space="0" w:color="auto"/>
              <w:right w:val="nil"/>
            </w:tcBorders>
            <w:noWrap/>
            <w:vAlign w:val="bottom"/>
            <w:hideMark/>
          </w:tcPr>
          <w:p w14:paraId="7020DF9E"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2</w:t>
            </w:r>
          </w:p>
        </w:tc>
        <w:tc>
          <w:tcPr>
            <w:tcW w:w="247" w:type="pct"/>
            <w:tcBorders>
              <w:top w:val="nil"/>
              <w:left w:val="nil"/>
              <w:bottom w:val="single" w:sz="4" w:space="0" w:color="auto"/>
              <w:right w:val="nil"/>
            </w:tcBorders>
            <w:noWrap/>
            <w:vAlign w:val="bottom"/>
            <w:hideMark/>
          </w:tcPr>
          <w:p w14:paraId="382FB6F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w:t>
            </w:r>
          </w:p>
        </w:tc>
        <w:tc>
          <w:tcPr>
            <w:tcW w:w="247" w:type="pct"/>
            <w:tcBorders>
              <w:top w:val="nil"/>
              <w:left w:val="nil"/>
              <w:bottom w:val="single" w:sz="4" w:space="0" w:color="auto"/>
              <w:right w:val="nil"/>
            </w:tcBorders>
            <w:noWrap/>
            <w:vAlign w:val="bottom"/>
            <w:hideMark/>
          </w:tcPr>
          <w:p w14:paraId="198B2AA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w:t>
            </w:r>
          </w:p>
        </w:tc>
        <w:tc>
          <w:tcPr>
            <w:tcW w:w="247" w:type="pct"/>
            <w:tcBorders>
              <w:top w:val="nil"/>
              <w:left w:val="nil"/>
              <w:bottom w:val="single" w:sz="4" w:space="0" w:color="auto"/>
              <w:right w:val="nil"/>
            </w:tcBorders>
            <w:noWrap/>
            <w:vAlign w:val="bottom"/>
            <w:hideMark/>
          </w:tcPr>
          <w:p w14:paraId="0AEF107F"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9</w:t>
            </w:r>
          </w:p>
        </w:tc>
        <w:tc>
          <w:tcPr>
            <w:tcW w:w="247" w:type="pct"/>
            <w:tcBorders>
              <w:top w:val="nil"/>
              <w:left w:val="nil"/>
              <w:bottom w:val="single" w:sz="4" w:space="0" w:color="auto"/>
              <w:right w:val="nil"/>
            </w:tcBorders>
            <w:noWrap/>
            <w:vAlign w:val="bottom"/>
            <w:hideMark/>
          </w:tcPr>
          <w:p w14:paraId="10589FD9"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w:t>
            </w:r>
          </w:p>
        </w:tc>
        <w:tc>
          <w:tcPr>
            <w:tcW w:w="247" w:type="pct"/>
            <w:tcBorders>
              <w:top w:val="nil"/>
              <w:left w:val="nil"/>
              <w:bottom w:val="single" w:sz="4" w:space="0" w:color="auto"/>
              <w:right w:val="nil"/>
            </w:tcBorders>
            <w:noWrap/>
            <w:vAlign w:val="bottom"/>
            <w:hideMark/>
          </w:tcPr>
          <w:p w14:paraId="32F8F4C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5</w:t>
            </w:r>
          </w:p>
        </w:tc>
        <w:tc>
          <w:tcPr>
            <w:tcW w:w="247" w:type="pct"/>
            <w:tcBorders>
              <w:top w:val="nil"/>
              <w:left w:val="nil"/>
              <w:bottom w:val="single" w:sz="4" w:space="0" w:color="auto"/>
              <w:right w:val="nil"/>
            </w:tcBorders>
            <w:noWrap/>
            <w:vAlign w:val="bottom"/>
            <w:hideMark/>
          </w:tcPr>
          <w:p w14:paraId="13D3C2A0"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10</w:t>
            </w:r>
          </w:p>
        </w:tc>
        <w:tc>
          <w:tcPr>
            <w:tcW w:w="247" w:type="pct"/>
            <w:tcBorders>
              <w:top w:val="nil"/>
              <w:left w:val="nil"/>
              <w:bottom w:val="single" w:sz="4" w:space="0" w:color="auto"/>
              <w:right w:val="nil"/>
            </w:tcBorders>
            <w:noWrap/>
            <w:vAlign w:val="bottom"/>
            <w:hideMark/>
          </w:tcPr>
          <w:p w14:paraId="3DDE346A"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7</w:t>
            </w:r>
          </w:p>
        </w:tc>
        <w:tc>
          <w:tcPr>
            <w:tcW w:w="247" w:type="pct"/>
            <w:tcBorders>
              <w:top w:val="nil"/>
              <w:left w:val="nil"/>
              <w:bottom w:val="single" w:sz="4" w:space="0" w:color="auto"/>
              <w:right w:val="nil"/>
            </w:tcBorders>
            <w:noWrap/>
            <w:vAlign w:val="bottom"/>
            <w:hideMark/>
          </w:tcPr>
          <w:p w14:paraId="108D9A81"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8</w:t>
            </w:r>
          </w:p>
        </w:tc>
        <w:tc>
          <w:tcPr>
            <w:tcW w:w="247" w:type="pct"/>
            <w:tcBorders>
              <w:top w:val="nil"/>
              <w:left w:val="nil"/>
              <w:bottom w:val="single" w:sz="4" w:space="0" w:color="auto"/>
              <w:right w:val="nil"/>
            </w:tcBorders>
            <w:noWrap/>
            <w:vAlign w:val="bottom"/>
            <w:hideMark/>
          </w:tcPr>
          <w:p w14:paraId="236D121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14</w:t>
            </w:r>
          </w:p>
        </w:tc>
        <w:tc>
          <w:tcPr>
            <w:tcW w:w="247" w:type="pct"/>
            <w:tcBorders>
              <w:top w:val="nil"/>
              <w:left w:val="nil"/>
              <w:bottom w:val="single" w:sz="4" w:space="0" w:color="auto"/>
              <w:right w:val="nil"/>
            </w:tcBorders>
            <w:noWrap/>
            <w:vAlign w:val="bottom"/>
            <w:hideMark/>
          </w:tcPr>
          <w:p w14:paraId="2A5BE448"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15</w:t>
            </w:r>
          </w:p>
        </w:tc>
        <w:tc>
          <w:tcPr>
            <w:tcW w:w="247" w:type="pct"/>
            <w:tcBorders>
              <w:top w:val="nil"/>
              <w:left w:val="nil"/>
              <w:bottom w:val="single" w:sz="4" w:space="0" w:color="auto"/>
              <w:right w:val="nil"/>
            </w:tcBorders>
            <w:noWrap/>
            <w:vAlign w:val="bottom"/>
            <w:hideMark/>
          </w:tcPr>
          <w:p w14:paraId="22517586" w14:textId="77777777" w:rsidR="00B54F4E" w:rsidRPr="000C7A76" w:rsidRDefault="00B54F4E" w:rsidP="006504C4">
            <w:pPr>
              <w:spacing w:before="0" w:after="0"/>
              <w:jc w:val="right"/>
              <w:rPr>
                <w:rFonts w:ascii="Calibri" w:hAnsi="Calibri" w:cs="Calibri"/>
                <w:color w:val="000000" w:themeColor="text1"/>
                <w:sz w:val="16"/>
                <w:szCs w:val="16"/>
                <w:lang w:eastAsia="es-CO"/>
              </w:rPr>
            </w:pPr>
            <w:r w:rsidRPr="000C7A76">
              <w:rPr>
                <w:rFonts w:ascii="Calibri" w:hAnsi="Calibri" w:cs="Calibri"/>
                <w:color w:val="000000" w:themeColor="text1"/>
                <w:sz w:val="16"/>
                <w:szCs w:val="16"/>
                <w:lang w:eastAsia="es-CO"/>
              </w:rPr>
              <w:t>16</w:t>
            </w:r>
          </w:p>
        </w:tc>
      </w:tr>
    </w:tbl>
    <w:p w14:paraId="389060B3" w14:textId="77777777" w:rsidR="00B54F4E" w:rsidRDefault="00B54F4E" w:rsidP="00B54F4E">
      <w:pPr>
        <w:spacing w:before="0" w:after="160" w:line="259" w:lineRule="auto"/>
        <w:jc w:val="left"/>
      </w:pPr>
    </w:p>
    <w:p w14:paraId="15DA74E4" w14:textId="77777777" w:rsidR="00B54F4E" w:rsidRDefault="00B54F4E" w:rsidP="00B54F4E">
      <w:pPr>
        <w:spacing w:before="0" w:after="160" w:line="259" w:lineRule="auto"/>
        <w:jc w:val="left"/>
        <w:rPr>
          <w:rFonts w:eastAsiaTheme="majorEastAsia" w:cstheme="majorBidi"/>
          <w:b/>
          <w:color w:val="002060"/>
          <w:sz w:val="28"/>
          <w:szCs w:val="32"/>
        </w:rPr>
      </w:pPr>
    </w:p>
    <w:p w14:paraId="78C31BB4" w14:textId="77777777" w:rsidR="00B54F4E" w:rsidRDefault="00B54F4E" w:rsidP="00B54F4E">
      <w:pPr>
        <w:spacing w:before="0" w:after="160" w:line="259" w:lineRule="auto"/>
        <w:jc w:val="left"/>
        <w:rPr>
          <w:rFonts w:eastAsiaTheme="majorEastAsia" w:cstheme="majorBidi"/>
          <w:b/>
          <w:color w:val="002060"/>
          <w:sz w:val="28"/>
          <w:szCs w:val="32"/>
        </w:rPr>
      </w:pPr>
    </w:p>
    <w:p w14:paraId="700AB02A" w14:textId="77777777" w:rsidR="00B54F4E" w:rsidRDefault="00B54F4E" w:rsidP="00B54F4E">
      <w:pPr>
        <w:spacing w:before="0" w:after="160" w:line="259" w:lineRule="auto"/>
        <w:jc w:val="left"/>
        <w:rPr>
          <w:rFonts w:eastAsiaTheme="majorEastAsia" w:cstheme="majorBidi"/>
          <w:b/>
          <w:color w:val="002060"/>
          <w:sz w:val="28"/>
          <w:szCs w:val="32"/>
        </w:rPr>
      </w:pPr>
    </w:p>
    <w:p w14:paraId="65152B20" w14:textId="77777777" w:rsidR="00B54F4E" w:rsidRDefault="00B54F4E" w:rsidP="00B54F4E">
      <w:pPr>
        <w:spacing w:before="0" w:after="160" w:line="259" w:lineRule="auto"/>
        <w:jc w:val="left"/>
        <w:rPr>
          <w:rFonts w:eastAsiaTheme="majorEastAsia" w:cstheme="majorBidi"/>
          <w:b/>
          <w:color w:val="002060"/>
          <w:sz w:val="28"/>
          <w:szCs w:val="32"/>
        </w:rPr>
        <w:sectPr w:rsidR="00B54F4E" w:rsidSect="00331FA3">
          <w:pgSz w:w="15840" w:h="12240" w:orient="landscape"/>
          <w:pgMar w:top="1701" w:right="1418" w:bottom="1701" w:left="1418" w:header="708" w:footer="708" w:gutter="0"/>
          <w:cols w:space="708"/>
          <w:docGrid w:linePitch="360"/>
        </w:sectPr>
      </w:pPr>
    </w:p>
    <w:p w14:paraId="78244BCE" w14:textId="77777777" w:rsidR="00B54F4E" w:rsidRDefault="00B54F4E" w:rsidP="00B54F4E">
      <w:pPr>
        <w:pStyle w:val="Heading1"/>
      </w:pPr>
      <w:bookmarkStart w:id="146" w:name="_Toc484097040"/>
      <w:r>
        <w:lastRenderedPageBreak/>
        <w:t>Anexo 2</w:t>
      </w:r>
      <w:r w:rsidRPr="00E06C95">
        <w:t xml:space="preserve"> </w:t>
      </w:r>
      <w:r>
        <w:t xml:space="preserve">- </w:t>
      </w:r>
      <w:r w:rsidRPr="00B45B28">
        <w:t>Parámetros y cálculos para la estimación de beneficios y costos de medidas de eficiencia energética</w:t>
      </w:r>
      <w:bookmarkEnd w:id="146"/>
    </w:p>
    <w:p w14:paraId="237D0E3B" w14:textId="77777777" w:rsidR="00B54F4E" w:rsidRDefault="00B54F4E" w:rsidP="00B54F4E"/>
    <w:p w14:paraId="0F97B298" w14:textId="77777777" w:rsidR="00B54F4E" w:rsidRPr="006C4E72" w:rsidRDefault="00B54F4E" w:rsidP="00B54F4E">
      <w:pPr>
        <w:jc w:val="center"/>
        <w:rPr>
          <w:b/>
        </w:rPr>
      </w:pPr>
      <w:bookmarkStart w:id="147" w:name="_Toc473268562"/>
      <w:bookmarkStart w:id="148" w:name="_Toc476136985"/>
      <w:bookmarkStart w:id="149" w:name="_Toc484097069"/>
      <w:r w:rsidRPr="008C12BC">
        <w:rPr>
          <w:b/>
        </w:rPr>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29</w:t>
      </w:r>
      <w:r w:rsidRPr="008C12BC">
        <w:rPr>
          <w:b/>
        </w:rPr>
        <w:fldChar w:fldCharType="end"/>
      </w:r>
      <w:r>
        <w:rPr>
          <w:b/>
        </w:rPr>
        <w:t xml:space="preserve"> – Parámetros generales</w:t>
      </w:r>
      <w:bookmarkEnd w:id="147"/>
      <w:bookmarkEnd w:id="148"/>
      <w:bookmarkEnd w:id="149"/>
    </w:p>
    <w:tbl>
      <w:tblPr>
        <w:tblW w:w="7700" w:type="dxa"/>
        <w:jc w:val="center"/>
        <w:tblCellMar>
          <w:left w:w="70" w:type="dxa"/>
          <w:right w:w="70" w:type="dxa"/>
        </w:tblCellMar>
        <w:tblLook w:val="04A0" w:firstRow="1" w:lastRow="0" w:firstColumn="1" w:lastColumn="0" w:noHBand="0" w:noVBand="1"/>
      </w:tblPr>
      <w:tblGrid>
        <w:gridCol w:w="6300"/>
        <w:gridCol w:w="1400"/>
      </w:tblGrid>
      <w:tr w:rsidR="00B54F4E" w:rsidRPr="009E317B" w14:paraId="303E5801" w14:textId="77777777" w:rsidTr="006504C4">
        <w:trPr>
          <w:trHeight w:val="300"/>
          <w:jc w:val="center"/>
        </w:trPr>
        <w:tc>
          <w:tcPr>
            <w:tcW w:w="6300" w:type="dxa"/>
            <w:tcBorders>
              <w:top w:val="nil"/>
              <w:left w:val="nil"/>
              <w:bottom w:val="single" w:sz="4" w:space="0" w:color="000000"/>
              <w:right w:val="nil"/>
            </w:tcBorders>
            <w:shd w:val="clear" w:color="auto" w:fill="auto"/>
            <w:noWrap/>
            <w:vAlign w:val="bottom"/>
            <w:hideMark/>
          </w:tcPr>
          <w:p w14:paraId="49AB3DCC"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 </w:t>
            </w:r>
          </w:p>
        </w:tc>
        <w:tc>
          <w:tcPr>
            <w:tcW w:w="1400" w:type="dxa"/>
            <w:tcBorders>
              <w:top w:val="nil"/>
              <w:left w:val="nil"/>
              <w:bottom w:val="single" w:sz="4" w:space="0" w:color="000000"/>
              <w:right w:val="nil"/>
            </w:tcBorders>
            <w:shd w:val="clear" w:color="auto" w:fill="auto"/>
            <w:noWrap/>
            <w:vAlign w:val="bottom"/>
            <w:hideMark/>
          </w:tcPr>
          <w:p w14:paraId="496E8703"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 </w:t>
            </w:r>
          </w:p>
        </w:tc>
      </w:tr>
      <w:tr w:rsidR="00B54F4E" w:rsidRPr="009E317B" w14:paraId="208D3374" w14:textId="77777777" w:rsidTr="006504C4">
        <w:trPr>
          <w:trHeight w:val="300"/>
          <w:jc w:val="center"/>
        </w:trPr>
        <w:tc>
          <w:tcPr>
            <w:tcW w:w="6300" w:type="dxa"/>
            <w:tcBorders>
              <w:top w:val="nil"/>
              <w:left w:val="single" w:sz="4" w:space="0" w:color="auto"/>
              <w:bottom w:val="single" w:sz="4" w:space="0" w:color="auto"/>
              <w:right w:val="nil"/>
            </w:tcBorders>
            <w:shd w:val="clear" w:color="auto" w:fill="auto"/>
            <w:noWrap/>
            <w:vAlign w:val="bottom"/>
            <w:hideMark/>
          </w:tcPr>
          <w:p w14:paraId="62C2F700"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Tasa de descuento real</w:t>
            </w:r>
          </w:p>
        </w:tc>
        <w:tc>
          <w:tcPr>
            <w:tcW w:w="1400" w:type="dxa"/>
            <w:tcBorders>
              <w:top w:val="nil"/>
              <w:left w:val="nil"/>
              <w:bottom w:val="single" w:sz="4" w:space="0" w:color="auto"/>
              <w:right w:val="single" w:sz="4" w:space="0" w:color="auto"/>
            </w:tcBorders>
            <w:shd w:val="clear" w:color="auto" w:fill="auto"/>
            <w:noWrap/>
            <w:vAlign w:val="bottom"/>
            <w:hideMark/>
          </w:tcPr>
          <w:p w14:paraId="6C8AB6A1" w14:textId="77777777" w:rsidR="00B54F4E" w:rsidRPr="009E317B" w:rsidRDefault="00B54F4E" w:rsidP="006504C4">
            <w:pPr>
              <w:spacing w:before="0" w:after="0"/>
              <w:jc w:val="center"/>
              <w:rPr>
                <w:rFonts w:ascii="Calibri" w:hAnsi="Calibri" w:cs="Calibri"/>
                <w:color w:val="000000" w:themeColor="text1"/>
                <w:szCs w:val="22"/>
                <w:lang w:eastAsia="es-CO"/>
              </w:rPr>
            </w:pPr>
            <w:r w:rsidRPr="009E317B">
              <w:rPr>
                <w:rFonts w:ascii="Calibri" w:hAnsi="Calibri" w:cs="Calibri"/>
                <w:color w:val="000000" w:themeColor="text1"/>
                <w:szCs w:val="22"/>
                <w:lang w:eastAsia="es-CO"/>
              </w:rPr>
              <w:t>12,0%</w:t>
            </w:r>
          </w:p>
        </w:tc>
      </w:tr>
      <w:tr w:rsidR="00B54F4E" w:rsidRPr="009E317B" w14:paraId="495C2888" w14:textId="77777777" w:rsidTr="006504C4">
        <w:trPr>
          <w:trHeight w:val="300"/>
          <w:jc w:val="center"/>
        </w:trPr>
        <w:tc>
          <w:tcPr>
            <w:tcW w:w="6300" w:type="dxa"/>
            <w:tcBorders>
              <w:top w:val="nil"/>
              <w:left w:val="nil"/>
              <w:bottom w:val="nil"/>
              <w:right w:val="nil"/>
            </w:tcBorders>
            <w:shd w:val="clear" w:color="auto" w:fill="auto"/>
            <w:noWrap/>
            <w:vAlign w:val="bottom"/>
            <w:hideMark/>
          </w:tcPr>
          <w:p w14:paraId="63FBB172" w14:textId="77777777" w:rsidR="00B54F4E" w:rsidRPr="009E317B" w:rsidRDefault="00B54F4E" w:rsidP="006504C4">
            <w:pPr>
              <w:spacing w:before="0" w:after="0"/>
              <w:jc w:val="center"/>
              <w:rPr>
                <w:rFonts w:ascii="Calibri" w:hAnsi="Calibri" w:cs="Calibri"/>
                <w:color w:val="0000FF"/>
                <w:szCs w:val="22"/>
                <w:lang w:eastAsia="es-CO"/>
              </w:rPr>
            </w:pPr>
          </w:p>
        </w:tc>
        <w:tc>
          <w:tcPr>
            <w:tcW w:w="1400" w:type="dxa"/>
            <w:tcBorders>
              <w:top w:val="nil"/>
              <w:left w:val="nil"/>
              <w:bottom w:val="nil"/>
              <w:right w:val="nil"/>
            </w:tcBorders>
            <w:shd w:val="clear" w:color="auto" w:fill="auto"/>
            <w:noWrap/>
            <w:vAlign w:val="bottom"/>
            <w:hideMark/>
          </w:tcPr>
          <w:p w14:paraId="49D3471E" w14:textId="77777777" w:rsidR="00B54F4E" w:rsidRPr="009E317B" w:rsidRDefault="00B54F4E" w:rsidP="006504C4">
            <w:pPr>
              <w:spacing w:before="0" w:after="0"/>
              <w:jc w:val="left"/>
              <w:rPr>
                <w:rFonts w:ascii="Times New Roman" w:hAnsi="Times New Roman"/>
                <w:color w:val="000000" w:themeColor="text1"/>
                <w:sz w:val="20"/>
                <w:lang w:eastAsia="es-CO"/>
              </w:rPr>
            </w:pPr>
          </w:p>
        </w:tc>
      </w:tr>
      <w:tr w:rsidR="00B54F4E" w:rsidRPr="009E317B" w14:paraId="64C0A357" w14:textId="77777777" w:rsidTr="006504C4">
        <w:trPr>
          <w:trHeight w:val="300"/>
          <w:jc w:val="center"/>
        </w:trPr>
        <w:tc>
          <w:tcPr>
            <w:tcW w:w="6300" w:type="dxa"/>
            <w:tcBorders>
              <w:top w:val="single" w:sz="4" w:space="0" w:color="000000"/>
              <w:left w:val="single" w:sz="4" w:space="0" w:color="000000"/>
              <w:bottom w:val="single" w:sz="4" w:space="0" w:color="BFBFBF"/>
              <w:right w:val="nil"/>
            </w:tcBorders>
            <w:shd w:val="clear" w:color="auto" w:fill="auto"/>
            <w:noWrap/>
            <w:vAlign w:val="bottom"/>
            <w:hideMark/>
          </w:tcPr>
          <w:p w14:paraId="6F8BD30D"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Tarifa promedio usuario residencial  ($/kWh)</w:t>
            </w:r>
          </w:p>
        </w:tc>
        <w:tc>
          <w:tcPr>
            <w:tcW w:w="1400" w:type="dxa"/>
            <w:tcBorders>
              <w:top w:val="single" w:sz="4" w:space="0" w:color="000000"/>
              <w:left w:val="nil"/>
              <w:bottom w:val="single" w:sz="4" w:space="0" w:color="BFBFBF"/>
              <w:right w:val="single" w:sz="4" w:space="0" w:color="000000"/>
            </w:tcBorders>
            <w:shd w:val="clear" w:color="auto" w:fill="auto"/>
            <w:noWrap/>
            <w:vAlign w:val="bottom"/>
            <w:hideMark/>
          </w:tcPr>
          <w:p w14:paraId="622C9E45"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0,184</w:t>
            </w:r>
          </w:p>
        </w:tc>
      </w:tr>
      <w:tr w:rsidR="00B54F4E" w:rsidRPr="009E317B" w14:paraId="28896FCB" w14:textId="77777777" w:rsidTr="006504C4">
        <w:trPr>
          <w:trHeight w:val="300"/>
          <w:jc w:val="center"/>
        </w:trPr>
        <w:tc>
          <w:tcPr>
            <w:tcW w:w="6300" w:type="dxa"/>
            <w:tcBorders>
              <w:top w:val="nil"/>
              <w:left w:val="single" w:sz="4" w:space="0" w:color="000000"/>
              <w:bottom w:val="single" w:sz="4" w:space="0" w:color="BFBFBF"/>
              <w:right w:val="nil"/>
            </w:tcBorders>
            <w:shd w:val="clear" w:color="auto" w:fill="auto"/>
            <w:noWrap/>
            <w:vAlign w:val="bottom"/>
            <w:hideMark/>
          </w:tcPr>
          <w:p w14:paraId="4D473E7C"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Tarifa promedio usuario comercial ($/kWh)</w:t>
            </w:r>
          </w:p>
        </w:tc>
        <w:tc>
          <w:tcPr>
            <w:tcW w:w="1400" w:type="dxa"/>
            <w:tcBorders>
              <w:top w:val="nil"/>
              <w:left w:val="nil"/>
              <w:bottom w:val="single" w:sz="4" w:space="0" w:color="BFBFBF"/>
              <w:right w:val="single" w:sz="4" w:space="0" w:color="000000"/>
            </w:tcBorders>
            <w:shd w:val="clear" w:color="auto" w:fill="auto"/>
            <w:noWrap/>
            <w:vAlign w:val="bottom"/>
            <w:hideMark/>
          </w:tcPr>
          <w:p w14:paraId="4134FAE1"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0,144</w:t>
            </w:r>
          </w:p>
        </w:tc>
      </w:tr>
      <w:tr w:rsidR="00B54F4E" w:rsidRPr="009E317B" w14:paraId="133ADE8B" w14:textId="77777777" w:rsidTr="006504C4">
        <w:trPr>
          <w:trHeight w:val="300"/>
          <w:jc w:val="center"/>
        </w:trPr>
        <w:tc>
          <w:tcPr>
            <w:tcW w:w="6300" w:type="dxa"/>
            <w:tcBorders>
              <w:top w:val="nil"/>
              <w:left w:val="single" w:sz="4" w:space="0" w:color="000000"/>
              <w:bottom w:val="single" w:sz="4" w:space="0" w:color="BFBFBF"/>
              <w:right w:val="nil"/>
            </w:tcBorders>
            <w:shd w:val="clear" w:color="auto" w:fill="auto"/>
            <w:noWrap/>
            <w:vAlign w:val="bottom"/>
            <w:hideMark/>
          </w:tcPr>
          <w:p w14:paraId="3B92815C"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Tarifa promedio usuario oficial ($/kWh)</w:t>
            </w:r>
          </w:p>
        </w:tc>
        <w:tc>
          <w:tcPr>
            <w:tcW w:w="1400" w:type="dxa"/>
            <w:tcBorders>
              <w:top w:val="nil"/>
              <w:left w:val="nil"/>
              <w:bottom w:val="single" w:sz="4" w:space="0" w:color="BFBFBF"/>
              <w:right w:val="single" w:sz="4" w:space="0" w:color="000000"/>
            </w:tcBorders>
            <w:shd w:val="clear" w:color="auto" w:fill="auto"/>
            <w:noWrap/>
            <w:vAlign w:val="bottom"/>
            <w:hideMark/>
          </w:tcPr>
          <w:p w14:paraId="7E796C40"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0,144</w:t>
            </w:r>
          </w:p>
        </w:tc>
      </w:tr>
      <w:tr w:rsidR="00B54F4E" w:rsidRPr="009E317B" w14:paraId="3A86C4C4" w14:textId="77777777" w:rsidTr="006504C4">
        <w:trPr>
          <w:trHeight w:val="300"/>
          <w:jc w:val="center"/>
        </w:trPr>
        <w:tc>
          <w:tcPr>
            <w:tcW w:w="6300" w:type="dxa"/>
            <w:tcBorders>
              <w:top w:val="nil"/>
              <w:left w:val="single" w:sz="4" w:space="0" w:color="000000"/>
              <w:bottom w:val="single" w:sz="4" w:space="0" w:color="000000"/>
              <w:right w:val="nil"/>
            </w:tcBorders>
            <w:shd w:val="clear" w:color="auto" w:fill="auto"/>
            <w:noWrap/>
            <w:vAlign w:val="bottom"/>
            <w:hideMark/>
          </w:tcPr>
          <w:p w14:paraId="547847BF"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Tarifa promedio usuario industrial ($/kWh)</w:t>
            </w:r>
          </w:p>
        </w:tc>
        <w:tc>
          <w:tcPr>
            <w:tcW w:w="1400" w:type="dxa"/>
            <w:tcBorders>
              <w:top w:val="nil"/>
              <w:left w:val="nil"/>
              <w:bottom w:val="single" w:sz="4" w:space="0" w:color="000000"/>
              <w:right w:val="single" w:sz="4" w:space="0" w:color="000000"/>
            </w:tcBorders>
            <w:shd w:val="clear" w:color="auto" w:fill="auto"/>
            <w:noWrap/>
            <w:vAlign w:val="bottom"/>
            <w:hideMark/>
          </w:tcPr>
          <w:p w14:paraId="25654EA5"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0,116</w:t>
            </w:r>
          </w:p>
        </w:tc>
      </w:tr>
      <w:tr w:rsidR="00B54F4E" w:rsidRPr="009E317B" w14:paraId="14094858" w14:textId="77777777" w:rsidTr="006504C4">
        <w:trPr>
          <w:trHeight w:val="300"/>
          <w:jc w:val="center"/>
        </w:trPr>
        <w:tc>
          <w:tcPr>
            <w:tcW w:w="6300" w:type="dxa"/>
            <w:tcBorders>
              <w:top w:val="nil"/>
              <w:left w:val="nil"/>
              <w:bottom w:val="nil"/>
              <w:right w:val="nil"/>
            </w:tcBorders>
            <w:shd w:val="clear" w:color="auto" w:fill="auto"/>
            <w:noWrap/>
            <w:vAlign w:val="bottom"/>
            <w:hideMark/>
          </w:tcPr>
          <w:p w14:paraId="5F376F37" w14:textId="77777777" w:rsidR="00B54F4E" w:rsidRPr="009E317B" w:rsidRDefault="00B54F4E" w:rsidP="006504C4">
            <w:pPr>
              <w:spacing w:before="0" w:after="0"/>
              <w:jc w:val="right"/>
              <w:rPr>
                <w:rFonts w:ascii="Calibri" w:hAnsi="Calibri" w:cs="Calibri"/>
                <w:color w:val="0000FF"/>
                <w:szCs w:val="22"/>
                <w:lang w:eastAsia="es-CO"/>
              </w:rPr>
            </w:pPr>
          </w:p>
        </w:tc>
        <w:tc>
          <w:tcPr>
            <w:tcW w:w="1400" w:type="dxa"/>
            <w:tcBorders>
              <w:top w:val="nil"/>
              <w:left w:val="nil"/>
              <w:bottom w:val="nil"/>
              <w:right w:val="nil"/>
            </w:tcBorders>
            <w:shd w:val="clear" w:color="auto" w:fill="auto"/>
            <w:noWrap/>
            <w:vAlign w:val="bottom"/>
            <w:hideMark/>
          </w:tcPr>
          <w:p w14:paraId="6CB26CEA" w14:textId="77777777" w:rsidR="00B54F4E" w:rsidRPr="009E317B" w:rsidRDefault="00B54F4E" w:rsidP="006504C4">
            <w:pPr>
              <w:spacing w:before="0" w:after="0"/>
              <w:jc w:val="left"/>
              <w:rPr>
                <w:rFonts w:ascii="Times New Roman" w:hAnsi="Times New Roman"/>
                <w:color w:val="000000" w:themeColor="text1"/>
                <w:sz w:val="20"/>
                <w:lang w:eastAsia="es-CO"/>
              </w:rPr>
            </w:pPr>
          </w:p>
        </w:tc>
      </w:tr>
      <w:tr w:rsidR="00B54F4E" w:rsidRPr="009E317B" w14:paraId="305C6442" w14:textId="77777777" w:rsidTr="006504C4">
        <w:trPr>
          <w:trHeight w:val="300"/>
          <w:jc w:val="center"/>
        </w:trPr>
        <w:tc>
          <w:tcPr>
            <w:tcW w:w="6300" w:type="dxa"/>
            <w:tcBorders>
              <w:top w:val="single" w:sz="4" w:space="0" w:color="auto"/>
              <w:left w:val="single" w:sz="4" w:space="0" w:color="auto"/>
              <w:bottom w:val="single" w:sz="4" w:space="0" w:color="BFBFBF"/>
              <w:right w:val="nil"/>
            </w:tcBorders>
            <w:shd w:val="clear" w:color="auto" w:fill="auto"/>
            <w:noWrap/>
            <w:vAlign w:val="bottom"/>
            <w:hideMark/>
          </w:tcPr>
          <w:p w14:paraId="43290AD8"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Costo de planta de generación evitada ($USD/MW)</w:t>
            </w:r>
          </w:p>
        </w:tc>
        <w:tc>
          <w:tcPr>
            <w:tcW w:w="1400" w:type="dxa"/>
            <w:tcBorders>
              <w:top w:val="single" w:sz="4" w:space="0" w:color="auto"/>
              <w:left w:val="nil"/>
              <w:bottom w:val="single" w:sz="4" w:space="0" w:color="BFBFBF"/>
              <w:right w:val="single" w:sz="4" w:space="0" w:color="auto"/>
            </w:tcBorders>
            <w:shd w:val="clear" w:color="auto" w:fill="auto"/>
            <w:noWrap/>
            <w:vAlign w:val="bottom"/>
            <w:hideMark/>
          </w:tcPr>
          <w:p w14:paraId="1891E720"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2.300.000</w:t>
            </w:r>
          </w:p>
        </w:tc>
      </w:tr>
      <w:tr w:rsidR="00B54F4E" w:rsidRPr="009E317B" w14:paraId="250D2E4B" w14:textId="77777777" w:rsidTr="006504C4">
        <w:trPr>
          <w:trHeight w:val="300"/>
          <w:jc w:val="center"/>
        </w:trPr>
        <w:tc>
          <w:tcPr>
            <w:tcW w:w="6300" w:type="dxa"/>
            <w:tcBorders>
              <w:top w:val="nil"/>
              <w:left w:val="single" w:sz="4" w:space="0" w:color="auto"/>
              <w:bottom w:val="single" w:sz="4" w:space="0" w:color="BFBFBF"/>
              <w:right w:val="nil"/>
            </w:tcBorders>
            <w:shd w:val="clear" w:color="auto" w:fill="auto"/>
            <w:noWrap/>
            <w:vAlign w:val="bottom"/>
            <w:hideMark/>
          </w:tcPr>
          <w:p w14:paraId="637F0334"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Año de entrada planta de generación evitada</w:t>
            </w:r>
          </w:p>
        </w:tc>
        <w:tc>
          <w:tcPr>
            <w:tcW w:w="1400" w:type="dxa"/>
            <w:tcBorders>
              <w:top w:val="nil"/>
              <w:left w:val="nil"/>
              <w:bottom w:val="single" w:sz="4" w:space="0" w:color="BFBFBF"/>
              <w:right w:val="single" w:sz="4" w:space="0" w:color="auto"/>
            </w:tcBorders>
            <w:shd w:val="clear" w:color="auto" w:fill="auto"/>
            <w:noWrap/>
            <w:vAlign w:val="bottom"/>
            <w:hideMark/>
          </w:tcPr>
          <w:p w14:paraId="1AAAC9D2"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2020</w:t>
            </w:r>
          </w:p>
        </w:tc>
      </w:tr>
      <w:tr w:rsidR="00B54F4E" w:rsidRPr="009E317B" w14:paraId="523DF8BC" w14:textId="77777777" w:rsidTr="006504C4">
        <w:trPr>
          <w:trHeight w:val="300"/>
          <w:jc w:val="center"/>
        </w:trPr>
        <w:tc>
          <w:tcPr>
            <w:tcW w:w="6300" w:type="dxa"/>
            <w:tcBorders>
              <w:top w:val="nil"/>
              <w:left w:val="single" w:sz="4" w:space="0" w:color="auto"/>
              <w:bottom w:val="single" w:sz="4" w:space="0" w:color="BFBFBF"/>
              <w:right w:val="nil"/>
            </w:tcBorders>
            <w:shd w:val="clear" w:color="auto" w:fill="auto"/>
            <w:noWrap/>
            <w:vAlign w:val="bottom"/>
            <w:hideMark/>
          </w:tcPr>
          <w:p w14:paraId="05B5C526"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Factor de emisiones de planta (TonCo2/MWh)</w:t>
            </w:r>
          </w:p>
        </w:tc>
        <w:tc>
          <w:tcPr>
            <w:tcW w:w="1400" w:type="dxa"/>
            <w:tcBorders>
              <w:top w:val="nil"/>
              <w:left w:val="nil"/>
              <w:bottom w:val="single" w:sz="4" w:space="0" w:color="BFBFBF"/>
              <w:right w:val="single" w:sz="4" w:space="0" w:color="auto"/>
            </w:tcBorders>
            <w:shd w:val="clear" w:color="auto" w:fill="auto"/>
            <w:noWrap/>
            <w:vAlign w:val="bottom"/>
            <w:hideMark/>
          </w:tcPr>
          <w:p w14:paraId="2958E460"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1,05</w:t>
            </w:r>
          </w:p>
        </w:tc>
      </w:tr>
      <w:tr w:rsidR="00B54F4E" w:rsidRPr="009E317B" w14:paraId="29E3464A" w14:textId="77777777" w:rsidTr="006504C4">
        <w:trPr>
          <w:trHeight w:val="300"/>
          <w:jc w:val="center"/>
        </w:trPr>
        <w:tc>
          <w:tcPr>
            <w:tcW w:w="6300" w:type="dxa"/>
            <w:tcBorders>
              <w:top w:val="nil"/>
              <w:left w:val="single" w:sz="4" w:space="0" w:color="auto"/>
              <w:bottom w:val="nil"/>
              <w:right w:val="nil"/>
            </w:tcBorders>
            <w:shd w:val="clear" w:color="auto" w:fill="auto"/>
            <w:noWrap/>
            <w:vAlign w:val="bottom"/>
            <w:hideMark/>
          </w:tcPr>
          <w:p w14:paraId="2E7C378A"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Factor de utilización de la planta evitada</w:t>
            </w:r>
          </w:p>
        </w:tc>
        <w:tc>
          <w:tcPr>
            <w:tcW w:w="1400" w:type="dxa"/>
            <w:tcBorders>
              <w:top w:val="nil"/>
              <w:left w:val="nil"/>
              <w:bottom w:val="nil"/>
              <w:right w:val="single" w:sz="4" w:space="0" w:color="auto"/>
            </w:tcBorders>
            <w:shd w:val="clear" w:color="auto" w:fill="auto"/>
            <w:noWrap/>
            <w:vAlign w:val="bottom"/>
            <w:hideMark/>
          </w:tcPr>
          <w:p w14:paraId="6E6B6A8B"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80%</w:t>
            </w:r>
          </w:p>
        </w:tc>
      </w:tr>
      <w:tr w:rsidR="00B54F4E" w:rsidRPr="009E317B" w14:paraId="4A9A28B1" w14:textId="77777777" w:rsidTr="006504C4">
        <w:trPr>
          <w:trHeight w:val="300"/>
          <w:jc w:val="center"/>
        </w:trPr>
        <w:tc>
          <w:tcPr>
            <w:tcW w:w="6300" w:type="dxa"/>
            <w:tcBorders>
              <w:top w:val="single" w:sz="4" w:space="0" w:color="BFBFBF"/>
              <w:left w:val="single" w:sz="4" w:space="0" w:color="auto"/>
              <w:bottom w:val="single" w:sz="4" w:space="0" w:color="auto"/>
              <w:right w:val="nil"/>
            </w:tcBorders>
            <w:shd w:val="clear" w:color="auto" w:fill="auto"/>
            <w:noWrap/>
            <w:vAlign w:val="bottom"/>
            <w:hideMark/>
          </w:tcPr>
          <w:p w14:paraId="0F0C5F06"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Factor de pérdidas del SIN</w:t>
            </w:r>
          </w:p>
        </w:tc>
        <w:tc>
          <w:tcPr>
            <w:tcW w:w="1400" w:type="dxa"/>
            <w:tcBorders>
              <w:top w:val="single" w:sz="4" w:space="0" w:color="BFBFBF"/>
              <w:left w:val="nil"/>
              <w:bottom w:val="single" w:sz="4" w:space="0" w:color="auto"/>
              <w:right w:val="single" w:sz="4" w:space="0" w:color="auto"/>
            </w:tcBorders>
            <w:shd w:val="clear" w:color="auto" w:fill="auto"/>
            <w:noWrap/>
            <w:vAlign w:val="bottom"/>
            <w:hideMark/>
          </w:tcPr>
          <w:p w14:paraId="68A6305C"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14%</w:t>
            </w:r>
          </w:p>
        </w:tc>
      </w:tr>
      <w:tr w:rsidR="00B54F4E" w:rsidRPr="009E317B" w14:paraId="5DB68DE6" w14:textId="77777777" w:rsidTr="006504C4">
        <w:trPr>
          <w:trHeight w:val="300"/>
          <w:jc w:val="center"/>
        </w:trPr>
        <w:tc>
          <w:tcPr>
            <w:tcW w:w="6300" w:type="dxa"/>
            <w:tcBorders>
              <w:top w:val="nil"/>
              <w:left w:val="nil"/>
              <w:bottom w:val="nil"/>
              <w:right w:val="nil"/>
            </w:tcBorders>
            <w:shd w:val="clear" w:color="auto" w:fill="auto"/>
            <w:noWrap/>
            <w:vAlign w:val="bottom"/>
            <w:hideMark/>
          </w:tcPr>
          <w:p w14:paraId="1717DE07" w14:textId="77777777" w:rsidR="00B54F4E" w:rsidRPr="009E317B" w:rsidRDefault="00B54F4E" w:rsidP="006504C4">
            <w:pPr>
              <w:spacing w:before="0" w:after="0"/>
              <w:jc w:val="right"/>
              <w:rPr>
                <w:rFonts w:ascii="Calibri" w:hAnsi="Calibri" w:cs="Calibri"/>
                <w:color w:val="0000FF"/>
                <w:szCs w:val="22"/>
                <w:lang w:eastAsia="es-CO"/>
              </w:rPr>
            </w:pPr>
          </w:p>
        </w:tc>
        <w:tc>
          <w:tcPr>
            <w:tcW w:w="1400" w:type="dxa"/>
            <w:tcBorders>
              <w:top w:val="nil"/>
              <w:left w:val="nil"/>
              <w:bottom w:val="nil"/>
              <w:right w:val="nil"/>
            </w:tcBorders>
            <w:shd w:val="clear" w:color="auto" w:fill="auto"/>
            <w:noWrap/>
            <w:vAlign w:val="bottom"/>
            <w:hideMark/>
          </w:tcPr>
          <w:p w14:paraId="09AD7036" w14:textId="77777777" w:rsidR="00B54F4E" w:rsidRPr="009E317B" w:rsidRDefault="00B54F4E" w:rsidP="006504C4">
            <w:pPr>
              <w:spacing w:before="0" w:after="0"/>
              <w:jc w:val="left"/>
              <w:rPr>
                <w:rFonts w:ascii="Times New Roman" w:hAnsi="Times New Roman"/>
                <w:color w:val="000000" w:themeColor="text1"/>
                <w:sz w:val="20"/>
                <w:lang w:eastAsia="es-CO"/>
              </w:rPr>
            </w:pPr>
          </w:p>
        </w:tc>
      </w:tr>
      <w:tr w:rsidR="00B54F4E" w:rsidRPr="009E317B" w14:paraId="0B8305F7" w14:textId="77777777" w:rsidTr="006504C4">
        <w:trPr>
          <w:trHeight w:val="300"/>
          <w:jc w:val="center"/>
        </w:trPr>
        <w:tc>
          <w:tcPr>
            <w:tcW w:w="6300" w:type="dxa"/>
            <w:tcBorders>
              <w:top w:val="single" w:sz="4" w:space="0" w:color="000000"/>
              <w:left w:val="single" w:sz="4" w:space="0" w:color="000000"/>
              <w:bottom w:val="single" w:sz="4" w:space="0" w:color="000000"/>
              <w:right w:val="nil"/>
            </w:tcBorders>
            <w:shd w:val="clear" w:color="auto" w:fill="auto"/>
            <w:noWrap/>
            <w:vAlign w:val="bottom"/>
            <w:hideMark/>
          </w:tcPr>
          <w:p w14:paraId="3F6E98EE"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Factor de emisiones del SIN (TonCo2/MWh)</w:t>
            </w:r>
          </w:p>
        </w:tc>
        <w:tc>
          <w:tcPr>
            <w:tcW w:w="1400" w:type="dxa"/>
            <w:tcBorders>
              <w:top w:val="single" w:sz="4" w:space="0" w:color="000000"/>
              <w:left w:val="nil"/>
              <w:bottom w:val="single" w:sz="4" w:space="0" w:color="000000"/>
              <w:right w:val="single" w:sz="4" w:space="0" w:color="000000"/>
            </w:tcBorders>
            <w:shd w:val="clear" w:color="auto" w:fill="auto"/>
            <w:noWrap/>
            <w:vAlign w:val="bottom"/>
            <w:hideMark/>
          </w:tcPr>
          <w:p w14:paraId="10EDBD47"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0,164</w:t>
            </w:r>
          </w:p>
        </w:tc>
      </w:tr>
      <w:tr w:rsidR="00B54F4E" w:rsidRPr="009E317B" w14:paraId="5778F45B" w14:textId="77777777" w:rsidTr="006504C4">
        <w:trPr>
          <w:trHeight w:val="300"/>
          <w:jc w:val="center"/>
        </w:trPr>
        <w:tc>
          <w:tcPr>
            <w:tcW w:w="6300" w:type="dxa"/>
            <w:tcBorders>
              <w:top w:val="nil"/>
              <w:left w:val="single" w:sz="4" w:space="0" w:color="000000"/>
              <w:bottom w:val="single" w:sz="4" w:space="0" w:color="000000"/>
              <w:right w:val="nil"/>
            </w:tcBorders>
            <w:shd w:val="clear" w:color="auto" w:fill="auto"/>
            <w:noWrap/>
            <w:vAlign w:val="bottom"/>
            <w:hideMark/>
          </w:tcPr>
          <w:p w14:paraId="3C889EE9" w14:textId="77777777" w:rsidR="00B54F4E" w:rsidRPr="009E317B" w:rsidRDefault="00B54F4E" w:rsidP="006504C4">
            <w:pPr>
              <w:spacing w:before="0" w:after="0"/>
              <w:jc w:val="left"/>
              <w:rPr>
                <w:rFonts w:ascii="Calibri" w:hAnsi="Calibri" w:cs="Calibri"/>
                <w:color w:val="000000"/>
                <w:szCs w:val="22"/>
                <w:lang w:eastAsia="es-CO"/>
              </w:rPr>
            </w:pPr>
            <w:r w:rsidRPr="009E317B">
              <w:rPr>
                <w:rFonts w:ascii="Calibri" w:hAnsi="Calibri" w:cs="Calibri"/>
                <w:color w:val="000000"/>
                <w:szCs w:val="22"/>
                <w:lang w:eastAsia="es-CO"/>
              </w:rPr>
              <w:t>Valoración tonelada CO2 ($USD/Ton)</w:t>
            </w:r>
          </w:p>
        </w:tc>
        <w:tc>
          <w:tcPr>
            <w:tcW w:w="1400" w:type="dxa"/>
            <w:tcBorders>
              <w:top w:val="nil"/>
              <w:left w:val="nil"/>
              <w:bottom w:val="single" w:sz="4" w:space="0" w:color="000000"/>
              <w:right w:val="single" w:sz="4" w:space="0" w:color="000000"/>
            </w:tcBorders>
            <w:shd w:val="clear" w:color="auto" w:fill="auto"/>
            <w:noWrap/>
            <w:vAlign w:val="bottom"/>
            <w:hideMark/>
          </w:tcPr>
          <w:p w14:paraId="604523BD" w14:textId="77777777" w:rsidR="00B54F4E" w:rsidRPr="009E317B" w:rsidRDefault="00B54F4E" w:rsidP="006504C4">
            <w:pPr>
              <w:spacing w:before="0" w:after="0"/>
              <w:jc w:val="right"/>
              <w:rPr>
                <w:rFonts w:ascii="Calibri" w:hAnsi="Calibri" w:cs="Calibri"/>
                <w:color w:val="000000" w:themeColor="text1"/>
                <w:szCs w:val="22"/>
                <w:lang w:eastAsia="es-CO"/>
              </w:rPr>
            </w:pPr>
            <w:r w:rsidRPr="009E317B">
              <w:rPr>
                <w:rFonts w:ascii="Calibri" w:hAnsi="Calibri" w:cs="Calibri"/>
                <w:color w:val="000000" w:themeColor="text1"/>
                <w:szCs w:val="22"/>
                <w:lang w:eastAsia="es-CO"/>
              </w:rPr>
              <w:t>6,01</w:t>
            </w:r>
          </w:p>
        </w:tc>
      </w:tr>
      <w:tr w:rsidR="00B54F4E" w:rsidRPr="009E317B" w14:paraId="65D82AB8" w14:textId="77777777" w:rsidTr="006504C4">
        <w:trPr>
          <w:trHeight w:val="300"/>
          <w:jc w:val="center"/>
        </w:trPr>
        <w:tc>
          <w:tcPr>
            <w:tcW w:w="6300" w:type="dxa"/>
            <w:tcBorders>
              <w:top w:val="nil"/>
              <w:left w:val="nil"/>
              <w:bottom w:val="nil"/>
              <w:right w:val="nil"/>
            </w:tcBorders>
            <w:shd w:val="clear" w:color="auto" w:fill="auto"/>
            <w:noWrap/>
            <w:vAlign w:val="bottom"/>
            <w:hideMark/>
          </w:tcPr>
          <w:p w14:paraId="56433A13" w14:textId="77777777" w:rsidR="00B54F4E" w:rsidRPr="009E317B" w:rsidRDefault="00B54F4E" w:rsidP="006504C4">
            <w:pPr>
              <w:spacing w:before="0" w:after="0"/>
              <w:jc w:val="right"/>
              <w:rPr>
                <w:rFonts w:ascii="Calibri" w:hAnsi="Calibri" w:cs="Calibri"/>
                <w:color w:val="0000FF"/>
                <w:szCs w:val="22"/>
                <w:lang w:eastAsia="es-CO"/>
              </w:rPr>
            </w:pPr>
          </w:p>
        </w:tc>
        <w:tc>
          <w:tcPr>
            <w:tcW w:w="1400" w:type="dxa"/>
            <w:tcBorders>
              <w:top w:val="nil"/>
              <w:left w:val="nil"/>
              <w:bottom w:val="nil"/>
              <w:right w:val="nil"/>
            </w:tcBorders>
            <w:shd w:val="clear" w:color="auto" w:fill="auto"/>
            <w:noWrap/>
            <w:vAlign w:val="bottom"/>
            <w:hideMark/>
          </w:tcPr>
          <w:p w14:paraId="6C17BDC5" w14:textId="77777777" w:rsidR="00B54F4E" w:rsidRPr="009E317B" w:rsidRDefault="00B54F4E" w:rsidP="006504C4">
            <w:pPr>
              <w:spacing w:before="0" w:after="0"/>
              <w:jc w:val="left"/>
              <w:rPr>
                <w:rFonts w:ascii="Times New Roman" w:hAnsi="Times New Roman"/>
                <w:sz w:val="20"/>
                <w:lang w:eastAsia="es-CO"/>
              </w:rPr>
            </w:pPr>
          </w:p>
        </w:tc>
      </w:tr>
    </w:tbl>
    <w:p w14:paraId="30EBD44C" w14:textId="77777777" w:rsidR="00B54F4E" w:rsidRDefault="00B54F4E" w:rsidP="00B54F4E">
      <w:pPr>
        <w:tabs>
          <w:tab w:val="left" w:pos="6725"/>
        </w:tabs>
      </w:pPr>
      <w:r w:rsidRPr="007E3874">
        <w:t>Tarifa promedio tres empresas distribuidoras para consumos de energía baja tensión simple (BTS2) con consumos entre 300 kWh mes y 750 kWh mes</w:t>
      </w:r>
      <w:r>
        <w:t xml:space="preserve"> para le sector residencial, y t</w:t>
      </w:r>
      <w:r w:rsidRPr="007E3874">
        <w:t>arifa promedio tres empresas distribuidoras para consumos de energía con demanda máxima de 10,000 kWh mes</w:t>
      </w:r>
      <w:r>
        <w:t xml:space="preserve"> para los sectores comercial y público.</w:t>
      </w:r>
    </w:p>
    <w:p w14:paraId="623C4053" w14:textId="77777777" w:rsidR="00B54F4E" w:rsidRDefault="00B54F4E" w:rsidP="00B54F4E">
      <w:pPr>
        <w:tabs>
          <w:tab w:val="left" w:pos="6725"/>
        </w:tabs>
      </w:pPr>
      <w:r>
        <w:t>Planta de generación evitada considera el c</w:t>
      </w:r>
      <w:r w:rsidRPr="009E317B">
        <w:t xml:space="preserve">osto de instalación por MW de </w:t>
      </w:r>
      <w:r>
        <w:t xml:space="preserve">una </w:t>
      </w:r>
      <w:r w:rsidRPr="009E317B">
        <w:t xml:space="preserve">planta a carbón de tecnología Ultrasuper crítica en EEUU según WEO </w:t>
      </w:r>
      <w:r>
        <w:t xml:space="preserve">2016 </w:t>
      </w:r>
      <w:r w:rsidRPr="009E317B">
        <w:t>de la IEA</w:t>
      </w:r>
      <w:r>
        <w:t>.</w:t>
      </w:r>
    </w:p>
    <w:p w14:paraId="3C7C8C64" w14:textId="77777777" w:rsidR="00B54F4E" w:rsidRDefault="00B54F4E" w:rsidP="00B54F4E">
      <w:pPr>
        <w:tabs>
          <w:tab w:val="left" w:pos="6725"/>
        </w:tabs>
        <w:sectPr w:rsidR="00B54F4E" w:rsidSect="00331FA3">
          <w:pgSz w:w="12240" w:h="15840"/>
          <w:pgMar w:top="1418" w:right="1701" w:bottom="1418" w:left="1701" w:header="708" w:footer="708" w:gutter="0"/>
          <w:cols w:space="708"/>
          <w:docGrid w:linePitch="360"/>
        </w:sectPr>
      </w:pPr>
      <w:r w:rsidRPr="00E96729">
        <w:t xml:space="preserve">Factor de emisión calculado por el consultor para el SIN de Panamá </w:t>
      </w:r>
      <w:r>
        <w:t>según generación eléctrica por tecnología y combustible en 2016</w:t>
      </w:r>
    </w:p>
    <w:p w14:paraId="1122A2CF" w14:textId="77777777" w:rsidR="00B54F4E" w:rsidRPr="006C4E72" w:rsidRDefault="00B54F4E" w:rsidP="00B54F4E">
      <w:pPr>
        <w:ind w:left="720"/>
        <w:jc w:val="center"/>
        <w:rPr>
          <w:b/>
        </w:rPr>
      </w:pPr>
      <w:bookmarkStart w:id="150" w:name="_Toc473268563"/>
      <w:bookmarkStart w:id="151" w:name="_Toc476136986"/>
      <w:bookmarkStart w:id="152" w:name="_Toc484097070"/>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30</w:t>
      </w:r>
      <w:r w:rsidRPr="008C12BC">
        <w:rPr>
          <w:b/>
        </w:rPr>
        <w:fldChar w:fldCharType="end"/>
      </w:r>
      <w:r>
        <w:rPr>
          <w:b/>
        </w:rPr>
        <w:t xml:space="preserve"> – Proyección de beneficios y costos para la medida de sustitución de bombillos (Sector Residencial)</w:t>
      </w:r>
      <w:bookmarkEnd w:id="150"/>
      <w:bookmarkEnd w:id="151"/>
      <w:bookmarkEnd w:id="152"/>
    </w:p>
    <w:tbl>
      <w:tblPr>
        <w:tblW w:w="5094" w:type="pct"/>
        <w:tblLayout w:type="fixed"/>
        <w:tblCellMar>
          <w:left w:w="70" w:type="dxa"/>
          <w:right w:w="70" w:type="dxa"/>
        </w:tblCellMar>
        <w:tblLook w:val="04A0" w:firstRow="1" w:lastRow="0" w:firstColumn="1" w:lastColumn="0" w:noHBand="0" w:noVBand="1"/>
      </w:tblPr>
      <w:tblGrid>
        <w:gridCol w:w="3393"/>
        <w:gridCol w:w="677"/>
        <w:gridCol w:w="480"/>
        <w:gridCol w:w="413"/>
        <w:gridCol w:w="535"/>
        <w:gridCol w:w="554"/>
        <w:gridCol w:w="554"/>
        <w:gridCol w:w="554"/>
        <w:gridCol w:w="554"/>
        <w:gridCol w:w="554"/>
        <w:gridCol w:w="554"/>
        <w:gridCol w:w="554"/>
        <w:gridCol w:w="554"/>
        <w:gridCol w:w="554"/>
        <w:gridCol w:w="554"/>
        <w:gridCol w:w="554"/>
        <w:gridCol w:w="554"/>
        <w:gridCol w:w="554"/>
        <w:gridCol w:w="548"/>
      </w:tblGrid>
      <w:tr w:rsidR="00B54F4E" w:rsidRPr="00D050B8" w14:paraId="1BD930A9" w14:textId="77777777" w:rsidTr="006504C4">
        <w:trPr>
          <w:trHeight w:val="200"/>
        </w:trPr>
        <w:tc>
          <w:tcPr>
            <w:tcW w:w="1281" w:type="pct"/>
            <w:tcBorders>
              <w:top w:val="single" w:sz="4" w:space="0" w:color="000000"/>
              <w:left w:val="nil"/>
              <w:bottom w:val="nil"/>
              <w:right w:val="nil"/>
            </w:tcBorders>
            <w:shd w:val="clear" w:color="auto" w:fill="auto"/>
            <w:noWrap/>
            <w:vAlign w:val="bottom"/>
            <w:hideMark/>
          </w:tcPr>
          <w:p w14:paraId="78CCA7CD"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Consumo por bombillo incandescente GWh/Año</w:t>
            </w:r>
          </w:p>
        </w:tc>
        <w:tc>
          <w:tcPr>
            <w:tcW w:w="256" w:type="pct"/>
            <w:tcBorders>
              <w:top w:val="single" w:sz="4" w:space="0" w:color="000000"/>
              <w:left w:val="nil"/>
              <w:bottom w:val="nil"/>
              <w:right w:val="nil"/>
            </w:tcBorders>
            <w:shd w:val="clear" w:color="auto" w:fill="auto"/>
            <w:noWrap/>
            <w:vAlign w:val="bottom"/>
            <w:hideMark/>
          </w:tcPr>
          <w:p w14:paraId="5E4E640C" w14:textId="77777777" w:rsidR="00B54F4E" w:rsidRPr="00D050B8" w:rsidRDefault="00B54F4E" w:rsidP="006504C4">
            <w:pPr>
              <w:spacing w:before="0" w:after="0"/>
              <w:jc w:val="right"/>
              <w:rPr>
                <w:rFonts w:ascii="Calibri" w:hAnsi="Calibri" w:cs="Calibri"/>
                <w:color w:val="00B050"/>
                <w:sz w:val="12"/>
                <w:szCs w:val="22"/>
                <w:lang w:eastAsia="es-CO"/>
              </w:rPr>
            </w:pPr>
            <w:r w:rsidRPr="00D050B8">
              <w:rPr>
                <w:rFonts w:ascii="Calibri" w:hAnsi="Calibri" w:cs="Calibri"/>
                <w:color w:val="00B050"/>
                <w:sz w:val="12"/>
                <w:szCs w:val="22"/>
                <w:lang w:eastAsia="es-CO"/>
              </w:rPr>
              <w:t>0,0000821</w:t>
            </w:r>
          </w:p>
        </w:tc>
        <w:tc>
          <w:tcPr>
            <w:tcW w:w="181" w:type="pct"/>
            <w:tcBorders>
              <w:top w:val="nil"/>
              <w:left w:val="nil"/>
              <w:bottom w:val="nil"/>
              <w:right w:val="nil"/>
            </w:tcBorders>
            <w:shd w:val="clear" w:color="auto" w:fill="auto"/>
            <w:noWrap/>
            <w:vAlign w:val="bottom"/>
            <w:hideMark/>
          </w:tcPr>
          <w:p w14:paraId="006114E1" w14:textId="77777777" w:rsidR="00B54F4E" w:rsidRPr="00D050B8" w:rsidRDefault="00B54F4E" w:rsidP="006504C4">
            <w:pPr>
              <w:spacing w:before="0" w:after="0"/>
              <w:jc w:val="right"/>
              <w:rPr>
                <w:rFonts w:ascii="Calibri" w:hAnsi="Calibri" w:cs="Calibri"/>
                <w:color w:val="00B050"/>
                <w:sz w:val="12"/>
                <w:szCs w:val="22"/>
                <w:lang w:eastAsia="es-CO"/>
              </w:rPr>
            </w:pPr>
          </w:p>
        </w:tc>
        <w:tc>
          <w:tcPr>
            <w:tcW w:w="156" w:type="pct"/>
            <w:tcBorders>
              <w:top w:val="nil"/>
              <w:left w:val="nil"/>
              <w:bottom w:val="nil"/>
              <w:right w:val="nil"/>
            </w:tcBorders>
            <w:shd w:val="clear" w:color="auto" w:fill="auto"/>
            <w:noWrap/>
            <w:vAlign w:val="bottom"/>
            <w:hideMark/>
          </w:tcPr>
          <w:p w14:paraId="276A9A29"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3FA8E6F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DB28D2B"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5DE7DD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38F7FEB"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32B452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E08700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4BFE49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0B03E8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45CAA0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1F46DB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922F4A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D0F9FD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B734B9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12826A4"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6C5F374B"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65022BAE" w14:textId="77777777" w:rsidTr="006504C4">
        <w:trPr>
          <w:trHeight w:val="200"/>
        </w:trPr>
        <w:tc>
          <w:tcPr>
            <w:tcW w:w="1281" w:type="pct"/>
            <w:tcBorders>
              <w:top w:val="nil"/>
              <w:left w:val="nil"/>
              <w:bottom w:val="single" w:sz="4" w:space="0" w:color="000000"/>
              <w:right w:val="nil"/>
            </w:tcBorders>
            <w:shd w:val="clear" w:color="auto" w:fill="auto"/>
            <w:noWrap/>
            <w:vAlign w:val="bottom"/>
            <w:hideMark/>
          </w:tcPr>
          <w:p w14:paraId="762C72F9"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Consumo por bombillo LFC GWh/Año</w:t>
            </w:r>
          </w:p>
        </w:tc>
        <w:tc>
          <w:tcPr>
            <w:tcW w:w="256" w:type="pct"/>
            <w:tcBorders>
              <w:top w:val="nil"/>
              <w:left w:val="nil"/>
              <w:bottom w:val="single" w:sz="4" w:space="0" w:color="000000"/>
              <w:right w:val="nil"/>
            </w:tcBorders>
            <w:shd w:val="clear" w:color="auto" w:fill="auto"/>
            <w:noWrap/>
            <w:vAlign w:val="bottom"/>
            <w:hideMark/>
          </w:tcPr>
          <w:p w14:paraId="2243A169" w14:textId="77777777" w:rsidR="00B54F4E" w:rsidRPr="00D050B8" w:rsidRDefault="00B54F4E" w:rsidP="006504C4">
            <w:pPr>
              <w:spacing w:before="0" w:after="0"/>
              <w:jc w:val="right"/>
              <w:rPr>
                <w:rFonts w:ascii="Calibri" w:hAnsi="Calibri" w:cs="Calibri"/>
                <w:color w:val="00B050"/>
                <w:sz w:val="12"/>
                <w:szCs w:val="22"/>
                <w:lang w:eastAsia="es-CO"/>
              </w:rPr>
            </w:pPr>
            <w:r w:rsidRPr="00D050B8">
              <w:rPr>
                <w:rFonts w:ascii="Calibri" w:hAnsi="Calibri" w:cs="Calibri"/>
                <w:color w:val="00B050"/>
                <w:sz w:val="12"/>
                <w:szCs w:val="22"/>
                <w:lang w:eastAsia="es-CO"/>
              </w:rPr>
              <w:t>0,0000164</w:t>
            </w:r>
          </w:p>
        </w:tc>
        <w:tc>
          <w:tcPr>
            <w:tcW w:w="181" w:type="pct"/>
            <w:tcBorders>
              <w:top w:val="nil"/>
              <w:left w:val="nil"/>
              <w:bottom w:val="nil"/>
              <w:right w:val="nil"/>
            </w:tcBorders>
            <w:shd w:val="clear" w:color="auto" w:fill="auto"/>
            <w:noWrap/>
            <w:vAlign w:val="bottom"/>
            <w:hideMark/>
          </w:tcPr>
          <w:p w14:paraId="179402CD" w14:textId="77777777" w:rsidR="00B54F4E" w:rsidRPr="00D050B8" w:rsidRDefault="00B54F4E" w:rsidP="006504C4">
            <w:pPr>
              <w:spacing w:before="0" w:after="0"/>
              <w:jc w:val="right"/>
              <w:rPr>
                <w:rFonts w:ascii="Calibri" w:hAnsi="Calibri" w:cs="Calibri"/>
                <w:color w:val="00B050"/>
                <w:sz w:val="12"/>
                <w:szCs w:val="22"/>
                <w:lang w:eastAsia="es-CO"/>
              </w:rPr>
            </w:pPr>
          </w:p>
        </w:tc>
        <w:tc>
          <w:tcPr>
            <w:tcW w:w="156" w:type="pct"/>
            <w:tcBorders>
              <w:top w:val="nil"/>
              <w:left w:val="nil"/>
              <w:bottom w:val="nil"/>
              <w:right w:val="nil"/>
            </w:tcBorders>
            <w:shd w:val="clear" w:color="auto" w:fill="auto"/>
            <w:noWrap/>
            <w:vAlign w:val="bottom"/>
            <w:hideMark/>
          </w:tcPr>
          <w:p w14:paraId="243C3B28"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35B6285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836CEB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9A57AB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C622483"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C1F817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FB798A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169709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510B31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CB40EB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2A6532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1D01D8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809F6F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1547F0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1992D51"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7C6C6240"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3C9A01C9" w14:textId="77777777" w:rsidTr="006504C4">
        <w:trPr>
          <w:trHeight w:val="200"/>
        </w:trPr>
        <w:tc>
          <w:tcPr>
            <w:tcW w:w="1281" w:type="pct"/>
            <w:tcBorders>
              <w:top w:val="nil"/>
              <w:left w:val="nil"/>
              <w:bottom w:val="nil"/>
              <w:right w:val="nil"/>
            </w:tcBorders>
            <w:shd w:val="clear" w:color="auto" w:fill="auto"/>
            <w:noWrap/>
            <w:vAlign w:val="bottom"/>
            <w:hideMark/>
          </w:tcPr>
          <w:p w14:paraId="1F52AAEC"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Potencial de ahorro por cambio de bombillo Incandecente a LED</w:t>
            </w:r>
          </w:p>
        </w:tc>
        <w:tc>
          <w:tcPr>
            <w:tcW w:w="256" w:type="pct"/>
            <w:tcBorders>
              <w:top w:val="nil"/>
              <w:left w:val="nil"/>
              <w:bottom w:val="nil"/>
              <w:right w:val="nil"/>
            </w:tcBorders>
            <w:shd w:val="clear" w:color="auto" w:fill="auto"/>
            <w:noWrap/>
            <w:vAlign w:val="bottom"/>
            <w:hideMark/>
          </w:tcPr>
          <w:p w14:paraId="4173EB1D" w14:textId="77777777" w:rsidR="00B54F4E" w:rsidRPr="00D050B8" w:rsidRDefault="00B54F4E" w:rsidP="006504C4">
            <w:pPr>
              <w:spacing w:before="0" w:after="0"/>
              <w:jc w:val="right"/>
              <w:rPr>
                <w:rFonts w:ascii="Calibri" w:hAnsi="Calibri" w:cs="Calibri"/>
                <w:color w:val="0000FF"/>
                <w:sz w:val="12"/>
                <w:szCs w:val="22"/>
                <w:lang w:eastAsia="es-CO"/>
              </w:rPr>
            </w:pPr>
            <w:r w:rsidRPr="00D050B8">
              <w:rPr>
                <w:rFonts w:ascii="Calibri" w:hAnsi="Calibri" w:cs="Calibri"/>
                <w:color w:val="0000FF"/>
                <w:sz w:val="12"/>
                <w:szCs w:val="22"/>
                <w:lang w:eastAsia="es-CO"/>
              </w:rPr>
              <w:t>82,7%</w:t>
            </w:r>
          </w:p>
        </w:tc>
        <w:tc>
          <w:tcPr>
            <w:tcW w:w="181" w:type="pct"/>
            <w:tcBorders>
              <w:top w:val="nil"/>
              <w:left w:val="nil"/>
              <w:bottom w:val="nil"/>
              <w:right w:val="nil"/>
            </w:tcBorders>
            <w:shd w:val="clear" w:color="auto" w:fill="auto"/>
            <w:noWrap/>
            <w:vAlign w:val="bottom"/>
            <w:hideMark/>
          </w:tcPr>
          <w:p w14:paraId="170F8709" w14:textId="77777777" w:rsidR="00B54F4E" w:rsidRPr="00D050B8" w:rsidRDefault="00B54F4E" w:rsidP="006504C4">
            <w:pPr>
              <w:spacing w:before="0" w:after="0"/>
              <w:jc w:val="right"/>
              <w:rPr>
                <w:rFonts w:ascii="Calibri" w:hAnsi="Calibri" w:cs="Calibri"/>
                <w:color w:val="0000FF"/>
                <w:sz w:val="12"/>
                <w:szCs w:val="22"/>
                <w:lang w:eastAsia="es-CO"/>
              </w:rPr>
            </w:pPr>
          </w:p>
        </w:tc>
        <w:tc>
          <w:tcPr>
            <w:tcW w:w="156" w:type="pct"/>
            <w:tcBorders>
              <w:top w:val="nil"/>
              <w:left w:val="nil"/>
              <w:bottom w:val="nil"/>
              <w:right w:val="nil"/>
            </w:tcBorders>
            <w:shd w:val="clear" w:color="auto" w:fill="auto"/>
            <w:noWrap/>
            <w:vAlign w:val="bottom"/>
            <w:hideMark/>
          </w:tcPr>
          <w:p w14:paraId="49BC3365"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540C7C5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E0AD67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0D3852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DA7F9D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029852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3E6F84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ECE6E1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063379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958424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9F4182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44E7E8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25816D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872341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0453058"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095C7FA8"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23A847EC" w14:textId="77777777" w:rsidTr="006504C4">
        <w:trPr>
          <w:trHeight w:val="200"/>
        </w:trPr>
        <w:tc>
          <w:tcPr>
            <w:tcW w:w="1281" w:type="pct"/>
            <w:tcBorders>
              <w:top w:val="nil"/>
              <w:left w:val="nil"/>
              <w:bottom w:val="single" w:sz="4" w:space="0" w:color="000000"/>
              <w:right w:val="nil"/>
            </w:tcBorders>
            <w:shd w:val="clear" w:color="auto" w:fill="auto"/>
            <w:noWrap/>
            <w:vAlign w:val="bottom"/>
            <w:hideMark/>
          </w:tcPr>
          <w:p w14:paraId="7B4346DF"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Potencial de ahorro por cambio de bombillo LFC a LED</w:t>
            </w:r>
          </w:p>
        </w:tc>
        <w:tc>
          <w:tcPr>
            <w:tcW w:w="256" w:type="pct"/>
            <w:tcBorders>
              <w:top w:val="nil"/>
              <w:left w:val="nil"/>
              <w:bottom w:val="single" w:sz="4" w:space="0" w:color="000000"/>
              <w:right w:val="nil"/>
            </w:tcBorders>
            <w:shd w:val="clear" w:color="auto" w:fill="auto"/>
            <w:noWrap/>
            <w:vAlign w:val="bottom"/>
            <w:hideMark/>
          </w:tcPr>
          <w:p w14:paraId="5F02C475" w14:textId="77777777" w:rsidR="00B54F4E" w:rsidRPr="00D050B8" w:rsidRDefault="00B54F4E" w:rsidP="006504C4">
            <w:pPr>
              <w:spacing w:before="0" w:after="0"/>
              <w:jc w:val="right"/>
              <w:rPr>
                <w:rFonts w:ascii="Calibri" w:hAnsi="Calibri" w:cs="Calibri"/>
                <w:color w:val="0000FF"/>
                <w:sz w:val="12"/>
                <w:szCs w:val="22"/>
                <w:lang w:eastAsia="es-CO"/>
              </w:rPr>
            </w:pPr>
            <w:r w:rsidRPr="00D050B8">
              <w:rPr>
                <w:rFonts w:ascii="Calibri" w:hAnsi="Calibri" w:cs="Calibri"/>
                <w:color w:val="0000FF"/>
                <w:sz w:val="12"/>
                <w:szCs w:val="22"/>
                <w:lang w:eastAsia="es-CO"/>
              </w:rPr>
              <w:t>33,3%</w:t>
            </w:r>
          </w:p>
        </w:tc>
        <w:tc>
          <w:tcPr>
            <w:tcW w:w="181" w:type="pct"/>
            <w:tcBorders>
              <w:top w:val="nil"/>
              <w:left w:val="nil"/>
              <w:bottom w:val="nil"/>
              <w:right w:val="nil"/>
            </w:tcBorders>
            <w:shd w:val="clear" w:color="auto" w:fill="auto"/>
            <w:noWrap/>
            <w:vAlign w:val="bottom"/>
            <w:hideMark/>
          </w:tcPr>
          <w:p w14:paraId="0837A8A1" w14:textId="77777777" w:rsidR="00B54F4E" w:rsidRPr="00D050B8" w:rsidRDefault="00B54F4E" w:rsidP="006504C4">
            <w:pPr>
              <w:spacing w:before="0" w:after="0"/>
              <w:jc w:val="right"/>
              <w:rPr>
                <w:rFonts w:ascii="Calibri" w:hAnsi="Calibri" w:cs="Calibri"/>
                <w:color w:val="0000FF"/>
                <w:sz w:val="12"/>
                <w:szCs w:val="22"/>
                <w:lang w:eastAsia="es-CO"/>
              </w:rPr>
            </w:pPr>
          </w:p>
        </w:tc>
        <w:tc>
          <w:tcPr>
            <w:tcW w:w="156" w:type="pct"/>
            <w:tcBorders>
              <w:top w:val="nil"/>
              <w:left w:val="nil"/>
              <w:bottom w:val="nil"/>
              <w:right w:val="nil"/>
            </w:tcBorders>
            <w:shd w:val="clear" w:color="auto" w:fill="auto"/>
            <w:noWrap/>
            <w:vAlign w:val="bottom"/>
            <w:hideMark/>
          </w:tcPr>
          <w:p w14:paraId="5A4CE015"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523D7D4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BFC5CC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B80BA9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48289A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EE75C8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CD57BD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4FD987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FCDE1B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859324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0EB815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5CF0BB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300CB5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0857F0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C661E41"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54A39C19"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086EB1FA" w14:textId="77777777" w:rsidTr="006504C4">
        <w:trPr>
          <w:trHeight w:val="200"/>
        </w:trPr>
        <w:tc>
          <w:tcPr>
            <w:tcW w:w="1281" w:type="pct"/>
            <w:tcBorders>
              <w:top w:val="nil"/>
              <w:left w:val="nil"/>
              <w:bottom w:val="single" w:sz="4" w:space="0" w:color="000000"/>
              <w:right w:val="nil"/>
            </w:tcBorders>
            <w:shd w:val="clear" w:color="auto" w:fill="auto"/>
            <w:noWrap/>
            <w:vAlign w:val="bottom"/>
            <w:hideMark/>
          </w:tcPr>
          <w:p w14:paraId="09DBDE3D"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Costo de un bombillo LED ($USD)</w:t>
            </w:r>
          </w:p>
        </w:tc>
        <w:tc>
          <w:tcPr>
            <w:tcW w:w="256" w:type="pct"/>
            <w:tcBorders>
              <w:top w:val="nil"/>
              <w:left w:val="nil"/>
              <w:bottom w:val="single" w:sz="4" w:space="0" w:color="000000"/>
              <w:right w:val="nil"/>
            </w:tcBorders>
            <w:shd w:val="clear" w:color="auto" w:fill="auto"/>
            <w:noWrap/>
            <w:vAlign w:val="bottom"/>
            <w:hideMark/>
          </w:tcPr>
          <w:p w14:paraId="52E971CC" w14:textId="77777777" w:rsidR="00B54F4E" w:rsidRPr="00D050B8" w:rsidRDefault="00B54F4E" w:rsidP="006504C4">
            <w:pPr>
              <w:spacing w:before="0" w:after="0"/>
              <w:jc w:val="right"/>
              <w:rPr>
                <w:rFonts w:ascii="Calibri" w:hAnsi="Calibri" w:cs="Calibri"/>
                <w:color w:val="0000FF"/>
                <w:sz w:val="12"/>
                <w:szCs w:val="22"/>
                <w:lang w:eastAsia="es-CO"/>
              </w:rPr>
            </w:pPr>
            <w:r w:rsidRPr="00D050B8">
              <w:rPr>
                <w:rFonts w:ascii="Calibri" w:hAnsi="Calibri" w:cs="Calibri"/>
                <w:color w:val="0000FF"/>
                <w:sz w:val="12"/>
                <w:szCs w:val="22"/>
                <w:lang w:eastAsia="es-CO"/>
              </w:rPr>
              <w:t>8,00</w:t>
            </w:r>
          </w:p>
        </w:tc>
        <w:tc>
          <w:tcPr>
            <w:tcW w:w="181" w:type="pct"/>
            <w:tcBorders>
              <w:top w:val="nil"/>
              <w:left w:val="nil"/>
              <w:bottom w:val="nil"/>
              <w:right w:val="nil"/>
            </w:tcBorders>
            <w:shd w:val="clear" w:color="auto" w:fill="auto"/>
            <w:noWrap/>
            <w:vAlign w:val="bottom"/>
            <w:hideMark/>
          </w:tcPr>
          <w:p w14:paraId="60BF7C52" w14:textId="77777777" w:rsidR="00B54F4E" w:rsidRPr="00D050B8" w:rsidRDefault="00B54F4E" w:rsidP="006504C4">
            <w:pPr>
              <w:spacing w:before="0" w:after="0"/>
              <w:jc w:val="right"/>
              <w:rPr>
                <w:rFonts w:ascii="Calibri" w:hAnsi="Calibri" w:cs="Calibri"/>
                <w:color w:val="0000FF"/>
                <w:sz w:val="12"/>
                <w:szCs w:val="22"/>
                <w:lang w:eastAsia="es-CO"/>
              </w:rPr>
            </w:pPr>
          </w:p>
        </w:tc>
        <w:tc>
          <w:tcPr>
            <w:tcW w:w="156" w:type="pct"/>
            <w:tcBorders>
              <w:top w:val="nil"/>
              <w:left w:val="nil"/>
              <w:bottom w:val="nil"/>
              <w:right w:val="nil"/>
            </w:tcBorders>
            <w:shd w:val="clear" w:color="auto" w:fill="auto"/>
            <w:noWrap/>
            <w:vAlign w:val="bottom"/>
            <w:hideMark/>
          </w:tcPr>
          <w:p w14:paraId="2D112E22"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072387C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91B897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075ADB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D9524C3"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DB00EE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6397BE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652422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CC09CB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44934C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77AB2E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92DFE0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476BEF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A89BA1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0B4D774"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54BA4179"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3631AA87" w14:textId="77777777" w:rsidTr="006504C4">
        <w:trPr>
          <w:trHeight w:val="200"/>
        </w:trPr>
        <w:tc>
          <w:tcPr>
            <w:tcW w:w="1281" w:type="pct"/>
            <w:tcBorders>
              <w:top w:val="nil"/>
              <w:left w:val="nil"/>
              <w:bottom w:val="single" w:sz="4" w:space="0" w:color="000000"/>
              <w:right w:val="nil"/>
            </w:tcBorders>
            <w:shd w:val="clear" w:color="auto" w:fill="auto"/>
            <w:noWrap/>
            <w:vAlign w:val="bottom"/>
            <w:hideMark/>
          </w:tcPr>
          <w:p w14:paraId="19AE7055"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Número de bombillos en hogar nuevo</w:t>
            </w:r>
          </w:p>
        </w:tc>
        <w:tc>
          <w:tcPr>
            <w:tcW w:w="256" w:type="pct"/>
            <w:tcBorders>
              <w:top w:val="nil"/>
              <w:left w:val="nil"/>
              <w:bottom w:val="single" w:sz="4" w:space="0" w:color="000000"/>
              <w:right w:val="nil"/>
            </w:tcBorders>
            <w:shd w:val="clear" w:color="auto" w:fill="auto"/>
            <w:noWrap/>
            <w:vAlign w:val="bottom"/>
            <w:hideMark/>
          </w:tcPr>
          <w:p w14:paraId="54181C4F" w14:textId="77777777" w:rsidR="00B54F4E" w:rsidRPr="00D050B8" w:rsidRDefault="00B54F4E" w:rsidP="006504C4">
            <w:pPr>
              <w:spacing w:before="0" w:after="0"/>
              <w:jc w:val="right"/>
              <w:rPr>
                <w:rFonts w:ascii="Calibri" w:hAnsi="Calibri" w:cs="Calibri"/>
                <w:color w:val="0000FF"/>
                <w:sz w:val="12"/>
                <w:szCs w:val="22"/>
                <w:lang w:eastAsia="es-CO"/>
              </w:rPr>
            </w:pPr>
            <w:r w:rsidRPr="00D050B8">
              <w:rPr>
                <w:rFonts w:ascii="Calibri" w:hAnsi="Calibri" w:cs="Calibri"/>
                <w:color w:val="0000FF"/>
                <w:sz w:val="12"/>
                <w:szCs w:val="22"/>
                <w:lang w:eastAsia="es-CO"/>
              </w:rPr>
              <w:t>10</w:t>
            </w:r>
          </w:p>
        </w:tc>
        <w:tc>
          <w:tcPr>
            <w:tcW w:w="181" w:type="pct"/>
            <w:tcBorders>
              <w:top w:val="nil"/>
              <w:left w:val="nil"/>
              <w:bottom w:val="nil"/>
              <w:right w:val="nil"/>
            </w:tcBorders>
            <w:shd w:val="clear" w:color="auto" w:fill="auto"/>
            <w:noWrap/>
            <w:vAlign w:val="bottom"/>
            <w:hideMark/>
          </w:tcPr>
          <w:p w14:paraId="3C02DBB7" w14:textId="77777777" w:rsidR="00B54F4E" w:rsidRPr="00D050B8" w:rsidRDefault="00B54F4E" w:rsidP="006504C4">
            <w:pPr>
              <w:spacing w:before="0" w:after="0"/>
              <w:jc w:val="right"/>
              <w:rPr>
                <w:rFonts w:ascii="Calibri" w:hAnsi="Calibri" w:cs="Calibri"/>
                <w:color w:val="0000FF"/>
                <w:sz w:val="12"/>
                <w:szCs w:val="22"/>
                <w:lang w:eastAsia="es-CO"/>
              </w:rPr>
            </w:pPr>
          </w:p>
        </w:tc>
        <w:tc>
          <w:tcPr>
            <w:tcW w:w="156" w:type="pct"/>
            <w:tcBorders>
              <w:top w:val="nil"/>
              <w:left w:val="nil"/>
              <w:bottom w:val="nil"/>
              <w:right w:val="nil"/>
            </w:tcBorders>
            <w:shd w:val="clear" w:color="auto" w:fill="auto"/>
            <w:noWrap/>
            <w:vAlign w:val="bottom"/>
            <w:hideMark/>
          </w:tcPr>
          <w:p w14:paraId="54B3CD3A"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10D50A6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7FDE81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2BCA04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95E98C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D18700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D8E6C9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BE8076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F722AD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9E1EA73"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AEBF2A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8C9B9D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DEAD1D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480ADB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79567C6"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19BB0168"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706613DF" w14:textId="77777777" w:rsidTr="006504C4">
        <w:trPr>
          <w:trHeight w:val="200"/>
        </w:trPr>
        <w:tc>
          <w:tcPr>
            <w:tcW w:w="1281" w:type="pct"/>
            <w:tcBorders>
              <w:top w:val="nil"/>
              <w:left w:val="nil"/>
              <w:bottom w:val="nil"/>
              <w:right w:val="nil"/>
            </w:tcBorders>
            <w:shd w:val="clear" w:color="auto" w:fill="auto"/>
            <w:noWrap/>
            <w:vAlign w:val="bottom"/>
            <w:hideMark/>
          </w:tcPr>
          <w:p w14:paraId="2A67DC47" w14:textId="77777777" w:rsidR="00B54F4E" w:rsidRPr="00D050B8" w:rsidRDefault="00B54F4E" w:rsidP="006504C4">
            <w:pPr>
              <w:spacing w:before="0" w:after="0"/>
              <w:jc w:val="left"/>
              <w:rPr>
                <w:rFonts w:ascii="Times New Roman" w:hAnsi="Times New Roman"/>
                <w:sz w:val="12"/>
                <w:lang w:eastAsia="es-CO"/>
              </w:rPr>
            </w:pPr>
          </w:p>
        </w:tc>
        <w:tc>
          <w:tcPr>
            <w:tcW w:w="256" w:type="pct"/>
            <w:tcBorders>
              <w:top w:val="nil"/>
              <w:left w:val="nil"/>
              <w:bottom w:val="nil"/>
              <w:right w:val="nil"/>
            </w:tcBorders>
            <w:shd w:val="clear" w:color="auto" w:fill="auto"/>
            <w:noWrap/>
            <w:vAlign w:val="bottom"/>
            <w:hideMark/>
          </w:tcPr>
          <w:p w14:paraId="6D7A6476" w14:textId="77777777" w:rsidR="00B54F4E" w:rsidRPr="00D050B8" w:rsidRDefault="00B54F4E" w:rsidP="006504C4">
            <w:pPr>
              <w:spacing w:before="0" w:after="0"/>
              <w:jc w:val="left"/>
              <w:rPr>
                <w:rFonts w:ascii="Times New Roman" w:hAnsi="Times New Roman"/>
                <w:sz w:val="12"/>
                <w:lang w:eastAsia="es-CO"/>
              </w:rPr>
            </w:pPr>
          </w:p>
        </w:tc>
        <w:tc>
          <w:tcPr>
            <w:tcW w:w="181" w:type="pct"/>
            <w:tcBorders>
              <w:top w:val="nil"/>
              <w:left w:val="nil"/>
              <w:bottom w:val="nil"/>
              <w:right w:val="nil"/>
            </w:tcBorders>
            <w:shd w:val="clear" w:color="auto" w:fill="auto"/>
            <w:noWrap/>
            <w:vAlign w:val="bottom"/>
            <w:hideMark/>
          </w:tcPr>
          <w:p w14:paraId="0B6CE673"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6BD18CB0"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610F1DA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BF11763"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B1AFFA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5CE05C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BC07CE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284B36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7E3A8F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3D62C8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A77093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3AA4CF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757777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18F2B5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C7E359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0D9E5C7"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0250CA1B"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753CC0C1" w14:textId="77777777" w:rsidTr="006504C4">
        <w:trPr>
          <w:trHeight w:val="200"/>
        </w:trPr>
        <w:tc>
          <w:tcPr>
            <w:tcW w:w="1281" w:type="pct"/>
            <w:tcBorders>
              <w:top w:val="nil"/>
              <w:left w:val="nil"/>
              <w:bottom w:val="nil"/>
              <w:right w:val="nil"/>
            </w:tcBorders>
            <w:shd w:val="clear" w:color="auto" w:fill="auto"/>
            <w:noWrap/>
            <w:vAlign w:val="bottom"/>
            <w:hideMark/>
          </w:tcPr>
          <w:p w14:paraId="17153659" w14:textId="77777777" w:rsidR="00B54F4E" w:rsidRPr="00D050B8" w:rsidRDefault="00B54F4E" w:rsidP="006504C4">
            <w:pPr>
              <w:spacing w:before="0" w:after="0"/>
              <w:jc w:val="left"/>
              <w:rPr>
                <w:rFonts w:ascii="Times New Roman" w:hAnsi="Times New Roman"/>
                <w:sz w:val="12"/>
                <w:lang w:eastAsia="es-CO"/>
              </w:rPr>
            </w:pPr>
          </w:p>
        </w:tc>
        <w:tc>
          <w:tcPr>
            <w:tcW w:w="256" w:type="pct"/>
            <w:tcBorders>
              <w:top w:val="nil"/>
              <w:left w:val="nil"/>
              <w:bottom w:val="nil"/>
              <w:right w:val="nil"/>
            </w:tcBorders>
            <w:shd w:val="clear" w:color="auto" w:fill="auto"/>
            <w:noWrap/>
            <w:vAlign w:val="bottom"/>
            <w:hideMark/>
          </w:tcPr>
          <w:p w14:paraId="23D2A0C4" w14:textId="77777777" w:rsidR="00B54F4E" w:rsidRPr="00D050B8" w:rsidRDefault="00B54F4E" w:rsidP="006504C4">
            <w:pPr>
              <w:spacing w:before="0" w:after="0"/>
              <w:jc w:val="left"/>
              <w:rPr>
                <w:rFonts w:ascii="Times New Roman" w:hAnsi="Times New Roman"/>
                <w:sz w:val="12"/>
                <w:lang w:eastAsia="es-CO"/>
              </w:rPr>
            </w:pPr>
          </w:p>
        </w:tc>
        <w:tc>
          <w:tcPr>
            <w:tcW w:w="181" w:type="pct"/>
            <w:tcBorders>
              <w:top w:val="nil"/>
              <w:left w:val="nil"/>
              <w:bottom w:val="nil"/>
              <w:right w:val="nil"/>
            </w:tcBorders>
            <w:shd w:val="clear" w:color="auto" w:fill="auto"/>
            <w:noWrap/>
            <w:vAlign w:val="bottom"/>
            <w:hideMark/>
          </w:tcPr>
          <w:p w14:paraId="626E4E07"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3CB43FAE"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69FBC79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B24830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2C2C27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4AA0CF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ABF539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8F7949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D0D181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A60ED2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377257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CE4614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075AD7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D8CE76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19547B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6ECD1EF"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163E75E0"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404ECC88" w14:textId="77777777" w:rsidTr="006504C4">
        <w:trPr>
          <w:trHeight w:val="200"/>
        </w:trPr>
        <w:tc>
          <w:tcPr>
            <w:tcW w:w="1281" w:type="pct"/>
            <w:tcBorders>
              <w:top w:val="nil"/>
              <w:left w:val="nil"/>
              <w:bottom w:val="single" w:sz="4" w:space="0" w:color="auto"/>
              <w:right w:val="nil"/>
            </w:tcBorders>
            <w:shd w:val="clear" w:color="auto" w:fill="auto"/>
            <w:noWrap/>
            <w:vAlign w:val="bottom"/>
            <w:hideMark/>
          </w:tcPr>
          <w:p w14:paraId="36BB96AA" w14:textId="77777777" w:rsidR="00B54F4E" w:rsidRPr="00D050B8" w:rsidRDefault="00B54F4E" w:rsidP="006504C4">
            <w:pPr>
              <w:spacing w:before="0" w:after="0"/>
              <w:jc w:val="left"/>
              <w:rPr>
                <w:rFonts w:ascii="Calibri" w:hAnsi="Calibri" w:cs="Calibri"/>
                <w:b/>
                <w:bCs/>
                <w:color w:val="000000"/>
                <w:sz w:val="12"/>
                <w:szCs w:val="22"/>
                <w:lang w:eastAsia="es-CO"/>
              </w:rPr>
            </w:pPr>
            <w:r w:rsidRPr="00D050B8">
              <w:rPr>
                <w:rFonts w:ascii="Calibri" w:hAnsi="Calibri" w:cs="Calibri"/>
                <w:b/>
                <w:bCs/>
                <w:color w:val="000000"/>
                <w:sz w:val="12"/>
                <w:szCs w:val="22"/>
                <w:lang w:eastAsia="es-CO"/>
              </w:rPr>
              <w:t>$USD</w:t>
            </w:r>
          </w:p>
        </w:tc>
        <w:tc>
          <w:tcPr>
            <w:tcW w:w="256" w:type="pct"/>
            <w:tcBorders>
              <w:top w:val="nil"/>
              <w:left w:val="nil"/>
              <w:bottom w:val="single" w:sz="4" w:space="0" w:color="auto"/>
              <w:right w:val="nil"/>
            </w:tcBorders>
            <w:shd w:val="clear" w:color="auto" w:fill="auto"/>
            <w:noWrap/>
            <w:vAlign w:val="bottom"/>
            <w:hideMark/>
          </w:tcPr>
          <w:p w14:paraId="558FB69F" w14:textId="77777777" w:rsidR="00B54F4E" w:rsidRPr="00D050B8" w:rsidRDefault="00B54F4E" w:rsidP="006504C4">
            <w:pPr>
              <w:spacing w:before="0" w:after="0"/>
              <w:jc w:val="left"/>
              <w:rPr>
                <w:rFonts w:ascii="Calibri" w:hAnsi="Calibri" w:cs="Calibri"/>
                <w:b/>
                <w:bCs/>
                <w:color w:val="000000"/>
                <w:sz w:val="12"/>
                <w:szCs w:val="22"/>
                <w:lang w:eastAsia="es-CO"/>
              </w:rPr>
            </w:pPr>
            <w:r w:rsidRPr="00D050B8">
              <w:rPr>
                <w:rFonts w:ascii="Calibri" w:hAnsi="Calibri" w:cs="Calibri"/>
                <w:b/>
                <w:bCs/>
                <w:color w:val="000000"/>
                <w:sz w:val="12"/>
                <w:szCs w:val="22"/>
                <w:lang w:eastAsia="es-CO"/>
              </w:rPr>
              <w:t> </w:t>
            </w:r>
          </w:p>
        </w:tc>
        <w:tc>
          <w:tcPr>
            <w:tcW w:w="181" w:type="pct"/>
            <w:tcBorders>
              <w:top w:val="single" w:sz="4" w:space="0" w:color="FFFFFF"/>
              <w:left w:val="nil"/>
              <w:bottom w:val="single" w:sz="4" w:space="0" w:color="auto"/>
              <w:right w:val="single" w:sz="4" w:space="0" w:color="FFFFFF"/>
            </w:tcBorders>
            <w:shd w:val="clear" w:color="000000" w:fill="203764"/>
            <w:noWrap/>
            <w:vAlign w:val="bottom"/>
            <w:hideMark/>
          </w:tcPr>
          <w:p w14:paraId="055DDAD1"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2014</w:t>
            </w:r>
          </w:p>
        </w:tc>
        <w:tc>
          <w:tcPr>
            <w:tcW w:w="156" w:type="pct"/>
            <w:tcBorders>
              <w:top w:val="single" w:sz="4" w:space="0" w:color="FFFFFF"/>
              <w:left w:val="nil"/>
              <w:bottom w:val="single" w:sz="4" w:space="0" w:color="auto"/>
              <w:right w:val="single" w:sz="4" w:space="0" w:color="FFFFFF"/>
            </w:tcBorders>
            <w:shd w:val="clear" w:color="000000" w:fill="203764"/>
            <w:noWrap/>
            <w:vAlign w:val="bottom"/>
            <w:hideMark/>
          </w:tcPr>
          <w:p w14:paraId="7CA02A5C"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2015</w:t>
            </w:r>
          </w:p>
        </w:tc>
        <w:tc>
          <w:tcPr>
            <w:tcW w:w="202" w:type="pct"/>
            <w:tcBorders>
              <w:top w:val="single" w:sz="4" w:space="0" w:color="FFFFFF"/>
              <w:left w:val="nil"/>
              <w:bottom w:val="single" w:sz="4" w:space="0" w:color="auto"/>
              <w:right w:val="single" w:sz="4" w:space="0" w:color="FFFFFF"/>
            </w:tcBorders>
            <w:shd w:val="clear" w:color="000000" w:fill="203764"/>
            <w:noWrap/>
            <w:vAlign w:val="bottom"/>
            <w:hideMark/>
          </w:tcPr>
          <w:p w14:paraId="27861298"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2016</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5D841EC5"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2017</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309D4555"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2018</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1C799896"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2019</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7FDF69A3"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2020</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38E4866E"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2021</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3205F950"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2022</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2A3A3340"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2023</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15CCF924"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2024</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737E9A37"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2025</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5AEF1C67"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2026</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22216EF7"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2027</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77AAC182"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2028</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6CCE98E0"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2029</w:t>
            </w:r>
          </w:p>
        </w:tc>
        <w:tc>
          <w:tcPr>
            <w:tcW w:w="207" w:type="pct"/>
            <w:tcBorders>
              <w:top w:val="single" w:sz="4" w:space="0" w:color="FFFFFF"/>
              <w:left w:val="nil"/>
              <w:bottom w:val="single" w:sz="4" w:space="0" w:color="auto"/>
              <w:right w:val="single" w:sz="4" w:space="0" w:color="FFFFFF"/>
            </w:tcBorders>
            <w:shd w:val="clear" w:color="000000" w:fill="203764"/>
            <w:noWrap/>
            <w:vAlign w:val="bottom"/>
            <w:hideMark/>
          </w:tcPr>
          <w:p w14:paraId="4CCBC4EE"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2030</w:t>
            </w:r>
          </w:p>
        </w:tc>
      </w:tr>
      <w:tr w:rsidR="00B54F4E" w:rsidRPr="00D050B8" w14:paraId="01B37EDF" w14:textId="77777777" w:rsidTr="006504C4">
        <w:trPr>
          <w:trHeight w:val="200"/>
        </w:trPr>
        <w:tc>
          <w:tcPr>
            <w:tcW w:w="1281" w:type="pct"/>
            <w:tcBorders>
              <w:top w:val="nil"/>
              <w:left w:val="nil"/>
              <w:bottom w:val="nil"/>
              <w:right w:val="nil"/>
            </w:tcBorders>
            <w:shd w:val="clear" w:color="auto" w:fill="auto"/>
            <w:noWrap/>
            <w:vAlign w:val="bottom"/>
            <w:hideMark/>
          </w:tcPr>
          <w:p w14:paraId="2A0950BA" w14:textId="77777777" w:rsidR="00B54F4E" w:rsidRPr="00D050B8" w:rsidRDefault="00B54F4E" w:rsidP="006504C4">
            <w:pPr>
              <w:spacing w:before="0" w:after="0"/>
              <w:jc w:val="left"/>
              <w:rPr>
                <w:rFonts w:ascii="Calibri" w:hAnsi="Calibri" w:cs="Calibri"/>
                <w:color w:val="000000"/>
                <w:sz w:val="12"/>
                <w:szCs w:val="22"/>
                <w:lang w:eastAsia="es-CO"/>
              </w:rPr>
            </w:pPr>
            <w:bookmarkStart w:id="153" w:name="RANGE!B106:T108"/>
            <w:r w:rsidRPr="00D050B8">
              <w:rPr>
                <w:rFonts w:ascii="Calibri" w:hAnsi="Calibri" w:cs="Calibri"/>
                <w:color w:val="000000"/>
                <w:sz w:val="12"/>
                <w:szCs w:val="22"/>
                <w:lang w:eastAsia="es-CO"/>
              </w:rPr>
              <w:t>Consumo de iluminación GWh/Año</w:t>
            </w:r>
            <w:bookmarkEnd w:id="153"/>
          </w:p>
        </w:tc>
        <w:tc>
          <w:tcPr>
            <w:tcW w:w="256" w:type="pct"/>
            <w:tcBorders>
              <w:top w:val="nil"/>
              <w:left w:val="nil"/>
              <w:bottom w:val="nil"/>
              <w:right w:val="nil"/>
            </w:tcBorders>
            <w:shd w:val="clear" w:color="auto" w:fill="auto"/>
            <w:noWrap/>
            <w:vAlign w:val="bottom"/>
            <w:hideMark/>
          </w:tcPr>
          <w:p w14:paraId="426AC8CF" w14:textId="77777777" w:rsidR="00B54F4E" w:rsidRPr="00D050B8" w:rsidRDefault="00B54F4E" w:rsidP="006504C4">
            <w:pPr>
              <w:spacing w:before="0" w:after="0"/>
              <w:jc w:val="left"/>
              <w:rPr>
                <w:rFonts w:ascii="Calibri" w:hAnsi="Calibri" w:cs="Calibri"/>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15A693D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405</w:t>
            </w:r>
          </w:p>
        </w:tc>
        <w:tc>
          <w:tcPr>
            <w:tcW w:w="156" w:type="pct"/>
            <w:tcBorders>
              <w:top w:val="nil"/>
              <w:left w:val="nil"/>
              <w:bottom w:val="nil"/>
              <w:right w:val="nil"/>
            </w:tcBorders>
            <w:shd w:val="clear" w:color="auto" w:fill="auto"/>
            <w:noWrap/>
            <w:vAlign w:val="bottom"/>
            <w:hideMark/>
          </w:tcPr>
          <w:p w14:paraId="3282E63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422</w:t>
            </w:r>
          </w:p>
        </w:tc>
        <w:tc>
          <w:tcPr>
            <w:tcW w:w="202" w:type="pct"/>
            <w:tcBorders>
              <w:top w:val="nil"/>
              <w:left w:val="nil"/>
              <w:bottom w:val="nil"/>
              <w:right w:val="nil"/>
            </w:tcBorders>
            <w:shd w:val="clear" w:color="auto" w:fill="auto"/>
            <w:noWrap/>
            <w:vAlign w:val="bottom"/>
            <w:hideMark/>
          </w:tcPr>
          <w:p w14:paraId="62C5B10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440</w:t>
            </w:r>
          </w:p>
        </w:tc>
        <w:tc>
          <w:tcPr>
            <w:tcW w:w="209" w:type="pct"/>
            <w:tcBorders>
              <w:top w:val="nil"/>
              <w:left w:val="nil"/>
              <w:bottom w:val="nil"/>
              <w:right w:val="nil"/>
            </w:tcBorders>
            <w:shd w:val="clear" w:color="auto" w:fill="auto"/>
            <w:noWrap/>
            <w:vAlign w:val="bottom"/>
            <w:hideMark/>
          </w:tcPr>
          <w:p w14:paraId="5525417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457</w:t>
            </w:r>
          </w:p>
        </w:tc>
        <w:tc>
          <w:tcPr>
            <w:tcW w:w="209" w:type="pct"/>
            <w:tcBorders>
              <w:top w:val="nil"/>
              <w:left w:val="nil"/>
              <w:bottom w:val="nil"/>
              <w:right w:val="nil"/>
            </w:tcBorders>
            <w:shd w:val="clear" w:color="auto" w:fill="auto"/>
            <w:noWrap/>
            <w:vAlign w:val="bottom"/>
            <w:hideMark/>
          </w:tcPr>
          <w:p w14:paraId="114D6FF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475</w:t>
            </w:r>
          </w:p>
        </w:tc>
        <w:tc>
          <w:tcPr>
            <w:tcW w:w="209" w:type="pct"/>
            <w:tcBorders>
              <w:top w:val="nil"/>
              <w:left w:val="nil"/>
              <w:bottom w:val="nil"/>
              <w:right w:val="nil"/>
            </w:tcBorders>
            <w:shd w:val="clear" w:color="auto" w:fill="auto"/>
            <w:noWrap/>
            <w:vAlign w:val="bottom"/>
            <w:hideMark/>
          </w:tcPr>
          <w:p w14:paraId="62CD024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493</w:t>
            </w:r>
          </w:p>
        </w:tc>
        <w:tc>
          <w:tcPr>
            <w:tcW w:w="209" w:type="pct"/>
            <w:tcBorders>
              <w:top w:val="nil"/>
              <w:left w:val="nil"/>
              <w:bottom w:val="nil"/>
              <w:right w:val="nil"/>
            </w:tcBorders>
            <w:shd w:val="clear" w:color="auto" w:fill="auto"/>
            <w:noWrap/>
            <w:vAlign w:val="bottom"/>
            <w:hideMark/>
          </w:tcPr>
          <w:p w14:paraId="6DDCB2A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510</w:t>
            </w:r>
          </w:p>
        </w:tc>
        <w:tc>
          <w:tcPr>
            <w:tcW w:w="209" w:type="pct"/>
            <w:tcBorders>
              <w:top w:val="nil"/>
              <w:left w:val="nil"/>
              <w:bottom w:val="nil"/>
              <w:right w:val="nil"/>
            </w:tcBorders>
            <w:shd w:val="clear" w:color="auto" w:fill="auto"/>
            <w:noWrap/>
            <w:vAlign w:val="bottom"/>
            <w:hideMark/>
          </w:tcPr>
          <w:p w14:paraId="46BDD91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535</w:t>
            </w:r>
          </w:p>
        </w:tc>
        <w:tc>
          <w:tcPr>
            <w:tcW w:w="209" w:type="pct"/>
            <w:tcBorders>
              <w:top w:val="nil"/>
              <w:left w:val="nil"/>
              <w:bottom w:val="nil"/>
              <w:right w:val="nil"/>
            </w:tcBorders>
            <w:shd w:val="clear" w:color="auto" w:fill="auto"/>
            <w:noWrap/>
            <w:vAlign w:val="bottom"/>
            <w:hideMark/>
          </w:tcPr>
          <w:p w14:paraId="7C3DA13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559</w:t>
            </w:r>
          </w:p>
        </w:tc>
        <w:tc>
          <w:tcPr>
            <w:tcW w:w="209" w:type="pct"/>
            <w:tcBorders>
              <w:top w:val="nil"/>
              <w:left w:val="nil"/>
              <w:bottom w:val="nil"/>
              <w:right w:val="nil"/>
            </w:tcBorders>
            <w:shd w:val="clear" w:color="auto" w:fill="auto"/>
            <w:noWrap/>
            <w:vAlign w:val="bottom"/>
            <w:hideMark/>
          </w:tcPr>
          <w:p w14:paraId="635EA9B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583</w:t>
            </w:r>
          </w:p>
        </w:tc>
        <w:tc>
          <w:tcPr>
            <w:tcW w:w="209" w:type="pct"/>
            <w:tcBorders>
              <w:top w:val="nil"/>
              <w:left w:val="nil"/>
              <w:bottom w:val="nil"/>
              <w:right w:val="nil"/>
            </w:tcBorders>
            <w:shd w:val="clear" w:color="auto" w:fill="auto"/>
            <w:noWrap/>
            <w:vAlign w:val="bottom"/>
            <w:hideMark/>
          </w:tcPr>
          <w:p w14:paraId="41A20A0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607</w:t>
            </w:r>
          </w:p>
        </w:tc>
        <w:tc>
          <w:tcPr>
            <w:tcW w:w="209" w:type="pct"/>
            <w:tcBorders>
              <w:top w:val="nil"/>
              <w:left w:val="nil"/>
              <w:bottom w:val="nil"/>
              <w:right w:val="nil"/>
            </w:tcBorders>
            <w:shd w:val="clear" w:color="auto" w:fill="auto"/>
            <w:noWrap/>
            <w:vAlign w:val="bottom"/>
            <w:hideMark/>
          </w:tcPr>
          <w:p w14:paraId="006796F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656</w:t>
            </w:r>
          </w:p>
        </w:tc>
        <w:tc>
          <w:tcPr>
            <w:tcW w:w="209" w:type="pct"/>
            <w:tcBorders>
              <w:top w:val="nil"/>
              <w:left w:val="nil"/>
              <w:bottom w:val="nil"/>
              <w:right w:val="nil"/>
            </w:tcBorders>
            <w:shd w:val="clear" w:color="auto" w:fill="auto"/>
            <w:noWrap/>
            <w:vAlign w:val="bottom"/>
            <w:hideMark/>
          </w:tcPr>
          <w:p w14:paraId="2118700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687</w:t>
            </w:r>
          </w:p>
        </w:tc>
        <w:tc>
          <w:tcPr>
            <w:tcW w:w="209" w:type="pct"/>
            <w:tcBorders>
              <w:top w:val="nil"/>
              <w:left w:val="nil"/>
              <w:bottom w:val="nil"/>
              <w:right w:val="nil"/>
            </w:tcBorders>
            <w:shd w:val="clear" w:color="auto" w:fill="auto"/>
            <w:noWrap/>
            <w:vAlign w:val="bottom"/>
            <w:hideMark/>
          </w:tcPr>
          <w:p w14:paraId="418FA48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719</w:t>
            </w:r>
          </w:p>
        </w:tc>
        <w:tc>
          <w:tcPr>
            <w:tcW w:w="209" w:type="pct"/>
            <w:tcBorders>
              <w:top w:val="nil"/>
              <w:left w:val="nil"/>
              <w:bottom w:val="nil"/>
              <w:right w:val="nil"/>
            </w:tcBorders>
            <w:shd w:val="clear" w:color="auto" w:fill="auto"/>
            <w:noWrap/>
            <w:vAlign w:val="bottom"/>
            <w:hideMark/>
          </w:tcPr>
          <w:p w14:paraId="3EA69B7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750</w:t>
            </w:r>
          </w:p>
        </w:tc>
        <w:tc>
          <w:tcPr>
            <w:tcW w:w="209" w:type="pct"/>
            <w:tcBorders>
              <w:top w:val="nil"/>
              <w:left w:val="nil"/>
              <w:bottom w:val="nil"/>
              <w:right w:val="nil"/>
            </w:tcBorders>
            <w:shd w:val="clear" w:color="auto" w:fill="auto"/>
            <w:noWrap/>
            <w:vAlign w:val="bottom"/>
            <w:hideMark/>
          </w:tcPr>
          <w:p w14:paraId="18A608D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781</w:t>
            </w:r>
          </w:p>
        </w:tc>
        <w:tc>
          <w:tcPr>
            <w:tcW w:w="207" w:type="pct"/>
            <w:tcBorders>
              <w:top w:val="nil"/>
              <w:left w:val="nil"/>
              <w:bottom w:val="nil"/>
              <w:right w:val="nil"/>
            </w:tcBorders>
            <w:shd w:val="clear" w:color="auto" w:fill="auto"/>
            <w:noWrap/>
            <w:vAlign w:val="bottom"/>
            <w:hideMark/>
          </w:tcPr>
          <w:p w14:paraId="34AD917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844</w:t>
            </w:r>
          </w:p>
        </w:tc>
      </w:tr>
      <w:tr w:rsidR="00B54F4E" w:rsidRPr="00D050B8" w14:paraId="625C01CB" w14:textId="77777777" w:rsidTr="006504C4">
        <w:trPr>
          <w:trHeight w:val="200"/>
        </w:trPr>
        <w:tc>
          <w:tcPr>
            <w:tcW w:w="1281" w:type="pct"/>
            <w:tcBorders>
              <w:top w:val="nil"/>
              <w:left w:val="nil"/>
              <w:bottom w:val="nil"/>
              <w:right w:val="nil"/>
            </w:tcBorders>
            <w:shd w:val="clear" w:color="auto" w:fill="auto"/>
            <w:noWrap/>
            <w:vAlign w:val="bottom"/>
            <w:hideMark/>
          </w:tcPr>
          <w:p w14:paraId="5E16DA4C"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Número de bombillos incandescente a cambiar (por LED)</w:t>
            </w:r>
          </w:p>
        </w:tc>
        <w:tc>
          <w:tcPr>
            <w:tcW w:w="256" w:type="pct"/>
            <w:tcBorders>
              <w:top w:val="nil"/>
              <w:left w:val="nil"/>
              <w:bottom w:val="nil"/>
              <w:right w:val="nil"/>
            </w:tcBorders>
            <w:shd w:val="clear" w:color="auto" w:fill="auto"/>
            <w:noWrap/>
            <w:vAlign w:val="bottom"/>
            <w:hideMark/>
          </w:tcPr>
          <w:p w14:paraId="2DC172AD" w14:textId="77777777" w:rsidR="00B54F4E" w:rsidRPr="00D050B8" w:rsidRDefault="00B54F4E" w:rsidP="006504C4">
            <w:pPr>
              <w:spacing w:before="0" w:after="0"/>
              <w:jc w:val="left"/>
              <w:rPr>
                <w:rFonts w:ascii="Calibri" w:hAnsi="Calibri" w:cs="Calibri"/>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715911E3"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011036C4"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6611B612" w14:textId="77777777" w:rsidR="00B54F4E" w:rsidRPr="00D050B8" w:rsidRDefault="00B54F4E" w:rsidP="006504C4">
            <w:pPr>
              <w:spacing w:before="0" w:after="0"/>
              <w:jc w:val="right"/>
              <w:rPr>
                <w:rFonts w:ascii="Calibri" w:hAnsi="Calibri" w:cs="Calibri"/>
                <w:color w:val="00B050"/>
                <w:sz w:val="12"/>
                <w:szCs w:val="22"/>
                <w:lang w:eastAsia="es-CO"/>
              </w:rPr>
            </w:pPr>
            <w:r w:rsidRPr="00D050B8">
              <w:rPr>
                <w:rFonts w:ascii="Calibri" w:hAnsi="Calibri" w:cs="Calibri"/>
                <w:color w:val="00B050"/>
                <w:sz w:val="12"/>
                <w:szCs w:val="22"/>
                <w:lang w:eastAsia="es-CO"/>
              </w:rPr>
              <w:t>492.576</w:t>
            </w:r>
          </w:p>
        </w:tc>
        <w:tc>
          <w:tcPr>
            <w:tcW w:w="209" w:type="pct"/>
            <w:tcBorders>
              <w:top w:val="nil"/>
              <w:left w:val="nil"/>
              <w:bottom w:val="nil"/>
              <w:right w:val="nil"/>
            </w:tcBorders>
            <w:shd w:val="clear" w:color="auto" w:fill="auto"/>
            <w:noWrap/>
            <w:vAlign w:val="bottom"/>
            <w:hideMark/>
          </w:tcPr>
          <w:p w14:paraId="5082CB9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492.576</w:t>
            </w:r>
          </w:p>
        </w:tc>
        <w:tc>
          <w:tcPr>
            <w:tcW w:w="209" w:type="pct"/>
            <w:tcBorders>
              <w:top w:val="nil"/>
              <w:left w:val="nil"/>
              <w:bottom w:val="nil"/>
              <w:right w:val="nil"/>
            </w:tcBorders>
            <w:shd w:val="clear" w:color="auto" w:fill="auto"/>
            <w:noWrap/>
            <w:vAlign w:val="bottom"/>
            <w:hideMark/>
          </w:tcPr>
          <w:p w14:paraId="44C88F1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492.576</w:t>
            </w:r>
          </w:p>
        </w:tc>
        <w:tc>
          <w:tcPr>
            <w:tcW w:w="209" w:type="pct"/>
            <w:tcBorders>
              <w:top w:val="nil"/>
              <w:left w:val="nil"/>
              <w:bottom w:val="nil"/>
              <w:right w:val="nil"/>
            </w:tcBorders>
            <w:shd w:val="clear" w:color="auto" w:fill="auto"/>
            <w:noWrap/>
            <w:vAlign w:val="bottom"/>
            <w:hideMark/>
          </w:tcPr>
          <w:p w14:paraId="5D25F9C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492.576</w:t>
            </w:r>
          </w:p>
        </w:tc>
        <w:tc>
          <w:tcPr>
            <w:tcW w:w="209" w:type="pct"/>
            <w:tcBorders>
              <w:top w:val="nil"/>
              <w:left w:val="nil"/>
              <w:bottom w:val="nil"/>
              <w:right w:val="nil"/>
            </w:tcBorders>
            <w:shd w:val="clear" w:color="auto" w:fill="auto"/>
            <w:noWrap/>
            <w:vAlign w:val="bottom"/>
            <w:hideMark/>
          </w:tcPr>
          <w:p w14:paraId="14ED6A9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492.576</w:t>
            </w:r>
          </w:p>
        </w:tc>
        <w:tc>
          <w:tcPr>
            <w:tcW w:w="209" w:type="pct"/>
            <w:tcBorders>
              <w:top w:val="nil"/>
              <w:left w:val="nil"/>
              <w:bottom w:val="nil"/>
              <w:right w:val="nil"/>
            </w:tcBorders>
            <w:shd w:val="clear" w:color="auto" w:fill="auto"/>
            <w:noWrap/>
            <w:vAlign w:val="bottom"/>
            <w:hideMark/>
          </w:tcPr>
          <w:p w14:paraId="731F0E60"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240.442</w:t>
            </w:r>
          </w:p>
        </w:tc>
        <w:tc>
          <w:tcPr>
            <w:tcW w:w="209" w:type="pct"/>
            <w:tcBorders>
              <w:top w:val="nil"/>
              <w:left w:val="nil"/>
              <w:bottom w:val="nil"/>
              <w:right w:val="nil"/>
            </w:tcBorders>
            <w:shd w:val="clear" w:color="auto" w:fill="auto"/>
            <w:noWrap/>
            <w:vAlign w:val="bottom"/>
            <w:hideMark/>
          </w:tcPr>
          <w:p w14:paraId="09776BD2"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242.467</w:t>
            </w:r>
          </w:p>
        </w:tc>
        <w:tc>
          <w:tcPr>
            <w:tcW w:w="209" w:type="pct"/>
            <w:tcBorders>
              <w:top w:val="nil"/>
              <w:left w:val="nil"/>
              <w:bottom w:val="nil"/>
              <w:right w:val="nil"/>
            </w:tcBorders>
            <w:shd w:val="clear" w:color="auto" w:fill="auto"/>
            <w:noWrap/>
            <w:vAlign w:val="bottom"/>
            <w:hideMark/>
          </w:tcPr>
          <w:p w14:paraId="456FFCFA"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244.505</w:t>
            </w:r>
          </w:p>
        </w:tc>
        <w:tc>
          <w:tcPr>
            <w:tcW w:w="209" w:type="pct"/>
            <w:tcBorders>
              <w:top w:val="nil"/>
              <w:left w:val="nil"/>
              <w:bottom w:val="nil"/>
              <w:right w:val="nil"/>
            </w:tcBorders>
            <w:shd w:val="clear" w:color="auto" w:fill="auto"/>
            <w:noWrap/>
            <w:vAlign w:val="bottom"/>
            <w:hideMark/>
          </w:tcPr>
          <w:p w14:paraId="7448EAAB"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246.558</w:t>
            </w:r>
          </w:p>
        </w:tc>
        <w:tc>
          <w:tcPr>
            <w:tcW w:w="209" w:type="pct"/>
            <w:tcBorders>
              <w:top w:val="nil"/>
              <w:left w:val="nil"/>
              <w:bottom w:val="nil"/>
              <w:right w:val="nil"/>
            </w:tcBorders>
            <w:shd w:val="clear" w:color="auto" w:fill="auto"/>
            <w:noWrap/>
            <w:vAlign w:val="bottom"/>
            <w:hideMark/>
          </w:tcPr>
          <w:p w14:paraId="2C5F98E2"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248.625</w:t>
            </w:r>
          </w:p>
        </w:tc>
        <w:tc>
          <w:tcPr>
            <w:tcW w:w="209" w:type="pct"/>
            <w:tcBorders>
              <w:top w:val="nil"/>
              <w:left w:val="nil"/>
              <w:bottom w:val="nil"/>
              <w:right w:val="nil"/>
            </w:tcBorders>
            <w:shd w:val="clear" w:color="auto" w:fill="auto"/>
            <w:noWrap/>
            <w:vAlign w:val="bottom"/>
            <w:hideMark/>
          </w:tcPr>
          <w:p w14:paraId="6A78EC31"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250.706</w:t>
            </w:r>
          </w:p>
        </w:tc>
        <w:tc>
          <w:tcPr>
            <w:tcW w:w="209" w:type="pct"/>
            <w:tcBorders>
              <w:top w:val="nil"/>
              <w:left w:val="nil"/>
              <w:bottom w:val="nil"/>
              <w:right w:val="nil"/>
            </w:tcBorders>
            <w:shd w:val="clear" w:color="auto" w:fill="auto"/>
            <w:noWrap/>
            <w:vAlign w:val="bottom"/>
            <w:hideMark/>
          </w:tcPr>
          <w:p w14:paraId="3C0A08B1"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252.801</w:t>
            </w:r>
          </w:p>
        </w:tc>
        <w:tc>
          <w:tcPr>
            <w:tcW w:w="209" w:type="pct"/>
            <w:tcBorders>
              <w:top w:val="nil"/>
              <w:left w:val="nil"/>
              <w:bottom w:val="nil"/>
              <w:right w:val="nil"/>
            </w:tcBorders>
            <w:shd w:val="clear" w:color="auto" w:fill="auto"/>
            <w:noWrap/>
            <w:vAlign w:val="bottom"/>
            <w:hideMark/>
          </w:tcPr>
          <w:p w14:paraId="67FC2F90"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254.911</w:t>
            </w:r>
          </w:p>
        </w:tc>
        <w:tc>
          <w:tcPr>
            <w:tcW w:w="209" w:type="pct"/>
            <w:tcBorders>
              <w:top w:val="nil"/>
              <w:left w:val="nil"/>
              <w:bottom w:val="nil"/>
              <w:right w:val="nil"/>
            </w:tcBorders>
            <w:shd w:val="clear" w:color="auto" w:fill="auto"/>
            <w:noWrap/>
            <w:vAlign w:val="bottom"/>
            <w:hideMark/>
          </w:tcPr>
          <w:p w14:paraId="50B9892B"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257.035</w:t>
            </w:r>
          </w:p>
        </w:tc>
        <w:tc>
          <w:tcPr>
            <w:tcW w:w="207" w:type="pct"/>
            <w:tcBorders>
              <w:top w:val="nil"/>
              <w:left w:val="nil"/>
              <w:bottom w:val="nil"/>
              <w:right w:val="nil"/>
            </w:tcBorders>
            <w:shd w:val="clear" w:color="auto" w:fill="auto"/>
            <w:noWrap/>
            <w:vAlign w:val="bottom"/>
            <w:hideMark/>
          </w:tcPr>
          <w:p w14:paraId="78D01900" w14:textId="77777777" w:rsidR="00B54F4E" w:rsidRPr="00D050B8" w:rsidRDefault="00B54F4E" w:rsidP="006504C4">
            <w:pPr>
              <w:spacing w:before="0" w:after="0"/>
              <w:jc w:val="right"/>
              <w:rPr>
                <w:rFonts w:ascii="Calibri" w:hAnsi="Calibri" w:cs="Calibri"/>
                <w:color w:val="BF8F00"/>
                <w:sz w:val="12"/>
                <w:szCs w:val="22"/>
                <w:lang w:eastAsia="es-CO"/>
              </w:rPr>
            </w:pPr>
            <w:r w:rsidRPr="00D050B8">
              <w:rPr>
                <w:rFonts w:ascii="Calibri" w:hAnsi="Calibri" w:cs="Calibri"/>
                <w:color w:val="BF8F00"/>
                <w:sz w:val="12"/>
                <w:szCs w:val="22"/>
                <w:lang w:eastAsia="es-CO"/>
              </w:rPr>
              <w:t>259.174</w:t>
            </w:r>
          </w:p>
        </w:tc>
      </w:tr>
      <w:tr w:rsidR="00B54F4E" w:rsidRPr="00D050B8" w14:paraId="592B5076" w14:textId="77777777" w:rsidTr="006504C4">
        <w:trPr>
          <w:trHeight w:val="200"/>
        </w:trPr>
        <w:tc>
          <w:tcPr>
            <w:tcW w:w="1281" w:type="pct"/>
            <w:tcBorders>
              <w:top w:val="nil"/>
              <w:left w:val="nil"/>
              <w:bottom w:val="single" w:sz="4" w:space="0" w:color="000000"/>
              <w:right w:val="nil"/>
            </w:tcBorders>
            <w:shd w:val="clear" w:color="auto" w:fill="auto"/>
            <w:noWrap/>
            <w:vAlign w:val="bottom"/>
            <w:hideMark/>
          </w:tcPr>
          <w:p w14:paraId="7EBDBF0E"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Número de bombillos LFC a cambiar (por LED)</w:t>
            </w:r>
          </w:p>
        </w:tc>
        <w:tc>
          <w:tcPr>
            <w:tcW w:w="256" w:type="pct"/>
            <w:tcBorders>
              <w:top w:val="nil"/>
              <w:left w:val="nil"/>
              <w:bottom w:val="single" w:sz="4" w:space="0" w:color="000000"/>
              <w:right w:val="nil"/>
            </w:tcBorders>
            <w:shd w:val="clear" w:color="auto" w:fill="auto"/>
            <w:noWrap/>
            <w:vAlign w:val="bottom"/>
            <w:hideMark/>
          </w:tcPr>
          <w:p w14:paraId="50577505"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nil"/>
              <w:left w:val="nil"/>
              <w:bottom w:val="single" w:sz="4" w:space="0" w:color="000000"/>
              <w:right w:val="nil"/>
            </w:tcBorders>
            <w:shd w:val="clear" w:color="auto" w:fill="auto"/>
            <w:noWrap/>
            <w:vAlign w:val="bottom"/>
            <w:hideMark/>
          </w:tcPr>
          <w:p w14:paraId="46312140"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nil"/>
              <w:left w:val="nil"/>
              <w:bottom w:val="single" w:sz="4" w:space="0" w:color="000000"/>
              <w:right w:val="nil"/>
            </w:tcBorders>
            <w:shd w:val="clear" w:color="auto" w:fill="auto"/>
            <w:noWrap/>
            <w:vAlign w:val="bottom"/>
            <w:hideMark/>
          </w:tcPr>
          <w:p w14:paraId="65D56552"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2" w:type="pct"/>
            <w:tcBorders>
              <w:top w:val="nil"/>
              <w:left w:val="nil"/>
              <w:bottom w:val="single" w:sz="4" w:space="0" w:color="000000"/>
              <w:right w:val="nil"/>
            </w:tcBorders>
            <w:shd w:val="clear" w:color="auto" w:fill="auto"/>
            <w:noWrap/>
            <w:vAlign w:val="bottom"/>
            <w:hideMark/>
          </w:tcPr>
          <w:p w14:paraId="469CE929"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9" w:type="pct"/>
            <w:tcBorders>
              <w:top w:val="nil"/>
              <w:left w:val="nil"/>
              <w:bottom w:val="single" w:sz="4" w:space="0" w:color="000000"/>
              <w:right w:val="nil"/>
            </w:tcBorders>
            <w:shd w:val="clear" w:color="auto" w:fill="auto"/>
            <w:noWrap/>
            <w:vAlign w:val="bottom"/>
            <w:hideMark/>
          </w:tcPr>
          <w:p w14:paraId="0CA992BA"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9" w:type="pct"/>
            <w:tcBorders>
              <w:top w:val="nil"/>
              <w:left w:val="nil"/>
              <w:bottom w:val="single" w:sz="4" w:space="0" w:color="000000"/>
              <w:right w:val="nil"/>
            </w:tcBorders>
            <w:shd w:val="clear" w:color="auto" w:fill="auto"/>
            <w:noWrap/>
            <w:vAlign w:val="bottom"/>
            <w:hideMark/>
          </w:tcPr>
          <w:p w14:paraId="606EB253"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9" w:type="pct"/>
            <w:tcBorders>
              <w:top w:val="nil"/>
              <w:left w:val="nil"/>
              <w:bottom w:val="single" w:sz="4" w:space="0" w:color="000000"/>
              <w:right w:val="nil"/>
            </w:tcBorders>
            <w:shd w:val="clear" w:color="auto" w:fill="auto"/>
            <w:noWrap/>
            <w:vAlign w:val="bottom"/>
            <w:hideMark/>
          </w:tcPr>
          <w:p w14:paraId="11BC024E"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9" w:type="pct"/>
            <w:tcBorders>
              <w:top w:val="nil"/>
              <w:left w:val="nil"/>
              <w:bottom w:val="single" w:sz="4" w:space="0" w:color="000000"/>
              <w:right w:val="nil"/>
            </w:tcBorders>
            <w:shd w:val="clear" w:color="auto" w:fill="auto"/>
            <w:noWrap/>
            <w:vAlign w:val="bottom"/>
            <w:hideMark/>
          </w:tcPr>
          <w:p w14:paraId="74B1303E" w14:textId="77777777" w:rsidR="00B54F4E" w:rsidRPr="00D050B8" w:rsidRDefault="00B54F4E" w:rsidP="006504C4">
            <w:pPr>
              <w:spacing w:before="0" w:after="0"/>
              <w:jc w:val="right"/>
              <w:rPr>
                <w:rFonts w:ascii="Calibri" w:hAnsi="Calibri" w:cs="Calibri"/>
                <w:color w:val="00B050"/>
                <w:sz w:val="12"/>
                <w:szCs w:val="22"/>
                <w:lang w:eastAsia="es-CO"/>
              </w:rPr>
            </w:pPr>
            <w:r w:rsidRPr="00D050B8">
              <w:rPr>
                <w:rFonts w:ascii="Calibri" w:hAnsi="Calibri" w:cs="Calibri"/>
                <w:color w:val="00B05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4C94A66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7DC1464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7AB2628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287B4A6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1CE3595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58E84B3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629A04D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49B8D57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9" w:type="pct"/>
            <w:tcBorders>
              <w:top w:val="nil"/>
              <w:left w:val="nil"/>
              <w:bottom w:val="single" w:sz="4" w:space="0" w:color="000000"/>
              <w:right w:val="nil"/>
            </w:tcBorders>
            <w:shd w:val="clear" w:color="auto" w:fill="auto"/>
            <w:noWrap/>
            <w:vAlign w:val="bottom"/>
            <w:hideMark/>
          </w:tcPr>
          <w:p w14:paraId="52E13D5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c>
          <w:tcPr>
            <w:tcW w:w="207" w:type="pct"/>
            <w:tcBorders>
              <w:top w:val="nil"/>
              <w:left w:val="nil"/>
              <w:bottom w:val="single" w:sz="4" w:space="0" w:color="000000"/>
              <w:right w:val="nil"/>
            </w:tcBorders>
            <w:shd w:val="clear" w:color="auto" w:fill="auto"/>
            <w:noWrap/>
            <w:vAlign w:val="bottom"/>
            <w:hideMark/>
          </w:tcPr>
          <w:p w14:paraId="25FC3FE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820.960</w:t>
            </w:r>
          </w:p>
        </w:tc>
      </w:tr>
      <w:tr w:rsidR="00B54F4E" w:rsidRPr="00D050B8" w14:paraId="0CB67916" w14:textId="77777777" w:rsidTr="006504C4">
        <w:trPr>
          <w:trHeight w:val="200"/>
        </w:trPr>
        <w:tc>
          <w:tcPr>
            <w:tcW w:w="1281" w:type="pct"/>
            <w:tcBorders>
              <w:top w:val="nil"/>
              <w:left w:val="nil"/>
              <w:bottom w:val="nil"/>
              <w:right w:val="nil"/>
            </w:tcBorders>
            <w:shd w:val="clear" w:color="auto" w:fill="auto"/>
            <w:noWrap/>
            <w:vAlign w:val="bottom"/>
            <w:hideMark/>
          </w:tcPr>
          <w:p w14:paraId="6DBAA1C5" w14:textId="77777777" w:rsidR="00B54F4E" w:rsidRPr="00D050B8" w:rsidRDefault="00B54F4E" w:rsidP="006504C4">
            <w:pPr>
              <w:spacing w:before="0" w:after="0"/>
              <w:jc w:val="left"/>
              <w:rPr>
                <w:rFonts w:ascii="Calibri" w:hAnsi="Calibri" w:cs="Calibri"/>
                <w:b/>
                <w:bCs/>
                <w:color w:val="000000"/>
                <w:sz w:val="12"/>
                <w:szCs w:val="22"/>
                <w:lang w:eastAsia="es-CO"/>
              </w:rPr>
            </w:pPr>
            <w:r w:rsidRPr="00D050B8">
              <w:rPr>
                <w:rFonts w:ascii="Calibri" w:hAnsi="Calibri" w:cs="Calibri"/>
                <w:b/>
                <w:bCs/>
                <w:color w:val="000000"/>
                <w:sz w:val="12"/>
                <w:szCs w:val="22"/>
                <w:lang w:eastAsia="es-CO"/>
              </w:rPr>
              <w:t>Beneficios</w:t>
            </w:r>
          </w:p>
        </w:tc>
        <w:tc>
          <w:tcPr>
            <w:tcW w:w="256" w:type="pct"/>
            <w:tcBorders>
              <w:top w:val="nil"/>
              <w:left w:val="nil"/>
              <w:bottom w:val="nil"/>
              <w:right w:val="nil"/>
            </w:tcBorders>
            <w:shd w:val="clear" w:color="auto" w:fill="auto"/>
            <w:noWrap/>
            <w:vAlign w:val="bottom"/>
            <w:hideMark/>
          </w:tcPr>
          <w:p w14:paraId="2BDCF9C7" w14:textId="77777777" w:rsidR="00B54F4E" w:rsidRPr="00D050B8" w:rsidRDefault="00B54F4E" w:rsidP="006504C4">
            <w:pPr>
              <w:spacing w:before="0" w:after="0"/>
              <w:jc w:val="left"/>
              <w:rPr>
                <w:rFonts w:ascii="Calibri" w:hAnsi="Calibri" w:cs="Calibri"/>
                <w:b/>
                <w:bCs/>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576720D5"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2A63678B"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4288030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6E83073"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497ABFB"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9AD8DE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22AC3D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DA7196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E8603D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64D57B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02C06A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4087E2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4DC623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5B03C0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4FBE243"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E23F8A2"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750645F3"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420E7EA1" w14:textId="77777777" w:rsidTr="006504C4">
        <w:trPr>
          <w:trHeight w:val="200"/>
        </w:trPr>
        <w:tc>
          <w:tcPr>
            <w:tcW w:w="1281" w:type="pct"/>
            <w:tcBorders>
              <w:top w:val="nil"/>
              <w:left w:val="nil"/>
              <w:bottom w:val="nil"/>
              <w:right w:val="nil"/>
            </w:tcBorders>
            <w:shd w:val="clear" w:color="auto" w:fill="auto"/>
            <w:noWrap/>
            <w:vAlign w:val="bottom"/>
            <w:hideMark/>
          </w:tcPr>
          <w:p w14:paraId="4F4FF391"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Ahorro GWh/año</w:t>
            </w:r>
          </w:p>
        </w:tc>
        <w:tc>
          <w:tcPr>
            <w:tcW w:w="256" w:type="pct"/>
            <w:tcBorders>
              <w:top w:val="nil"/>
              <w:left w:val="nil"/>
              <w:bottom w:val="nil"/>
              <w:right w:val="nil"/>
            </w:tcBorders>
            <w:shd w:val="clear" w:color="auto" w:fill="auto"/>
            <w:noWrap/>
            <w:vAlign w:val="bottom"/>
            <w:hideMark/>
          </w:tcPr>
          <w:p w14:paraId="493FF2D1"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35532068"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510EFF83"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476D143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33,44</w:t>
            </w:r>
          </w:p>
        </w:tc>
        <w:tc>
          <w:tcPr>
            <w:tcW w:w="209" w:type="pct"/>
            <w:tcBorders>
              <w:top w:val="nil"/>
              <w:left w:val="nil"/>
              <w:bottom w:val="nil"/>
              <w:right w:val="nil"/>
            </w:tcBorders>
            <w:shd w:val="clear" w:color="auto" w:fill="auto"/>
            <w:noWrap/>
            <w:vAlign w:val="bottom"/>
            <w:hideMark/>
          </w:tcPr>
          <w:p w14:paraId="3EAE453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66,88</w:t>
            </w:r>
          </w:p>
        </w:tc>
        <w:tc>
          <w:tcPr>
            <w:tcW w:w="209" w:type="pct"/>
            <w:tcBorders>
              <w:top w:val="nil"/>
              <w:left w:val="nil"/>
              <w:bottom w:val="nil"/>
              <w:right w:val="nil"/>
            </w:tcBorders>
            <w:shd w:val="clear" w:color="auto" w:fill="auto"/>
            <w:noWrap/>
            <w:vAlign w:val="bottom"/>
            <w:hideMark/>
          </w:tcPr>
          <w:p w14:paraId="3EA2661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100,32</w:t>
            </w:r>
          </w:p>
        </w:tc>
        <w:tc>
          <w:tcPr>
            <w:tcW w:w="209" w:type="pct"/>
            <w:tcBorders>
              <w:top w:val="nil"/>
              <w:left w:val="nil"/>
              <w:bottom w:val="nil"/>
              <w:right w:val="nil"/>
            </w:tcBorders>
            <w:shd w:val="clear" w:color="auto" w:fill="auto"/>
            <w:noWrap/>
            <w:vAlign w:val="bottom"/>
            <w:hideMark/>
          </w:tcPr>
          <w:p w14:paraId="7734282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133,76</w:t>
            </w:r>
          </w:p>
        </w:tc>
        <w:tc>
          <w:tcPr>
            <w:tcW w:w="209" w:type="pct"/>
            <w:tcBorders>
              <w:top w:val="nil"/>
              <w:left w:val="nil"/>
              <w:bottom w:val="nil"/>
              <w:right w:val="nil"/>
            </w:tcBorders>
            <w:shd w:val="clear" w:color="auto" w:fill="auto"/>
            <w:noWrap/>
            <w:vAlign w:val="bottom"/>
            <w:hideMark/>
          </w:tcPr>
          <w:p w14:paraId="26F5FE5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171,70</w:t>
            </w:r>
          </w:p>
        </w:tc>
        <w:tc>
          <w:tcPr>
            <w:tcW w:w="209" w:type="pct"/>
            <w:tcBorders>
              <w:top w:val="nil"/>
              <w:left w:val="nil"/>
              <w:bottom w:val="nil"/>
              <w:right w:val="nil"/>
            </w:tcBorders>
            <w:shd w:val="clear" w:color="auto" w:fill="auto"/>
            <w:noWrap/>
            <w:vAlign w:val="bottom"/>
            <w:hideMark/>
          </w:tcPr>
          <w:p w14:paraId="462A5DA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192,52</w:t>
            </w:r>
          </w:p>
        </w:tc>
        <w:tc>
          <w:tcPr>
            <w:tcW w:w="209" w:type="pct"/>
            <w:tcBorders>
              <w:top w:val="nil"/>
              <w:left w:val="nil"/>
              <w:bottom w:val="nil"/>
              <w:right w:val="nil"/>
            </w:tcBorders>
            <w:shd w:val="clear" w:color="auto" w:fill="auto"/>
            <w:noWrap/>
            <w:vAlign w:val="bottom"/>
            <w:hideMark/>
          </w:tcPr>
          <w:p w14:paraId="62572BD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213,47</w:t>
            </w:r>
          </w:p>
        </w:tc>
        <w:tc>
          <w:tcPr>
            <w:tcW w:w="209" w:type="pct"/>
            <w:tcBorders>
              <w:top w:val="nil"/>
              <w:left w:val="nil"/>
              <w:bottom w:val="nil"/>
              <w:right w:val="nil"/>
            </w:tcBorders>
            <w:shd w:val="clear" w:color="auto" w:fill="auto"/>
            <w:noWrap/>
            <w:vAlign w:val="bottom"/>
            <w:hideMark/>
          </w:tcPr>
          <w:p w14:paraId="453A2AC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234,57</w:t>
            </w:r>
          </w:p>
        </w:tc>
        <w:tc>
          <w:tcPr>
            <w:tcW w:w="209" w:type="pct"/>
            <w:tcBorders>
              <w:top w:val="nil"/>
              <w:left w:val="nil"/>
              <w:bottom w:val="nil"/>
              <w:right w:val="nil"/>
            </w:tcBorders>
            <w:shd w:val="clear" w:color="auto" w:fill="auto"/>
            <w:noWrap/>
            <w:vAlign w:val="bottom"/>
            <w:hideMark/>
          </w:tcPr>
          <w:p w14:paraId="6387F34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255,80</w:t>
            </w:r>
          </w:p>
        </w:tc>
        <w:tc>
          <w:tcPr>
            <w:tcW w:w="209" w:type="pct"/>
            <w:tcBorders>
              <w:top w:val="nil"/>
              <w:left w:val="nil"/>
              <w:bottom w:val="nil"/>
              <w:right w:val="nil"/>
            </w:tcBorders>
            <w:shd w:val="clear" w:color="auto" w:fill="auto"/>
            <w:noWrap/>
            <w:vAlign w:val="bottom"/>
            <w:hideMark/>
          </w:tcPr>
          <w:p w14:paraId="718DB71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277,18</w:t>
            </w:r>
          </w:p>
        </w:tc>
        <w:tc>
          <w:tcPr>
            <w:tcW w:w="209" w:type="pct"/>
            <w:tcBorders>
              <w:top w:val="nil"/>
              <w:left w:val="nil"/>
              <w:bottom w:val="nil"/>
              <w:right w:val="nil"/>
            </w:tcBorders>
            <w:shd w:val="clear" w:color="auto" w:fill="auto"/>
            <w:noWrap/>
            <w:vAlign w:val="bottom"/>
            <w:hideMark/>
          </w:tcPr>
          <w:p w14:paraId="64B62A06"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298,69</w:t>
            </w:r>
          </w:p>
        </w:tc>
        <w:tc>
          <w:tcPr>
            <w:tcW w:w="209" w:type="pct"/>
            <w:tcBorders>
              <w:top w:val="nil"/>
              <w:left w:val="nil"/>
              <w:bottom w:val="nil"/>
              <w:right w:val="nil"/>
            </w:tcBorders>
            <w:shd w:val="clear" w:color="auto" w:fill="auto"/>
            <w:noWrap/>
            <w:vAlign w:val="bottom"/>
            <w:hideMark/>
          </w:tcPr>
          <w:p w14:paraId="3B77106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320,35</w:t>
            </w:r>
          </w:p>
        </w:tc>
        <w:tc>
          <w:tcPr>
            <w:tcW w:w="209" w:type="pct"/>
            <w:tcBorders>
              <w:top w:val="nil"/>
              <w:left w:val="nil"/>
              <w:bottom w:val="nil"/>
              <w:right w:val="nil"/>
            </w:tcBorders>
            <w:shd w:val="clear" w:color="auto" w:fill="auto"/>
            <w:noWrap/>
            <w:vAlign w:val="bottom"/>
            <w:hideMark/>
          </w:tcPr>
          <w:p w14:paraId="61BD32A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342,15</w:t>
            </w:r>
          </w:p>
        </w:tc>
        <w:tc>
          <w:tcPr>
            <w:tcW w:w="209" w:type="pct"/>
            <w:tcBorders>
              <w:top w:val="nil"/>
              <w:left w:val="nil"/>
              <w:bottom w:val="nil"/>
              <w:right w:val="nil"/>
            </w:tcBorders>
            <w:shd w:val="clear" w:color="auto" w:fill="auto"/>
            <w:noWrap/>
            <w:vAlign w:val="bottom"/>
            <w:hideMark/>
          </w:tcPr>
          <w:p w14:paraId="324D3EC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364,09</w:t>
            </w:r>
          </w:p>
        </w:tc>
        <w:tc>
          <w:tcPr>
            <w:tcW w:w="207" w:type="pct"/>
            <w:tcBorders>
              <w:top w:val="nil"/>
              <w:left w:val="nil"/>
              <w:bottom w:val="nil"/>
              <w:right w:val="nil"/>
            </w:tcBorders>
            <w:shd w:val="clear" w:color="auto" w:fill="auto"/>
            <w:noWrap/>
            <w:vAlign w:val="bottom"/>
            <w:hideMark/>
          </w:tcPr>
          <w:p w14:paraId="586F54A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386,18</w:t>
            </w:r>
          </w:p>
        </w:tc>
      </w:tr>
      <w:tr w:rsidR="00B54F4E" w:rsidRPr="00D050B8" w14:paraId="6AEDE3C9" w14:textId="77777777" w:rsidTr="006504C4">
        <w:trPr>
          <w:trHeight w:val="200"/>
        </w:trPr>
        <w:tc>
          <w:tcPr>
            <w:tcW w:w="1281" w:type="pct"/>
            <w:tcBorders>
              <w:top w:val="nil"/>
              <w:left w:val="nil"/>
              <w:bottom w:val="single" w:sz="4" w:space="0" w:color="BFBFBF"/>
              <w:right w:val="nil"/>
            </w:tcBorders>
            <w:shd w:val="clear" w:color="auto" w:fill="auto"/>
            <w:noWrap/>
            <w:vAlign w:val="bottom"/>
            <w:hideMark/>
          </w:tcPr>
          <w:p w14:paraId="411CADAC"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Emisiones de CO2 evitadas (TonCo2)</w:t>
            </w:r>
          </w:p>
        </w:tc>
        <w:tc>
          <w:tcPr>
            <w:tcW w:w="256" w:type="pct"/>
            <w:tcBorders>
              <w:top w:val="nil"/>
              <w:left w:val="nil"/>
              <w:bottom w:val="single" w:sz="4" w:space="0" w:color="BFBFBF"/>
              <w:right w:val="nil"/>
            </w:tcBorders>
            <w:shd w:val="clear" w:color="auto" w:fill="auto"/>
            <w:noWrap/>
            <w:vAlign w:val="bottom"/>
            <w:hideMark/>
          </w:tcPr>
          <w:p w14:paraId="043F6865"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nil"/>
              <w:left w:val="nil"/>
              <w:bottom w:val="single" w:sz="4" w:space="0" w:color="BFBFBF"/>
              <w:right w:val="nil"/>
            </w:tcBorders>
            <w:shd w:val="clear" w:color="auto" w:fill="auto"/>
            <w:noWrap/>
            <w:vAlign w:val="bottom"/>
            <w:hideMark/>
          </w:tcPr>
          <w:p w14:paraId="0F94940E"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nil"/>
              <w:left w:val="nil"/>
              <w:bottom w:val="single" w:sz="4" w:space="0" w:color="BFBFBF"/>
              <w:right w:val="nil"/>
            </w:tcBorders>
            <w:shd w:val="clear" w:color="auto" w:fill="auto"/>
            <w:noWrap/>
            <w:vAlign w:val="bottom"/>
            <w:hideMark/>
          </w:tcPr>
          <w:p w14:paraId="52009AC0"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2" w:type="pct"/>
            <w:tcBorders>
              <w:top w:val="nil"/>
              <w:left w:val="nil"/>
              <w:bottom w:val="single" w:sz="4" w:space="0" w:color="BFBFBF"/>
              <w:right w:val="nil"/>
            </w:tcBorders>
            <w:shd w:val="clear" w:color="auto" w:fill="auto"/>
            <w:noWrap/>
            <w:vAlign w:val="bottom"/>
            <w:hideMark/>
          </w:tcPr>
          <w:p w14:paraId="7C3DA46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6.395</w:t>
            </w:r>
          </w:p>
        </w:tc>
        <w:tc>
          <w:tcPr>
            <w:tcW w:w="209" w:type="pct"/>
            <w:tcBorders>
              <w:top w:val="nil"/>
              <w:left w:val="nil"/>
              <w:bottom w:val="single" w:sz="4" w:space="0" w:color="BFBFBF"/>
              <w:right w:val="nil"/>
            </w:tcBorders>
            <w:shd w:val="clear" w:color="auto" w:fill="auto"/>
            <w:noWrap/>
            <w:vAlign w:val="bottom"/>
            <w:hideMark/>
          </w:tcPr>
          <w:p w14:paraId="63D89F1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12.791</w:t>
            </w:r>
          </w:p>
        </w:tc>
        <w:tc>
          <w:tcPr>
            <w:tcW w:w="209" w:type="pct"/>
            <w:tcBorders>
              <w:top w:val="nil"/>
              <w:left w:val="nil"/>
              <w:bottom w:val="single" w:sz="4" w:space="0" w:color="BFBFBF"/>
              <w:right w:val="nil"/>
            </w:tcBorders>
            <w:shd w:val="clear" w:color="auto" w:fill="auto"/>
            <w:noWrap/>
            <w:vAlign w:val="bottom"/>
            <w:hideMark/>
          </w:tcPr>
          <w:p w14:paraId="085B2A1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19.186</w:t>
            </w:r>
          </w:p>
        </w:tc>
        <w:tc>
          <w:tcPr>
            <w:tcW w:w="209" w:type="pct"/>
            <w:tcBorders>
              <w:top w:val="nil"/>
              <w:left w:val="nil"/>
              <w:bottom w:val="single" w:sz="4" w:space="0" w:color="BFBFBF"/>
              <w:right w:val="nil"/>
            </w:tcBorders>
            <w:shd w:val="clear" w:color="auto" w:fill="auto"/>
            <w:noWrap/>
            <w:vAlign w:val="bottom"/>
            <w:hideMark/>
          </w:tcPr>
          <w:p w14:paraId="2C698E5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25.581</w:t>
            </w:r>
          </w:p>
        </w:tc>
        <w:tc>
          <w:tcPr>
            <w:tcW w:w="209" w:type="pct"/>
            <w:tcBorders>
              <w:top w:val="nil"/>
              <w:left w:val="nil"/>
              <w:bottom w:val="single" w:sz="4" w:space="0" w:color="BFBFBF"/>
              <w:right w:val="nil"/>
            </w:tcBorders>
            <w:shd w:val="clear" w:color="auto" w:fill="auto"/>
            <w:noWrap/>
            <w:vAlign w:val="bottom"/>
            <w:hideMark/>
          </w:tcPr>
          <w:p w14:paraId="68857F7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32.836</w:t>
            </w:r>
          </w:p>
        </w:tc>
        <w:tc>
          <w:tcPr>
            <w:tcW w:w="209" w:type="pct"/>
            <w:tcBorders>
              <w:top w:val="nil"/>
              <w:left w:val="nil"/>
              <w:bottom w:val="single" w:sz="4" w:space="0" w:color="BFBFBF"/>
              <w:right w:val="nil"/>
            </w:tcBorders>
            <w:shd w:val="clear" w:color="auto" w:fill="auto"/>
            <w:noWrap/>
            <w:vAlign w:val="bottom"/>
            <w:hideMark/>
          </w:tcPr>
          <w:p w14:paraId="64788B8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36.818</w:t>
            </w:r>
          </w:p>
        </w:tc>
        <w:tc>
          <w:tcPr>
            <w:tcW w:w="209" w:type="pct"/>
            <w:tcBorders>
              <w:top w:val="nil"/>
              <w:left w:val="nil"/>
              <w:bottom w:val="single" w:sz="4" w:space="0" w:color="BFBFBF"/>
              <w:right w:val="nil"/>
            </w:tcBorders>
            <w:shd w:val="clear" w:color="auto" w:fill="auto"/>
            <w:noWrap/>
            <w:vAlign w:val="bottom"/>
            <w:hideMark/>
          </w:tcPr>
          <w:p w14:paraId="7F8D2E2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40.825</w:t>
            </w:r>
          </w:p>
        </w:tc>
        <w:tc>
          <w:tcPr>
            <w:tcW w:w="209" w:type="pct"/>
            <w:tcBorders>
              <w:top w:val="nil"/>
              <w:left w:val="nil"/>
              <w:bottom w:val="single" w:sz="4" w:space="0" w:color="BFBFBF"/>
              <w:right w:val="nil"/>
            </w:tcBorders>
            <w:shd w:val="clear" w:color="auto" w:fill="auto"/>
            <w:noWrap/>
            <w:vAlign w:val="bottom"/>
            <w:hideMark/>
          </w:tcPr>
          <w:p w14:paraId="662F866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44.859</w:t>
            </w:r>
          </w:p>
        </w:tc>
        <w:tc>
          <w:tcPr>
            <w:tcW w:w="209" w:type="pct"/>
            <w:tcBorders>
              <w:top w:val="nil"/>
              <w:left w:val="nil"/>
              <w:bottom w:val="single" w:sz="4" w:space="0" w:color="BFBFBF"/>
              <w:right w:val="nil"/>
            </w:tcBorders>
            <w:shd w:val="clear" w:color="auto" w:fill="auto"/>
            <w:noWrap/>
            <w:vAlign w:val="bottom"/>
            <w:hideMark/>
          </w:tcPr>
          <w:p w14:paraId="4843CBC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48.920</w:t>
            </w:r>
          </w:p>
        </w:tc>
        <w:tc>
          <w:tcPr>
            <w:tcW w:w="209" w:type="pct"/>
            <w:tcBorders>
              <w:top w:val="nil"/>
              <w:left w:val="nil"/>
              <w:bottom w:val="single" w:sz="4" w:space="0" w:color="BFBFBF"/>
              <w:right w:val="nil"/>
            </w:tcBorders>
            <w:shd w:val="clear" w:color="auto" w:fill="auto"/>
            <w:noWrap/>
            <w:vAlign w:val="bottom"/>
            <w:hideMark/>
          </w:tcPr>
          <w:p w14:paraId="6BEE3BA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53.008</w:t>
            </w:r>
          </w:p>
        </w:tc>
        <w:tc>
          <w:tcPr>
            <w:tcW w:w="209" w:type="pct"/>
            <w:tcBorders>
              <w:top w:val="nil"/>
              <w:left w:val="nil"/>
              <w:bottom w:val="single" w:sz="4" w:space="0" w:color="BFBFBF"/>
              <w:right w:val="nil"/>
            </w:tcBorders>
            <w:shd w:val="clear" w:color="auto" w:fill="auto"/>
            <w:noWrap/>
            <w:vAlign w:val="bottom"/>
            <w:hideMark/>
          </w:tcPr>
          <w:p w14:paraId="2D73811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57.122</w:t>
            </w:r>
          </w:p>
        </w:tc>
        <w:tc>
          <w:tcPr>
            <w:tcW w:w="209" w:type="pct"/>
            <w:tcBorders>
              <w:top w:val="nil"/>
              <w:left w:val="nil"/>
              <w:bottom w:val="single" w:sz="4" w:space="0" w:color="BFBFBF"/>
              <w:right w:val="nil"/>
            </w:tcBorders>
            <w:shd w:val="clear" w:color="auto" w:fill="auto"/>
            <w:noWrap/>
            <w:vAlign w:val="bottom"/>
            <w:hideMark/>
          </w:tcPr>
          <w:p w14:paraId="432CEA5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61.264</w:t>
            </w:r>
          </w:p>
        </w:tc>
        <w:tc>
          <w:tcPr>
            <w:tcW w:w="209" w:type="pct"/>
            <w:tcBorders>
              <w:top w:val="nil"/>
              <w:left w:val="nil"/>
              <w:bottom w:val="single" w:sz="4" w:space="0" w:color="BFBFBF"/>
              <w:right w:val="nil"/>
            </w:tcBorders>
            <w:shd w:val="clear" w:color="auto" w:fill="auto"/>
            <w:noWrap/>
            <w:vAlign w:val="bottom"/>
            <w:hideMark/>
          </w:tcPr>
          <w:p w14:paraId="2D27A76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65.433</w:t>
            </w:r>
          </w:p>
        </w:tc>
        <w:tc>
          <w:tcPr>
            <w:tcW w:w="209" w:type="pct"/>
            <w:tcBorders>
              <w:top w:val="nil"/>
              <w:left w:val="nil"/>
              <w:bottom w:val="single" w:sz="4" w:space="0" w:color="BFBFBF"/>
              <w:right w:val="nil"/>
            </w:tcBorders>
            <w:shd w:val="clear" w:color="auto" w:fill="auto"/>
            <w:noWrap/>
            <w:vAlign w:val="bottom"/>
            <w:hideMark/>
          </w:tcPr>
          <w:p w14:paraId="654F294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69.630</w:t>
            </w:r>
          </w:p>
        </w:tc>
        <w:tc>
          <w:tcPr>
            <w:tcW w:w="207" w:type="pct"/>
            <w:tcBorders>
              <w:top w:val="nil"/>
              <w:left w:val="nil"/>
              <w:bottom w:val="single" w:sz="4" w:space="0" w:color="BFBFBF"/>
              <w:right w:val="nil"/>
            </w:tcBorders>
            <w:shd w:val="clear" w:color="auto" w:fill="auto"/>
            <w:noWrap/>
            <w:vAlign w:val="bottom"/>
            <w:hideMark/>
          </w:tcPr>
          <w:p w14:paraId="28EEC44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73.855</w:t>
            </w:r>
          </w:p>
        </w:tc>
      </w:tr>
      <w:tr w:rsidR="00B54F4E" w:rsidRPr="00D050B8" w14:paraId="485B8C09" w14:textId="77777777" w:rsidTr="006504C4">
        <w:trPr>
          <w:trHeight w:val="200"/>
        </w:trPr>
        <w:tc>
          <w:tcPr>
            <w:tcW w:w="1281" w:type="pct"/>
            <w:tcBorders>
              <w:top w:val="nil"/>
              <w:left w:val="nil"/>
              <w:bottom w:val="nil"/>
              <w:right w:val="nil"/>
            </w:tcBorders>
            <w:shd w:val="clear" w:color="auto" w:fill="auto"/>
            <w:noWrap/>
            <w:vAlign w:val="bottom"/>
            <w:hideMark/>
          </w:tcPr>
          <w:p w14:paraId="43489519"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Ahorro por costo final de energía evitado ($USD Millones)</w:t>
            </w:r>
          </w:p>
        </w:tc>
        <w:tc>
          <w:tcPr>
            <w:tcW w:w="256" w:type="pct"/>
            <w:tcBorders>
              <w:top w:val="nil"/>
              <w:left w:val="nil"/>
              <w:bottom w:val="nil"/>
              <w:right w:val="nil"/>
            </w:tcBorders>
            <w:shd w:val="clear" w:color="auto" w:fill="auto"/>
            <w:noWrap/>
            <w:vAlign w:val="bottom"/>
            <w:hideMark/>
          </w:tcPr>
          <w:p w14:paraId="528CBC51"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7C216044"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2776FFAC"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1B3B43C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6,14</w:t>
            </w:r>
          </w:p>
        </w:tc>
        <w:tc>
          <w:tcPr>
            <w:tcW w:w="209" w:type="pct"/>
            <w:tcBorders>
              <w:top w:val="nil"/>
              <w:left w:val="nil"/>
              <w:bottom w:val="nil"/>
              <w:right w:val="nil"/>
            </w:tcBorders>
            <w:shd w:val="clear" w:color="auto" w:fill="auto"/>
            <w:noWrap/>
            <w:vAlign w:val="bottom"/>
            <w:hideMark/>
          </w:tcPr>
          <w:p w14:paraId="4BA3D80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12,28</w:t>
            </w:r>
          </w:p>
        </w:tc>
        <w:tc>
          <w:tcPr>
            <w:tcW w:w="209" w:type="pct"/>
            <w:tcBorders>
              <w:top w:val="nil"/>
              <w:left w:val="nil"/>
              <w:bottom w:val="nil"/>
              <w:right w:val="nil"/>
            </w:tcBorders>
            <w:shd w:val="clear" w:color="auto" w:fill="auto"/>
            <w:noWrap/>
            <w:vAlign w:val="bottom"/>
            <w:hideMark/>
          </w:tcPr>
          <w:p w14:paraId="67A42B6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18,42</w:t>
            </w:r>
          </w:p>
        </w:tc>
        <w:tc>
          <w:tcPr>
            <w:tcW w:w="209" w:type="pct"/>
            <w:tcBorders>
              <w:top w:val="nil"/>
              <w:left w:val="nil"/>
              <w:bottom w:val="nil"/>
              <w:right w:val="nil"/>
            </w:tcBorders>
            <w:shd w:val="clear" w:color="auto" w:fill="auto"/>
            <w:noWrap/>
            <w:vAlign w:val="bottom"/>
            <w:hideMark/>
          </w:tcPr>
          <w:p w14:paraId="2021457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24,56</w:t>
            </w:r>
          </w:p>
        </w:tc>
        <w:tc>
          <w:tcPr>
            <w:tcW w:w="209" w:type="pct"/>
            <w:tcBorders>
              <w:top w:val="nil"/>
              <w:left w:val="nil"/>
              <w:bottom w:val="nil"/>
              <w:right w:val="nil"/>
            </w:tcBorders>
            <w:shd w:val="clear" w:color="auto" w:fill="auto"/>
            <w:noWrap/>
            <w:vAlign w:val="bottom"/>
            <w:hideMark/>
          </w:tcPr>
          <w:p w14:paraId="3771B6A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31,52</w:t>
            </w:r>
          </w:p>
        </w:tc>
        <w:tc>
          <w:tcPr>
            <w:tcW w:w="209" w:type="pct"/>
            <w:tcBorders>
              <w:top w:val="nil"/>
              <w:left w:val="nil"/>
              <w:bottom w:val="nil"/>
              <w:right w:val="nil"/>
            </w:tcBorders>
            <w:shd w:val="clear" w:color="auto" w:fill="auto"/>
            <w:noWrap/>
            <w:vAlign w:val="bottom"/>
            <w:hideMark/>
          </w:tcPr>
          <w:p w14:paraId="2079CE4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35,35</w:t>
            </w:r>
          </w:p>
        </w:tc>
        <w:tc>
          <w:tcPr>
            <w:tcW w:w="209" w:type="pct"/>
            <w:tcBorders>
              <w:top w:val="nil"/>
              <w:left w:val="nil"/>
              <w:bottom w:val="nil"/>
              <w:right w:val="nil"/>
            </w:tcBorders>
            <w:shd w:val="clear" w:color="auto" w:fill="auto"/>
            <w:noWrap/>
            <w:vAlign w:val="bottom"/>
            <w:hideMark/>
          </w:tcPr>
          <w:p w14:paraId="7BEB8C46"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39,19</w:t>
            </w:r>
          </w:p>
        </w:tc>
        <w:tc>
          <w:tcPr>
            <w:tcW w:w="209" w:type="pct"/>
            <w:tcBorders>
              <w:top w:val="nil"/>
              <w:left w:val="nil"/>
              <w:bottom w:val="nil"/>
              <w:right w:val="nil"/>
            </w:tcBorders>
            <w:shd w:val="clear" w:color="auto" w:fill="auto"/>
            <w:noWrap/>
            <w:vAlign w:val="bottom"/>
            <w:hideMark/>
          </w:tcPr>
          <w:p w14:paraId="16715DC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43,07</w:t>
            </w:r>
          </w:p>
        </w:tc>
        <w:tc>
          <w:tcPr>
            <w:tcW w:w="209" w:type="pct"/>
            <w:tcBorders>
              <w:top w:val="nil"/>
              <w:left w:val="nil"/>
              <w:bottom w:val="nil"/>
              <w:right w:val="nil"/>
            </w:tcBorders>
            <w:shd w:val="clear" w:color="auto" w:fill="auto"/>
            <w:noWrap/>
            <w:vAlign w:val="bottom"/>
            <w:hideMark/>
          </w:tcPr>
          <w:p w14:paraId="1626869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46,97</w:t>
            </w:r>
          </w:p>
        </w:tc>
        <w:tc>
          <w:tcPr>
            <w:tcW w:w="209" w:type="pct"/>
            <w:tcBorders>
              <w:top w:val="nil"/>
              <w:left w:val="nil"/>
              <w:bottom w:val="nil"/>
              <w:right w:val="nil"/>
            </w:tcBorders>
            <w:shd w:val="clear" w:color="auto" w:fill="auto"/>
            <w:noWrap/>
            <w:vAlign w:val="bottom"/>
            <w:hideMark/>
          </w:tcPr>
          <w:p w14:paraId="5F0506C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50,89</w:t>
            </w:r>
          </w:p>
        </w:tc>
        <w:tc>
          <w:tcPr>
            <w:tcW w:w="209" w:type="pct"/>
            <w:tcBorders>
              <w:top w:val="nil"/>
              <w:left w:val="nil"/>
              <w:bottom w:val="nil"/>
              <w:right w:val="nil"/>
            </w:tcBorders>
            <w:shd w:val="clear" w:color="auto" w:fill="auto"/>
            <w:noWrap/>
            <w:vAlign w:val="bottom"/>
            <w:hideMark/>
          </w:tcPr>
          <w:p w14:paraId="5EE29AB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54,84</w:t>
            </w:r>
          </w:p>
        </w:tc>
        <w:tc>
          <w:tcPr>
            <w:tcW w:w="209" w:type="pct"/>
            <w:tcBorders>
              <w:top w:val="nil"/>
              <w:left w:val="nil"/>
              <w:bottom w:val="nil"/>
              <w:right w:val="nil"/>
            </w:tcBorders>
            <w:shd w:val="clear" w:color="auto" w:fill="auto"/>
            <w:noWrap/>
            <w:vAlign w:val="bottom"/>
            <w:hideMark/>
          </w:tcPr>
          <w:p w14:paraId="36558FA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58,82</w:t>
            </w:r>
          </w:p>
        </w:tc>
        <w:tc>
          <w:tcPr>
            <w:tcW w:w="209" w:type="pct"/>
            <w:tcBorders>
              <w:top w:val="nil"/>
              <w:left w:val="nil"/>
              <w:bottom w:val="nil"/>
              <w:right w:val="nil"/>
            </w:tcBorders>
            <w:shd w:val="clear" w:color="auto" w:fill="auto"/>
            <w:noWrap/>
            <w:vAlign w:val="bottom"/>
            <w:hideMark/>
          </w:tcPr>
          <w:p w14:paraId="0B74F69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62,82</w:t>
            </w:r>
          </w:p>
        </w:tc>
        <w:tc>
          <w:tcPr>
            <w:tcW w:w="209" w:type="pct"/>
            <w:tcBorders>
              <w:top w:val="nil"/>
              <w:left w:val="nil"/>
              <w:bottom w:val="nil"/>
              <w:right w:val="nil"/>
            </w:tcBorders>
            <w:shd w:val="clear" w:color="auto" w:fill="auto"/>
            <w:noWrap/>
            <w:vAlign w:val="bottom"/>
            <w:hideMark/>
          </w:tcPr>
          <w:p w14:paraId="2124376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66,85</w:t>
            </w:r>
          </w:p>
        </w:tc>
        <w:tc>
          <w:tcPr>
            <w:tcW w:w="207" w:type="pct"/>
            <w:tcBorders>
              <w:top w:val="nil"/>
              <w:left w:val="nil"/>
              <w:bottom w:val="nil"/>
              <w:right w:val="nil"/>
            </w:tcBorders>
            <w:shd w:val="clear" w:color="auto" w:fill="auto"/>
            <w:noWrap/>
            <w:vAlign w:val="bottom"/>
            <w:hideMark/>
          </w:tcPr>
          <w:p w14:paraId="056D2CC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70,90</w:t>
            </w:r>
          </w:p>
        </w:tc>
      </w:tr>
      <w:tr w:rsidR="00B54F4E" w:rsidRPr="00D050B8" w14:paraId="22F1D870" w14:textId="77777777" w:rsidTr="006504C4">
        <w:trPr>
          <w:trHeight w:val="200"/>
        </w:trPr>
        <w:tc>
          <w:tcPr>
            <w:tcW w:w="1281" w:type="pct"/>
            <w:tcBorders>
              <w:top w:val="nil"/>
              <w:left w:val="nil"/>
              <w:bottom w:val="nil"/>
              <w:right w:val="nil"/>
            </w:tcBorders>
            <w:shd w:val="clear" w:color="auto" w:fill="auto"/>
            <w:noWrap/>
            <w:vAlign w:val="bottom"/>
            <w:hideMark/>
          </w:tcPr>
          <w:p w14:paraId="7B180284"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Ahorro por menores emisiones de CO2 ($USD Millones)</w:t>
            </w:r>
          </w:p>
        </w:tc>
        <w:tc>
          <w:tcPr>
            <w:tcW w:w="256" w:type="pct"/>
            <w:tcBorders>
              <w:top w:val="nil"/>
              <w:left w:val="nil"/>
              <w:bottom w:val="nil"/>
              <w:right w:val="nil"/>
            </w:tcBorders>
            <w:shd w:val="clear" w:color="auto" w:fill="auto"/>
            <w:noWrap/>
            <w:vAlign w:val="bottom"/>
            <w:hideMark/>
          </w:tcPr>
          <w:p w14:paraId="63258C92"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328E9861"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237884D3"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618C665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0,04</w:t>
            </w:r>
          </w:p>
        </w:tc>
        <w:tc>
          <w:tcPr>
            <w:tcW w:w="209" w:type="pct"/>
            <w:tcBorders>
              <w:top w:val="nil"/>
              <w:left w:val="nil"/>
              <w:bottom w:val="nil"/>
              <w:right w:val="nil"/>
            </w:tcBorders>
            <w:shd w:val="clear" w:color="auto" w:fill="auto"/>
            <w:noWrap/>
            <w:vAlign w:val="bottom"/>
            <w:hideMark/>
          </w:tcPr>
          <w:p w14:paraId="623F3A0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0,08</w:t>
            </w:r>
          </w:p>
        </w:tc>
        <w:tc>
          <w:tcPr>
            <w:tcW w:w="209" w:type="pct"/>
            <w:tcBorders>
              <w:top w:val="nil"/>
              <w:left w:val="nil"/>
              <w:bottom w:val="nil"/>
              <w:right w:val="nil"/>
            </w:tcBorders>
            <w:shd w:val="clear" w:color="auto" w:fill="auto"/>
            <w:noWrap/>
            <w:vAlign w:val="bottom"/>
            <w:hideMark/>
          </w:tcPr>
          <w:p w14:paraId="2EA2D6C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0,12</w:t>
            </w:r>
          </w:p>
        </w:tc>
        <w:tc>
          <w:tcPr>
            <w:tcW w:w="209" w:type="pct"/>
            <w:tcBorders>
              <w:top w:val="nil"/>
              <w:left w:val="nil"/>
              <w:bottom w:val="nil"/>
              <w:right w:val="nil"/>
            </w:tcBorders>
            <w:shd w:val="clear" w:color="auto" w:fill="auto"/>
            <w:noWrap/>
            <w:vAlign w:val="bottom"/>
            <w:hideMark/>
          </w:tcPr>
          <w:p w14:paraId="3816196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0,15</w:t>
            </w:r>
          </w:p>
        </w:tc>
        <w:tc>
          <w:tcPr>
            <w:tcW w:w="209" w:type="pct"/>
            <w:tcBorders>
              <w:top w:val="nil"/>
              <w:left w:val="nil"/>
              <w:bottom w:val="nil"/>
              <w:right w:val="nil"/>
            </w:tcBorders>
            <w:shd w:val="clear" w:color="auto" w:fill="auto"/>
            <w:noWrap/>
            <w:vAlign w:val="bottom"/>
            <w:hideMark/>
          </w:tcPr>
          <w:p w14:paraId="42DA974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0,20</w:t>
            </w:r>
          </w:p>
        </w:tc>
        <w:tc>
          <w:tcPr>
            <w:tcW w:w="209" w:type="pct"/>
            <w:tcBorders>
              <w:top w:val="nil"/>
              <w:left w:val="nil"/>
              <w:bottom w:val="nil"/>
              <w:right w:val="nil"/>
            </w:tcBorders>
            <w:shd w:val="clear" w:color="auto" w:fill="auto"/>
            <w:noWrap/>
            <w:vAlign w:val="bottom"/>
            <w:hideMark/>
          </w:tcPr>
          <w:p w14:paraId="56EB7F5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0,22</w:t>
            </w:r>
          </w:p>
        </w:tc>
        <w:tc>
          <w:tcPr>
            <w:tcW w:w="209" w:type="pct"/>
            <w:tcBorders>
              <w:top w:val="nil"/>
              <w:left w:val="nil"/>
              <w:bottom w:val="nil"/>
              <w:right w:val="nil"/>
            </w:tcBorders>
            <w:shd w:val="clear" w:color="auto" w:fill="auto"/>
            <w:noWrap/>
            <w:vAlign w:val="bottom"/>
            <w:hideMark/>
          </w:tcPr>
          <w:p w14:paraId="238073E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0,25</w:t>
            </w:r>
          </w:p>
        </w:tc>
        <w:tc>
          <w:tcPr>
            <w:tcW w:w="209" w:type="pct"/>
            <w:tcBorders>
              <w:top w:val="nil"/>
              <w:left w:val="nil"/>
              <w:bottom w:val="nil"/>
              <w:right w:val="nil"/>
            </w:tcBorders>
            <w:shd w:val="clear" w:color="auto" w:fill="auto"/>
            <w:noWrap/>
            <w:vAlign w:val="bottom"/>
            <w:hideMark/>
          </w:tcPr>
          <w:p w14:paraId="11EA920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0,27</w:t>
            </w:r>
          </w:p>
        </w:tc>
        <w:tc>
          <w:tcPr>
            <w:tcW w:w="209" w:type="pct"/>
            <w:tcBorders>
              <w:top w:val="nil"/>
              <w:left w:val="nil"/>
              <w:bottom w:val="nil"/>
              <w:right w:val="nil"/>
            </w:tcBorders>
            <w:shd w:val="clear" w:color="auto" w:fill="auto"/>
            <w:noWrap/>
            <w:vAlign w:val="bottom"/>
            <w:hideMark/>
          </w:tcPr>
          <w:p w14:paraId="6EF1B43E"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0,29</w:t>
            </w:r>
          </w:p>
        </w:tc>
        <w:tc>
          <w:tcPr>
            <w:tcW w:w="209" w:type="pct"/>
            <w:tcBorders>
              <w:top w:val="nil"/>
              <w:left w:val="nil"/>
              <w:bottom w:val="nil"/>
              <w:right w:val="nil"/>
            </w:tcBorders>
            <w:shd w:val="clear" w:color="auto" w:fill="auto"/>
            <w:noWrap/>
            <w:vAlign w:val="bottom"/>
            <w:hideMark/>
          </w:tcPr>
          <w:p w14:paraId="499C9F3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0,32</w:t>
            </w:r>
          </w:p>
        </w:tc>
        <w:tc>
          <w:tcPr>
            <w:tcW w:w="209" w:type="pct"/>
            <w:tcBorders>
              <w:top w:val="nil"/>
              <w:left w:val="nil"/>
              <w:bottom w:val="nil"/>
              <w:right w:val="nil"/>
            </w:tcBorders>
            <w:shd w:val="clear" w:color="auto" w:fill="auto"/>
            <w:noWrap/>
            <w:vAlign w:val="bottom"/>
            <w:hideMark/>
          </w:tcPr>
          <w:p w14:paraId="1894E20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0,34</w:t>
            </w:r>
          </w:p>
        </w:tc>
        <w:tc>
          <w:tcPr>
            <w:tcW w:w="209" w:type="pct"/>
            <w:tcBorders>
              <w:top w:val="nil"/>
              <w:left w:val="nil"/>
              <w:bottom w:val="nil"/>
              <w:right w:val="nil"/>
            </w:tcBorders>
            <w:shd w:val="clear" w:color="auto" w:fill="auto"/>
            <w:noWrap/>
            <w:vAlign w:val="bottom"/>
            <w:hideMark/>
          </w:tcPr>
          <w:p w14:paraId="22AF6F8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0,37</w:t>
            </w:r>
          </w:p>
        </w:tc>
        <w:tc>
          <w:tcPr>
            <w:tcW w:w="209" w:type="pct"/>
            <w:tcBorders>
              <w:top w:val="nil"/>
              <w:left w:val="nil"/>
              <w:bottom w:val="nil"/>
              <w:right w:val="nil"/>
            </w:tcBorders>
            <w:shd w:val="clear" w:color="auto" w:fill="auto"/>
            <w:noWrap/>
            <w:vAlign w:val="bottom"/>
            <w:hideMark/>
          </w:tcPr>
          <w:p w14:paraId="3F571B4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0,39</w:t>
            </w:r>
          </w:p>
        </w:tc>
        <w:tc>
          <w:tcPr>
            <w:tcW w:w="209" w:type="pct"/>
            <w:tcBorders>
              <w:top w:val="nil"/>
              <w:left w:val="nil"/>
              <w:bottom w:val="nil"/>
              <w:right w:val="nil"/>
            </w:tcBorders>
            <w:shd w:val="clear" w:color="auto" w:fill="auto"/>
            <w:noWrap/>
            <w:vAlign w:val="bottom"/>
            <w:hideMark/>
          </w:tcPr>
          <w:p w14:paraId="0BBDA52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0,42</w:t>
            </w:r>
          </w:p>
        </w:tc>
        <w:tc>
          <w:tcPr>
            <w:tcW w:w="207" w:type="pct"/>
            <w:tcBorders>
              <w:top w:val="nil"/>
              <w:left w:val="nil"/>
              <w:bottom w:val="nil"/>
              <w:right w:val="nil"/>
            </w:tcBorders>
            <w:shd w:val="clear" w:color="auto" w:fill="auto"/>
            <w:noWrap/>
            <w:vAlign w:val="bottom"/>
            <w:hideMark/>
          </w:tcPr>
          <w:p w14:paraId="0576359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0,44</w:t>
            </w:r>
          </w:p>
        </w:tc>
      </w:tr>
      <w:tr w:rsidR="00B54F4E" w:rsidRPr="00D050B8" w14:paraId="6F9FB25D" w14:textId="77777777" w:rsidTr="006504C4">
        <w:trPr>
          <w:trHeight w:val="200"/>
        </w:trPr>
        <w:tc>
          <w:tcPr>
            <w:tcW w:w="1281" w:type="pct"/>
            <w:tcBorders>
              <w:top w:val="nil"/>
              <w:left w:val="nil"/>
              <w:bottom w:val="single" w:sz="4" w:space="0" w:color="auto"/>
              <w:right w:val="nil"/>
            </w:tcBorders>
            <w:shd w:val="clear" w:color="auto" w:fill="auto"/>
            <w:noWrap/>
            <w:vAlign w:val="bottom"/>
            <w:hideMark/>
          </w:tcPr>
          <w:p w14:paraId="33091595"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Ahorro por planta de generación evitada ($USD Millones)</w:t>
            </w:r>
          </w:p>
        </w:tc>
        <w:tc>
          <w:tcPr>
            <w:tcW w:w="256" w:type="pct"/>
            <w:tcBorders>
              <w:top w:val="nil"/>
              <w:left w:val="nil"/>
              <w:bottom w:val="single" w:sz="4" w:space="0" w:color="auto"/>
              <w:right w:val="nil"/>
            </w:tcBorders>
            <w:shd w:val="clear" w:color="auto" w:fill="auto"/>
            <w:noWrap/>
            <w:vAlign w:val="bottom"/>
            <w:hideMark/>
          </w:tcPr>
          <w:p w14:paraId="7E8DC73F"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nil"/>
              <w:left w:val="nil"/>
              <w:bottom w:val="single" w:sz="4" w:space="0" w:color="auto"/>
              <w:right w:val="nil"/>
            </w:tcBorders>
            <w:shd w:val="clear" w:color="auto" w:fill="auto"/>
            <w:noWrap/>
            <w:vAlign w:val="bottom"/>
            <w:hideMark/>
          </w:tcPr>
          <w:p w14:paraId="2021BF17"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nil"/>
              <w:left w:val="nil"/>
              <w:bottom w:val="single" w:sz="4" w:space="0" w:color="auto"/>
              <w:right w:val="nil"/>
            </w:tcBorders>
            <w:shd w:val="clear" w:color="auto" w:fill="auto"/>
            <w:noWrap/>
            <w:vAlign w:val="bottom"/>
            <w:hideMark/>
          </w:tcPr>
          <w:p w14:paraId="49AC8AEE"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2" w:type="pct"/>
            <w:tcBorders>
              <w:top w:val="nil"/>
              <w:left w:val="nil"/>
              <w:bottom w:val="single" w:sz="4" w:space="0" w:color="auto"/>
              <w:right w:val="nil"/>
            </w:tcBorders>
            <w:shd w:val="clear" w:color="auto" w:fill="auto"/>
            <w:noWrap/>
            <w:vAlign w:val="bottom"/>
            <w:hideMark/>
          </w:tcPr>
          <w:p w14:paraId="7B5AA16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5EEFD20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315A158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67F825C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35CEC97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147</w:t>
            </w:r>
          </w:p>
        </w:tc>
        <w:tc>
          <w:tcPr>
            <w:tcW w:w="209" w:type="pct"/>
            <w:tcBorders>
              <w:top w:val="nil"/>
              <w:left w:val="nil"/>
              <w:bottom w:val="single" w:sz="4" w:space="0" w:color="auto"/>
              <w:right w:val="nil"/>
            </w:tcBorders>
            <w:shd w:val="clear" w:color="auto" w:fill="auto"/>
            <w:noWrap/>
            <w:vAlign w:val="bottom"/>
            <w:hideMark/>
          </w:tcPr>
          <w:p w14:paraId="5913C99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6728E31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269CEFA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6DA1BA2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706F024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6DB7E3F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42B16A26"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2B42118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9" w:type="pct"/>
            <w:tcBorders>
              <w:top w:val="nil"/>
              <w:left w:val="nil"/>
              <w:bottom w:val="single" w:sz="4" w:space="0" w:color="auto"/>
              <w:right w:val="nil"/>
            </w:tcBorders>
            <w:shd w:val="clear" w:color="auto" w:fill="auto"/>
            <w:noWrap/>
            <w:vAlign w:val="bottom"/>
            <w:hideMark/>
          </w:tcPr>
          <w:p w14:paraId="20A7BDE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c>
          <w:tcPr>
            <w:tcW w:w="207" w:type="pct"/>
            <w:tcBorders>
              <w:top w:val="nil"/>
              <w:left w:val="nil"/>
              <w:bottom w:val="single" w:sz="4" w:space="0" w:color="auto"/>
              <w:right w:val="nil"/>
            </w:tcBorders>
            <w:shd w:val="clear" w:color="auto" w:fill="auto"/>
            <w:noWrap/>
            <w:vAlign w:val="bottom"/>
            <w:hideMark/>
          </w:tcPr>
          <w:p w14:paraId="5E2C96B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0</w:t>
            </w:r>
          </w:p>
        </w:tc>
      </w:tr>
      <w:tr w:rsidR="00B54F4E" w:rsidRPr="00D050B8" w14:paraId="21A4DA94" w14:textId="77777777" w:rsidTr="006504C4">
        <w:trPr>
          <w:trHeight w:val="200"/>
        </w:trPr>
        <w:tc>
          <w:tcPr>
            <w:tcW w:w="1281" w:type="pct"/>
            <w:tcBorders>
              <w:top w:val="nil"/>
              <w:left w:val="nil"/>
              <w:bottom w:val="single" w:sz="4" w:space="0" w:color="auto"/>
              <w:right w:val="nil"/>
            </w:tcBorders>
            <w:shd w:val="clear" w:color="auto" w:fill="auto"/>
            <w:noWrap/>
            <w:vAlign w:val="bottom"/>
            <w:hideMark/>
          </w:tcPr>
          <w:p w14:paraId="5C8A9497"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Total Beneficios ($USD Millones)</w:t>
            </w:r>
          </w:p>
        </w:tc>
        <w:tc>
          <w:tcPr>
            <w:tcW w:w="256" w:type="pct"/>
            <w:tcBorders>
              <w:top w:val="nil"/>
              <w:left w:val="nil"/>
              <w:bottom w:val="single" w:sz="4" w:space="0" w:color="auto"/>
              <w:right w:val="nil"/>
            </w:tcBorders>
            <w:shd w:val="clear" w:color="auto" w:fill="auto"/>
            <w:noWrap/>
            <w:vAlign w:val="bottom"/>
            <w:hideMark/>
          </w:tcPr>
          <w:p w14:paraId="4B7359F8"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nil"/>
              <w:left w:val="nil"/>
              <w:bottom w:val="single" w:sz="4" w:space="0" w:color="auto"/>
              <w:right w:val="nil"/>
            </w:tcBorders>
            <w:shd w:val="clear" w:color="auto" w:fill="auto"/>
            <w:noWrap/>
            <w:vAlign w:val="bottom"/>
            <w:hideMark/>
          </w:tcPr>
          <w:p w14:paraId="234F5543"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nil"/>
              <w:left w:val="nil"/>
              <w:bottom w:val="single" w:sz="4" w:space="0" w:color="auto"/>
              <w:right w:val="nil"/>
            </w:tcBorders>
            <w:shd w:val="clear" w:color="auto" w:fill="auto"/>
            <w:noWrap/>
            <w:vAlign w:val="bottom"/>
            <w:hideMark/>
          </w:tcPr>
          <w:p w14:paraId="3586C0D6"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2" w:type="pct"/>
            <w:tcBorders>
              <w:top w:val="nil"/>
              <w:left w:val="nil"/>
              <w:bottom w:val="single" w:sz="4" w:space="0" w:color="auto"/>
              <w:right w:val="nil"/>
            </w:tcBorders>
            <w:shd w:val="clear" w:color="auto" w:fill="auto"/>
            <w:noWrap/>
            <w:vAlign w:val="bottom"/>
            <w:hideMark/>
          </w:tcPr>
          <w:p w14:paraId="0DA08EE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6,18</w:t>
            </w:r>
          </w:p>
        </w:tc>
        <w:tc>
          <w:tcPr>
            <w:tcW w:w="209" w:type="pct"/>
            <w:tcBorders>
              <w:top w:val="nil"/>
              <w:left w:val="nil"/>
              <w:bottom w:val="single" w:sz="4" w:space="0" w:color="auto"/>
              <w:right w:val="nil"/>
            </w:tcBorders>
            <w:shd w:val="clear" w:color="auto" w:fill="auto"/>
            <w:noWrap/>
            <w:vAlign w:val="bottom"/>
            <w:hideMark/>
          </w:tcPr>
          <w:p w14:paraId="6396565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12,36</w:t>
            </w:r>
          </w:p>
        </w:tc>
        <w:tc>
          <w:tcPr>
            <w:tcW w:w="209" w:type="pct"/>
            <w:tcBorders>
              <w:top w:val="nil"/>
              <w:left w:val="nil"/>
              <w:bottom w:val="single" w:sz="4" w:space="0" w:color="auto"/>
              <w:right w:val="nil"/>
            </w:tcBorders>
            <w:shd w:val="clear" w:color="auto" w:fill="auto"/>
            <w:noWrap/>
            <w:vAlign w:val="bottom"/>
            <w:hideMark/>
          </w:tcPr>
          <w:p w14:paraId="197AD9BE"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18,53</w:t>
            </w:r>
          </w:p>
        </w:tc>
        <w:tc>
          <w:tcPr>
            <w:tcW w:w="209" w:type="pct"/>
            <w:tcBorders>
              <w:top w:val="nil"/>
              <w:left w:val="nil"/>
              <w:bottom w:val="single" w:sz="4" w:space="0" w:color="auto"/>
              <w:right w:val="nil"/>
            </w:tcBorders>
            <w:shd w:val="clear" w:color="auto" w:fill="auto"/>
            <w:noWrap/>
            <w:vAlign w:val="bottom"/>
            <w:hideMark/>
          </w:tcPr>
          <w:p w14:paraId="18FFFFD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24,71</w:t>
            </w:r>
          </w:p>
        </w:tc>
        <w:tc>
          <w:tcPr>
            <w:tcW w:w="209" w:type="pct"/>
            <w:tcBorders>
              <w:top w:val="nil"/>
              <w:left w:val="nil"/>
              <w:bottom w:val="single" w:sz="4" w:space="0" w:color="auto"/>
              <w:right w:val="nil"/>
            </w:tcBorders>
            <w:shd w:val="clear" w:color="auto" w:fill="auto"/>
            <w:noWrap/>
            <w:vAlign w:val="bottom"/>
            <w:hideMark/>
          </w:tcPr>
          <w:p w14:paraId="3007200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179,10</w:t>
            </w:r>
          </w:p>
        </w:tc>
        <w:tc>
          <w:tcPr>
            <w:tcW w:w="209" w:type="pct"/>
            <w:tcBorders>
              <w:top w:val="nil"/>
              <w:left w:val="nil"/>
              <w:bottom w:val="single" w:sz="4" w:space="0" w:color="auto"/>
              <w:right w:val="nil"/>
            </w:tcBorders>
            <w:shd w:val="clear" w:color="auto" w:fill="auto"/>
            <w:noWrap/>
            <w:vAlign w:val="bottom"/>
            <w:hideMark/>
          </w:tcPr>
          <w:p w14:paraId="1C6420C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35,57</w:t>
            </w:r>
          </w:p>
        </w:tc>
        <w:tc>
          <w:tcPr>
            <w:tcW w:w="209" w:type="pct"/>
            <w:tcBorders>
              <w:top w:val="nil"/>
              <w:left w:val="nil"/>
              <w:bottom w:val="single" w:sz="4" w:space="0" w:color="auto"/>
              <w:right w:val="nil"/>
            </w:tcBorders>
            <w:shd w:val="clear" w:color="auto" w:fill="auto"/>
            <w:noWrap/>
            <w:vAlign w:val="bottom"/>
            <w:hideMark/>
          </w:tcPr>
          <w:p w14:paraId="484A5EA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39,44</w:t>
            </w:r>
          </w:p>
        </w:tc>
        <w:tc>
          <w:tcPr>
            <w:tcW w:w="209" w:type="pct"/>
            <w:tcBorders>
              <w:top w:val="nil"/>
              <w:left w:val="nil"/>
              <w:bottom w:val="single" w:sz="4" w:space="0" w:color="auto"/>
              <w:right w:val="nil"/>
            </w:tcBorders>
            <w:shd w:val="clear" w:color="auto" w:fill="auto"/>
            <w:noWrap/>
            <w:vAlign w:val="bottom"/>
            <w:hideMark/>
          </w:tcPr>
          <w:p w14:paraId="681D861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43,34</w:t>
            </w:r>
          </w:p>
        </w:tc>
        <w:tc>
          <w:tcPr>
            <w:tcW w:w="209" w:type="pct"/>
            <w:tcBorders>
              <w:top w:val="nil"/>
              <w:left w:val="nil"/>
              <w:bottom w:val="single" w:sz="4" w:space="0" w:color="auto"/>
              <w:right w:val="nil"/>
            </w:tcBorders>
            <w:shd w:val="clear" w:color="auto" w:fill="auto"/>
            <w:noWrap/>
            <w:vAlign w:val="bottom"/>
            <w:hideMark/>
          </w:tcPr>
          <w:p w14:paraId="4FAD989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47,26</w:t>
            </w:r>
          </w:p>
        </w:tc>
        <w:tc>
          <w:tcPr>
            <w:tcW w:w="209" w:type="pct"/>
            <w:tcBorders>
              <w:top w:val="nil"/>
              <w:left w:val="nil"/>
              <w:bottom w:val="single" w:sz="4" w:space="0" w:color="auto"/>
              <w:right w:val="nil"/>
            </w:tcBorders>
            <w:shd w:val="clear" w:color="auto" w:fill="auto"/>
            <w:noWrap/>
            <w:vAlign w:val="bottom"/>
            <w:hideMark/>
          </w:tcPr>
          <w:p w14:paraId="51C2AA5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51,21</w:t>
            </w:r>
          </w:p>
        </w:tc>
        <w:tc>
          <w:tcPr>
            <w:tcW w:w="209" w:type="pct"/>
            <w:tcBorders>
              <w:top w:val="nil"/>
              <w:left w:val="nil"/>
              <w:bottom w:val="single" w:sz="4" w:space="0" w:color="auto"/>
              <w:right w:val="nil"/>
            </w:tcBorders>
            <w:shd w:val="clear" w:color="auto" w:fill="auto"/>
            <w:noWrap/>
            <w:vAlign w:val="bottom"/>
            <w:hideMark/>
          </w:tcPr>
          <w:p w14:paraId="340DF09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55,18</w:t>
            </w:r>
          </w:p>
        </w:tc>
        <w:tc>
          <w:tcPr>
            <w:tcW w:w="209" w:type="pct"/>
            <w:tcBorders>
              <w:top w:val="nil"/>
              <w:left w:val="nil"/>
              <w:bottom w:val="single" w:sz="4" w:space="0" w:color="auto"/>
              <w:right w:val="nil"/>
            </w:tcBorders>
            <w:shd w:val="clear" w:color="auto" w:fill="auto"/>
            <w:noWrap/>
            <w:vAlign w:val="bottom"/>
            <w:hideMark/>
          </w:tcPr>
          <w:p w14:paraId="15D3F66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59,18</w:t>
            </w:r>
          </w:p>
        </w:tc>
        <w:tc>
          <w:tcPr>
            <w:tcW w:w="209" w:type="pct"/>
            <w:tcBorders>
              <w:top w:val="nil"/>
              <w:left w:val="nil"/>
              <w:bottom w:val="single" w:sz="4" w:space="0" w:color="auto"/>
              <w:right w:val="nil"/>
            </w:tcBorders>
            <w:shd w:val="clear" w:color="auto" w:fill="auto"/>
            <w:noWrap/>
            <w:vAlign w:val="bottom"/>
            <w:hideMark/>
          </w:tcPr>
          <w:p w14:paraId="7F9F7DB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63,21</w:t>
            </w:r>
          </w:p>
        </w:tc>
        <w:tc>
          <w:tcPr>
            <w:tcW w:w="209" w:type="pct"/>
            <w:tcBorders>
              <w:top w:val="nil"/>
              <w:left w:val="nil"/>
              <w:bottom w:val="single" w:sz="4" w:space="0" w:color="auto"/>
              <w:right w:val="nil"/>
            </w:tcBorders>
            <w:shd w:val="clear" w:color="auto" w:fill="auto"/>
            <w:noWrap/>
            <w:vAlign w:val="bottom"/>
            <w:hideMark/>
          </w:tcPr>
          <w:p w14:paraId="24A6C23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67,27</w:t>
            </w:r>
          </w:p>
        </w:tc>
        <w:tc>
          <w:tcPr>
            <w:tcW w:w="207" w:type="pct"/>
            <w:tcBorders>
              <w:top w:val="nil"/>
              <w:left w:val="nil"/>
              <w:bottom w:val="single" w:sz="4" w:space="0" w:color="auto"/>
              <w:right w:val="nil"/>
            </w:tcBorders>
            <w:shd w:val="clear" w:color="auto" w:fill="auto"/>
            <w:noWrap/>
            <w:vAlign w:val="bottom"/>
            <w:hideMark/>
          </w:tcPr>
          <w:p w14:paraId="2C750DF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71,35</w:t>
            </w:r>
          </w:p>
        </w:tc>
      </w:tr>
      <w:tr w:rsidR="00B54F4E" w:rsidRPr="00D050B8" w14:paraId="7494F88E" w14:textId="77777777" w:rsidTr="006504C4">
        <w:trPr>
          <w:trHeight w:val="200"/>
        </w:trPr>
        <w:tc>
          <w:tcPr>
            <w:tcW w:w="1281" w:type="pct"/>
            <w:tcBorders>
              <w:top w:val="nil"/>
              <w:left w:val="nil"/>
              <w:bottom w:val="nil"/>
              <w:right w:val="nil"/>
            </w:tcBorders>
            <w:shd w:val="clear" w:color="auto" w:fill="auto"/>
            <w:noWrap/>
            <w:vAlign w:val="bottom"/>
            <w:hideMark/>
          </w:tcPr>
          <w:p w14:paraId="4C621530" w14:textId="77777777" w:rsidR="00B54F4E" w:rsidRPr="00D050B8" w:rsidRDefault="00B54F4E" w:rsidP="006504C4">
            <w:pPr>
              <w:spacing w:before="0" w:after="0"/>
              <w:jc w:val="left"/>
              <w:rPr>
                <w:rFonts w:ascii="Calibri" w:hAnsi="Calibri" w:cs="Calibri"/>
                <w:b/>
                <w:bCs/>
                <w:color w:val="000000"/>
                <w:sz w:val="12"/>
                <w:szCs w:val="22"/>
                <w:lang w:eastAsia="es-CO"/>
              </w:rPr>
            </w:pPr>
            <w:r w:rsidRPr="00D050B8">
              <w:rPr>
                <w:rFonts w:ascii="Calibri" w:hAnsi="Calibri" w:cs="Calibri"/>
                <w:b/>
                <w:bCs/>
                <w:color w:val="000000"/>
                <w:sz w:val="12"/>
                <w:szCs w:val="22"/>
                <w:lang w:eastAsia="es-CO"/>
              </w:rPr>
              <w:t>Inversión y Costos</w:t>
            </w:r>
          </w:p>
        </w:tc>
        <w:tc>
          <w:tcPr>
            <w:tcW w:w="256" w:type="pct"/>
            <w:tcBorders>
              <w:top w:val="nil"/>
              <w:left w:val="nil"/>
              <w:bottom w:val="nil"/>
              <w:right w:val="nil"/>
            </w:tcBorders>
            <w:shd w:val="clear" w:color="auto" w:fill="auto"/>
            <w:noWrap/>
            <w:vAlign w:val="bottom"/>
            <w:hideMark/>
          </w:tcPr>
          <w:p w14:paraId="69D3BFD5" w14:textId="77777777" w:rsidR="00B54F4E" w:rsidRPr="00D050B8" w:rsidRDefault="00B54F4E" w:rsidP="006504C4">
            <w:pPr>
              <w:spacing w:before="0" w:after="0"/>
              <w:jc w:val="left"/>
              <w:rPr>
                <w:rFonts w:ascii="Calibri" w:hAnsi="Calibri" w:cs="Calibri"/>
                <w:b/>
                <w:bCs/>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7B732FB5"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0CFA3116"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7539D60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6D5D8B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4E7A14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521D3A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DC107A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150748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693427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A69F73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E3E0DD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DA5102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06959F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4AE5D7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04438D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445095E"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6785016F"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307E36C7" w14:textId="77777777" w:rsidTr="006504C4">
        <w:trPr>
          <w:trHeight w:val="200"/>
        </w:trPr>
        <w:tc>
          <w:tcPr>
            <w:tcW w:w="1281" w:type="pct"/>
            <w:tcBorders>
              <w:top w:val="nil"/>
              <w:left w:val="nil"/>
              <w:bottom w:val="nil"/>
              <w:right w:val="nil"/>
            </w:tcBorders>
            <w:shd w:val="clear" w:color="auto" w:fill="auto"/>
            <w:noWrap/>
            <w:vAlign w:val="bottom"/>
            <w:hideMark/>
          </w:tcPr>
          <w:p w14:paraId="12105BBF"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Inversión en bombillos LED ($USD Millones)</w:t>
            </w:r>
          </w:p>
        </w:tc>
        <w:tc>
          <w:tcPr>
            <w:tcW w:w="256" w:type="pct"/>
            <w:tcBorders>
              <w:top w:val="nil"/>
              <w:left w:val="nil"/>
              <w:bottom w:val="nil"/>
              <w:right w:val="nil"/>
            </w:tcBorders>
            <w:shd w:val="clear" w:color="auto" w:fill="auto"/>
            <w:noWrap/>
            <w:vAlign w:val="bottom"/>
            <w:hideMark/>
          </w:tcPr>
          <w:p w14:paraId="189C611E"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p>
        </w:tc>
        <w:tc>
          <w:tcPr>
            <w:tcW w:w="181" w:type="pct"/>
            <w:tcBorders>
              <w:top w:val="nil"/>
              <w:left w:val="nil"/>
              <w:bottom w:val="nil"/>
              <w:right w:val="nil"/>
            </w:tcBorders>
            <w:shd w:val="clear" w:color="auto" w:fill="auto"/>
            <w:noWrap/>
            <w:vAlign w:val="bottom"/>
            <w:hideMark/>
          </w:tcPr>
          <w:p w14:paraId="42466E40"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2300697D"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61DBAAE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nil"/>
              <w:left w:val="nil"/>
              <w:bottom w:val="nil"/>
              <w:right w:val="nil"/>
            </w:tcBorders>
            <w:shd w:val="clear" w:color="auto" w:fill="auto"/>
            <w:noWrap/>
            <w:vAlign w:val="bottom"/>
            <w:hideMark/>
          </w:tcPr>
          <w:p w14:paraId="4337B56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nil"/>
              <w:left w:val="nil"/>
              <w:bottom w:val="nil"/>
              <w:right w:val="nil"/>
            </w:tcBorders>
            <w:shd w:val="clear" w:color="auto" w:fill="auto"/>
            <w:noWrap/>
            <w:vAlign w:val="bottom"/>
            <w:hideMark/>
          </w:tcPr>
          <w:p w14:paraId="4B383D8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nil"/>
              <w:left w:val="nil"/>
              <w:bottom w:val="nil"/>
              <w:right w:val="nil"/>
            </w:tcBorders>
            <w:shd w:val="clear" w:color="auto" w:fill="auto"/>
            <w:noWrap/>
            <w:vAlign w:val="bottom"/>
            <w:hideMark/>
          </w:tcPr>
          <w:p w14:paraId="479DA54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nil"/>
              <w:left w:val="nil"/>
              <w:bottom w:val="nil"/>
              <w:right w:val="nil"/>
            </w:tcBorders>
            <w:shd w:val="clear" w:color="auto" w:fill="auto"/>
            <w:noWrap/>
            <w:vAlign w:val="bottom"/>
            <w:hideMark/>
          </w:tcPr>
          <w:p w14:paraId="05DAA64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10,5</w:t>
            </w:r>
          </w:p>
        </w:tc>
        <w:tc>
          <w:tcPr>
            <w:tcW w:w="209" w:type="pct"/>
            <w:tcBorders>
              <w:top w:val="nil"/>
              <w:left w:val="nil"/>
              <w:bottom w:val="nil"/>
              <w:right w:val="nil"/>
            </w:tcBorders>
            <w:shd w:val="clear" w:color="auto" w:fill="auto"/>
            <w:noWrap/>
            <w:vAlign w:val="bottom"/>
            <w:hideMark/>
          </w:tcPr>
          <w:p w14:paraId="302ACE7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nil"/>
              <w:left w:val="nil"/>
              <w:bottom w:val="nil"/>
              <w:right w:val="nil"/>
            </w:tcBorders>
            <w:shd w:val="clear" w:color="auto" w:fill="auto"/>
            <w:noWrap/>
            <w:vAlign w:val="bottom"/>
            <w:hideMark/>
          </w:tcPr>
          <w:p w14:paraId="753E58D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nil"/>
              <w:left w:val="nil"/>
              <w:bottom w:val="nil"/>
              <w:right w:val="nil"/>
            </w:tcBorders>
            <w:shd w:val="clear" w:color="auto" w:fill="auto"/>
            <w:noWrap/>
            <w:vAlign w:val="bottom"/>
            <w:hideMark/>
          </w:tcPr>
          <w:p w14:paraId="73E2BB6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nil"/>
              <w:left w:val="nil"/>
              <w:bottom w:val="nil"/>
              <w:right w:val="nil"/>
            </w:tcBorders>
            <w:shd w:val="clear" w:color="auto" w:fill="auto"/>
            <w:noWrap/>
            <w:vAlign w:val="bottom"/>
            <w:hideMark/>
          </w:tcPr>
          <w:p w14:paraId="5C3CE23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nil"/>
              <w:left w:val="nil"/>
              <w:bottom w:val="nil"/>
              <w:right w:val="nil"/>
            </w:tcBorders>
            <w:shd w:val="clear" w:color="auto" w:fill="auto"/>
            <w:noWrap/>
            <w:vAlign w:val="bottom"/>
            <w:hideMark/>
          </w:tcPr>
          <w:p w14:paraId="26BE686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nil"/>
              <w:left w:val="nil"/>
              <w:bottom w:val="nil"/>
              <w:right w:val="nil"/>
            </w:tcBorders>
            <w:shd w:val="clear" w:color="auto" w:fill="auto"/>
            <w:noWrap/>
            <w:vAlign w:val="bottom"/>
            <w:hideMark/>
          </w:tcPr>
          <w:p w14:paraId="71B87296"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nil"/>
              <w:left w:val="nil"/>
              <w:bottom w:val="nil"/>
              <w:right w:val="nil"/>
            </w:tcBorders>
            <w:shd w:val="clear" w:color="auto" w:fill="auto"/>
            <w:noWrap/>
            <w:vAlign w:val="bottom"/>
            <w:hideMark/>
          </w:tcPr>
          <w:p w14:paraId="4C10DAA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nil"/>
              <w:left w:val="nil"/>
              <w:bottom w:val="nil"/>
              <w:right w:val="nil"/>
            </w:tcBorders>
            <w:shd w:val="clear" w:color="auto" w:fill="auto"/>
            <w:noWrap/>
            <w:vAlign w:val="bottom"/>
            <w:hideMark/>
          </w:tcPr>
          <w:p w14:paraId="3DA123BE"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nil"/>
              <w:left w:val="nil"/>
              <w:bottom w:val="nil"/>
              <w:right w:val="nil"/>
            </w:tcBorders>
            <w:shd w:val="clear" w:color="auto" w:fill="auto"/>
            <w:noWrap/>
            <w:vAlign w:val="bottom"/>
            <w:hideMark/>
          </w:tcPr>
          <w:p w14:paraId="69E4F92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7" w:type="pct"/>
            <w:tcBorders>
              <w:top w:val="nil"/>
              <w:left w:val="nil"/>
              <w:bottom w:val="nil"/>
              <w:right w:val="nil"/>
            </w:tcBorders>
            <w:shd w:val="clear" w:color="auto" w:fill="auto"/>
            <w:noWrap/>
            <w:vAlign w:val="bottom"/>
            <w:hideMark/>
          </w:tcPr>
          <w:p w14:paraId="103731C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r>
      <w:tr w:rsidR="00B54F4E" w:rsidRPr="00D050B8" w14:paraId="24FD1D21" w14:textId="77777777" w:rsidTr="006504C4">
        <w:trPr>
          <w:trHeight w:val="200"/>
        </w:trPr>
        <w:tc>
          <w:tcPr>
            <w:tcW w:w="1281" w:type="pct"/>
            <w:tcBorders>
              <w:top w:val="single" w:sz="4" w:space="0" w:color="auto"/>
              <w:left w:val="nil"/>
              <w:bottom w:val="single" w:sz="4" w:space="0" w:color="auto"/>
              <w:right w:val="nil"/>
            </w:tcBorders>
            <w:shd w:val="clear" w:color="auto" w:fill="auto"/>
            <w:noWrap/>
            <w:vAlign w:val="bottom"/>
            <w:hideMark/>
          </w:tcPr>
          <w:p w14:paraId="750837B2" w14:textId="77777777" w:rsidR="00B54F4E" w:rsidRPr="00D050B8" w:rsidRDefault="00B54F4E" w:rsidP="006504C4">
            <w:pPr>
              <w:spacing w:before="0" w:after="0"/>
              <w:ind w:firstLineChars="100" w:firstLine="12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Total Inversión y Costos ($USD Millones)</w:t>
            </w:r>
          </w:p>
        </w:tc>
        <w:tc>
          <w:tcPr>
            <w:tcW w:w="256" w:type="pct"/>
            <w:tcBorders>
              <w:top w:val="single" w:sz="4" w:space="0" w:color="auto"/>
              <w:left w:val="nil"/>
              <w:bottom w:val="single" w:sz="4" w:space="0" w:color="auto"/>
              <w:right w:val="nil"/>
            </w:tcBorders>
            <w:shd w:val="clear" w:color="auto" w:fill="auto"/>
            <w:noWrap/>
            <w:vAlign w:val="bottom"/>
            <w:hideMark/>
          </w:tcPr>
          <w:p w14:paraId="574DABD6"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single" w:sz="4" w:space="0" w:color="auto"/>
              <w:left w:val="nil"/>
              <w:bottom w:val="single" w:sz="4" w:space="0" w:color="auto"/>
              <w:right w:val="nil"/>
            </w:tcBorders>
            <w:shd w:val="clear" w:color="auto" w:fill="auto"/>
            <w:noWrap/>
            <w:vAlign w:val="bottom"/>
            <w:hideMark/>
          </w:tcPr>
          <w:p w14:paraId="59C61A77"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single" w:sz="4" w:space="0" w:color="auto"/>
              <w:left w:val="nil"/>
              <w:bottom w:val="single" w:sz="4" w:space="0" w:color="auto"/>
              <w:right w:val="nil"/>
            </w:tcBorders>
            <w:shd w:val="clear" w:color="auto" w:fill="auto"/>
            <w:noWrap/>
            <w:vAlign w:val="bottom"/>
            <w:hideMark/>
          </w:tcPr>
          <w:p w14:paraId="1FF22C63"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2" w:type="pct"/>
            <w:tcBorders>
              <w:top w:val="single" w:sz="4" w:space="0" w:color="auto"/>
              <w:left w:val="nil"/>
              <w:bottom w:val="single" w:sz="4" w:space="0" w:color="auto"/>
              <w:right w:val="nil"/>
            </w:tcBorders>
            <w:shd w:val="clear" w:color="auto" w:fill="auto"/>
            <w:noWrap/>
            <w:vAlign w:val="bottom"/>
            <w:hideMark/>
          </w:tcPr>
          <w:p w14:paraId="289D8DA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single" w:sz="4" w:space="0" w:color="auto"/>
              <w:left w:val="nil"/>
              <w:bottom w:val="single" w:sz="4" w:space="0" w:color="auto"/>
              <w:right w:val="nil"/>
            </w:tcBorders>
            <w:shd w:val="clear" w:color="auto" w:fill="auto"/>
            <w:noWrap/>
            <w:vAlign w:val="bottom"/>
            <w:hideMark/>
          </w:tcPr>
          <w:p w14:paraId="3F51437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single" w:sz="4" w:space="0" w:color="auto"/>
              <w:left w:val="nil"/>
              <w:bottom w:val="single" w:sz="4" w:space="0" w:color="auto"/>
              <w:right w:val="nil"/>
            </w:tcBorders>
            <w:shd w:val="clear" w:color="auto" w:fill="auto"/>
            <w:noWrap/>
            <w:vAlign w:val="bottom"/>
            <w:hideMark/>
          </w:tcPr>
          <w:p w14:paraId="2B973F9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single" w:sz="4" w:space="0" w:color="auto"/>
              <w:left w:val="nil"/>
              <w:bottom w:val="single" w:sz="4" w:space="0" w:color="auto"/>
              <w:right w:val="nil"/>
            </w:tcBorders>
            <w:shd w:val="clear" w:color="auto" w:fill="auto"/>
            <w:noWrap/>
            <w:vAlign w:val="bottom"/>
            <w:hideMark/>
          </w:tcPr>
          <w:p w14:paraId="646E951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3,9</w:t>
            </w:r>
          </w:p>
        </w:tc>
        <w:tc>
          <w:tcPr>
            <w:tcW w:w="209" w:type="pct"/>
            <w:tcBorders>
              <w:top w:val="single" w:sz="4" w:space="0" w:color="auto"/>
              <w:left w:val="nil"/>
              <w:bottom w:val="single" w:sz="4" w:space="0" w:color="auto"/>
              <w:right w:val="nil"/>
            </w:tcBorders>
            <w:shd w:val="clear" w:color="auto" w:fill="auto"/>
            <w:noWrap/>
            <w:vAlign w:val="bottom"/>
            <w:hideMark/>
          </w:tcPr>
          <w:p w14:paraId="015B418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10,5</w:t>
            </w:r>
          </w:p>
        </w:tc>
        <w:tc>
          <w:tcPr>
            <w:tcW w:w="209" w:type="pct"/>
            <w:tcBorders>
              <w:top w:val="single" w:sz="4" w:space="0" w:color="auto"/>
              <w:left w:val="nil"/>
              <w:bottom w:val="single" w:sz="4" w:space="0" w:color="auto"/>
              <w:right w:val="nil"/>
            </w:tcBorders>
            <w:shd w:val="clear" w:color="auto" w:fill="auto"/>
            <w:noWrap/>
            <w:vAlign w:val="bottom"/>
            <w:hideMark/>
          </w:tcPr>
          <w:p w14:paraId="24EE3A5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single" w:sz="4" w:space="0" w:color="auto"/>
              <w:left w:val="nil"/>
              <w:bottom w:val="single" w:sz="4" w:space="0" w:color="auto"/>
              <w:right w:val="nil"/>
            </w:tcBorders>
            <w:shd w:val="clear" w:color="auto" w:fill="auto"/>
            <w:noWrap/>
            <w:vAlign w:val="bottom"/>
            <w:hideMark/>
          </w:tcPr>
          <w:p w14:paraId="6240714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single" w:sz="4" w:space="0" w:color="auto"/>
              <w:left w:val="nil"/>
              <w:bottom w:val="single" w:sz="4" w:space="0" w:color="auto"/>
              <w:right w:val="nil"/>
            </w:tcBorders>
            <w:shd w:val="clear" w:color="auto" w:fill="auto"/>
            <w:noWrap/>
            <w:vAlign w:val="bottom"/>
            <w:hideMark/>
          </w:tcPr>
          <w:p w14:paraId="5D4657B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single" w:sz="4" w:space="0" w:color="auto"/>
              <w:left w:val="nil"/>
              <w:bottom w:val="single" w:sz="4" w:space="0" w:color="auto"/>
              <w:right w:val="nil"/>
            </w:tcBorders>
            <w:shd w:val="clear" w:color="auto" w:fill="auto"/>
            <w:noWrap/>
            <w:vAlign w:val="bottom"/>
            <w:hideMark/>
          </w:tcPr>
          <w:p w14:paraId="6EA0025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8,5</w:t>
            </w:r>
          </w:p>
        </w:tc>
        <w:tc>
          <w:tcPr>
            <w:tcW w:w="209" w:type="pct"/>
            <w:tcBorders>
              <w:top w:val="single" w:sz="4" w:space="0" w:color="auto"/>
              <w:left w:val="nil"/>
              <w:bottom w:val="single" w:sz="4" w:space="0" w:color="auto"/>
              <w:right w:val="nil"/>
            </w:tcBorders>
            <w:shd w:val="clear" w:color="auto" w:fill="auto"/>
            <w:noWrap/>
            <w:vAlign w:val="bottom"/>
            <w:hideMark/>
          </w:tcPr>
          <w:p w14:paraId="0B877F6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single" w:sz="4" w:space="0" w:color="auto"/>
              <w:left w:val="nil"/>
              <w:bottom w:val="single" w:sz="4" w:space="0" w:color="auto"/>
              <w:right w:val="nil"/>
            </w:tcBorders>
            <w:shd w:val="clear" w:color="auto" w:fill="auto"/>
            <w:noWrap/>
            <w:vAlign w:val="bottom"/>
            <w:hideMark/>
          </w:tcPr>
          <w:p w14:paraId="68306A1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single" w:sz="4" w:space="0" w:color="auto"/>
              <w:left w:val="nil"/>
              <w:bottom w:val="single" w:sz="4" w:space="0" w:color="auto"/>
              <w:right w:val="nil"/>
            </w:tcBorders>
            <w:shd w:val="clear" w:color="auto" w:fill="auto"/>
            <w:noWrap/>
            <w:vAlign w:val="bottom"/>
            <w:hideMark/>
          </w:tcPr>
          <w:p w14:paraId="2463BB7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single" w:sz="4" w:space="0" w:color="auto"/>
              <w:left w:val="nil"/>
              <w:bottom w:val="single" w:sz="4" w:space="0" w:color="auto"/>
              <w:right w:val="nil"/>
            </w:tcBorders>
            <w:shd w:val="clear" w:color="auto" w:fill="auto"/>
            <w:noWrap/>
            <w:vAlign w:val="bottom"/>
            <w:hideMark/>
          </w:tcPr>
          <w:p w14:paraId="211CAC4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9" w:type="pct"/>
            <w:tcBorders>
              <w:top w:val="single" w:sz="4" w:space="0" w:color="auto"/>
              <w:left w:val="nil"/>
              <w:bottom w:val="single" w:sz="4" w:space="0" w:color="auto"/>
              <w:right w:val="nil"/>
            </w:tcBorders>
            <w:shd w:val="clear" w:color="auto" w:fill="auto"/>
            <w:noWrap/>
            <w:vAlign w:val="bottom"/>
            <w:hideMark/>
          </w:tcPr>
          <w:p w14:paraId="640957D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c>
          <w:tcPr>
            <w:tcW w:w="207" w:type="pct"/>
            <w:tcBorders>
              <w:top w:val="single" w:sz="4" w:space="0" w:color="auto"/>
              <w:left w:val="nil"/>
              <w:bottom w:val="single" w:sz="4" w:space="0" w:color="auto"/>
              <w:right w:val="nil"/>
            </w:tcBorders>
            <w:shd w:val="clear" w:color="auto" w:fill="auto"/>
            <w:noWrap/>
            <w:vAlign w:val="bottom"/>
            <w:hideMark/>
          </w:tcPr>
          <w:p w14:paraId="557C84B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8,6</w:t>
            </w:r>
          </w:p>
        </w:tc>
      </w:tr>
      <w:tr w:rsidR="00B54F4E" w:rsidRPr="00D050B8" w14:paraId="0563EFDD" w14:textId="77777777" w:rsidTr="006504C4">
        <w:trPr>
          <w:trHeight w:val="200"/>
        </w:trPr>
        <w:tc>
          <w:tcPr>
            <w:tcW w:w="1281" w:type="pct"/>
            <w:tcBorders>
              <w:top w:val="nil"/>
              <w:left w:val="nil"/>
              <w:bottom w:val="single" w:sz="4" w:space="0" w:color="auto"/>
              <w:right w:val="nil"/>
            </w:tcBorders>
            <w:shd w:val="clear" w:color="auto" w:fill="auto"/>
            <w:noWrap/>
            <w:vAlign w:val="bottom"/>
            <w:hideMark/>
          </w:tcPr>
          <w:p w14:paraId="1D5345FE" w14:textId="77777777" w:rsidR="00B54F4E" w:rsidRPr="00D050B8" w:rsidRDefault="00B54F4E" w:rsidP="006504C4">
            <w:pPr>
              <w:spacing w:before="0" w:after="0"/>
              <w:jc w:val="left"/>
              <w:rPr>
                <w:rFonts w:ascii="Calibri" w:hAnsi="Calibri" w:cs="Calibri"/>
                <w:b/>
                <w:bCs/>
                <w:color w:val="000000"/>
                <w:sz w:val="12"/>
                <w:szCs w:val="22"/>
                <w:lang w:eastAsia="es-CO"/>
              </w:rPr>
            </w:pPr>
            <w:r w:rsidRPr="00D050B8">
              <w:rPr>
                <w:rFonts w:ascii="Calibri" w:hAnsi="Calibri" w:cs="Calibri"/>
                <w:b/>
                <w:bCs/>
                <w:color w:val="000000"/>
                <w:sz w:val="12"/>
                <w:szCs w:val="22"/>
                <w:lang w:eastAsia="es-CO"/>
              </w:rPr>
              <w:t>Flujo Neto</w:t>
            </w:r>
          </w:p>
        </w:tc>
        <w:tc>
          <w:tcPr>
            <w:tcW w:w="256" w:type="pct"/>
            <w:tcBorders>
              <w:top w:val="nil"/>
              <w:left w:val="nil"/>
              <w:bottom w:val="single" w:sz="4" w:space="0" w:color="auto"/>
              <w:right w:val="nil"/>
            </w:tcBorders>
            <w:shd w:val="clear" w:color="auto" w:fill="auto"/>
            <w:noWrap/>
            <w:vAlign w:val="bottom"/>
            <w:hideMark/>
          </w:tcPr>
          <w:p w14:paraId="1EB0F44C"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nil"/>
              <w:left w:val="nil"/>
              <w:bottom w:val="single" w:sz="4" w:space="0" w:color="auto"/>
              <w:right w:val="nil"/>
            </w:tcBorders>
            <w:shd w:val="clear" w:color="auto" w:fill="auto"/>
            <w:noWrap/>
            <w:vAlign w:val="bottom"/>
            <w:hideMark/>
          </w:tcPr>
          <w:p w14:paraId="0598C4FB"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nil"/>
              <w:left w:val="nil"/>
              <w:bottom w:val="single" w:sz="4" w:space="0" w:color="auto"/>
              <w:right w:val="nil"/>
            </w:tcBorders>
            <w:shd w:val="clear" w:color="auto" w:fill="auto"/>
            <w:noWrap/>
            <w:vAlign w:val="bottom"/>
            <w:hideMark/>
          </w:tcPr>
          <w:p w14:paraId="50C97B98"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2" w:type="pct"/>
            <w:tcBorders>
              <w:top w:val="nil"/>
              <w:left w:val="nil"/>
              <w:bottom w:val="single" w:sz="4" w:space="0" w:color="auto"/>
              <w:right w:val="nil"/>
            </w:tcBorders>
            <w:shd w:val="clear" w:color="auto" w:fill="auto"/>
            <w:noWrap/>
            <w:vAlign w:val="bottom"/>
            <w:hideMark/>
          </w:tcPr>
          <w:p w14:paraId="5C9748B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2,2</w:t>
            </w:r>
          </w:p>
        </w:tc>
        <w:tc>
          <w:tcPr>
            <w:tcW w:w="209" w:type="pct"/>
            <w:tcBorders>
              <w:top w:val="nil"/>
              <w:left w:val="nil"/>
              <w:bottom w:val="single" w:sz="4" w:space="0" w:color="auto"/>
              <w:right w:val="nil"/>
            </w:tcBorders>
            <w:shd w:val="clear" w:color="auto" w:fill="auto"/>
            <w:noWrap/>
            <w:vAlign w:val="bottom"/>
            <w:hideMark/>
          </w:tcPr>
          <w:p w14:paraId="32CD6DC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8,4</w:t>
            </w:r>
          </w:p>
        </w:tc>
        <w:tc>
          <w:tcPr>
            <w:tcW w:w="209" w:type="pct"/>
            <w:tcBorders>
              <w:top w:val="nil"/>
              <w:left w:val="nil"/>
              <w:bottom w:val="single" w:sz="4" w:space="0" w:color="auto"/>
              <w:right w:val="nil"/>
            </w:tcBorders>
            <w:shd w:val="clear" w:color="auto" w:fill="auto"/>
            <w:noWrap/>
            <w:vAlign w:val="bottom"/>
            <w:hideMark/>
          </w:tcPr>
          <w:p w14:paraId="0DF9F25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14,6</w:t>
            </w:r>
          </w:p>
        </w:tc>
        <w:tc>
          <w:tcPr>
            <w:tcW w:w="209" w:type="pct"/>
            <w:tcBorders>
              <w:top w:val="nil"/>
              <w:left w:val="nil"/>
              <w:bottom w:val="single" w:sz="4" w:space="0" w:color="auto"/>
              <w:right w:val="nil"/>
            </w:tcBorders>
            <w:shd w:val="clear" w:color="auto" w:fill="auto"/>
            <w:noWrap/>
            <w:vAlign w:val="bottom"/>
            <w:hideMark/>
          </w:tcPr>
          <w:p w14:paraId="48D3D006"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20,8</w:t>
            </w:r>
          </w:p>
        </w:tc>
        <w:tc>
          <w:tcPr>
            <w:tcW w:w="209" w:type="pct"/>
            <w:tcBorders>
              <w:top w:val="nil"/>
              <w:left w:val="nil"/>
              <w:bottom w:val="single" w:sz="4" w:space="0" w:color="auto"/>
              <w:right w:val="nil"/>
            </w:tcBorders>
            <w:shd w:val="clear" w:color="auto" w:fill="auto"/>
            <w:noWrap/>
            <w:vAlign w:val="bottom"/>
            <w:hideMark/>
          </w:tcPr>
          <w:p w14:paraId="00E041C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168,6</w:t>
            </w:r>
          </w:p>
        </w:tc>
        <w:tc>
          <w:tcPr>
            <w:tcW w:w="209" w:type="pct"/>
            <w:tcBorders>
              <w:top w:val="nil"/>
              <w:left w:val="nil"/>
              <w:bottom w:val="single" w:sz="4" w:space="0" w:color="auto"/>
              <w:right w:val="nil"/>
            </w:tcBorders>
            <w:shd w:val="clear" w:color="auto" w:fill="auto"/>
            <w:noWrap/>
            <w:vAlign w:val="bottom"/>
            <w:hideMark/>
          </w:tcPr>
          <w:p w14:paraId="36487A1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27,1</w:t>
            </w:r>
          </w:p>
        </w:tc>
        <w:tc>
          <w:tcPr>
            <w:tcW w:w="209" w:type="pct"/>
            <w:tcBorders>
              <w:top w:val="nil"/>
              <w:left w:val="nil"/>
              <w:bottom w:val="single" w:sz="4" w:space="0" w:color="auto"/>
              <w:right w:val="nil"/>
            </w:tcBorders>
            <w:shd w:val="clear" w:color="auto" w:fill="auto"/>
            <w:noWrap/>
            <w:vAlign w:val="bottom"/>
            <w:hideMark/>
          </w:tcPr>
          <w:p w14:paraId="157F7A9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30,9</w:t>
            </w:r>
          </w:p>
        </w:tc>
        <w:tc>
          <w:tcPr>
            <w:tcW w:w="209" w:type="pct"/>
            <w:tcBorders>
              <w:top w:val="nil"/>
              <w:left w:val="nil"/>
              <w:bottom w:val="single" w:sz="4" w:space="0" w:color="auto"/>
              <w:right w:val="nil"/>
            </w:tcBorders>
            <w:shd w:val="clear" w:color="auto" w:fill="auto"/>
            <w:noWrap/>
            <w:vAlign w:val="bottom"/>
            <w:hideMark/>
          </w:tcPr>
          <w:p w14:paraId="568E38A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34,8</w:t>
            </w:r>
          </w:p>
        </w:tc>
        <w:tc>
          <w:tcPr>
            <w:tcW w:w="209" w:type="pct"/>
            <w:tcBorders>
              <w:top w:val="nil"/>
              <w:left w:val="nil"/>
              <w:bottom w:val="single" w:sz="4" w:space="0" w:color="auto"/>
              <w:right w:val="nil"/>
            </w:tcBorders>
            <w:shd w:val="clear" w:color="auto" w:fill="auto"/>
            <w:noWrap/>
            <w:vAlign w:val="bottom"/>
            <w:hideMark/>
          </w:tcPr>
          <w:p w14:paraId="291F99E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38,7</w:t>
            </w:r>
          </w:p>
        </w:tc>
        <w:tc>
          <w:tcPr>
            <w:tcW w:w="209" w:type="pct"/>
            <w:tcBorders>
              <w:top w:val="nil"/>
              <w:left w:val="nil"/>
              <w:bottom w:val="single" w:sz="4" w:space="0" w:color="auto"/>
              <w:right w:val="nil"/>
            </w:tcBorders>
            <w:shd w:val="clear" w:color="auto" w:fill="auto"/>
            <w:noWrap/>
            <w:vAlign w:val="bottom"/>
            <w:hideMark/>
          </w:tcPr>
          <w:p w14:paraId="3C5F56A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42,7</w:t>
            </w:r>
          </w:p>
        </w:tc>
        <w:tc>
          <w:tcPr>
            <w:tcW w:w="209" w:type="pct"/>
            <w:tcBorders>
              <w:top w:val="nil"/>
              <w:left w:val="nil"/>
              <w:bottom w:val="single" w:sz="4" w:space="0" w:color="auto"/>
              <w:right w:val="nil"/>
            </w:tcBorders>
            <w:shd w:val="clear" w:color="auto" w:fill="auto"/>
            <w:noWrap/>
            <w:vAlign w:val="bottom"/>
            <w:hideMark/>
          </w:tcPr>
          <w:p w14:paraId="308D3A6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46,6</w:t>
            </w:r>
          </w:p>
        </w:tc>
        <w:tc>
          <w:tcPr>
            <w:tcW w:w="209" w:type="pct"/>
            <w:tcBorders>
              <w:top w:val="nil"/>
              <w:left w:val="nil"/>
              <w:bottom w:val="single" w:sz="4" w:space="0" w:color="auto"/>
              <w:right w:val="nil"/>
            </w:tcBorders>
            <w:shd w:val="clear" w:color="auto" w:fill="auto"/>
            <w:noWrap/>
            <w:vAlign w:val="bottom"/>
            <w:hideMark/>
          </w:tcPr>
          <w:p w14:paraId="3506A8E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50,6</w:t>
            </w:r>
          </w:p>
        </w:tc>
        <w:tc>
          <w:tcPr>
            <w:tcW w:w="209" w:type="pct"/>
            <w:tcBorders>
              <w:top w:val="nil"/>
              <w:left w:val="nil"/>
              <w:bottom w:val="single" w:sz="4" w:space="0" w:color="auto"/>
              <w:right w:val="nil"/>
            </w:tcBorders>
            <w:shd w:val="clear" w:color="auto" w:fill="auto"/>
            <w:noWrap/>
            <w:vAlign w:val="bottom"/>
            <w:hideMark/>
          </w:tcPr>
          <w:p w14:paraId="5B89BEA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54,6</w:t>
            </w:r>
          </w:p>
        </w:tc>
        <w:tc>
          <w:tcPr>
            <w:tcW w:w="209" w:type="pct"/>
            <w:tcBorders>
              <w:top w:val="nil"/>
              <w:left w:val="nil"/>
              <w:bottom w:val="single" w:sz="4" w:space="0" w:color="auto"/>
              <w:right w:val="nil"/>
            </w:tcBorders>
            <w:shd w:val="clear" w:color="auto" w:fill="auto"/>
            <w:noWrap/>
            <w:vAlign w:val="bottom"/>
            <w:hideMark/>
          </w:tcPr>
          <w:p w14:paraId="4E64746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58,6</w:t>
            </w:r>
          </w:p>
        </w:tc>
        <w:tc>
          <w:tcPr>
            <w:tcW w:w="207" w:type="pct"/>
            <w:tcBorders>
              <w:top w:val="nil"/>
              <w:left w:val="nil"/>
              <w:bottom w:val="single" w:sz="4" w:space="0" w:color="auto"/>
              <w:right w:val="nil"/>
            </w:tcBorders>
            <w:shd w:val="clear" w:color="auto" w:fill="auto"/>
            <w:noWrap/>
            <w:vAlign w:val="bottom"/>
            <w:hideMark/>
          </w:tcPr>
          <w:p w14:paraId="7ED325F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62,7</w:t>
            </w:r>
          </w:p>
        </w:tc>
      </w:tr>
      <w:tr w:rsidR="00B54F4E" w:rsidRPr="00D050B8" w14:paraId="3DA24B58" w14:textId="77777777" w:rsidTr="006504C4">
        <w:trPr>
          <w:trHeight w:val="200"/>
        </w:trPr>
        <w:tc>
          <w:tcPr>
            <w:tcW w:w="1281" w:type="pct"/>
            <w:tcBorders>
              <w:top w:val="nil"/>
              <w:left w:val="nil"/>
              <w:bottom w:val="nil"/>
              <w:right w:val="nil"/>
            </w:tcBorders>
            <w:shd w:val="clear" w:color="auto" w:fill="auto"/>
            <w:noWrap/>
            <w:vAlign w:val="bottom"/>
            <w:hideMark/>
          </w:tcPr>
          <w:p w14:paraId="65F5AC40" w14:textId="77777777" w:rsidR="00B54F4E" w:rsidRPr="00D050B8" w:rsidRDefault="00B54F4E" w:rsidP="006504C4">
            <w:pPr>
              <w:spacing w:before="0" w:after="0"/>
              <w:jc w:val="right"/>
              <w:rPr>
                <w:rFonts w:ascii="Calibri" w:hAnsi="Calibri" w:cs="Calibri"/>
                <w:color w:val="000000"/>
                <w:sz w:val="12"/>
                <w:szCs w:val="22"/>
                <w:lang w:eastAsia="es-CO"/>
              </w:rPr>
            </w:pPr>
          </w:p>
        </w:tc>
        <w:tc>
          <w:tcPr>
            <w:tcW w:w="256" w:type="pct"/>
            <w:tcBorders>
              <w:top w:val="nil"/>
              <w:left w:val="nil"/>
              <w:bottom w:val="nil"/>
              <w:right w:val="nil"/>
            </w:tcBorders>
            <w:shd w:val="clear" w:color="auto" w:fill="auto"/>
            <w:noWrap/>
            <w:vAlign w:val="bottom"/>
            <w:hideMark/>
          </w:tcPr>
          <w:p w14:paraId="1CDE1195" w14:textId="77777777" w:rsidR="00B54F4E" w:rsidRPr="00D050B8" w:rsidRDefault="00B54F4E" w:rsidP="006504C4">
            <w:pPr>
              <w:spacing w:before="0" w:after="0"/>
              <w:jc w:val="left"/>
              <w:rPr>
                <w:rFonts w:ascii="Times New Roman" w:hAnsi="Times New Roman"/>
                <w:sz w:val="12"/>
                <w:lang w:eastAsia="es-CO"/>
              </w:rPr>
            </w:pPr>
          </w:p>
        </w:tc>
        <w:tc>
          <w:tcPr>
            <w:tcW w:w="181" w:type="pct"/>
            <w:tcBorders>
              <w:top w:val="nil"/>
              <w:left w:val="nil"/>
              <w:bottom w:val="nil"/>
              <w:right w:val="nil"/>
            </w:tcBorders>
            <w:shd w:val="clear" w:color="auto" w:fill="auto"/>
            <w:noWrap/>
            <w:vAlign w:val="bottom"/>
            <w:hideMark/>
          </w:tcPr>
          <w:p w14:paraId="0E553E0D"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773A1FAF"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0BDE67C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E40D44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81B7E9B"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1D4D4C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CF2BEC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78E1A9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19E9FB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D631F2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EAF00E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AC32AD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C4F2A1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40D64E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0E3E70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221CDFB"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55E7EE00"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62DD73A3" w14:textId="77777777" w:rsidTr="006504C4">
        <w:trPr>
          <w:trHeight w:val="200"/>
        </w:trPr>
        <w:tc>
          <w:tcPr>
            <w:tcW w:w="1281" w:type="pct"/>
            <w:tcBorders>
              <w:top w:val="single" w:sz="4" w:space="0" w:color="000000"/>
              <w:left w:val="nil"/>
              <w:bottom w:val="nil"/>
              <w:right w:val="nil"/>
            </w:tcBorders>
            <w:shd w:val="clear" w:color="auto" w:fill="auto"/>
            <w:noWrap/>
            <w:vAlign w:val="bottom"/>
            <w:hideMark/>
          </w:tcPr>
          <w:p w14:paraId="1631448A"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Ahorro energético de iluminación</w:t>
            </w:r>
          </w:p>
        </w:tc>
        <w:tc>
          <w:tcPr>
            <w:tcW w:w="256" w:type="pct"/>
            <w:tcBorders>
              <w:top w:val="single" w:sz="4" w:space="0" w:color="000000"/>
              <w:left w:val="nil"/>
              <w:bottom w:val="nil"/>
              <w:right w:val="nil"/>
            </w:tcBorders>
            <w:shd w:val="clear" w:color="auto" w:fill="auto"/>
            <w:noWrap/>
            <w:vAlign w:val="bottom"/>
            <w:hideMark/>
          </w:tcPr>
          <w:p w14:paraId="7B1F263D"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single" w:sz="4" w:space="0" w:color="000000"/>
              <w:left w:val="nil"/>
              <w:bottom w:val="nil"/>
              <w:right w:val="nil"/>
            </w:tcBorders>
            <w:shd w:val="clear" w:color="auto" w:fill="auto"/>
            <w:noWrap/>
            <w:vAlign w:val="bottom"/>
            <w:hideMark/>
          </w:tcPr>
          <w:p w14:paraId="750AF6A1"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single" w:sz="4" w:space="0" w:color="000000"/>
              <w:left w:val="nil"/>
              <w:bottom w:val="nil"/>
              <w:right w:val="nil"/>
            </w:tcBorders>
            <w:shd w:val="clear" w:color="auto" w:fill="auto"/>
            <w:noWrap/>
            <w:vAlign w:val="bottom"/>
            <w:hideMark/>
          </w:tcPr>
          <w:p w14:paraId="40A48416"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202" w:type="pct"/>
            <w:tcBorders>
              <w:top w:val="single" w:sz="4" w:space="0" w:color="000000"/>
              <w:left w:val="nil"/>
              <w:bottom w:val="nil"/>
              <w:right w:val="nil"/>
            </w:tcBorders>
            <w:shd w:val="clear" w:color="auto" w:fill="auto"/>
            <w:noWrap/>
            <w:vAlign w:val="bottom"/>
            <w:hideMark/>
          </w:tcPr>
          <w:p w14:paraId="026C14B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8%</w:t>
            </w:r>
          </w:p>
        </w:tc>
        <w:tc>
          <w:tcPr>
            <w:tcW w:w="209" w:type="pct"/>
            <w:tcBorders>
              <w:top w:val="single" w:sz="4" w:space="0" w:color="000000"/>
              <w:left w:val="nil"/>
              <w:bottom w:val="nil"/>
              <w:right w:val="nil"/>
            </w:tcBorders>
            <w:shd w:val="clear" w:color="auto" w:fill="auto"/>
            <w:noWrap/>
            <w:vAlign w:val="bottom"/>
            <w:hideMark/>
          </w:tcPr>
          <w:p w14:paraId="07645AD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15%</w:t>
            </w:r>
          </w:p>
        </w:tc>
        <w:tc>
          <w:tcPr>
            <w:tcW w:w="209" w:type="pct"/>
            <w:tcBorders>
              <w:top w:val="single" w:sz="4" w:space="0" w:color="000000"/>
              <w:left w:val="nil"/>
              <w:bottom w:val="nil"/>
              <w:right w:val="nil"/>
            </w:tcBorders>
            <w:shd w:val="clear" w:color="auto" w:fill="auto"/>
            <w:noWrap/>
            <w:vAlign w:val="bottom"/>
            <w:hideMark/>
          </w:tcPr>
          <w:p w14:paraId="2FFDF58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21%</w:t>
            </w:r>
          </w:p>
        </w:tc>
        <w:tc>
          <w:tcPr>
            <w:tcW w:w="209" w:type="pct"/>
            <w:tcBorders>
              <w:top w:val="single" w:sz="4" w:space="0" w:color="000000"/>
              <w:left w:val="nil"/>
              <w:bottom w:val="nil"/>
              <w:right w:val="nil"/>
            </w:tcBorders>
            <w:shd w:val="clear" w:color="auto" w:fill="auto"/>
            <w:noWrap/>
            <w:vAlign w:val="bottom"/>
            <w:hideMark/>
          </w:tcPr>
          <w:p w14:paraId="3CC1EDF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27%</w:t>
            </w:r>
          </w:p>
        </w:tc>
        <w:tc>
          <w:tcPr>
            <w:tcW w:w="209" w:type="pct"/>
            <w:tcBorders>
              <w:top w:val="single" w:sz="4" w:space="0" w:color="000000"/>
              <w:left w:val="nil"/>
              <w:bottom w:val="nil"/>
              <w:right w:val="nil"/>
            </w:tcBorders>
            <w:shd w:val="clear" w:color="auto" w:fill="auto"/>
            <w:noWrap/>
            <w:vAlign w:val="bottom"/>
            <w:hideMark/>
          </w:tcPr>
          <w:p w14:paraId="76D2FFD2"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34%</w:t>
            </w:r>
          </w:p>
        </w:tc>
        <w:tc>
          <w:tcPr>
            <w:tcW w:w="209" w:type="pct"/>
            <w:tcBorders>
              <w:top w:val="single" w:sz="4" w:space="0" w:color="000000"/>
              <w:left w:val="nil"/>
              <w:bottom w:val="nil"/>
              <w:right w:val="nil"/>
            </w:tcBorders>
            <w:shd w:val="clear" w:color="auto" w:fill="auto"/>
            <w:noWrap/>
            <w:vAlign w:val="bottom"/>
            <w:hideMark/>
          </w:tcPr>
          <w:p w14:paraId="17AD10C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36%</w:t>
            </w:r>
          </w:p>
        </w:tc>
        <w:tc>
          <w:tcPr>
            <w:tcW w:w="209" w:type="pct"/>
            <w:tcBorders>
              <w:top w:val="single" w:sz="4" w:space="0" w:color="000000"/>
              <w:left w:val="nil"/>
              <w:bottom w:val="nil"/>
              <w:right w:val="nil"/>
            </w:tcBorders>
            <w:shd w:val="clear" w:color="auto" w:fill="auto"/>
            <w:noWrap/>
            <w:vAlign w:val="bottom"/>
            <w:hideMark/>
          </w:tcPr>
          <w:p w14:paraId="656974F0"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38%</w:t>
            </w:r>
          </w:p>
        </w:tc>
        <w:tc>
          <w:tcPr>
            <w:tcW w:w="209" w:type="pct"/>
            <w:tcBorders>
              <w:top w:val="single" w:sz="4" w:space="0" w:color="000000"/>
              <w:left w:val="nil"/>
              <w:bottom w:val="nil"/>
              <w:right w:val="nil"/>
            </w:tcBorders>
            <w:shd w:val="clear" w:color="auto" w:fill="auto"/>
            <w:noWrap/>
            <w:vAlign w:val="bottom"/>
            <w:hideMark/>
          </w:tcPr>
          <w:p w14:paraId="19B8027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40%</w:t>
            </w:r>
          </w:p>
        </w:tc>
        <w:tc>
          <w:tcPr>
            <w:tcW w:w="209" w:type="pct"/>
            <w:tcBorders>
              <w:top w:val="single" w:sz="4" w:space="0" w:color="000000"/>
              <w:left w:val="nil"/>
              <w:bottom w:val="nil"/>
              <w:right w:val="nil"/>
            </w:tcBorders>
            <w:shd w:val="clear" w:color="auto" w:fill="auto"/>
            <w:noWrap/>
            <w:vAlign w:val="bottom"/>
            <w:hideMark/>
          </w:tcPr>
          <w:p w14:paraId="43426811"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42%</w:t>
            </w:r>
          </w:p>
        </w:tc>
        <w:tc>
          <w:tcPr>
            <w:tcW w:w="209" w:type="pct"/>
            <w:tcBorders>
              <w:top w:val="single" w:sz="4" w:space="0" w:color="000000"/>
              <w:left w:val="nil"/>
              <w:bottom w:val="nil"/>
              <w:right w:val="nil"/>
            </w:tcBorders>
            <w:shd w:val="clear" w:color="auto" w:fill="auto"/>
            <w:noWrap/>
            <w:vAlign w:val="bottom"/>
            <w:hideMark/>
          </w:tcPr>
          <w:p w14:paraId="659F24C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42%</w:t>
            </w:r>
          </w:p>
        </w:tc>
        <w:tc>
          <w:tcPr>
            <w:tcW w:w="209" w:type="pct"/>
            <w:tcBorders>
              <w:top w:val="single" w:sz="4" w:space="0" w:color="000000"/>
              <w:left w:val="nil"/>
              <w:bottom w:val="nil"/>
              <w:right w:val="nil"/>
            </w:tcBorders>
            <w:shd w:val="clear" w:color="auto" w:fill="auto"/>
            <w:noWrap/>
            <w:vAlign w:val="bottom"/>
            <w:hideMark/>
          </w:tcPr>
          <w:p w14:paraId="2553910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43%</w:t>
            </w:r>
          </w:p>
        </w:tc>
        <w:tc>
          <w:tcPr>
            <w:tcW w:w="209" w:type="pct"/>
            <w:tcBorders>
              <w:top w:val="single" w:sz="4" w:space="0" w:color="000000"/>
              <w:left w:val="nil"/>
              <w:bottom w:val="nil"/>
              <w:right w:val="nil"/>
            </w:tcBorders>
            <w:shd w:val="clear" w:color="auto" w:fill="auto"/>
            <w:noWrap/>
            <w:vAlign w:val="bottom"/>
            <w:hideMark/>
          </w:tcPr>
          <w:p w14:paraId="11EFC17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45%</w:t>
            </w:r>
          </w:p>
        </w:tc>
        <w:tc>
          <w:tcPr>
            <w:tcW w:w="209" w:type="pct"/>
            <w:tcBorders>
              <w:top w:val="single" w:sz="4" w:space="0" w:color="000000"/>
              <w:left w:val="nil"/>
              <w:bottom w:val="nil"/>
              <w:right w:val="nil"/>
            </w:tcBorders>
            <w:shd w:val="clear" w:color="auto" w:fill="auto"/>
            <w:noWrap/>
            <w:vAlign w:val="bottom"/>
            <w:hideMark/>
          </w:tcPr>
          <w:p w14:paraId="35DDB8B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46%</w:t>
            </w:r>
          </w:p>
        </w:tc>
        <w:tc>
          <w:tcPr>
            <w:tcW w:w="209" w:type="pct"/>
            <w:tcBorders>
              <w:top w:val="single" w:sz="4" w:space="0" w:color="000000"/>
              <w:left w:val="nil"/>
              <w:bottom w:val="nil"/>
              <w:right w:val="nil"/>
            </w:tcBorders>
            <w:shd w:val="clear" w:color="auto" w:fill="auto"/>
            <w:noWrap/>
            <w:vAlign w:val="bottom"/>
            <w:hideMark/>
          </w:tcPr>
          <w:p w14:paraId="1605019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47%</w:t>
            </w:r>
          </w:p>
        </w:tc>
        <w:tc>
          <w:tcPr>
            <w:tcW w:w="207" w:type="pct"/>
            <w:tcBorders>
              <w:top w:val="single" w:sz="4" w:space="0" w:color="000000"/>
              <w:left w:val="nil"/>
              <w:bottom w:val="nil"/>
              <w:right w:val="nil"/>
            </w:tcBorders>
            <w:shd w:val="clear" w:color="auto" w:fill="auto"/>
            <w:noWrap/>
            <w:vAlign w:val="bottom"/>
            <w:hideMark/>
          </w:tcPr>
          <w:p w14:paraId="591A593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46%</w:t>
            </w:r>
          </w:p>
        </w:tc>
      </w:tr>
      <w:tr w:rsidR="00B54F4E" w:rsidRPr="00D050B8" w14:paraId="6C79D771" w14:textId="77777777" w:rsidTr="006504C4">
        <w:trPr>
          <w:trHeight w:val="200"/>
        </w:trPr>
        <w:tc>
          <w:tcPr>
            <w:tcW w:w="1281" w:type="pct"/>
            <w:tcBorders>
              <w:top w:val="nil"/>
              <w:left w:val="nil"/>
              <w:bottom w:val="single" w:sz="4" w:space="0" w:color="000000"/>
              <w:right w:val="nil"/>
            </w:tcBorders>
            <w:shd w:val="clear" w:color="auto" w:fill="auto"/>
            <w:noWrap/>
            <w:vAlign w:val="bottom"/>
            <w:hideMark/>
          </w:tcPr>
          <w:p w14:paraId="64AA1A31"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Participación de la iluminación en el consumo residencial</w:t>
            </w:r>
          </w:p>
        </w:tc>
        <w:tc>
          <w:tcPr>
            <w:tcW w:w="256" w:type="pct"/>
            <w:tcBorders>
              <w:top w:val="nil"/>
              <w:left w:val="nil"/>
              <w:bottom w:val="single" w:sz="4" w:space="0" w:color="000000"/>
              <w:right w:val="nil"/>
            </w:tcBorders>
            <w:shd w:val="clear" w:color="auto" w:fill="auto"/>
            <w:noWrap/>
            <w:vAlign w:val="bottom"/>
            <w:hideMark/>
          </w:tcPr>
          <w:p w14:paraId="6CBBABCE"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81" w:type="pct"/>
            <w:tcBorders>
              <w:top w:val="nil"/>
              <w:left w:val="nil"/>
              <w:bottom w:val="single" w:sz="4" w:space="0" w:color="000000"/>
              <w:right w:val="nil"/>
            </w:tcBorders>
            <w:shd w:val="clear" w:color="auto" w:fill="auto"/>
            <w:noWrap/>
            <w:vAlign w:val="bottom"/>
            <w:hideMark/>
          </w:tcPr>
          <w:p w14:paraId="76BAEE27"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 </w:t>
            </w:r>
          </w:p>
        </w:tc>
        <w:tc>
          <w:tcPr>
            <w:tcW w:w="156" w:type="pct"/>
            <w:tcBorders>
              <w:top w:val="nil"/>
              <w:left w:val="nil"/>
              <w:bottom w:val="single" w:sz="4" w:space="0" w:color="000000"/>
              <w:right w:val="nil"/>
            </w:tcBorders>
            <w:shd w:val="clear" w:color="auto" w:fill="auto"/>
            <w:noWrap/>
            <w:vAlign w:val="bottom"/>
            <w:hideMark/>
          </w:tcPr>
          <w:p w14:paraId="7C4F32CB" w14:textId="77777777" w:rsidR="00B54F4E" w:rsidRPr="00D050B8" w:rsidRDefault="00B54F4E" w:rsidP="006504C4">
            <w:pPr>
              <w:spacing w:before="0" w:after="0"/>
              <w:jc w:val="right"/>
              <w:rPr>
                <w:rFonts w:ascii="Calibri" w:hAnsi="Calibri" w:cs="Calibri"/>
                <w:color w:val="0000FF"/>
                <w:sz w:val="12"/>
                <w:szCs w:val="22"/>
                <w:lang w:eastAsia="es-CO"/>
              </w:rPr>
            </w:pPr>
            <w:r w:rsidRPr="00D050B8">
              <w:rPr>
                <w:rFonts w:ascii="Calibri" w:hAnsi="Calibri" w:cs="Calibri"/>
                <w:color w:val="0000FF"/>
                <w:sz w:val="12"/>
                <w:szCs w:val="22"/>
                <w:lang w:eastAsia="es-CO"/>
              </w:rPr>
              <w:t>16%</w:t>
            </w:r>
          </w:p>
        </w:tc>
        <w:tc>
          <w:tcPr>
            <w:tcW w:w="202" w:type="pct"/>
            <w:tcBorders>
              <w:top w:val="nil"/>
              <w:left w:val="nil"/>
              <w:bottom w:val="single" w:sz="4" w:space="0" w:color="000000"/>
              <w:right w:val="nil"/>
            </w:tcBorders>
            <w:shd w:val="clear" w:color="auto" w:fill="auto"/>
            <w:noWrap/>
            <w:vAlign w:val="bottom"/>
            <w:hideMark/>
          </w:tcPr>
          <w:p w14:paraId="055C93DB"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15,0%</w:t>
            </w:r>
          </w:p>
        </w:tc>
        <w:tc>
          <w:tcPr>
            <w:tcW w:w="209" w:type="pct"/>
            <w:tcBorders>
              <w:top w:val="nil"/>
              <w:left w:val="nil"/>
              <w:bottom w:val="single" w:sz="4" w:space="0" w:color="000000"/>
              <w:right w:val="nil"/>
            </w:tcBorders>
            <w:shd w:val="clear" w:color="auto" w:fill="auto"/>
            <w:noWrap/>
            <w:vAlign w:val="bottom"/>
            <w:hideMark/>
          </w:tcPr>
          <w:p w14:paraId="4BA0E0A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14,0%</w:t>
            </w:r>
          </w:p>
        </w:tc>
        <w:tc>
          <w:tcPr>
            <w:tcW w:w="209" w:type="pct"/>
            <w:tcBorders>
              <w:top w:val="nil"/>
              <w:left w:val="nil"/>
              <w:bottom w:val="single" w:sz="4" w:space="0" w:color="000000"/>
              <w:right w:val="nil"/>
            </w:tcBorders>
            <w:shd w:val="clear" w:color="auto" w:fill="auto"/>
            <w:noWrap/>
            <w:vAlign w:val="bottom"/>
            <w:hideMark/>
          </w:tcPr>
          <w:p w14:paraId="75D6FA9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13,1%</w:t>
            </w:r>
          </w:p>
        </w:tc>
        <w:tc>
          <w:tcPr>
            <w:tcW w:w="209" w:type="pct"/>
            <w:tcBorders>
              <w:top w:val="nil"/>
              <w:left w:val="nil"/>
              <w:bottom w:val="single" w:sz="4" w:space="0" w:color="000000"/>
              <w:right w:val="nil"/>
            </w:tcBorders>
            <w:shd w:val="clear" w:color="auto" w:fill="auto"/>
            <w:noWrap/>
            <w:vAlign w:val="bottom"/>
            <w:hideMark/>
          </w:tcPr>
          <w:p w14:paraId="5358A58F"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12,2%</w:t>
            </w:r>
          </w:p>
        </w:tc>
        <w:tc>
          <w:tcPr>
            <w:tcW w:w="209" w:type="pct"/>
            <w:tcBorders>
              <w:top w:val="nil"/>
              <w:left w:val="nil"/>
              <w:bottom w:val="single" w:sz="4" w:space="0" w:color="000000"/>
              <w:right w:val="nil"/>
            </w:tcBorders>
            <w:shd w:val="clear" w:color="auto" w:fill="auto"/>
            <w:noWrap/>
            <w:vAlign w:val="bottom"/>
            <w:hideMark/>
          </w:tcPr>
          <w:p w14:paraId="0AD4410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11,2%</w:t>
            </w:r>
          </w:p>
        </w:tc>
        <w:tc>
          <w:tcPr>
            <w:tcW w:w="209" w:type="pct"/>
            <w:tcBorders>
              <w:top w:val="nil"/>
              <w:left w:val="nil"/>
              <w:bottom w:val="single" w:sz="4" w:space="0" w:color="000000"/>
              <w:right w:val="nil"/>
            </w:tcBorders>
            <w:shd w:val="clear" w:color="auto" w:fill="auto"/>
            <w:noWrap/>
            <w:vAlign w:val="bottom"/>
            <w:hideMark/>
          </w:tcPr>
          <w:p w14:paraId="0BCFA0D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10,9%</w:t>
            </w:r>
          </w:p>
        </w:tc>
        <w:tc>
          <w:tcPr>
            <w:tcW w:w="209" w:type="pct"/>
            <w:tcBorders>
              <w:top w:val="nil"/>
              <w:left w:val="nil"/>
              <w:bottom w:val="single" w:sz="4" w:space="0" w:color="000000"/>
              <w:right w:val="nil"/>
            </w:tcBorders>
            <w:shd w:val="clear" w:color="auto" w:fill="auto"/>
            <w:noWrap/>
            <w:vAlign w:val="bottom"/>
            <w:hideMark/>
          </w:tcPr>
          <w:p w14:paraId="3759C573"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10,5%</w:t>
            </w:r>
          </w:p>
        </w:tc>
        <w:tc>
          <w:tcPr>
            <w:tcW w:w="209" w:type="pct"/>
            <w:tcBorders>
              <w:top w:val="nil"/>
              <w:left w:val="nil"/>
              <w:bottom w:val="single" w:sz="4" w:space="0" w:color="000000"/>
              <w:right w:val="nil"/>
            </w:tcBorders>
            <w:shd w:val="clear" w:color="auto" w:fill="auto"/>
            <w:noWrap/>
            <w:vAlign w:val="bottom"/>
            <w:hideMark/>
          </w:tcPr>
          <w:p w14:paraId="09F89DD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10,2%</w:t>
            </w:r>
          </w:p>
        </w:tc>
        <w:tc>
          <w:tcPr>
            <w:tcW w:w="209" w:type="pct"/>
            <w:tcBorders>
              <w:top w:val="nil"/>
              <w:left w:val="nil"/>
              <w:bottom w:val="single" w:sz="4" w:space="0" w:color="000000"/>
              <w:right w:val="nil"/>
            </w:tcBorders>
            <w:shd w:val="clear" w:color="auto" w:fill="auto"/>
            <w:noWrap/>
            <w:vAlign w:val="bottom"/>
            <w:hideMark/>
          </w:tcPr>
          <w:p w14:paraId="21CC7C34"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9,9%</w:t>
            </w:r>
          </w:p>
        </w:tc>
        <w:tc>
          <w:tcPr>
            <w:tcW w:w="209" w:type="pct"/>
            <w:tcBorders>
              <w:top w:val="nil"/>
              <w:left w:val="nil"/>
              <w:bottom w:val="single" w:sz="4" w:space="0" w:color="000000"/>
              <w:right w:val="nil"/>
            </w:tcBorders>
            <w:shd w:val="clear" w:color="auto" w:fill="auto"/>
            <w:noWrap/>
            <w:vAlign w:val="bottom"/>
            <w:hideMark/>
          </w:tcPr>
          <w:p w14:paraId="3CC59FB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9,9%</w:t>
            </w:r>
          </w:p>
        </w:tc>
        <w:tc>
          <w:tcPr>
            <w:tcW w:w="209" w:type="pct"/>
            <w:tcBorders>
              <w:top w:val="nil"/>
              <w:left w:val="nil"/>
              <w:bottom w:val="single" w:sz="4" w:space="0" w:color="000000"/>
              <w:right w:val="nil"/>
            </w:tcBorders>
            <w:shd w:val="clear" w:color="auto" w:fill="auto"/>
            <w:noWrap/>
            <w:vAlign w:val="bottom"/>
            <w:hideMark/>
          </w:tcPr>
          <w:p w14:paraId="048D44F7"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9,7%</w:t>
            </w:r>
          </w:p>
        </w:tc>
        <w:tc>
          <w:tcPr>
            <w:tcW w:w="209" w:type="pct"/>
            <w:tcBorders>
              <w:top w:val="nil"/>
              <w:left w:val="nil"/>
              <w:bottom w:val="single" w:sz="4" w:space="0" w:color="000000"/>
              <w:right w:val="nil"/>
            </w:tcBorders>
            <w:shd w:val="clear" w:color="auto" w:fill="auto"/>
            <w:noWrap/>
            <w:vAlign w:val="bottom"/>
            <w:hideMark/>
          </w:tcPr>
          <w:p w14:paraId="3A9B7985"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9,5%</w:t>
            </w:r>
          </w:p>
        </w:tc>
        <w:tc>
          <w:tcPr>
            <w:tcW w:w="209" w:type="pct"/>
            <w:tcBorders>
              <w:top w:val="nil"/>
              <w:left w:val="nil"/>
              <w:bottom w:val="single" w:sz="4" w:space="0" w:color="000000"/>
              <w:right w:val="nil"/>
            </w:tcBorders>
            <w:shd w:val="clear" w:color="auto" w:fill="auto"/>
            <w:noWrap/>
            <w:vAlign w:val="bottom"/>
            <w:hideMark/>
          </w:tcPr>
          <w:p w14:paraId="7991A939"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9,4%</w:t>
            </w:r>
          </w:p>
        </w:tc>
        <w:tc>
          <w:tcPr>
            <w:tcW w:w="209" w:type="pct"/>
            <w:tcBorders>
              <w:top w:val="nil"/>
              <w:left w:val="nil"/>
              <w:bottom w:val="single" w:sz="4" w:space="0" w:color="000000"/>
              <w:right w:val="nil"/>
            </w:tcBorders>
            <w:shd w:val="clear" w:color="auto" w:fill="auto"/>
            <w:noWrap/>
            <w:vAlign w:val="bottom"/>
            <w:hideMark/>
          </w:tcPr>
          <w:p w14:paraId="6415DB9A"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9,2%</w:t>
            </w:r>
          </w:p>
        </w:tc>
        <w:tc>
          <w:tcPr>
            <w:tcW w:w="207" w:type="pct"/>
            <w:tcBorders>
              <w:top w:val="nil"/>
              <w:left w:val="nil"/>
              <w:bottom w:val="single" w:sz="4" w:space="0" w:color="000000"/>
              <w:right w:val="nil"/>
            </w:tcBorders>
            <w:shd w:val="clear" w:color="auto" w:fill="auto"/>
            <w:noWrap/>
            <w:vAlign w:val="bottom"/>
            <w:hideMark/>
          </w:tcPr>
          <w:p w14:paraId="3596925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9,4%</w:t>
            </w:r>
          </w:p>
        </w:tc>
      </w:tr>
      <w:tr w:rsidR="00B54F4E" w:rsidRPr="00D050B8" w14:paraId="06C5BDBD" w14:textId="77777777" w:rsidTr="006504C4">
        <w:trPr>
          <w:trHeight w:val="200"/>
        </w:trPr>
        <w:tc>
          <w:tcPr>
            <w:tcW w:w="1281" w:type="pct"/>
            <w:tcBorders>
              <w:top w:val="nil"/>
              <w:left w:val="nil"/>
              <w:bottom w:val="nil"/>
              <w:right w:val="nil"/>
            </w:tcBorders>
            <w:shd w:val="clear" w:color="auto" w:fill="auto"/>
            <w:noWrap/>
            <w:vAlign w:val="bottom"/>
            <w:hideMark/>
          </w:tcPr>
          <w:p w14:paraId="194B0C34" w14:textId="77777777" w:rsidR="00B54F4E" w:rsidRPr="00D050B8" w:rsidRDefault="00B54F4E" w:rsidP="006504C4">
            <w:pPr>
              <w:spacing w:before="0" w:after="0"/>
              <w:jc w:val="right"/>
              <w:rPr>
                <w:rFonts w:ascii="Calibri" w:hAnsi="Calibri" w:cs="Calibri"/>
                <w:color w:val="000000"/>
                <w:sz w:val="12"/>
                <w:szCs w:val="22"/>
                <w:lang w:eastAsia="es-CO"/>
              </w:rPr>
            </w:pPr>
          </w:p>
        </w:tc>
        <w:tc>
          <w:tcPr>
            <w:tcW w:w="256" w:type="pct"/>
            <w:tcBorders>
              <w:top w:val="nil"/>
              <w:left w:val="nil"/>
              <w:bottom w:val="nil"/>
              <w:right w:val="nil"/>
            </w:tcBorders>
            <w:shd w:val="clear" w:color="auto" w:fill="auto"/>
            <w:noWrap/>
            <w:vAlign w:val="bottom"/>
            <w:hideMark/>
          </w:tcPr>
          <w:p w14:paraId="6F1FEDFF" w14:textId="77777777" w:rsidR="00B54F4E" w:rsidRPr="00D050B8" w:rsidRDefault="00B54F4E" w:rsidP="006504C4">
            <w:pPr>
              <w:spacing w:before="0" w:after="0"/>
              <w:jc w:val="left"/>
              <w:rPr>
                <w:rFonts w:ascii="Times New Roman" w:hAnsi="Times New Roman"/>
                <w:sz w:val="12"/>
                <w:lang w:eastAsia="es-CO"/>
              </w:rPr>
            </w:pPr>
          </w:p>
        </w:tc>
        <w:tc>
          <w:tcPr>
            <w:tcW w:w="181" w:type="pct"/>
            <w:tcBorders>
              <w:top w:val="nil"/>
              <w:left w:val="nil"/>
              <w:bottom w:val="nil"/>
              <w:right w:val="nil"/>
            </w:tcBorders>
            <w:shd w:val="clear" w:color="auto" w:fill="auto"/>
            <w:noWrap/>
            <w:vAlign w:val="bottom"/>
            <w:hideMark/>
          </w:tcPr>
          <w:p w14:paraId="36FA37F0" w14:textId="77777777" w:rsidR="00B54F4E" w:rsidRPr="00D050B8" w:rsidRDefault="00B54F4E" w:rsidP="006504C4">
            <w:pPr>
              <w:spacing w:before="0" w:after="0"/>
              <w:jc w:val="left"/>
              <w:rPr>
                <w:rFonts w:ascii="Times New Roman" w:hAnsi="Times New Roman"/>
                <w:sz w:val="12"/>
                <w:lang w:eastAsia="es-CO"/>
              </w:rPr>
            </w:pPr>
          </w:p>
        </w:tc>
        <w:tc>
          <w:tcPr>
            <w:tcW w:w="156" w:type="pct"/>
            <w:tcBorders>
              <w:top w:val="nil"/>
              <w:left w:val="nil"/>
              <w:bottom w:val="nil"/>
              <w:right w:val="nil"/>
            </w:tcBorders>
            <w:shd w:val="clear" w:color="auto" w:fill="auto"/>
            <w:noWrap/>
            <w:vAlign w:val="bottom"/>
            <w:hideMark/>
          </w:tcPr>
          <w:p w14:paraId="3840C608" w14:textId="77777777" w:rsidR="00B54F4E" w:rsidRPr="00D050B8" w:rsidRDefault="00B54F4E" w:rsidP="006504C4">
            <w:pPr>
              <w:spacing w:before="0" w:after="0"/>
              <w:jc w:val="left"/>
              <w:rPr>
                <w:rFonts w:ascii="Times New Roman" w:hAnsi="Times New Roman"/>
                <w:sz w:val="12"/>
                <w:lang w:eastAsia="es-CO"/>
              </w:rPr>
            </w:pPr>
          </w:p>
        </w:tc>
        <w:tc>
          <w:tcPr>
            <w:tcW w:w="202" w:type="pct"/>
            <w:tcBorders>
              <w:top w:val="nil"/>
              <w:left w:val="nil"/>
              <w:bottom w:val="nil"/>
              <w:right w:val="nil"/>
            </w:tcBorders>
            <w:shd w:val="clear" w:color="auto" w:fill="auto"/>
            <w:noWrap/>
            <w:vAlign w:val="bottom"/>
            <w:hideMark/>
          </w:tcPr>
          <w:p w14:paraId="27FA049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D8DD21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4C29F8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96E63E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AFB12F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6D13989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3D1092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5582D0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2C33610"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5FDCE3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4DCFBF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CBBAA8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6897E18"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3B72706"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3460F5E2"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48A98FC3" w14:textId="77777777" w:rsidTr="006504C4">
        <w:trPr>
          <w:trHeight w:val="200"/>
        </w:trPr>
        <w:tc>
          <w:tcPr>
            <w:tcW w:w="1281" w:type="pct"/>
            <w:tcBorders>
              <w:top w:val="nil"/>
              <w:left w:val="nil"/>
              <w:bottom w:val="nil"/>
              <w:right w:val="nil"/>
            </w:tcBorders>
            <w:shd w:val="clear" w:color="auto" w:fill="auto"/>
            <w:noWrap/>
            <w:vAlign w:val="bottom"/>
            <w:hideMark/>
          </w:tcPr>
          <w:p w14:paraId="6B0CBEF2" w14:textId="77777777" w:rsidR="00B54F4E" w:rsidRPr="00D050B8" w:rsidRDefault="00B54F4E" w:rsidP="006504C4">
            <w:pPr>
              <w:spacing w:before="0" w:after="0"/>
              <w:jc w:val="left"/>
              <w:rPr>
                <w:rFonts w:ascii="Times New Roman" w:hAnsi="Times New Roman"/>
                <w:sz w:val="12"/>
                <w:lang w:eastAsia="es-CO"/>
              </w:rPr>
            </w:pPr>
          </w:p>
        </w:tc>
        <w:tc>
          <w:tcPr>
            <w:tcW w:w="256" w:type="pct"/>
            <w:tcBorders>
              <w:top w:val="single" w:sz="4" w:space="0" w:color="FFFFFF"/>
              <w:left w:val="nil"/>
              <w:bottom w:val="single" w:sz="4" w:space="0" w:color="auto"/>
              <w:right w:val="single" w:sz="4" w:space="0" w:color="FFFFFF"/>
            </w:tcBorders>
            <w:shd w:val="clear" w:color="000000" w:fill="203764"/>
            <w:noWrap/>
            <w:vAlign w:val="bottom"/>
            <w:hideMark/>
          </w:tcPr>
          <w:p w14:paraId="63062819"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Beneficios</w:t>
            </w:r>
          </w:p>
        </w:tc>
        <w:tc>
          <w:tcPr>
            <w:tcW w:w="181" w:type="pct"/>
            <w:tcBorders>
              <w:top w:val="single" w:sz="4" w:space="0" w:color="FFFFFF"/>
              <w:left w:val="nil"/>
              <w:bottom w:val="single" w:sz="4" w:space="0" w:color="auto"/>
              <w:right w:val="single" w:sz="4" w:space="0" w:color="FFFFFF"/>
            </w:tcBorders>
            <w:shd w:val="clear" w:color="000000" w:fill="203764"/>
            <w:noWrap/>
            <w:vAlign w:val="bottom"/>
            <w:hideMark/>
          </w:tcPr>
          <w:p w14:paraId="7E3D2D5B"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Costos</w:t>
            </w:r>
          </w:p>
        </w:tc>
        <w:tc>
          <w:tcPr>
            <w:tcW w:w="156" w:type="pct"/>
            <w:tcBorders>
              <w:top w:val="single" w:sz="4" w:space="0" w:color="FFFFFF"/>
              <w:left w:val="nil"/>
              <w:bottom w:val="single" w:sz="4" w:space="0" w:color="auto"/>
              <w:right w:val="single" w:sz="4" w:space="0" w:color="FFFFFF"/>
            </w:tcBorders>
            <w:shd w:val="clear" w:color="000000" w:fill="203764"/>
            <w:noWrap/>
            <w:vAlign w:val="bottom"/>
            <w:hideMark/>
          </w:tcPr>
          <w:p w14:paraId="0C01F9F1" w14:textId="77777777" w:rsidR="00B54F4E" w:rsidRPr="00D050B8" w:rsidRDefault="00B54F4E" w:rsidP="006504C4">
            <w:pPr>
              <w:spacing w:before="0" w:after="0"/>
              <w:jc w:val="center"/>
              <w:rPr>
                <w:rFonts w:ascii="Calibri" w:hAnsi="Calibri" w:cs="Calibri"/>
                <w:color w:val="FFFFFF"/>
                <w:sz w:val="12"/>
                <w:szCs w:val="22"/>
                <w:lang w:eastAsia="es-CO"/>
              </w:rPr>
            </w:pPr>
            <w:r w:rsidRPr="00D050B8">
              <w:rPr>
                <w:rFonts w:ascii="Calibri" w:hAnsi="Calibri" w:cs="Calibri"/>
                <w:color w:val="FFFFFF"/>
                <w:sz w:val="12"/>
                <w:szCs w:val="22"/>
                <w:lang w:eastAsia="es-CO"/>
              </w:rPr>
              <w:t>Neto</w:t>
            </w:r>
          </w:p>
        </w:tc>
        <w:tc>
          <w:tcPr>
            <w:tcW w:w="202" w:type="pct"/>
            <w:tcBorders>
              <w:top w:val="nil"/>
              <w:left w:val="nil"/>
              <w:bottom w:val="nil"/>
              <w:right w:val="nil"/>
            </w:tcBorders>
            <w:shd w:val="clear" w:color="auto" w:fill="auto"/>
            <w:noWrap/>
            <w:vAlign w:val="bottom"/>
            <w:hideMark/>
          </w:tcPr>
          <w:p w14:paraId="42DE4C05" w14:textId="77777777" w:rsidR="00B54F4E" w:rsidRPr="00D050B8" w:rsidRDefault="00B54F4E" w:rsidP="006504C4">
            <w:pPr>
              <w:spacing w:before="0" w:after="0"/>
              <w:jc w:val="center"/>
              <w:rPr>
                <w:rFonts w:ascii="Calibri" w:hAnsi="Calibri" w:cs="Calibri"/>
                <w:color w:val="FFFFFF"/>
                <w:sz w:val="12"/>
                <w:szCs w:val="22"/>
                <w:lang w:eastAsia="es-CO"/>
              </w:rPr>
            </w:pPr>
          </w:p>
        </w:tc>
        <w:tc>
          <w:tcPr>
            <w:tcW w:w="209" w:type="pct"/>
            <w:tcBorders>
              <w:top w:val="nil"/>
              <w:left w:val="nil"/>
              <w:bottom w:val="nil"/>
              <w:right w:val="nil"/>
            </w:tcBorders>
            <w:shd w:val="clear" w:color="auto" w:fill="auto"/>
            <w:noWrap/>
            <w:vAlign w:val="bottom"/>
            <w:hideMark/>
          </w:tcPr>
          <w:p w14:paraId="651741D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846CA9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ED821F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249B98E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046D601"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88C9B4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52E1ED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561950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1B9F7B4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049E43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DC497A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9FB9A32"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4573B8C"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219412FF" w14:textId="77777777" w:rsidR="00B54F4E" w:rsidRPr="00D050B8" w:rsidRDefault="00B54F4E" w:rsidP="006504C4">
            <w:pPr>
              <w:spacing w:before="0" w:after="0"/>
              <w:jc w:val="left"/>
              <w:rPr>
                <w:rFonts w:ascii="Times New Roman" w:hAnsi="Times New Roman"/>
                <w:sz w:val="12"/>
                <w:lang w:eastAsia="es-CO"/>
              </w:rPr>
            </w:pPr>
          </w:p>
        </w:tc>
      </w:tr>
      <w:tr w:rsidR="00B54F4E" w:rsidRPr="00D050B8" w14:paraId="6B0815DF" w14:textId="77777777" w:rsidTr="006504C4">
        <w:trPr>
          <w:trHeight w:val="200"/>
        </w:trPr>
        <w:tc>
          <w:tcPr>
            <w:tcW w:w="1281" w:type="pct"/>
            <w:tcBorders>
              <w:top w:val="single" w:sz="4" w:space="0" w:color="auto"/>
              <w:left w:val="single" w:sz="4" w:space="0" w:color="auto"/>
              <w:bottom w:val="single" w:sz="4" w:space="0" w:color="auto"/>
              <w:right w:val="nil"/>
            </w:tcBorders>
            <w:shd w:val="clear" w:color="000000" w:fill="E2EFDA"/>
            <w:noWrap/>
            <w:vAlign w:val="bottom"/>
            <w:hideMark/>
          </w:tcPr>
          <w:p w14:paraId="2BFCFE7D" w14:textId="77777777" w:rsidR="00B54F4E" w:rsidRPr="00D050B8" w:rsidRDefault="00B54F4E" w:rsidP="006504C4">
            <w:pPr>
              <w:spacing w:before="0" w:after="0"/>
              <w:jc w:val="left"/>
              <w:rPr>
                <w:rFonts w:ascii="Calibri" w:hAnsi="Calibri" w:cs="Calibri"/>
                <w:color w:val="000000"/>
                <w:sz w:val="12"/>
                <w:szCs w:val="22"/>
                <w:lang w:eastAsia="es-CO"/>
              </w:rPr>
            </w:pPr>
            <w:r w:rsidRPr="00D050B8">
              <w:rPr>
                <w:rFonts w:ascii="Calibri" w:hAnsi="Calibri" w:cs="Calibri"/>
                <w:color w:val="000000"/>
                <w:sz w:val="12"/>
                <w:szCs w:val="22"/>
                <w:lang w:eastAsia="es-CO"/>
              </w:rPr>
              <w:t>VPN dic 2016 ($USD Millones)</w:t>
            </w:r>
          </w:p>
        </w:tc>
        <w:tc>
          <w:tcPr>
            <w:tcW w:w="256" w:type="pct"/>
            <w:tcBorders>
              <w:top w:val="nil"/>
              <w:left w:val="nil"/>
              <w:bottom w:val="single" w:sz="4" w:space="0" w:color="auto"/>
              <w:right w:val="single" w:sz="4" w:space="0" w:color="auto"/>
            </w:tcBorders>
            <w:shd w:val="clear" w:color="000000" w:fill="E2EFDA"/>
            <w:noWrap/>
            <w:vAlign w:val="bottom"/>
            <w:hideMark/>
          </w:tcPr>
          <w:p w14:paraId="23BBC24D"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$342</w:t>
            </w:r>
          </w:p>
        </w:tc>
        <w:tc>
          <w:tcPr>
            <w:tcW w:w="181" w:type="pct"/>
            <w:tcBorders>
              <w:top w:val="nil"/>
              <w:left w:val="nil"/>
              <w:bottom w:val="single" w:sz="4" w:space="0" w:color="auto"/>
              <w:right w:val="single" w:sz="4" w:space="0" w:color="auto"/>
            </w:tcBorders>
            <w:shd w:val="clear" w:color="000000" w:fill="E2EFDA"/>
            <w:noWrap/>
            <w:vAlign w:val="bottom"/>
            <w:hideMark/>
          </w:tcPr>
          <w:p w14:paraId="7519C2FC"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$51</w:t>
            </w:r>
          </w:p>
        </w:tc>
        <w:tc>
          <w:tcPr>
            <w:tcW w:w="156" w:type="pct"/>
            <w:tcBorders>
              <w:top w:val="nil"/>
              <w:left w:val="nil"/>
              <w:bottom w:val="single" w:sz="4" w:space="0" w:color="auto"/>
              <w:right w:val="single" w:sz="4" w:space="0" w:color="auto"/>
            </w:tcBorders>
            <w:shd w:val="clear" w:color="000000" w:fill="E2EFDA"/>
            <w:noWrap/>
            <w:vAlign w:val="bottom"/>
            <w:hideMark/>
          </w:tcPr>
          <w:p w14:paraId="785A3488" w14:textId="77777777" w:rsidR="00B54F4E" w:rsidRPr="00D050B8" w:rsidRDefault="00B54F4E" w:rsidP="006504C4">
            <w:pPr>
              <w:spacing w:before="0" w:after="0"/>
              <w:jc w:val="right"/>
              <w:rPr>
                <w:rFonts w:ascii="Calibri" w:hAnsi="Calibri" w:cs="Calibri"/>
                <w:color w:val="000000"/>
                <w:sz w:val="12"/>
                <w:szCs w:val="22"/>
                <w:lang w:eastAsia="es-CO"/>
              </w:rPr>
            </w:pPr>
            <w:r w:rsidRPr="00D050B8">
              <w:rPr>
                <w:rFonts w:ascii="Calibri" w:hAnsi="Calibri" w:cs="Calibri"/>
                <w:color w:val="000000"/>
                <w:sz w:val="12"/>
                <w:szCs w:val="22"/>
                <w:lang w:eastAsia="es-CO"/>
              </w:rPr>
              <w:t>$291</w:t>
            </w:r>
          </w:p>
        </w:tc>
        <w:tc>
          <w:tcPr>
            <w:tcW w:w="202" w:type="pct"/>
            <w:tcBorders>
              <w:top w:val="nil"/>
              <w:left w:val="nil"/>
              <w:bottom w:val="nil"/>
              <w:right w:val="nil"/>
            </w:tcBorders>
            <w:shd w:val="clear" w:color="auto" w:fill="auto"/>
            <w:noWrap/>
            <w:vAlign w:val="bottom"/>
            <w:hideMark/>
          </w:tcPr>
          <w:p w14:paraId="379E3054" w14:textId="77777777" w:rsidR="00B54F4E" w:rsidRPr="00D050B8" w:rsidRDefault="00B54F4E" w:rsidP="006504C4">
            <w:pPr>
              <w:spacing w:before="0" w:after="0"/>
              <w:jc w:val="right"/>
              <w:rPr>
                <w:rFonts w:ascii="Calibri" w:hAnsi="Calibri" w:cs="Calibri"/>
                <w:color w:val="000000"/>
                <w:sz w:val="12"/>
                <w:szCs w:val="22"/>
                <w:lang w:eastAsia="es-CO"/>
              </w:rPr>
            </w:pPr>
          </w:p>
        </w:tc>
        <w:tc>
          <w:tcPr>
            <w:tcW w:w="209" w:type="pct"/>
            <w:tcBorders>
              <w:top w:val="nil"/>
              <w:left w:val="nil"/>
              <w:bottom w:val="nil"/>
              <w:right w:val="nil"/>
            </w:tcBorders>
            <w:shd w:val="clear" w:color="auto" w:fill="auto"/>
            <w:noWrap/>
            <w:vAlign w:val="bottom"/>
            <w:hideMark/>
          </w:tcPr>
          <w:p w14:paraId="4AB0E826"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7FC6C747"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7D7E7F5"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0EA4A8B"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73A743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88A1569"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44644CDD"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6E58D74"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F708CCF"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BD6A9BA"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553A3E2E"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36703CFC" w14:textId="77777777" w:rsidR="00B54F4E" w:rsidRPr="00D050B8" w:rsidRDefault="00B54F4E" w:rsidP="006504C4">
            <w:pPr>
              <w:spacing w:before="0" w:after="0"/>
              <w:jc w:val="left"/>
              <w:rPr>
                <w:rFonts w:ascii="Times New Roman" w:hAnsi="Times New Roman"/>
                <w:sz w:val="12"/>
                <w:lang w:eastAsia="es-CO"/>
              </w:rPr>
            </w:pPr>
          </w:p>
        </w:tc>
        <w:tc>
          <w:tcPr>
            <w:tcW w:w="209" w:type="pct"/>
            <w:tcBorders>
              <w:top w:val="nil"/>
              <w:left w:val="nil"/>
              <w:bottom w:val="nil"/>
              <w:right w:val="nil"/>
            </w:tcBorders>
            <w:shd w:val="clear" w:color="auto" w:fill="auto"/>
            <w:noWrap/>
            <w:vAlign w:val="bottom"/>
            <w:hideMark/>
          </w:tcPr>
          <w:p w14:paraId="0AE053F6" w14:textId="77777777" w:rsidR="00B54F4E" w:rsidRPr="00D050B8" w:rsidRDefault="00B54F4E" w:rsidP="006504C4">
            <w:pPr>
              <w:spacing w:before="0" w:after="0"/>
              <w:jc w:val="left"/>
              <w:rPr>
                <w:rFonts w:ascii="Times New Roman" w:hAnsi="Times New Roman"/>
                <w:sz w:val="12"/>
                <w:lang w:eastAsia="es-CO"/>
              </w:rPr>
            </w:pPr>
          </w:p>
        </w:tc>
        <w:tc>
          <w:tcPr>
            <w:tcW w:w="207" w:type="pct"/>
            <w:tcBorders>
              <w:top w:val="nil"/>
              <w:left w:val="nil"/>
              <w:bottom w:val="nil"/>
              <w:right w:val="nil"/>
            </w:tcBorders>
            <w:shd w:val="clear" w:color="auto" w:fill="auto"/>
            <w:noWrap/>
            <w:vAlign w:val="bottom"/>
            <w:hideMark/>
          </w:tcPr>
          <w:p w14:paraId="5B01B19F" w14:textId="77777777" w:rsidR="00B54F4E" w:rsidRPr="00D050B8" w:rsidRDefault="00B54F4E" w:rsidP="006504C4">
            <w:pPr>
              <w:spacing w:before="0" w:after="0"/>
              <w:jc w:val="left"/>
              <w:rPr>
                <w:rFonts w:ascii="Times New Roman" w:hAnsi="Times New Roman"/>
                <w:sz w:val="12"/>
                <w:lang w:eastAsia="es-CO"/>
              </w:rPr>
            </w:pPr>
          </w:p>
        </w:tc>
      </w:tr>
    </w:tbl>
    <w:p w14:paraId="303C088B" w14:textId="77777777" w:rsidR="00B54F4E" w:rsidRDefault="00B54F4E" w:rsidP="00B54F4E">
      <w:pPr>
        <w:spacing w:before="0" w:after="160" w:line="259" w:lineRule="auto"/>
        <w:jc w:val="left"/>
      </w:pPr>
      <w:r>
        <w:br w:type="page"/>
      </w:r>
    </w:p>
    <w:p w14:paraId="0A209225" w14:textId="77777777" w:rsidR="00B54F4E" w:rsidRPr="006C4E72" w:rsidRDefault="00B54F4E" w:rsidP="00B54F4E">
      <w:pPr>
        <w:ind w:left="720"/>
        <w:jc w:val="center"/>
        <w:rPr>
          <w:b/>
        </w:rPr>
      </w:pPr>
      <w:bookmarkStart w:id="154" w:name="_Toc484097071"/>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31</w:t>
      </w:r>
      <w:r w:rsidRPr="008C12BC">
        <w:rPr>
          <w:b/>
        </w:rPr>
        <w:fldChar w:fldCharType="end"/>
      </w:r>
      <w:r>
        <w:rPr>
          <w:b/>
        </w:rPr>
        <w:t xml:space="preserve"> – Proyección de beneficios y costos para la medida de sustitución de neveras (Sector Residencial)</w:t>
      </w:r>
      <w:bookmarkEnd w:id="154"/>
    </w:p>
    <w:tbl>
      <w:tblPr>
        <w:tblW w:w="5002" w:type="pct"/>
        <w:tblCellMar>
          <w:left w:w="70" w:type="dxa"/>
          <w:right w:w="70" w:type="dxa"/>
        </w:tblCellMar>
        <w:tblLook w:val="04A0" w:firstRow="1" w:lastRow="0" w:firstColumn="1" w:lastColumn="0" w:noHBand="0" w:noVBand="1"/>
      </w:tblPr>
      <w:tblGrid>
        <w:gridCol w:w="3080"/>
        <w:gridCol w:w="657"/>
        <w:gridCol w:w="543"/>
        <w:gridCol w:w="543"/>
        <w:gridCol w:w="551"/>
        <w:gridCol w:w="551"/>
        <w:gridCol w:w="552"/>
        <w:gridCol w:w="552"/>
        <w:gridCol w:w="476"/>
        <w:gridCol w:w="552"/>
        <w:gridCol w:w="552"/>
        <w:gridCol w:w="552"/>
        <w:gridCol w:w="552"/>
        <w:gridCol w:w="552"/>
        <w:gridCol w:w="552"/>
        <w:gridCol w:w="552"/>
        <w:gridCol w:w="552"/>
        <w:gridCol w:w="552"/>
        <w:gridCol w:w="536"/>
      </w:tblGrid>
      <w:tr w:rsidR="00B54F4E" w:rsidRPr="00D050B8" w14:paraId="66415A88" w14:textId="77777777" w:rsidTr="006504C4">
        <w:trPr>
          <w:trHeight w:val="254"/>
        </w:trPr>
        <w:tc>
          <w:tcPr>
            <w:tcW w:w="1184" w:type="pct"/>
            <w:tcBorders>
              <w:top w:val="single" w:sz="4" w:space="0" w:color="000000"/>
              <w:left w:val="nil"/>
              <w:bottom w:val="nil"/>
              <w:right w:val="nil"/>
            </w:tcBorders>
            <w:shd w:val="clear" w:color="auto" w:fill="auto"/>
            <w:noWrap/>
            <w:vAlign w:val="bottom"/>
            <w:hideMark/>
          </w:tcPr>
          <w:p w14:paraId="1E933A29"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Consumo por nevera en refrigeración GWh/años/Usuario</w:t>
            </w:r>
          </w:p>
        </w:tc>
        <w:tc>
          <w:tcPr>
            <w:tcW w:w="253" w:type="pct"/>
            <w:tcBorders>
              <w:top w:val="single" w:sz="4" w:space="0" w:color="000000"/>
              <w:left w:val="nil"/>
              <w:bottom w:val="nil"/>
              <w:right w:val="nil"/>
            </w:tcBorders>
            <w:shd w:val="clear" w:color="auto" w:fill="auto"/>
            <w:noWrap/>
            <w:vAlign w:val="bottom"/>
            <w:hideMark/>
          </w:tcPr>
          <w:p w14:paraId="112AEA86" w14:textId="77777777" w:rsidR="00B54F4E" w:rsidRPr="00D050B8" w:rsidRDefault="00B54F4E" w:rsidP="006504C4">
            <w:pPr>
              <w:spacing w:before="0" w:after="0"/>
              <w:jc w:val="right"/>
              <w:rPr>
                <w:rFonts w:ascii="Calibri" w:hAnsi="Calibri" w:cs="Calibri"/>
                <w:color w:val="00B050"/>
                <w:sz w:val="12"/>
                <w:szCs w:val="12"/>
                <w:lang w:eastAsia="es-CO"/>
              </w:rPr>
            </w:pPr>
            <w:r w:rsidRPr="00D050B8">
              <w:rPr>
                <w:rFonts w:ascii="Calibri" w:hAnsi="Calibri" w:cs="Calibri"/>
                <w:color w:val="00B050"/>
                <w:sz w:val="12"/>
                <w:szCs w:val="12"/>
                <w:lang w:eastAsia="es-CO"/>
              </w:rPr>
              <w:t>0,0007826</w:t>
            </w:r>
          </w:p>
        </w:tc>
        <w:tc>
          <w:tcPr>
            <w:tcW w:w="209" w:type="pct"/>
            <w:tcBorders>
              <w:top w:val="nil"/>
              <w:left w:val="nil"/>
              <w:bottom w:val="nil"/>
              <w:right w:val="nil"/>
            </w:tcBorders>
            <w:shd w:val="clear" w:color="auto" w:fill="auto"/>
            <w:noWrap/>
            <w:vAlign w:val="bottom"/>
            <w:hideMark/>
          </w:tcPr>
          <w:p w14:paraId="3673CFED" w14:textId="77777777" w:rsidR="00B54F4E" w:rsidRPr="00D050B8" w:rsidRDefault="00B54F4E" w:rsidP="006504C4">
            <w:pPr>
              <w:spacing w:before="0" w:after="0"/>
              <w:jc w:val="right"/>
              <w:rPr>
                <w:rFonts w:ascii="Calibri" w:hAnsi="Calibri" w:cs="Calibri"/>
                <w:color w:val="00B050"/>
                <w:sz w:val="12"/>
                <w:szCs w:val="12"/>
                <w:lang w:eastAsia="es-CO"/>
              </w:rPr>
            </w:pPr>
          </w:p>
        </w:tc>
        <w:tc>
          <w:tcPr>
            <w:tcW w:w="209" w:type="pct"/>
            <w:tcBorders>
              <w:top w:val="nil"/>
              <w:left w:val="nil"/>
              <w:bottom w:val="nil"/>
              <w:right w:val="nil"/>
            </w:tcBorders>
            <w:shd w:val="clear" w:color="auto" w:fill="auto"/>
            <w:noWrap/>
            <w:vAlign w:val="bottom"/>
            <w:hideMark/>
          </w:tcPr>
          <w:p w14:paraId="13FC883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A03A7D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94B8DF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29338C4"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4F59BD5"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7D68120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C891DC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347C61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3872AB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37D5C9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B5688C4"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1C994C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D5C89E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222477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81B978F"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5923D2A"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7FC7D889" w14:textId="77777777" w:rsidTr="006504C4">
        <w:trPr>
          <w:trHeight w:val="254"/>
        </w:trPr>
        <w:tc>
          <w:tcPr>
            <w:tcW w:w="1184" w:type="pct"/>
            <w:tcBorders>
              <w:top w:val="nil"/>
              <w:left w:val="nil"/>
              <w:bottom w:val="single" w:sz="4" w:space="0" w:color="auto"/>
              <w:right w:val="nil"/>
            </w:tcBorders>
            <w:shd w:val="clear" w:color="auto" w:fill="auto"/>
            <w:noWrap/>
            <w:vAlign w:val="bottom"/>
            <w:hideMark/>
          </w:tcPr>
          <w:p w14:paraId="743B1148"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Potencial de ahorro por cambio de neveras</w:t>
            </w:r>
          </w:p>
        </w:tc>
        <w:tc>
          <w:tcPr>
            <w:tcW w:w="253" w:type="pct"/>
            <w:tcBorders>
              <w:top w:val="nil"/>
              <w:left w:val="nil"/>
              <w:bottom w:val="single" w:sz="4" w:space="0" w:color="auto"/>
              <w:right w:val="nil"/>
            </w:tcBorders>
            <w:shd w:val="clear" w:color="auto" w:fill="auto"/>
            <w:noWrap/>
            <w:vAlign w:val="bottom"/>
            <w:hideMark/>
          </w:tcPr>
          <w:p w14:paraId="1912FD5B"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53,0%</w:t>
            </w:r>
          </w:p>
        </w:tc>
        <w:tc>
          <w:tcPr>
            <w:tcW w:w="209" w:type="pct"/>
            <w:tcBorders>
              <w:top w:val="nil"/>
              <w:left w:val="nil"/>
              <w:bottom w:val="nil"/>
              <w:right w:val="nil"/>
            </w:tcBorders>
            <w:shd w:val="clear" w:color="auto" w:fill="auto"/>
            <w:noWrap/>
            <w:vAlign w:val="bottom"/>
            <w:hideMark/>
          </w:tcPr>
          <w:p w14:paraId="088E4BD4"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9" w:type="pct"/>
            <w:tcBorders>
              <w:top w:val="nil"/>
              <w:left w:val="nil"/>
              <w:bottom w:val="nil"/>
              <w:right w:val="nil"/>
            </w:tcBorders>
            <w:shd w:val="clear" w:color="auto" w:fill="auto"/>
            <w:noWrap/>
            <w:vAlign w:val="bottom"/>
            <w:hideMark/>
          </w:tcPr>
          <w:p w14:paraId="55FFA73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BBF6A8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965E28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4B0451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9563F7F"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1CCEA5F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EC1720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E40886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CBEB08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A876A0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7FBB52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E62A4B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955D5C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CF5F58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2D805AA"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45E469E"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63218B3" w14:textId="77777777" w:rsidTr="006504C4">
        <w:trPr>
          <w:trHeight w:val="254"/>
        </w:trPr>
        <w:tc>
          <w:tcPr>
            <w:tcW w:w="1184" w:type="pct"/>
            <w:tcBorders>
              <w:top w:val="nil"/>
              <w:left w:val="nil"/>
              <w:bottom w:val="single" w:sz="4" w:space="0" w:color="000000"/>
              <w:right w:val="nil"/>
            </w:tcBorders>
            <w:shd w:val="clear" w:color="auto" w:fill="auto"/>
            <w:noWrap/>
            <w:vAlign w:val="bottom"/>
            <w:hideMark/>
          </w:tcPr>
          <w:p w14:paraId="30CB085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Costo de neveras eficiente</w:t>
            </w:r>
          </w:p>
        </w:tc>
        <w:tc>
          <w:tcPr>
            <w:tcW w:w="253" w:type="pct"/>
            <w:tcBorders>
              <w:top w:val="nil"/>
              <w:left w:val="nil"/>
              <w:bottom w:val="single" w:sz="4" w:space="0" w:color="000000"/>
              <w:right w:val="nil"/>
            </w:tcBorders>
            <w:shd w:val="clear" w:color="auto" w:fill="auto"/>
            <w:noWrap/>
            <w:vAlign w:val="bottom"/>
            <w:hideMark/>
          </w:tcPr>
          <w:p w14:paraId="780CB6B7"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400,00</w:t>
            </w:r>
          </w:p>
        </w:tc>
        <w:tc>
          <w:tcPr>
            <w:tcW w:w="209" w:type="pct"/>
            <w:tcBorders>
              <w:top w:val="nil"/>
              <w:left w:val="nil"/>
              <w:bottom w:val="nil"/>
              <w:right w:val="nil"/>
            </w:tcBorders>
            <w:shd w:val="clear" w:color="auto" w:fill="auto"/>
            <w:noWrap/>
            <w:vAlign w:val="bottom"/>
            <w:hideMark/>
          </w:tcPr>
          <w:p w14:paraId="1ACA9001"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9" w:type="pct"/>
            <w:tcBorders>
              <w:top w:val="nil"/>
              <w:left w:val="nil"/>
              <w:bottom w:val="nil"/>
              <w:right w:val="nil"/>
            </w:tcBorders>
            <w:shd w:val="clear" w:color="auto" w:fill="auto"/>
            <w:noWrap/>
            <w:vAlign w:val="bottom"/>
            <w:hideMark/>
          </w:tcPr>
          <w:p w14:paraId="6803443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05CC14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16EBB3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0104C2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C471A1D"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0EC1943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35EE47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A7023D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B1CC5A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9D8695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E4F2E1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EA7F44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C5261E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F82407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2F010DC"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EC3BCE2"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9383DC7" w14:textId="77777777" w:rsidTr="006504C4">
        <w:trPr>
          <w:trHeight w:val="254"/>
        </w:trPr>
        <w:tc>
          <w:tcPr>
            <w:tcW w:w="1184" w:type="pct"/>
            <w:tcBorders>
              <w:top w:val="nil"/>
              <w:left w:val="nil"/>
              <w:bottom w:val="single" w:sz="4" w:space="0" w:color="000000"/>
              <w:right w:val="nil"/>
            </w:tcBorders>
            <w:shd w:val="clear" w:color="auto" w:fill="auto"/>
            <w:noWrap/>
            <w:vAlign w:val="bottom"/>
            <w:hideMark/>
          </w:tcPr>
          <w:p w14:paraId="1AEA4267" w14:textId="77777777" w:rsidR="00B54F4E" w:rsidRPr="00DA75BB" w:rsidRDefault="00B54F4E" w:rsidP="006504C4">
            <w:pPr>
              <w:spacing w:before="0" w:after="0"/>
              <w:jc w:val="left"/>
              <w:rPr>
                <w:rFonts w:ascii="Calibri" w:hAnsi="Calibri" w:cs="Calibri"/>
                <w:color w:val="000000"/>
                <w:sz w:val="12"/>
                <w:szCs w:val="12"/>
                <w:lang w:val="pt-BR" w:eastAsia="es-CO"/>
              </w:rPr>
            </w:pPr>
            <w:r w:rsidRPr="00DA75BB">
              <w:rPr>
                <w:rFonts w:ascii="Calibri" w:hAnsi="Calibri" w:cs="Calibri"/>
                <w:color w:val="000000"/>
                <w:sz w:val="12"/>
                <w:szCs w:val="12"/>
                <w:lang w:val="pt-BR" w:eastAsia="es-CO"/>
              </w:rPr>
              <w:t>Número de neveras por hogar</w:t>
            </w:r>
          </w:p>
        </w:tc>
        <w:tc>
          <w:tcPr>
            <w:tcW w:w="253" w:type="pct"/>
            <w:tcBorders>
              <w:top w:val="nil"/>
              <w:left w:val="nil"/>
              <w:bottom w:val="single" w:sz="4" w:space="0" w:color="000000"/>
              <w:right w:val="nil"/>
            </w:tcBorders>
            <w:shd w:val="clear" w:color="auto" w:fill="auto"/>
            <w:noWrap/>
            <w:vAlign w:val="bottom"/>
            <w:hideMark/>
          </w:tcPr>
          <w:p w14:paraId="280225D0"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1</w:t>
            </w:r>
          </w:p>
        </w:tc>
        <w:tc>
          <w:tcPr>
            <w:tcW w:w="209" w:type="pct"/>
            <w:tcBorders>
              <w:top w:val="nil"/>
              <w:left w:val="nil"/>
              <w:bottom w:val="nil"/>
              <w:right w:val="nil"/>
            </w:tcBorders>
            <w:shd w:val="clear" w:color="auto" w:fill="auto"/>
            <w:noWrap/>
            <w:vAlign w:val="bottom"/>
            <w:hideMark/>
          </w:tcPr>
          <w:p w14:paraId="75715F78"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9" w:type="pct"/>
            <w:tcBorders>
              <w:top w:val="nil"/>
              <w:left w:val="nil"/>
              <w:bottom w:val="nil"/>
              <w:right w:val="nil"/>
            </w:tcBorders>
            <w:shd w:val="clear" w:color="auto" w:fill="auto"/>
            <w:noWrap/>
            <w:vAlign w:val="bottom"/>
            <w:hideMark/>
          </w:tcPr>
          <w:p w14:paraId="196886A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A02FC33"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F92259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4B7FAE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1203CFE"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4CD0990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98BFA6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A11808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C7CAFD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673453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F3334F4"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A837D0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15FA60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D71D88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38D69EB"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3254E44"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5A07EDB9" w14:textId="77777777" w:rsidTr="006504C4">
        <w:trPr>
          <w:trHeight w:val="254"/>
        </w:trPr>
        <w:tc>
          <w:tcPr>
            <w:tcW w:w="1184" w:type="pct"/>
            <w:tcBorders>
              <w:top w:val="nil"/>
              <w:left w:val="nil"/>
              <w:bottom w:val="single" w:sz="4" w:space="0" w:color="000000"/>
              <w:right w:val="nil"/>
            </w:tcBorders>
            <w:shd w:val="clear" w:color="auto" w:fill="auto"/>
            <w:noWrap/>
            <w:vAlign w:val="bottom"/>
            <w:hideMark/>
          </w:tcPr>
          <w:p w14:paraId="1DA6C22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Años para recambio de neveras</w:t>
            </w:r>
          </w:p>
        </w:tc>
        <w:tc>
          <w:tcPr>
            <w:tcW w:w="253" w:type="pct"/>
            <w:tcBorders>
              <w:top w:val="nil"/>
              <w:left w:val="nil"/>
              <w:bottom w:val="single" w:sz="4" w:space="0" w:color="000000"/>
              <w:right w:val="nil"/>
            </w:tcBorders>
            <w:shd w:val="clear" w:color="auto" w:fill="auto"/>
            <w:noWrap/>
            <w:vAlign w:val="bottom"/>
            <w:hideMark/>
          </w:tcPr>
          <w:p w14:paraId="21740BBF"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10</w:t>
            </w:r>
          </w:p>
        </w:tc>
        <w:tc>
          <w:tcPr>
            <w:tcW w:w="209" w:type="pct"/>
            <w:tcBorders>
              <w:top w:val="nil"/>
              <w:left w:val="nil"/>
              <w:bottom w:val="nil"/>
              <w:right w:val="nil"/>
            </w:tcBorders>
            <w:shd w:val="clear" w:color="auto" w:fill="auto"/>
            <w:noWrap/>
            <w:vAlign w:val="bottom"/>
            <w:hideMark/>
          </w:tcPr>
          <w:p w14:paraId="7BF3583A"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9" w:type="pct"/>
            <w:tcBorders>
              <w:top w:val="nil"/>
              <w:left w:val="nil"/>
              <w:bottom w:val="nil"/>
              <w:right w:val="nil"/>
            </w:tcBorders>
            <w:shd w:val="clear" w:color="auto" w:fill="auto"/>
            <w:noWrap/>
            <w:vAlign w:val="bottom"/>
            <w:hideMark/>
          </w:tcPr>
          <w:p w14:paraId="418CB1F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D94252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762FE0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BB7FB6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C3391DB"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016F3B54"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343C4E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9E5C56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ED2226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E7F54F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5EC39F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2787A3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2F586B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03EFD0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B7E568D"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8CB4AF8"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74A3C6A2" w14:textId="77777777" w:rsidTr="006504C4">
        <w:trPr>
          <w:trHeight w:val="254"/>
        </w:trPr>
        <w:tc>
          <w:tcPr>
            <w:tcW w:w="1184" w:type="pct"/>
            <w:tcBorders>
              <w:top w:val="nil"/>
              <w:left w:val="nil"/>
              <w:bottom w:val="nil"/>
              <w:right w:val="nil"/>
            </w:tcBorders>
            <w:shd w:val="clear" w:color="auto" w:fill="auto"/>
            <w:noWrap/>
            <w:vAlign w:val="bottom"/>
            <w:hideMark/>
          </w:tcPr>
          <w:p w14:paraId="7D37C60B"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nil"/>
              <w:left w:val="nil"/>
              <w:bottom w:val="nil"/>
              <w:right w:val="nil"/>
            </w:tcBorders>
            <w:shd w:val="clear" w:color="auto" w:fill="auto"/>
            <w:noWrap/>
            <w:vAlign w:val="bottom"/>
            <w:hideMark/>
          </w:tcPr>
          <w:p w14:paraId="5FB58D2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2F5066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D048E1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2CAEF6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E500CD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009E26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63EA59D"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6C6453F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FF64C6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6DECAD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C185A6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D50A8B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A64332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10BBA2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9F2747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569E4F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A810635"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2D8077B"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3C6E942E" w14:textId="77777777" w:rsidTr="006504C4">
        <w:trPr>
          <w:trHeight w:val="254"/>
        </w:trPr>
        <w:tc>
          <w:tcPr>
            <w:tcW w:w="1184" w:type="pct"/>
            <w:tcBorders>
              <w:top w:val="nil"/>
              <w:left w:val="nil"/>
              <w:bottom w:val="nil"/>
              <w:right w:val="nil"/>
            </w:tcBorders>
            <w:shd w:val="clear" w:color="auto" w:fill="auto"/>
            <w:noWrap/>
            <w:vAlign w:val="bottom"/>
            <w:hideMark/>
          </w:tcPr>
          <w:p w14:paraId="4A082398"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nil"/>
              <w:left w:val="nil"/>
              <w:bottom w:val="nil"/>
              <w:right w:val="nil"/>
            </w:tcBorders>
            <w:shd w:val="clear" w:color="auto" w:fill="auto"/>
            <w:noWrap/>
            <w:vAlign w:val="bottom"/>
            <w:hideMark/>
          </w:tcPr>
          <w:p w14:paraId="354A6A0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2D2EA1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06B096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554DC8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39E3B9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860909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B985D1C"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6F38A3A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AEA5AF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BB16D5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0BD26F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38D4CB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EC5DB8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783C75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582899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BE5B9A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7110ECB"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4715FA1"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C9C8840" w14:textId="77777777" w:rsidTr="006504C4">
        <w:trPr>
          <w:trHeight w:val="254"/>
        </w:trPr>
        <w:tc>
          <w:tcPr>
            <w:tcW w:w="1184" w:type="pct"/>
            <w:tcBorders>
              <w:top w:val="nil"/>
              <w:left w:val="nil"/>
              <w:bottom w:val="single" w:sz="4" w:space="0" w:color="auto"/>
              <w:right w:val="nil"/>
            </w:tcBorders>
            <w:shd w:val="clear" w:color="auto" w:fill="auto"/>
            <w:noWrap/>
            <w:vAlign w:val="bottom"/>
            <w:hideMark/>
          </w:tcPr>
          <w:p w14:paraId="793789BD"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$USD</w:t>
            </w:r>
          </w:p>
        </w:tc>
        <w:tc>
          <w:tcPr>
            <w:tcW w:w="253" w:type="pct"/>
            <w:tcBorders>
              <w:top w:val="nil"/>
              <w:left w:val="nil"/>
              <w:bottom w:val="single" w:sz="4" w:space="0" w:color="auto"/>
              <w:right w:val="nil"/>
            </w:tcBorders>
            <w:shd w:val="clear" w:color="auto" w:fill="auto"/>
            <w:noWrap/>
            <w:vAlign w:val="bottom"/>
            <w:hideMark/>
          </w:tcPr>
          <w:p w14:paraId="62AC207A"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 </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0066DC3D"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2014</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051BC39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2015</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152A3605"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2016</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0F672357"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2017</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02C372C6"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2018</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1F16CD9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2019</w:t>
            </w:r>
          </w:p>
        </w:tc>
        <w:tc>
          <w:tcPr>
            <w:tcW w:w="183" w:type="pct"/>
            <w:tcBorders>
              <w:top w:val="single" w:sz="4" w:space="0" w:color="FFFFFF"/>
              <w:left w:val="nil"/>
              <w:bottom w:val="single" w:sz="4" w:space="0" w:color="auto"/>
              <w:right w:val="single" w:sz="4" w:space="0" w:color="FFFFFF"/>
            </w:tcBorders>
            <w:shd w:val="clear" w:color="000000" w:fill="203764"/>
            <w:noWrap/>
            <w:vAlign w:val="bottom"/>
            <w:hideMark/>
          </w:tcPr>
          <w:p w14:paraId="48D8F547"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2020</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46468377"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2021</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1A2E4626"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2022</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7C45D214"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2023</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1D9944E6"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2024</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1BF4FA4F"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2025</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2033588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2026</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6CD7225B"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2027</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144DE09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2028</w:t>
            </w:r>
          </w:p>
        </w:tc>
        <w:tc>
          <w:tcPr>
            <w:tcW w:w="212" w:type="pct"/>
            <w:tcBorders>
              <w:top w:val="single" w:sz="4" w:space="0" w:color="FFFFFF"/>
              <w:left w:val="nil"/>
              <w:bottom w:val="single" w:sz="4" w:space="0" w:color="auto"/>
              <w:right w:val="single" w:sz="4" w:space="0" w:color="FFFFFF"/>
            </w:tcBorders>
            <w:shd w:val="clear" w:color="000000" w:fill="203764"/>
            <w:noWrap/>
            <w:vAlign w:val="bottom"/>
            <w:hideMark/>
          </w:tcPr>
          <w:p w14:paraId="0AACD68C"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2029</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23AF715B"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2030</w:t>
            </w:r>
          </w:p>
        </w:tc>
      </w:tr>
      <w:tr w:rsidR="00B54F4E" w:rsidRPr="00D050B8" w14:paraId="7B1DB516" w14:textId="77777777" w:rsidTr="006504C4">
        <w:trPr>
          <w:trHeight w:val="254"/>
        </w:trPr>
        <w:tc>
          <w:tcPr>
            <w:tcW w:w="1184" w:type="pct"/>
            <w:tcBorders>
              <w:top w:val="nil"/>
              <w:left w:val="nil"/>
              <w:bottom w:val="nil"/>
              <w:right w:val="nil"/>
            </w:tcBorders>
            <w:shd w:val="clear" w:color="auto" w:fill="auto"/>
            <w:noWrap/>
            <w:vAlign w:val="bottom"/>
            <w:hideMark/>
          </w:tcPr>
          <w:p w14:paraId="3C23D112" w14:textId="77777777" w:rsidR="00B54F4E" w:rsidRPr="00D050B8" w:rsidRDefault="00B54F4E" w:rsidP="006504C4">
            <w:pPr>
              <w:spacing w:before="0" w:after="0"/>
              <w:jc w:val="left"/>
              <w:rPr>
                <w:rFonts w:ascii="Calibri" w:hAnsi="Calibri" w:cs="Calibri"/>
                <w:color w:val="000000"/>
                <w:sz w:val="12"/>
                <w:szCs w:val="12"/>
                <w:lang w:eastAsia="es-CO"/>
              </w:rPr>
            </w:pPr>
            <w:bookmarkStart w:id="155" w:name="RANGE!B138:T139"/>
            <w:r w:rsidRPr="00D050B8">
              <w:rPr>
                <w:rFonts w:ascii="Calibri" w:hAnsi="Calibri" w:cs="Calibri"/>
                <w:color w:val="000000"/>
                <w:sz w:val="12"/>
                <w:szCs w:val="12"/>
                <w:lang w:eastAsia="es-CO"/>
              </w:rPr>
              <w:t>Consumo de refrigeración residencial GWh/Año</w:t>
            </w:r>
            <w:bookmarkEnd w:id="155"/>
          </w:p>
        </w:tc>
        <w:tc>
          <w:tcPr>
            <w:tcW w:w="253" w:type="pct"/>
            <w:tcBorders>
              <w:top w:val="nil"/>
              <w:left w:val="nil"/>
              <w:bottom w:val="nil"/>
              <w:right w:val="nil"/>
            </w:tcBorders>
            <w:shd w:val="clear" w:color="auto" w:fill="auto"/>
            <w:noWrap/>
            <w:vAlign w:val="bottom"/>
            <w:hideMark/>
          </w:tcPr>
          <w:p w14:paraId="451886DD" w14:textId="77777777" w:rsidR="00B54F4E" w:rsidRPr="00D050B8" w:rsidRDefault="00B54F4E" w:rsidP="006504C4">
            <w:pPr>
              <w:spacing w:before="0" w:after="0"/>
              <w:jc w:val="left"/>
              <w:rPr>
                <w:rFonts w:ascii="Calibri" w:hAnsi="Calibri" w:cs="Calibri"/>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58FAB8A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657</w:t>
            </w:r>
          </w:p>
        </w:tc>
        <w:tc>
          <w:tcPr>
            <w:tcW w:w="209" w:type="pct"/>
            <w:tcBorders>
              <w:top w:val="nil"/>
              <w:left w:val="nil"/>
              <w:bottom w:val="nil"/>
              <w:right w:val="nil"/>
            </w:tcBorders>
            <w:shd w:val="clear" w:color="auto" w:fill="auto"/>
            <w:noWrap/>
            <w:vAlign w:val="bottom"/>
            <w:hideMark/>
          </w:tcPr>
          <w:p w14:paraId="2589EB5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686</w:t>
            </w:r>
          </w:p>
        </w:tc>
        <w:tc>
          <w:tcPr>
            <w:tcW w:w="212" w:type="pct"/>
            <w:tcBorders>
              <w:top w:val="nil"/>
              <w:left w:val="nil"/>
              <w:bottom w:val="nil"/>
              <w:right w:val="nil"/>
            </w:tcBorders>
            <w:shd w:val="clear" w:color="auto" w:fill="auto"/>
            <w:noWrap/>
            <w:vAlign w:val="bottom"/>
            <w:hideMark/>
          </w:tcPr>
          <w:p w14:paraId="3716C6F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715</w:t>
            </w:r>
          </w:p>
        </w:tc>
        <w:tc>
          <w:tcPr>
            <w:tcW w:w="212" w:type="pct"/>
            <w:tcBorders>
              <w:top w:val="nil"/>
              <w:left w:val="nil"/>
              <w:bottom w:val="nil"/>
              <w:right w:val="nil"/>
            </w:tcBorders>
            <w:shd w:val="clear" w:color="auto" w:fill="auto"/>
            <w:noWrap/>
            <w:vAlign w:val="bottom"/>
            <w:hideMark/>
          </w:tcPr>
          <w:p w14:paraId="7FDCDC4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743</w:t>
            </w:r>
          </w:p>
        </w:tc>
        <w:tc>
          <w:tcPr>
            <w:tcW w:w="212" w:type="pct"/>
            <w:tcBorders>
              <w:top w:val="nil"/>
              <w:left w:val="nil"/>
              <w:bottom w:val="nil"/>
              <w:right w:val="nil"/>
            </w:tcBorders>
            <w:shd w:val="clear" w:color="auto" w:fill="auto"/>
            <w:noWrap/>
            <w:vAlign w:val="bottom"/>
            <w:hideMark/>
          </w:tcPr>
          <w:p w14:paraId="56FC9AF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772</w:t>
            </w:r>
          </w:p>
        </w:tc>
        <w:tc>
          <w:tcPr>
            <w:tcW w:w="212" w:type="pct"/>
            <w:tcBorders>
              <w:top w:val="nil"/>
              <w:left w:val="nil"/>
              <w:bottom w:val="nil"/>
              <w:right w:val="nil"/>
            </w:tcBorders>
            <w:shd w:val="clear" w:color="auto" w:fill="auto"/>
            <w:noWrap/>
            <w:vAlign w:val="bottom"/>
            <w:hideMark/>
          </w:tcPr>
          <w:p w14:paraId="33D1CEA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801</w:t>
            </w:r>
          </w:p>
        </w:tc>
        <w:tc>
          <w:tcPr>
            <w:tcW w:w="183" w:type="pct"/>
            <w:tcBorders>
              <w:top w:val="nil"/>
              <w:left w:val="nil"/>
              <w:bottom w:val="nil"/>
              <w:right w:val="nil"/>
            </w:tcBorders>
            <w:shd w:val="clear" w:color="auto" w:fill="auto"/>
            <w:noWrap/>
            <w:vAlign w:val="bottom"/>
            <w:hideMark/>
          </w:tcPr>
          <w:p w14:paraId="12F2674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829</w:t>
            </w:r>
          </w:p>
        </w:tc>
        <w:tc>
          <w:tcPr>
            <w:tcW w:w="212" w:type="pct"/>
            <w:tcBorders>
              <w:top w:val="nil"/>
              <w:left w:val="nil"/>
              <w:bottom w:val="nil"/>
              <w:right w:val="nil"/>
            </w:tcBorders>
            <w:shd w:val="clear" w:color="auto" w:fill="auto"/>
            <w:noWrap/>
            <w:vAlign w:val="bottom"/>
            <w:hideMark/>
          </w:tcPr>
          <w:p w14:paraId="787059D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869</w:t>
            </w:r>
          </w:p>
        </w:tc>
        <w:tc>
          <w:tcPr>
            <w:tcW w:w="212" w:type="pct"/>
            <w:tcBorders>
              <w:top w:val="nil"/>
              <w:left w:val="nil"/>
              <w:bottom w:val="nil"/>
              <w:right w:val="nil"/>
            </w:tcBorders>
            <w:shd w:val="clear" w:color="auto" w:fill="auto"/>
            <w:noWrap/>
            <w:vAlign w:val="bottom"/>
            <w:hideMark/>
          </w:tcPr>
          <w:p w14:paraId="0932970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908</w:t>
            </w:r>
          </w:p>
        </w:tc>
        <w:tc>
          <w:tcPr>
            <w:tcW w:w="212" w:type="pct"/>
            <w:tcBorders>
              <w:top w:val="nil"/>
              <w:left w:val="nil"/>
              <w:bottom w:val="nil"/>
              <w:right w:val="nil"/>
            </w:tcBorders>
            <w:shd w:val="clear" w:color="auto" w:fill="auto"/>
            <w:noWrap/>
            <w:vAlign w:val="bottom"/>
            <w:hideMark/>
          </w:tcPr>
          <w:p w14:paraId="74D86A7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948</w:t>
            </w:r>
          </w:p>
        </w:tc>
        <w:tc>
          <w:tcPr>
            <w:tcW w:w="212" w:type="pct"/>
            <w:tcBorders>
              <w:top w:val="nil"/>
              <w:left w:val="nil"/>
              <w:bottom w:val="nil"/>
              <w:right w:val="nil"/>
            </w:tcBorders>
            <w:shd w:val="clear" w:color="auto" w:fill="auto"/>
            <w:noWrap/>
            <w:vAlign w:val="bottom"/>
            <w:hideMark/>
          </w:tcPr>
          <w:p w14:paraId="2D79344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987</w:t>
            </w:r>
          </w:p>
        </w:tc>
        <w:tc>
          <w:tcPr>
            <w:tcW w:w="212" w:type="pct"/>
            <w:tcBorders>
              <w:top w:val="nil"/>
              <w:left w:val="nil"/>
              <w:bottom w:val="nil"/>
              <w:right w:val="nil"/>
            </w:tcBorders>
            <w:shd w:val="clear" w:color="auto" w:fill="auto"/>
            <w:noWrap/>
            <w:vAlign w:val="bottom"/>
            <w:hideMark/>
          </w:tcPr>
          <w:p w14:paraId="1DD7EBC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1.066</w:t>
            </w:r>
          </w:p>
        </w:tc>
        <w:tc>
          <w:tcPr>
            <w:tcW w:w="212" w:type="pct"/>
            <w:tcBorders>
              <w:top w:val="nil"/>
              <w:left w:val="nil"/>
              <w:bottom w:val="nil"/>
              <w:right w:val="nil"/>
            </w:tcBorders>
            <w:shd w:val="clear" w:color="auto" w:fill="auto"/>
            <w:noWrap/>
            <w:vAlign w:val="bottom"/>
            <w:hideMark/>
          </w:tcPr>
          <w:p w14:paraId="7F7DE70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1.117</w:t>
            </w:r>
          </w:p>
        </w:tc>
        <w:tc>
          <w:tcPr>
            <w:tcW w:w="212" w:type="pct"/>
            <w:tcBorders>
              <w:top w:val="nil"/>
              <w:left w:val="nil"/>
              <w:bottom w:val="nil"/>
              <w:right w:val="nil"/>
            </w:tcBorders>
            <w:shd w:val="clear" w:color="auto" w:fill="auto"/>
            <w:noWrap/>
            <w:vAlign w:val="bottom"/>
            <w:hideMark/>
          </w:tcPr>
          <w:p w14:paraId="1C158D7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1.168</w:t>
            </w:r>
          </w:p>
        </w:tc>
        <w:tc>
          <w:tcPr>
            <w:tcW w:w="212" w:type="pct"/>
            <w:tcBorders>
              <w:top w:val="nil"/>
              <w:left w:val="nil"/>
              <w:bottom w:val="nil"/>
              <w:right w:val="nil"/>
            </w:tcBorders>
            <w:shd w:val="clear" w:color="auto" w:fill="auto"/>
            <w:noWrap/>
            <w:vAlign w:val="bottom"/>
            <w:hideMark/>
          </w:tcPr>
          <w:p w14:paraId="01E069B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1.219</w:t>
            </w:r>
          </w:p>
        </w:tc>
        <w:tc>
          <w:tcPr>
            <w:tcW w:w="212" w:type="pct"/>
            <w:tcBorders>
              <w:top w:val="nil"/>
              <w:left w:val="nil"/>
              <w:bottom w:val="nil"/>
              <w:right w:val="nil"/>
            </w:tcBorders>
            <w:shd w:val="clear" w:color="auto" w:fill="auto"/>
            <w:noWrap/>
            <w:vAlign w:val="bottom"/>
            <w:hideMark/>
          </w:tcPr>
          <w:p w14:paraId="1945664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1.270</w:t>
            </w:r>
          </w:p>
        </w:tc>
        <w:tc>
          <w:tcPr>
            <w:tcW w:w="208" w:type="pct"/>
            <w:tcBorders>
              <w:top w:val="nil"/>
              <w:left w:val="nil"/>
              <w:bottom w:val="nil"/>
              <w:right w:val="nil"/>
            </w:tcBorders>
            <w:shd w:val="clear" w:color="auto" w:fill="auto"/>
            <w:noWrap/>
            <w:vAlign w:val="bottom"/>
            <w:hideMark/>
          </w:tcPr>
          <w:p w14:paraId="1670A95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1.372</w:t>
            </w:r>
          </w:p>
        </w:tc>
      </w:tr>
      <w:tr w:rsidR="00B54F4E" w:rsidRPr="00D050B8" w14:paraId="00BB603F" w14:textId="77777777" w:rsidTr="006504C4">
        <w:trPr>
          <w:trHeight w:val="254"/>
        </w:trPr>
        <w:tc>
          <w:tcPr>
            <w:tcW w:w="1184" w:type="pct"/>
            <w:tcBorders>
              <w:top w:val="nil"/>
              <w:left w:val="nil"/>
              <w:bottom w:val="single" w:sz="4" w:space="0" w:color="000000"/>
              <w:right w:val="nil"/>
            </w:tcBorders>
            <w:shd w:val="clear" w:color="auto" w:fill="auto"/>
            <w:noWrap/>
            <w:vAlign w:val="bottom"/>
            <w:hideMark/>
          </w:tcPr>
          <w:p w14:paraId="3DB9139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Número de neveras ineficientes a reemplazar por eficientes</w:t>
            </w:r>
          </w:p>
        </w:tc>
        <w:tc>
          <w:tcPr>
            <w:tcW w:w="253" w:type="pct"/>
            <w:tcBorders>
              <w:top w:val="nil"/>
              <w:left w:val="nil"/>
              <w:bottom w:val="single" w:sz="4" w:space="0" w:color="000000"/>
              <w:right w:val="nil"/>
            </w:tcBorders>
            <w:shd w:val="clear" w:color="auto" w:fill="auto"/>
            <w:noWrap/>
            <w:vAlign w:val="bottom"/>
            <w:hideMark/>
          </w:tcPr>
          <w:p w14:paraId="00305DD9"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000000"/>
              <w:right w:val="nil"/>
            </w:tcBorders>
            <w:shd w:val="clear" w:color="auto" w:fill="auto"/>
            <w:noWrap/>
            <w:vAlign w:val="bottom"/>
            <w:hideMark/>
          </w:tcPr>
          <w:p w14:paraId="5A8CFBD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000000"/>
              <w:right w:val="nil"/>
            </w:tcBorders>
            <w:shd w:val="clear" w:color="auto" w:fill="auto"/>
            <w:noWrap/>
            <w:vAlign w:val="bottom"/>
            <w:hideMark/>
          </w:tcPr>
          <w:p w14:paraId="6DA62ED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nil"/>
              <w:left w:val="nil"/>
              <w:bottom w:val="single" w:sz="4" w:space="0" w:color="000000"/>
              <w:right w:val="nil"/>
            </w:tcBorders>
            <w:shd w:val="clear" w:color="auto" w:fill="auto"/>
            <w:noWrap/>
            <w:vAlign w:val="bottom"/>
            <w:hideMark/>
          </w:tcPr>
          <w:p w14:paraId="1B5EC34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nil"/>
              <w:left w:val="nil"/>
              <w:bottom w:val="single" w:sz="4" w:space="0" w:color="000000"/>
              <w:right w:val="nil"/>
            </w:tcBorders>
            <w:shd w:val="clear" w:color="auto" w:fill="auto"/>
            <w:noWrap/>
            <w:vAlign w:val="bottom"/>
            <w:hideMark/>
          </w:tcPr>
          <w:p w14:paraId="1D760283" w14:textId="77777777" w:rsidR="00B54F4E" w:rsidRPr="00D050B8" w:rsidRDefault="00B54F4E" w:rsidP="006504C4">
            <w:pPr>
              <w:spacing w:before="0" w:after="0"/>
              <w:jc w:val="right"/>
              <w:rPr>
                <w:rFonts w:ascii="Calibri" w:hAnsi="Calibri" w:cs="Calibri"/>
                <w:color w:val="00B050"/>
                <w:sz w:val="12"/>
                <w:szCs w:val="12"/>
                <w:lang w:eastAsia="es-CO"/>
              </w:rPr>
            </w:pPr>
            <w:r w:rsidRPr="00D050B8">
              <w:rPr>
                <w:rFonts w:ascii="Calibri" w:hAnsi="Calibri" w:cs="Calibri"/>
                <w:color w:val="00B05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534B2A4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05A141E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183" w:type="pct"/>
            <w:tcBorders>
              <w:top w:val="nil"/>
              <w:left w:val="nil"/>
              <w:bottom w:val="single" w:sz="4" w:space="0" w:color="000000"/>
              <w:right w:val="nil"/>
            </w:tcBorders>
            <w:shd w:val="clear" w:color="auto" w:fill="auto"/>
            <w:noWrap/>
            <w:vAlign w:val="bottom"/>
            <w:hideMark/>
          </w:tcPr>
          <w:p w14:paraId="166A148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7EA2888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3C5CD58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507842E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30AC88B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6605AFA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03310F2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91.125</w:t>
            </w:r>
          </w:p>
        </w:tc>
        <w:tc>
          <w:tcPr>
            <w:tcW w:w="212" w:type="pct"/>
            <w:tcBorders>
              <w:top w:val="nil"/>
              <w:left w:val="nil"/>
              <w:bottom w:val="single" w:sz="4" w:space="0" w:color="000000"/>
              <w:right w:val="nil"/>
            </w:tcBorders>
            <w:shd w:val="clear" w:color="auto" w:fill="auto"/>
            <w:noWrap/>
            <w:vAlign w:val="bottom"/>
            <w:hideMark/>
          </w:tcPr>
          <w:p w14:paraId="0C1E674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000000"/>
              <w:right w:val="nil"/>
            </w:tcBorders>
            <w:shd w:val="clear" w:color="auto" w:fill="auto"/>
            <w:noWrap/>
            <w:vAlign w:val="bottom"/>
            <w:hideMark/>
          </w:tcPr>
          <w:p w14:paraId="056D56D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000000"/>
              <w:right w:val="nil"/>
            </w:tcBorders>
            <w:shd w:val="clear" w:color="auto" w:fill="auto"/>
            <w:noWrap/>
            <w:vAlign w:val="bottom"/>
            <w:hideMark/>
          </w:tcPr>
          <w:p w14:paraId="4EA9D94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8" w:type="pct"/>
            <w:tcBorders>
              <w:top w:val="nil"/>
              <w:left w:val="nil"/>
              <w:bottom w:val="single" w:sz="4" w:space="0" w:color="000000"/>
              <w:right w:val="nil"/>
            </w:tcBorders>
            <w:shd w:val="clear" w:color="auto" w:fill="auto"/>
            <w:noWrap/>
            <w:vAlign w:val="bottom"/>
            <w:hideMark/>
          </w:tcPr>
          <w:p w14:paraId="65015F8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r>
      <w:tr w:rsidR="00B54F4E" w:rsidRPr="00D050B8" w14:paraId="379F0214" w14:textId="77777777" w:rsidTr="006504C4">
        <w:trPr>
          <w:trHeight w:val="254"/>
        </w:trPr>
        <w:tc>
          <w:tcPr>
            <w:tcW w:w="1184" w:type="pct"/>
            <w:tcBorders>
              <w:top w:val="nil"/>
              <w:left w:val="nil"/>
              <w:bottom w:val="nil"/>
              <w:right w:val="nil"/>
            </w:tcBorders>
            <w:shd w:val="clear" w:color="auto" w:fill="auto"/>
            <w:noWrap/>
            <w:vAlign w:val="bottom"/>
            <w:hideMark/>
          </w:tcPr>
          <w:p w14:paraId="2F67F0F5"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Beneficios</w:t>
            </w:r>
          </w:p>
        </w:tc>
        <w:tc>
          <w:tcPr>
            <w:tcW w:w="253" w:type="pct"/>
            <w:tcBorders>
              <w:top w:val="nil"/>
              <w:left w:val="nil"/>
              <w:bottom w:val="nil"/>
              <w:right w:val="nil"/>
            </w:tcBorders>
            <w:shd w:val="clear" w:color="auto" w:fill="auto"/>
            <w:noWrap/>
            <w:vAlign w:val="bottom"/>
            <w:hideMark/>
          </w:tcPr>
          <w:p w14:paraId="4193B6F4" w14:textId="77777777" w:rsidR="00B54F4E" w:rsidRPr="00D050B8" w:rsidRDefault="00B54F4E" w:rsidP="006504C4">
            <w:pPr>
              <w:spacing w:before="0" w:after="0"/>
              <w:jc w:val="left"/>
              <w:rPr>
                <w:rFonts w:ascii="Calibri" w:hAnsi="Calibri" w:cs="Calibri"/>
                <w:b/>
                <w:bCs/>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5ADE8CB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6C91103"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A9E735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BBB7C83"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2A4985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F75FB7A"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4C3D736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C81087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D2E931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ECE063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0D1478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7B27823"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4B7AC1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550910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ED830E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6D9D235"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D621A7C"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471C0C02" w14:textId="77777777" w:rsidTr="006504C4">
        <w:trPr>
          <w:trHeight w:val="254"/>
        </w:trPr>
        <w:tc>
          <w:tcPr>
            <w:tcW w:w="1184" w:type="pct"/>
            <w:tcBorders>
              <w:top w:val="nil"/>
              <w:left w:val="nil"/>
              <w:bottom w:val="nil"/>
              <w:right w:val="nil"/>
            </w:tcBorders>
            <w:shd w:val="clear" w:color="auto" w:fill="auto"/>
            <w:noWrap/>
            <w:vAlign w:val="bottom"/>
            <w:hideMark/>
          </w:tcPr>
          <w:p w14:paraId="6A1F9CFE"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GWh/año</w:t>
            </w:r>
          </w:p>
        </w:tc>
        <w:tc>
          <w:tcPr>
            <w:tcW w:w="253" w:type="pct"/>
            <w:tcBorders>
              <w:top w:val="nil"/>
              <w:left w:val="nil"/>
              <w:bottom w:val="nil"/>
              <w:right w:val="nil"/>
            </w:tcBorders>
            <w:shd w:val="clear" w:color="auto" w:fill="auto"/>
            <w:noWrap/>
            <w:vAlign w:val="bottom"/>
            <w:hideMark/>
          </w:tcPr>
          <w:p w14:paraId="59D6B368"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1CAD95A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A528DE4"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C1A517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12" w:type="pct"/>
            <w:tcBorders>
              <w:top w:val="nil"/>
              <w:left w:val="nil"/>
              <w:bottom w:val="nil"/>
              <w:right w:val="nil"/>
            </w:tcBorders>
            <w:shd w:val="clear" w:color="auto" w:fill="auto"/>
            <w:noWrap/>
            <w:vAlign w:val="bottom"/>
            <w:hideMark/>
          </w:tcPr>
          <w:p w14:paraId="78B378A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37,80</w:t>
            </w:r>
          </w:p>
        </w:tc>
        <w:tc>
          <w:tcPr>
            <w:tcW w:w="212" w:type="pct"/>
            <w:tcBorders>
              <w:top w:val="nil"/>
              <w:left w:val="nil"/>
              <w:bottom w:val="nil"/>
              <w:right w:val="nil"/>
            </w:tcBorders>
            <w:shd w:val="clear" w:color="auto" w:fill="auto"/>
            <w:noWrap/>
            <w:vAlign w:val="bottom"/>
            <w:hideMark/>
          </w:tcPr>
          <w:p w14:paraId="18286A4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75,59</w:t>
            </w:r>
          </w:p>
        </w:tc>
        <w:tc>
          <w:tcPr>
            <w:tcW w:w="212" w:type="pct"/>
            <w:tcBorders>
              <w:top w:val="nil"/>
              <w:left w:val="nil"/>
              <w:bottom w:val="nil"/>
              <w:right w:val="nil"/>
            </w:tcBorders>
            <w:shd w:val="clear" w:color="auto" w:fill="auto"/>
            <w:noWrap/>
            <w:vAlign w:val="bottom"/>
            <w:hideMark/>
          </w:tcPr>
          <w:p w14:paraId="6181BD8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113,39</w:t>
            </w:r>
          </w:p>
        </w:tc>
        <w:tc>
          <w:tcPr>
            <w:tcW w:w="183" w:type="pct"/>
            <w:tcBorders>
              <w:top w:val="nil"/>
              <w:left w:val="nil"/>
              <w:bottom w:val="nil"/>
              <w:right w:val="nil"/>
            </w:tcBorders>
            <w:shd w:val="clear" w:color="auto" w:fill="auto"/>
            <w:noWrap/>
            <w:vAlign w:val="bottom"/>
            <w:hideMark/>
          </w:tcPr>
          <w:p w14:paraId="49516D9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151,18</w:t>
            </w:r>
          </w:p>
        </w:tc>
        <w:tc>
          <w:tcPr>
            <w:tcW w:w="212" w:type="pct"/>
            <w:tcBorders>
              <w:top w:val="nil"/>
              <w:left w:val="nil"/>
              <w:bottom w:val="nil"/>
              <w:right w:val="nil"/>
            </w:tcBorders>
            <w:shd w:val="clear" w:color="auto" w:fill="auto"/>
            <w:noWrap/>
            <w:vAlign w:val="bottom"/>
            <w:hideMark/>
          </w:tcPr>
          <w:p w14:paraId="53E6098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188,98</w:t>
            </w:r>
          </w:p>
        </w:tc>
        <w:tc>
          <w:tcPr>
            <w:tcW w:w="212" w:type="pct"/>
            <w:tcBorders>
              <w:top w:val="nil"/>
              <w:left w:val="nil"/>
              <w:bottom w:val="nil"/>
              <w:right w:val="nil"/>
            </w:tcBorders>
            <w:shd w:val="clear" w:color="auto" w:fill="auto"/>
            <w:noWrap/>
            <w:vAlign w:val="bottom"/>
            <w:hideMark/>
          </w:tcPr>
          <w:p w14:paraId="3B0776E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226,77</w:t>
            </w:r>
          </w:p>
        </w:tc>
        <w:tc>
          <w:tcPr>
            <w:tcW w:w="212" w:type="pct"/>
            <w:tcBorders>
              <w:top w:val="nil"/>
              <w:left w:val="nil"/>
              <w:bottom w:val="nil"/>
              <w:right w:val="nil"/>
            </w:tcBorders>
            <w:shd w:val="clear" w:color="auto" w:fill="auto"/>
            <w:noWrap/>
            <w:vAlign w:val="bottom"/>
            <w:hideMark/>
          </w:tcPr>
          <w:p w14:paraId="286A2C8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264,57</w:t>
            </w:r>
          </w:p>
        </w:tc>
        <w:tc>
          <w:tcPr>
            <w:tcW w:w="212" w:type="pct"/>
            <w:tcBorders>
              <w:top w:val="nil"/>
              <w:left w:val="nil"/>
              <w:bottom w:val="nil"/>
              <w:right w:val="nil"/>
            </w:tcBorders>
            <w:shd w:val="clear" w:color="auto" w:fill="auto"/>
            <w:noWrap/>
            <w:vAlign w:val="bottom"/>
            <w:hideMark/>
          </w:tcPr>
          <w:p w14:paraId="0C3A128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302,36</w:t>
            </w:r>
          </w:p>
        </w:tc>
        <w:tc>
          <w:tcPr>
            <w:tcW w:w="212" w:type="pct"/>
            <w:tcBorders>
              <w:top w:val="nil"/>
              <w:left w:val="nil"/>
              <w:bottom w:val="nil"/>
              <w:right w:val="nil"/>
            </w:tcBorders>
            <w:shd w:val="clear" w:color="auto" w:fill="auto"/>
            <w:noWrap/>
            <w:vAlign w:val="bottom"/>
            <w:hideMark/>
          </w:tcPr>
          <w:p w14:paraId="2AE496D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340,16</w:t>
            </w:r>
          </w:p>
        </w:tc>
        <w:tc>
          <w:tcPr>
            <w:tcW w:w="212" w:type="pct"/>
            <w:tcBorders>
              <w:top w:val="nil"/>
              <w:left w:val="nil"/>
              <w:bottom w:val="nil"/>
              <w:right w:val="nil"/>
            </w:tcBorders>
            <w:shd w:val="clear" w:color="auto" w:fill="auto"/>
            <w:noWrap/>
            <w:vAlign w:val="bottom"/>
            <w:hideMark/>
          </w:tcPr>
          <w:p w14:paraId="1E7B5D8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377,95</w:t>
            </w:r>
          </w:p>
        </w:tc>
        <w:tc>
          <w:tcPr>
            <w:tcW w:w="212" w:type="pct"/>
            <w:tcBorders>
              <w:top w:val="nil"/>
              <w:left w:val="nil"/>
              <w:bottom w:val="nil"/>
              <w:right w:val="nil"/>
            </w:tcBorders>
            <w:shd w:val="clear" w:color="auto" w:fill="auto"/>
            <w:noWrap/>
            <w:vAlign w:val="bottom"/>
            <w:hideMark/>
          </w:tcPr>
          <w:p w14:paraId="7DBF7F9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377,95</w:t>
            </w:r>
          </w:p>
        </w:tc>
        <w:tc>
          <w:tcPr>
            <w:tcW w:w="212" w:type="pct"/>
            <w:tcBorders>
              <w:top w:val="nil"/>
              <w:left w:val="nil"/>
              <w:bottom w:val="nil"/>
              <w:right w:val="nil"/>
            </w:tcBorders>
            <w:shd w:val="clear" w:color="auto" w:fill="auto"/>
            <w:noWrap/>
            <w:vAlign w:val="bottom"/>
            <w:hideMark/>
          </w:tcPr>
          <w:p w14:paraId="368FDB7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377,95</w:t>
            </w:r>
          </w:p>
        </w:tc>
        <w:tc>
          <w:tcPr>
            <w:tcW w:w="212" w:type="pct"/>
            <w:tcBorders>
              <w:top w:val="nil"/>
              <w:left w:val="nil"/>
              <w:bottom w:val="nil"/>
              <w:right w:val="nil"/>
            </w:tcBorders>
            <w:shd w:val="clear" w:color="auto" w:fill="auto"/>
            <w:noWrap/>
            <w:vAlign w:val="bottom"/>
            <w:hideMark/>
          </w:tcPr>
          <w:p w14:paraId="47E342D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377,95</w:t>
            </w:r>
          </w:p>
        </w:tc>
        <w:tc>
          <w:tcPr>
            <w:tcW w:w="208" w:type="pct"/>
            <w:tcBorders>
              <w:top w:val="nil"/>
              <w:left w:val="nil"/>
              <w:bottom w:val="nil"/>
              <w:right w:val="nil"/>
            </w:tcBorders>
            <w:shd w:val="clear" w:color="auto" w:fill="auto"/>
            <w:noWrap/>
            <w:vAlign w:val="bottom"/>
            <w:hideMark/>
          </w:tcPr>
          <w:p w14:paraId="748901E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377,95</w:t>
            </w:r>
          </w:p>
        </w:tc>
      </w:tr>
      <w:tr w:rsidR="00B54F4E" w:rsidRPr="00D050B8" w14:paraId="290716C4" w14:textId="77777777" w:rsidTr="006504C4">
        <w:trPr>
          <w:trHeight w:val="254"/>
        </w:trPr>
        <w:tc>
          <w:tcPr>
            <w:tcW w:w="1184" w:type="pct"/>
            <w:tcBorders>
              <w:top w:val="nil"/>
              <w:left w:val="nil"/>
              <w:bottom w:val="single" w:sz="4" w:space="0" w:color="BFBFBF"/>
              <w:right w:val="nil"/>
            </w:tcBorders>
            <w:shd w:val="clear" w:color="auto" w:fill="auto"/>
            <w:noWrap/>
            <w:vAlign w:val="bottom"/>
            <w:hideMark/>
          </w:tcPr>
          <w:p w14:paraId="1A058F02"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Emisiones de CO2 evitadas (TonCo2)</w:t>
            </w:r>
          </w:p>
        </w:tc>
        <w:tc>
          <w:tcPr>
            <w:tcW w:w="253" w:type="pct"/>
            <w:tcBorders>
              <w:top w:val="nil"/>
              <w:left w:val="nil"/>
              <w:bottom w:val="single" w:sz="4" w:space="0" w:color="BFBFBF"/>
              <w:right w:val="nil"/>
            </w:tcBorders>
            <w:shd w:val="clear" w:color="auto" w:fill="auto"/>
            <w:noWrap/>
            <w:vAlign w:val="bottom"/>
            <w:hideMark/>
          </w:tcPr>
          <w:p w14:paraId="624BF0E1"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BFBFBF"/>
              <w:right w:val="nil"/>
            </w:tcBorders>
            <w:shd w:val="clear" w:color="auto" w:fill="auto"/>
            <w:noWrap/>
            <w:vAlign w:val="bottom"/>
            <w:hideMark/>
          </w:tcPr>
          <w:p w14:paraId="1664C79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BFBFBF"/>
              <w:right w:val="nil"/>
            </w:tcBorders>
            <w:shd w:val="clear" w:color="auto" w:fill="auto"/>
            <w:noWrap/>
            <w:vAlign w:val="bottom"/>
            <w:hideMark/>
          </w:tcPr>
          <w:p w14:paraId="33491218"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nil"/>
              <w:left w:val="nil"/>
              <w:bottom w:val="single" w:sz="4" w:space="0" w:color="BFBFBF"/>
              <w:right w:val="nil"/>
            </w:tcBorders>
            <w:shd w:val="clear" w:color="auto" w:fill="auto"/>
            <w:noWrap/>
            <w:vAlign w:val="bottom"/>
            <w:hideMark/>
          </w:tcPr>
          <w:p w14:paraId="1547E55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BFBFBF"/>
              <w:right w:val="nil"/>
            </w:tcBorders>
            <w:shd w:val="clear" w:color="auto" w:fill="auto"/>
            <w:noWrap/>
            <w:vAlign w:val="bottom"/>
            <w:hideMark/>
          </w:tcPr>
          <w:p w14:paraId="0235B3B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7.228</w:t>
            </w:r>
          </w:p>
        </w:tc>
        <w:tc>
          <w:tcPr>
            <w:tcW w:w="212" w:type="pct"/>
            <w:tcBorders>
              <w:top w:val="nil"/>
              <w:left w:val="nil"/>
              <w:bottom w:val="single" w:sz="4" w:space="0" w:color="BFBFBF"/>
              <w:right w:val="nil"/>
            </w:tcBorders>
            <w:shd w:val="clear" w:color="auto" w:fill="auto"/>
            <w:noWrap/>
            <w:vAlign w:val="bottom"/>
            <w:hideMark/>
          </w:tcPr>
          <w:p w14:paraId="613C320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14.456</w:t>
            </w:r>
          </w:p>
        </w:tc>
        <w:tc>
          <w:tcPr>
            <w:tcW w:w="212" w:type="pct"/>
            <w:tcBorders>
              <w:top w:val="nil"/>
              <w:left w:val="nil"/>
              <w:bottom w:val="single" w:sz="4" w:space="0" w:color="BFBFBF"/>
              <w:right w:val="nil"/>
            </w:tcBorders>
            <w:shd w:val="clear" w:color="auto" w:fill="auto"/>
            <w:noWrap/>
            <w:vAlign w:val="bottom"/>
            <w:hideMark/>
          </w:tcPr>
          <w:p w14:paraId="5D58C38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21.684</w:t>
            </w:r>
          </w:p>
        </w:tc>
        <w:tc>
          <w:tcPr>
            <w:tcW w:w="183" w:type="pct"/>
            <w:tcBorders>
              <w:top w:val="nil"/>
              <w:left w:val="nil"/>
              <w:bottom w:val="single" w:sz="4" w:space="0" w:color="BFBFBF"/>
              <w:right w:val="nil"/>
            </w:tcBorders>
            <w:shd w:val="clear" w:color="auto" w:fill="auto"/>
            <w:noWrap/>
            <w:vAlign w:val="bottom"/>
            <w:hideMark/>
          </w:tcPr>
          <w:p w14:paraId="3152530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28.912</w:t>
            </w:r>
          </w:p>
        </w:tc>
        <w:tc>
          <w:tcPr>
            <w:tcW w:w="212" w:type="pct"/>
            <w:tcBorders>
              <w:top w:val="nil"/>
              <w:left w:val="nil"/>
              <w:bottom w:val="single" w:sz="4" w:space="0" w:color="BFBFBF"/>
              <w:right w:val="nil"/>
            </w:tcBorders>
            <w:shd w:val="clear" w:color="auto" w:fill="auto"/>
            <w:noWrap/>
            <w:vAlign w:val="bottom"/>
            <w:hideMark/>
          </w:tcPr>
          <w:p w14:paraId="3E493CB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36.140</w:t>
            </w:r>
          </w:p>
        </w:tc>
        <w:tc>
          <w:tcPr>
            <w:tcW w:w="212" w:type="pct"/>
            <w:tcBorders>
              <w:top w:val="nil"/>
              <w:left w:val="nil"/>
              <w:bottom w:val="single" w:sz="4" w:space="0" w:color="BFBFBF"/>
              <w:right w:val="nil"/>
            </w:tcBorders>
            <w:shd w:val="clear" w:color="auto" w:fill="auto"/>
            <w:noWrap/>
            <w:vAlign w:val="bottom"/>
            <w:hideMark/>
          </w:tcPr>
          <w:p w14:paraId="1AAA2EC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43.368</w:t>
            </w:r>
          </w:p>
        </w:tc>
        <w:tc>
          <w:tcPr>
            <w:tcW w:w="212" w:type="pct"/>
            <w:tcBorders>
              <w:top w:val="nil"/>
              <w:left w:val="nil"/>
              <w:bottom w:val="single" w:sz="4" w:space="0" w:color="BFBFBF"/>
              <w:right w:val="nil"/>
            </w:tcBorders>
            <w:shd w:val="clear" w:color="auto" w:fill="auto"/>
            <w:noWrap/>
            <w:vAlign w:val="bottom"/>
            <w:hideMark/>
          </w:tcPr>
          <w:p w14:paraId="0DD0CE3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50.596</w:t>
            </w:r>
          </w:p>
        </w:tc>
        <w:tc>
          <w:tcPr>
            <w:tcW w:w="212" w:type="pct"/>
            <w:tcBorders>
              <w:top w:val="nil"/>
              <w:left w:val="nil"/>
              <w:bottom w:val="single" w:sz="4" w:space="0" w:color="BFBFBF"/>
              <w:right w:val="nil"/>
            </w:tcBorders>
            <w:shd w:val="clear" w:color="auto" w:fill="auto"/>
            <w:noWrap/>
            <w:vAlign w:val="bottom"/>
            <w:hideMark/>
          </w:tcPr>
          <w:p w14:paraId="1E84435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57.824</w:t>
            </w:r>
          </w:p>
        </w:tc>
        <w:tc>
          <w:tcPr>
            <w:tcW w:w="212" w:type="pct"/>
            <w:tcBorders>
              <w:top w:val="nil"/>
              <w:left w:val="nil"/>
              <w:bottom w:val="single" w:sz="4" w:space="0" w:color="BFBFBF"/>
              <w:right w:val="nil"/>
            </w:tcBorders>
            <w:shd w:val="clear" w:color="auto" w:fill="auto"/>
            <w:noWrap/>
            <w:vAlign w:val="bottom"/>
            <w:hideMark/>
          </w:tcPr>
          <w:p w14:paraId="53172F6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65.052</w:t>
            </w:r>
          </w:p>
        </w:tc>
        <w:tc>
          <w:tcPr>
            <w:tcW w:w="212" w:type="pct"/>
            <w:tcBorders>
              <w:top w:val="nil"/>
              <w:left w:val="nil"/>
              <w:bottom w:val="single" w:sz="4" w:space="0" w:color="BFBFBF"/>
              <w:right w:val="nil"/>
            </w:tcBorders>
            <w:shd w:val="clear" w:color="auto" w:fill="auto"/>
            <w:noWrap/>
            <w:vAlign w:val="bottom"/>
            <w:hideMark/>
          </w:tcPr>
          <w:p w14:paraId="3B82460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72.280</w:t>
            </w:r>
          </w:p>
        </w:tc>
        <w:tc>
          <w:tcPr>
            <w:tcW w:w="212" w:type="pct"/>
            <w:tcBorders>
              <w:top w:val="nil"/>
              <w:left w:val="nil"/>
              <w:bottom w:val="single" w:sz="4" w:space="0" w:color="BFBFBF"/>
              <w:right w:val="nil"/>
            </w:tcBorders>
            <w:shd w:val="clear" w:color="auto" w:fill="auto"/>
            <w:noWrap/>
            <w:vAlign w:val="bottom"/>
            <w:hideMark/>
          </w:tcPr>
          <w:p w14:paraId="0FC4681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72.280</w:t>
            </w:r>
          </w:p>
        </w:tc>
        <w:tc>
          <w:tcPr>
            <w:tcW w:w="212" w:type="pct"/>
            <w:tcBorders>
              <w:top w:val="nil"/>
              <w:left w:val="nil"/>
              <w:bottom w:val="single" w:sz="4" w:space="0" w:color="BFBFBF"/>
              <w:right w:val="nil"/>
            </w:tcBorders>
            <w:shd w:val="clear" w:color="auto" w:fill="auto"/>
            <w:noWrap/>
            <w:vAlign w:val="bottom"/>
            <w:hideMark/>
          </w:tcPr>
          <w:p w14:paraId="7CD8DD2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72.280</w:t>
            </w:r>
          </w:p>
        </w:tc>
        <w:tc>
          <w:tcPr>
            <w:tcW w:w="212" w:type="pct"/>
            <w:tcBorders>
              <w:top w:val="nil"/>
              <w:left w:val="nil"/>
              <w:bottom w:val="single" w:sz="4" w:space="0" w:color="BFBFBF"/>
              <w:right w:val="nil"/>
            </w:tcBorders>
            <w:shd w:val="clear" w:color="auto" w:fill="auto"/>
            <w:noWrap/>
            <w:vAlign w:val="bottom"/>
            <w:hideMark/>
          </w:tcPr>
          <w:p w14:paraId="26A98CA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72.280</w:t>
            </w:r>
          </w:p>
        </w:tc>
        <w:tc>
          <w:tcPr>
            <w:tcW w:w="208" w:type="pct"/>
            <w:tcBorders>
              <w:top w:val="nil"/>
              <w:left w:val="nil"/>
              <w:bottom w:val="single" w:sz="4" w:space="0" w:color="BFBFBF"/>
              <w:right w:val="nil"/>
            </w:tcBorders>
            <w:shd w:val="clear" w:color="auto" w:fill="auto"/>
            <w:noWrap/>
            <w:vAlign w:val="bottom"/>
            <w:hideMark/>
          </w:tcPr>
          <w:p w14:paraId="5186521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72.280</w:t>
            </w:r>
          </w:p>
        </w:tc>
      </w:tr>
      <w:tr w:rsidR="00B54F4E" w:rsidRPr="00D050B8" w14:paraId="2AFE0A94" w14:textId="77777777" w:rsidTr="006504C4">
        <w:trPr>
          <w:trHeight w:val="254"/>
        </w:trPr>
        <w:tc>
          <w:tcPr>
            <w:tcW w:w="1184" w:type="pct"/>
            <w:tcBorders>
              <w:top w:val="nil"/>
              <w:left w:val="nil"/>
              <w:bottom w:val="nil"/>
              <w:right w:val="nil"/>
            </w:tcBorders>
            <w:shd w:val="clear" w:color="auto" w:fill="auto"/>
            <w:noWrap/>
            <w:vAlign w:val="bottom"/>
            <w:hideMark/>
          </w:tcPr>
          <w:p w14:paraId="100126B6"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costo final de energía evitado ($USD Millones)</w:t>
            </w:r>
          </w:p>
        </w:tc>
        <w:tc>
          <w:tcPr>
            <w:tcW w:w="253" w:type="pct"/>
            <w:tcBorders>
              <w:top w:val="nil"/>
              <w:left w:val="nil"/>
              <w:bottom w:val="nil"/>
              <w:right w:val="nil"/>
            </w:tcBorders>
            <w:shd w:val="clear" w:color="auto" w:fill="auto"/>
            <w:noWrap/>
            <w:vAlign w:val="bottom"/>
            <w:hideMark/>
          </w:tcPr>
          <w:p w14:paraId="1736CEDD"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2CAAB75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C489A9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860453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12" w:type="pct"/>
            <w:tcBorders>
              <w:top w:val="nil"/>
              <w:left w:val="nil"/>
              <w:bottom w:val="nil"/>
              <w:right w:val="nil"/>
            </w:tcBorders>
            <w:shd w:val="clear" w:color="auto" w:fill="auto"/>
            <w:noWrap/>
            <w:vAlign w:val="bottom"/>
            <w:hideMark/>
          </w:tcPr>
          <w:p w14:paraId="204D049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6,94</w:t>
            </w:r>
          </w:p>
        </w:tc>
        <w:tc>
          <w:tcPr>
            <w:tcW w:w="212" w:type="pct"/>
            <w:tcBorders>
              <w:top w:val="nil"/>
              <w:left w:val="nil"/>
              <w:bottom w:val="nil"/>
              <w:right w:val="nil"/>
            </w:tcBorders>
            <w:shd w:val="clear" w:color="auto" w:fill="auto"/>
            <w:noWrap/>
            <w:vAlign w:val="bottom"/>
            <w:hideMark/>
          </w:tcPr>
          <w:p w14:paraId="45B5B6A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13,88</w:t>
            </w:r>
          </w:p>
        </w:tc>
        <w:tc>
          <w:tcPr>
            <w:tcW w:w="212" w:type="pct"/>
            <w:tcBorders>
              <w:top w:val="nil"/>
              <w:left w:val="nil"/>
              <w:bottom w:val="nil"/>
              <w:right w:val="nil"/>
            </w:tcBorders>
            <w:shd w:val="clear" w:color="auto" w:fill="auto"/>
            <w:noWrap/>
            <w:vAlign w:val="bottom"/>
            <w:hideMark/>
          </w:tcPr>
          <w:p w14:paraId="672CD51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20,82</w:t>
            </w:r>
          </w:p>
        </w:tc>
        <w:tc>
          <w:tcPr>
            <w:tcW w:w="183" w:type="pct"/>
            <w:tcBorders>
              <w:top w:val="nil"/>
              <w:left w:val="nil"/>
              <w:bottom w:val="nil"/>
              <w:right w:val="nil"/>
            </w:tcBorders>
            <w:shd w:val="clear" w:color="auto" w:fill="auto"/>
            <w:noWrap/>
            <w:vAlign w:val="bottom"/>
            <w:hideMark/>
          </w:tcPr>
          <w:p w14:paraId="3DF6FA6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27,76</w:t>
            </w:r>
          </w:p>
        </w:tc>
        <w:tc>
          <w:tcPr>
            <w:tcW w:w="212" w:type="pct"/>
            <w:tcBorders>
              <w:top w:val="nil"/>
              <w:left w:val="nil"/>
              <w:bottom w:val="nil"/>
              <w:right w:val="nil"/>
            </w:tcBorders>
            <w:shd w:val="clear" w:color="auto" w:fill="auto"/>
            <w:noWrap/>
            <w:vAlign w:val="bottom"/>
            <w:hideMark/>
          </w:tcPr>
          <w:p w14:paraId="46F19D6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34,70</w:t>
            </w:r>
          </w:p>
        </w:tc>
        <w:tc>
          <w:tcPr>
            <w:tcW w:w="212" w:type="pct"/>
            <w:tcBorders>
              <w:top w:val="nil"/>
              <w:left w:val="nil"/>
              <w:bottom w:val="nil"/>
              <w:right w:val="nil"/>
            </w:tcBorders>
            <w:shd w:val="clear" w:color="auto" w:fill="auto"/>
            <w:noWrap/>
            <w:vAlign w:val="bottom"/>
            <w:hideMark/>
          </w:tcPr>
          <w:p w14:paraId="3E30840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41,64</w:t>
            </w:r>
          </w:p>
        </w:tc>
        <w:tc>
          <w:tcPr>
            <w:tcW w:w="212" w:type="pct"/>
            <w:tcBorders>
              <w:top w:val="nil"/>
              <w:left w:val="nil"/>
              <w:bottom w:val="nil"/>
              <w:right w:val="nil"/>
            </w:tcBorders>
            <w:shd w:val="clear" w:color="auto" w:fill="auto"/>
            <w:noWrap/>
            <w:vAlign w:val="bottom"/>
            <w:hideMark/>
          </w:tcPr>
          <w:p w14:paraId="664529C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48,57</w:t>
            </w:r>
          </w:p>
        </w:tc>
        <w:tc>
          <w:tcPr>
            <w:tcW w:w="212" w:type="pct"/>
            <w:tcBorders>
              <w:top w:val="nil"/>
              <w:left w:val="nil"/>
              <w:bottom w:val="nil"/>
              <w:right w:val="nil"/>
            </w:tcBorders>
            <w:shd w:val="clear" w:color="auto" w:fill="auto"/>
            <w:noWrap/>
            <w:vAlign w:val="bottom"/>
            <w:hideMark/>
          </w:tcPr>
          <w:p w14:paraId="0660841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55,51</w:t>
            </w:r>
          </w:p>
        </w:tc>
        <w:tc>
          <w:tcPr>
            <w:tcW w:w="212" w:type="pct"/>
            <w:tcBorders>
              <w:top w:val="nil"/>
              <w:left w:val="nil"/>
              <w:bottom w:val="nil"/>
              <w:right w:val="nil"/>
            </w:tcBorders>
            <w:shd w:val="clear" w:color="auto" w:fill="auto"/>
            <w:noWrap/>
            <w:vAlign w:val="bottom"/>
            <w:hideMark/>
          </w:tcPr>
          <w:p w14:paraId="3FB86D8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62,45</w:t>
            </w:r>
          </w:p>
        </w:tc>
        <w:tc>
          <w:tcPr>
            <w:tcW w:w="212" w:type="pct"/>
            <w:tcBorders>
              <w:top w:val="nil"/>
              <w:left w:val="nil"/>
              <w:bottom w:val="nil"/>
              <w:right w:val="nil"/>
            </w:tcBorders>
            <w:shd w:val="clear" w:color="auto" w:fill="auto"/>
            <w:noWrap/>
            <w:vAlign w:val="bottom"/>
            <w:hideMark/>
          </w:tcPr>
          <w:p w14:paraId="214EA19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69,39</w:t>
            </w:r>
          </w:p>
        </w:tc>
        <w:tc>
          <w:tcPr>
            <w:tcW w:w="212" w:type="pct"/>
            <w:tcBorders>
              <w:top w:val="nil"/>
              <w:left w:val="nil"/>
              <w:bottom w:val="nil"/>
              <w:right w:val="nil"/>
            </w:tcBorders>
            <w:shd w:val="clear" w:color="auto" w:fill="auto"/>
            <w:noWrap/>
            <w:vAlign w:val="bottom"/>
            <w:hideMark/>
          </w:tcPr>
          <w:p w14:paraId="609A1DF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69,39</w:t>
            </w:r>
          </w:p>
        </w:tc>
        <w:tc>
          <w:tcPr>
            <w:tcW w:w="212" w:type="pct"/>
            <w:tcBorders>
              <w:top w:val="nil"/>
              <w:left w:val="nil"/>
              <w:bottom w:val="nil"/>
              <w:right w:val="nil"/>
            </w:tcBorders>
            <w:shd w:val="clear" w:color="auto" w:fill="auto"/>
            <w:noWrap/>
            <w:vAlign w:val="bottom"/>
            <w:hideMark/>
          </w:tcPr>
          <w:p w14:paraId="137D174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69,39</w:t>
            </w:r>
          </w:p>
        </w:tc>
        <w:tc>
          <w:tcPr>
            <w:tcW w:w="212" w:type="pct"/>
            <w:tcBorders>
              <w:top w:val="nil"/>
              <w:left w:val="nil"/>
              <w:bottom w:val="nil"/>
              <w:right w:val="nil"/>
            </w:tcBorders>
            <w:shd w:val="clear" w:color="auto" w:fill="auto"/>
            <w:noWrap/>
            <w:vAlign w:val="bottom"/>
            <w:hideMark/>
          </w:tcPr>
          <w:p w14:paraId="40F1CFC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69,39</w:t>
            </w:r>
          </w:p>
        </w:tc>
        <w:tc>
          <w:tcPr>
            <w:tcW w:w="208" w:type="pct"/>
            <w:tcBorders>
              <w:top w:val="nil"/>
              <w:left w:val="nil"/>
              <w:bottom w:val="nil"/>
              <w:right w:val="nil"/>
            </w:tcBorders>
            <w:shd w:val="clear" w:color="auto" w:fill="auto"/>
            <w:noWrap/>
            <w:vAlign w:val="bottom"/>
            <w:hideMark/>
          </w:tcPr>
          <w:p w14:paraId="17BC39B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69,39</w:t>
            </w:r>
          </w:p>
        </w:tc>
      </w:tr>
      <w:tr w:rsidR="00B54F4E" w:rsidRPr="00D050B8" w14:paraId="1C1F82C1" w14:textId="77777777" w:rsidTr="006504C4">
        <w:trPr>
          <w:trHeight w:val="254"/>
        </w:trPr>
        <w:tc>
          <w:tcPr>
            <w:tcW w:w="1184" w:type="pct"/>
            <w:tcBorders>
              <w:top w:val="nil"/>
              <w:left w:val="nil"/>
              <w:bottom w:val="nil"/>
              <w:right w:val="nil"/>
            </w:tcBorders>
            <w:shd w:val="clear" w:color="auto" w:fill="auto"/>
            <w:noWrap/>
            <w:vAlign w:val="bottom"/>
            <w:hideMark/>
          </w:tcPr>
          <w:p w14:paraId="6EE889FB"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menores emisiones de CO2 ($USD Millones)</w:t>
            </w:r>
          </w:p>
        </w:tc>
        <w:tc>
          <w:tcPr>
            <w:tcW w:w="253" w:type="pct"/>
            <w:tcBorders>
              <w:top w:val="nil"/>
              <w:left w:val="nil"/>
              <w:bottom w:val="nil"/>
              <w:right w:val="nil"/>
            </w:tcBorders>
            <w:shd w:val="clear" w:color="auto" w:fill="auto"/>
            <w:noWrap/>
            <w:vAlign w:val="bottom"/>
            <w:hideMark/>
          </w:tcPr>
          <w:p w14:paraId="6A02678E"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794B98B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42E6E0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4411DA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12" w:type="pct"/>
            <w:tcBorders>
              <w:top w:val="nil"/>
              <w:left w:val="nil"/>
              <w:bottom w:val="nil"/>
              <w:right w:val="nil"/>
            </w:tcBorders>
            <w:shd w:val="clear" w:color="auto" w:fill="auto"/>
            <w:noWrap/>
            <w:vAlign w:val="bottom"/>
            <w:hideMark/>
          </w:tcPr>
          <w:p w14:paraId="311C42B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0,04</w:t>
            </w:r>
          </w:p>
        </w:tc>
        <w:tc>
          <w:tcPr>
            <w:tcW w:w="212" w:type="pct"/>
            <w:tcBorders>
              <w:top w:val="nil"/>
              <w:left w:val="nil"/>
              <w:bottom w:val="nil"/>
              <w:right w:val="nil"/>
            </w:tcBorders>
            <w:shd w:val="clear" w:color="auto" w:fill="auto"/>
            <w:noWrap/>
            <w:vAlign w:val="bottom"/>
            <w:hideMark/>
          </w:tcPr>
          <w:p w14:paraId="24389AF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0,09</w:t>
            </w:r>
          </w:p>
        </w:tc>
        <w:tc>
          <w:tcPr>
            <w:tcW w:w="212" w:type="pct"/>
            <w:tcBorders>
              <w:top w:val="nil"/>
              <w:left w:val="nil"/>
              <w:bottom w:val="nil"/>
              <w:right w:val="nil"/>
            </w:tcBorders>
            <w:shd w:val="clear" w:color="auto" w:fill="auto"/>
            <w:noWrap/>
            <w:vAlign w:val="bottom"/>
            <w:hideMark/>
          </w:tcPr>
          <w:p w14:paraId="2A9E7EF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0,13</w:t>
            </w:r>
          </w:p>
        </w:tc>
        <w:tc>
          <w:tcPr>
            <w:tcW w:w="183" w:type="pct"/>
            <w:tcBorders>
              <w:top w:val="nil"/>
              <w:left w:val="nil"/>
              <w:bottom w:val="nil"/>
              <w:right w:val="nil"/>
            </w:tcBorders>
            <w:shd w:val="clear" w:color="auto" w:fill="auto"/>
            <w:noWrap/>
            <w:vAlign w:val="bottom"/>
            <w:hideMark/>
          </w:tcPr>
          <w:p w14:paraId="1D7A16F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0,17</w:t>
            </w:r>
          </w:p>
        </w:tc>
        <w:tc>
          <w:tcPr>
            <w:tcW w:w="212" w:type="pct"/>
            <w:tcBorders>
              <w:top w:val="nil"/>
              <w:left w:val="nil"/>
              <w:bottom w:val="nil"/>
              <w:right w:val="nil"/>
            </w:tcBorders>
            <w:shd w:val="clear" w:color="auto" w:fill="auto"/>
            <w:noWrap/>
            <w:vAlign w:val="bottom"/>
            <w:hideMark/>
          </w:tcPr>
          <w:p w14:paraId="6FCFA28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0,22</w:t>
            </w:r>
          </w:p>
        </w:tc>
        <w:tc>
          <w:tcPr>
            <w:tcW w:w="212" w:type="pct"/>
            <w:tcBorders>
              <w:top w:val="nil"/>
              <w:left w:val="nil"/>
              <w:bottom w:val="nil"/>
              <w:right w:val="nil"/>
            </w:tcBorders>
            <w:shd w:val="clear" w:color="auto" w:fill="auto"/>
            <w:noWrap/>
            <w:vAlign w:val="bottom"/>
            <w:hideMark/>
          </w:tcPr>
          <w:p w14:paraId="0B9BC42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0,26</w:t>
            </w:r>
          </w:p>
        </w:tc>
        <w:tc>
          <w:tcPr>
            <w:tcW w:w="212" w:type="pct"/>
            <w:tcBorders>
              <w:top w:val="nil"/>
              <w:left w:val="nil"/>
              <w:bottom w:val="nil"/>
              <w:right w:val="nil"/>
            </w:tcBorders>
            <w:shd w:val="clear" w:color="auto" w:fill="auto"/>
            <w:noWrap/>
            <w:vAlign w:val="bottom"/>
            <w:hideMark/>
          </w:tcPr>
          <w:p w14:paraId="71BFF5C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0,30</w:t>
            </w:r>
          </w:p>
        </w:tc>
        <w:tc>
          <w:tcPr>
            <w:tcW w:w="212" w:type="pct"/>
            <w:tcBorders>
              <w:top w:val="nil"/>
              <w:left w:val="nil"/>
              <w:bottom w:val="nil"/>
              <w:right w:val="nil"/>
            </w:tcBorders>
            <w:shd w:val="clear" w:color="auto" w:fill="auto"/>
            <w:noWrap/>
            <w:vAlign w:val="bottom"/>
            <w:hideMark/>
          </w:tcPr>
          <w:p w14:paraId="6C450B0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0,35</w:t>
            </w:r>
          </w:p>
        </w:tc>
        <w:tc>
          <w:tcPr>
            <w:tcW w:w="212" w:type="pct"/>
            <w:tcBorders>
              <w:top w:val="nil"/>
              <w:left w:val="nil"/>
              <w:bottom w:val="nil"/>
              <w:right w:val="nil"/>
            </w:tcBorders>
            <w:shd w:val="clear" w:color="auto" w:fill="auto"/>
            <w:noWrap/>
            <w:vAlign w:val="bottom"/>
            <w:hideMark/>
          </w:tcPr>
          <w:p w14:paraId="2FC480F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0,39</w:t>
            </w:r>
          </w:p>
        </w:tc>
        <w:tc>
          <w:tcPr>
            <w:tcW w:w="212" w:type="pct"/>
            <w:tcBorders>
              <w:top w:val="nil"/>
              <w:left w:val="nil"/>
              <w:bottom w:val="nil"/>
              <w:right w:val="nil"/>
            </w:tcBorders>
            <w:shd w:val="clear" w:color="auto" w:fill="auto"/>
            <w:noWrap/>
            <w:vAlign w:val="bottom"/>
            <w:hideMark/>
          </w:tcPr>
          <w:p w14:paraId="2094DFA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0,43</w:t>
            </w:r>
          </w:p>
        </w:tc>
        <w:tc>
          <w:tcPr>
            <w:tcW w:w="212" w:type="pct"/>
            <w:tcBorders>
              <w:top w:val="nil"/>
              <w:left w:val="nil"/>
              <w:bottom w:val="nil"/>
              <w:right w:val="nil"/>
            </w:tcBorders>
            <w:shd w:val="clear" w:color="auto" w:fill="auto"/>
            <w:noWrap/>
            <w:vAlign w:val="bottom"/>
            <w:hideMark/>
          </w:tcPr>
          <w:p w14:paraId="0A549B3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0,43</w:t>
            </w:r>
          </w:p>
        </w:tc>
        <w:tc>
          <w:tcPr>
            <w:tcW w:w="212" w:type="pct"/>
            <w:tcBorders>
              <w:top w:val="nil"/>
              <w:left w:val="nil"/>
              <w:bottom w:val="nil"/>
              <w:right w:val="nil"/>
            </w:tcBorders>
            <w:shd w:val="clear" w:color="auto" w:fill="auto"/>
            <w:noWrap/>
            <w:vAlign w:val="bottom"/>
            <w:hideMark/>
          </w:tcPr>
          <w:p w14:paraId="6AD2E0B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0,43</w:t>
            </w:r>
          </w:p>
        </w:tc>
        <w:tc>
          <w:tcPr>
            <w:tcW w:w="212" w:type="pct"/>
            <w:tcBorders>
              <w:top w:val="nil"/>
              <w:left w:val="nil"/>
              <w:bottom w:val="nil"/>
              <w:right w:val="nil"/>
            </w:tcBorders>
            <w:shd w:val="clear" w:color="auto" w:fill="auto"/>
            <w:noWrap/>
            <w:vAlign w:val="bottom"/>
            <w:hideMark/>
          </w:tcPr>
          <w:p w14:paraId="3702FF7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0,43</w:t>
            </w:r>
          </w:p>
        </w:tc>
        <w:tc>
          <w:tcPr>
            <w:tcW w:w="208" w:type="pct"/>
            <w:tcBorders>
              <w:top w:val="nil"/>
              <w:left w:val="nil"/>
              <w:bottom w:val="nil"/>
              <w:right w:val="nil"/>
            </w:tcBorders>
            <w:shd w:val="clear" w:color="auto" w:fill="auto"/>
            <w:noWrap/>
            <w:vAlign w:val="bottom"/>
            <w:hideMark/>
          </w:tcPr>
          <w:p w14:paraId="090EE97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0,43</w:t>
            </w:r>
          </w:p>
        </w:tc>
      </w:tr>
      <w:tr w:rsidR="00B54F4E" w:rsidRPr="00D050B8" w14:paraId="437FEEAC" w14:textId="77777777" w:rsidTr="006504C4">
        <w:trPr>
          <w:trHeight w:val="254"/>
        </w:trPr>
        <w:tc>
          <w:tcPr>
            <w:tcW w:w="1184" w:type="pct"/>
            <w:tcBorders>
              <w:top w:val="nil"/>
              <w:left w:val="nil"/>
              <w:bottom w:val="single" w:sz="4" w:space="0" w:color="auto"/>
              <w:right w:val="nil"/>
            </w:tcBorders>
            <w:shd w:val="clear" w:color="auto" w:fill="auto"/>
            <w:noWrap/>
            <w:vAlign w:val="bottom"/>
            <w:hideMark/>
          </w:tcPr>
          <w:p w14:paraId="7FE7D7A3"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planta de generación evitada ($USD Millones)</w:t>
            </w:r>
          </w:p>
        </w:tc>
        <w:tc>
          <w:tcPr>
            <w:tcW w:w="253" w:type="pct"/>
            <w:tcBorders>
              <w:top w:val="nil"/>
              <w:left w:val="nil"/>
              <w:bottom w:val="single" w:sz="4" w:space="0" w:color="auto"/>
              <w:right w:val="nil"/>
            </w:tcBorders>
            <w:shd w:val="clear" w:color="auto" w:fill="auto"/>
            <w:noWrap/>
            <w:vAlign w:val="bottom"/>
            <w:hideMark/>
          </w:tcPr>
          <w:p w14:paraId="7C488AE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06051E4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0D674E5B"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nil"/>
              <w:left w:val="nil"/>
              <w:bottom w:val="single" w:sz="4" w:space="0" w:color="auto"/>
              <w:right w:val="nil"/>
            </w:tcBorders>
            <w:shd w:val="clear" w:color="auto" w:fill="auto"/>
            <w:noWrap/>
            <w:vAlign w:val="bottom"/>
            <w:hideMark/>
          </w:tcPr>
          <w:p w14:paraId="4F35B44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5A50E81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6CE5C42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45A3E72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183" w:type="pct"/>
            <w:tcBorders>
              <w:top w:val="nil"/>
              <w:left w:val="nil"/>
              <w:bottom w:val="single" w:sz="4" w:space="0" w:color="auto"/>
              <w:right w:val="nil"/>
            </w:tcBorders>
            <w:shd w:val="clear" w:color="auto" w:fill="auto"/>
            <w:noWrap/>
            <w:vAlign w:val="bottom"/>
            <w:hideMark/>
          </w:tcPr>
          <w:p w14:paraId="3BE7F0A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144</w:t>
            </w:r>
          </w:p>
        </w:tc>
        <w:tc>
          <w:tcPr>
            <w:tcW w:w="212" w:type="pct"/>
            <w:tcBorders>
              <w:top w:val="nil"/>
              <w:left w:val="nil"/>
              <w:bottom w:val="single" w:sz="4" w:space="0" w:color="auto"/>
              <w:right w:val="nil"/>
            </w:tcBorders>
            <w:shd w:val="clear" w:color="auto" w:fill="auto"/>
            <w:noWrap/>
            <w:vAlign w:val="bottom"/>
            <w:hideMark/>
          </w:tcPr>
          <w:p w14:paraId="4C07171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470CEB6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55B07EE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6F022B2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413D737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6D82A9F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48BF427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6C66CCF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nil"/>
              <w:left w:val="nil"/>
              <w:bottom w:val="single" w:sz="4" w:space="0" w:color="auto"/>
              <w:right w:val="nil"/>
            </w:tcBorders>
            <w:shd w:val="clear" w:color="auto" w:fill="auto"/>
            <w:noWrap/>
            <w:vAlign w:val="bottom"/>
            <w:hideMark/>
          </w:tcPr>
          <w:p w14:paraId="3ED2F15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3D821C2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r>
      <w:tr w:rsidR="00B54F4E" w:rsidRPr="00D050B8" w14:paraId="139DC213" w14:textId="77777777" w:rsidTr="006504C4">
        <w:trPr>
          <w:trHeight w:val="254"/>
        </w:trPr>
        <w:tc>
          <w:tcPr>
            <w:tcW w:w="1184" w:type="pct"/>
            <w:tcBorders>
              <w:top w:val="nil"/>
              <w:left w:val="nil"/>
              <w:bottom w:val="single" w:sz="4" w:space="0" w:color="auto"/>
              <w:right w:val="nil"/>
            </w:tcBorders>
            <w:shd w:val="clear" w:color="auto" w:fill="auto"/>
            <w:noWrap/>
            <w:vAlign w:val="bottom"/>
            <w:hideMark/>
          </w:tcPr>
          <w:p w14:paraId="1DF40DC9"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Total Beneficios ($USD Millones)</w:t>
            </w:r>
          </w:p>
        </w:tc>
        <w:tc>
          <w:tcPr>
            <w:tcW w:w="253" w:type="pct"/>
            <w:tcBorders>
              <w:top w:val="nil"/>
              <w:left w:val="nil"/>
              <w:bottom w:val="single" w:sz="4" w:space="0" w:color="auto"/>
              <w:right w:val="nil"/>
            </w:tcBorders>
            <w:shd w:val="clear" w:color="auto" w:fill="auto"/>
            <w:noWrap/>
            <w:vAlign w:val="bottom"/>
            <w:hideMark/>
          </w:tcPr>
          <w:p w14:paraId="36C18E91"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3A873382"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6FCFCC1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nil"/>
              <w:left w:val="nil"/>
              <w:bottom w:val="single" w:sz="4" w:space="0" w:color="auto"/>
              <w:right w:val="nil"/>
            </w:tcBorders>
            <w:shd w:val="clear" w:color="auto" w:fill="auto"/>
            <w:noWrap/>
            <w:vAlign w:val="bottom"/>
            <w:hideMark/>
          </w:tcPr>
          <w:p w14:paraId="11D6056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12" w:type="pct"/>
            <w:tcBorders>
              <w:top w:val="nil"/>
              <w:left w:val="nil"/>
              <w:bottom w:val="single" w:sz="4" w:space="0" w:color="auto"/>
              <w:right w:val="nil"/>
            </w:tcBorders>
            <w:shd w:val="clear" w:color="auto" w:fill="auto"/>
            <w:noWrap/>
            <w:vAlign w:val="bottom"/>
            <w:hideMark/>
          </w:tcPr>
          <w:p w14:paraId="5A99C89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w:t>
            </w:r>
          </w:p>
        </w:tc>
        <w:tc>
          <w:tcPr>
            <w:tcW w:w="212" w:type="pct"/>
            <w:tcBorders>
              <w:top w:val="nil"/>
              <w:left w:val="nil"/>
              <w:bottom w:val="single" w:sz="4" w:space="0" w:color="auto"/>
              <w:right w:val="nil"/>
            </w:tcBorders>
            <w:shd w:val="clear" w:color="auto" w:fill="auto"/>
            <w:noWrap/>
            <w:vAlign w:val="bottom"/>
            <w:hideMark/>
          </w:tcPr>
          <w:p w14:paraId="58B0F49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13,97</w:t>
            </w:r>
          </w:p>
        </w:tc>
        <w:tc>
          <w:tcPr>
            <w:tcW w:w="212" w:type="pct"/>
            <w:tcBorders>
              <w:top w:val="nil"/>
              <w:left w:val="nil"/>
              <w:bottom w:val="single" w:sz="4" w:space="0" w:color="auto"/>
              <w:right w:val="nil"/>
            </w:tcBorders>
            <w:shd w:val="clear" w:color="auto" w:fill="auto"/>
            <w:noWrap/>
            <w:vAlign w:val="bottom"/>
            <w:hideMark/>
          </w:tcPr>
          <w:p w14:paraId="17A507E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20,95</w:t>
            </w:r>
          </w:p>
        </w:tc>
        <w:tc>
          <w:tcPr>
            <w:tcW w:w="183" w:type="pct"/>
            <w:tcBorders>
              <w:top w:val="nil"/>
              <w:left w:val="nil"/>
              <w:bottom w:val="single" w:sz="4" w:space="0" w:color="auto"/>
              <w:right w:val="nil"/>
            </w:tcBorders>
            <w:shd w:val="clear" w:color="auto" w:fill="auto"/>
            <w:noWrap/>
            <w:vAlign w:val="bottom"/>
            <w:hideMark/>
          </w:tcPr>
          <w:p w14:paraId="312BD1E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172,17</w:t>
            </w:r>
          </w:p>
        </w:tc>
        <w:tc>
          <w:tcPr>
            <w:tcW w:w="212" w:type="pct"/>
            <w:tcBorders>
              <w:top w:val="nil"/>
              <w:left w:val="nil"/>
              <w:bottom w:val="single" w:sz="4" w:space="0" w:color="auto"/>
              <w:right w:val="nil"/>
            </w:tcBorders>
            <w:shd w:val="clear" w:color="auto" w:fill="auto"/>
            <w:noWrap/>
            <w:vAlign w:val="bottom"/>
            <w:hideMark/>
          </w:tcPr>
          <w:p w14:paraId="791F4C5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34,91</w:t>
            </w:r>
          </w:p>
        </w:tc>
        <w:tc>
          <w:tcPr>
            <w:tcW w:w="212" w:type="pct"/>
            <w:tcBorders>
              <w:top w:val="nil"/>
              <w:left w:val="nil"/>
              <w:bottom w:val="single" w:sz="4" w:space="0" w:color="auto"/>
              <w:right w:val="nil"/>
            </w:tcBorders>
            <w:shd w:val="clear" w:color="auto" w:fill="auto"/>
            <w:noWrap/>
            <w:vAlign w:val="bottom"/>
            <w:hideMark/>
          </w:tcPr>
          <w:p w14:paraId="40C1DC1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41,90</w:t>
            </w:r>
          </w:p>
        </w:tc>
        <w:tc>
          <w:tcPr>
            <w:tcW w:w="212" w:type="pct"/>
            <w:tcBorders>
              <w:top w:val="nil"/>
              <w:left w:val="nil"/>
              <w:bottom w:val="single" w:sz="4" w:space="0" w:color="auto"/>
              <w:right w:val="nil"/>
            </w:tcBorders>
            <w:shd w:val="clear" w:color="auto" w:fill="auto"/>
            <w:noWrap/>
            <w:vAlign w:val="bottom"/>
            <w:hideMark/>
          </w:tcPr>
          <w:p w14:paraId="6825105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48,88</w:t>
            </w:r>
          </w:p>
        </w:tc>
        <w:tc>
          <w:tcPr>
            <w:tcW w:w="212" w:type="pct"/>
            <w:tcBorders>
              <w:top w:val="nil"/>
              <w:left w:val="nil"/>
              <w:bottom w:val="single" w:sz="4" w:space="0" w:color="auto"/>
              <w:right w:val="nil"/>
            </w:tcBorders>
            <w:shd w:val="clear" w:color="auto" w:fill="auto"/>
            <w:noWrap/>
            <w:vAlign w:val="bottom"/>
            <w:hideMark/>
          </w:tcPr>
          <w:p w14:paraId="70F06CA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55,86</w:t>
            </w:r>
          </w:p>
        </w:tc>
        <w:tc>
          <w:tcPr>
            <w:tcW w:w="212" w:type="pct"/>
            <w:tcBorders>
              <w:top w:val="nil"/>
              <w:left w:val="nil"/>
              <w:bottom w:val="single" w:sz="4" w:space="0" w:color="auto"/>
              <w:right w:val="nil"/>
            </w:tcBorders>
            <w:shd w:val="clear" w:color="auto" w:fill="auto"/>
            <w:noWrap/>
            <w:vAlign w:val="bottom"/>
            <w:hideMark/>
          </w:tcPr>
          <w:p w14:paraId="5284884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62,84</w:t>
            </w:r>
          </w:p>
        </w:tc>
        <w:tc>
          <w:tcPr>
            <w:tcW w:w="212" w:type="pct"/>
            <w:tcBorders>
              <w:top w:val="nil"/>
              <w:left w:val="nil"/>
              <w:bottom w:val="single" w:sz="4" w:space="0" w:color="auto"/>
              <w:right w:val="nil"/>
            </w:tcBorders>
            <w:shd w:val="clear" w:color="auto" w:fill="auto"/>
            <w:noWrap/>
            <w:vAlign w:val="bottom"/>
            <w:hideMark/>
          </w:tcPr>
          <w:p w14:paraId="416DB8C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69,83</w:t>
            </w:r>
          </w:p>
        </w:tc>
        <w:tc>
          <w:tcPr>
            <w:tcW w:w="212" w:type="pct"/>
            <w:tcBorders>
              <w:top w:val="nil"/>
              <w:left w:val="nil"/>
              <w:bottom w:val="single" w:sz="4" w:space="0" w:color="auto"/>
              <w:right w:val="nil"/>
            </w:tcBorders>
            <w:shd w:val="clear" w:color="auto" w:fill="auto"/>
            <w:noWrap/>
            <w:vAlign w:val="bottom"/>
            <w:hideMark/>
          </w:tcPr>
          <w:p w14:paraId="29569D1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69,83</w:t>
            </w:r>
          </w:p>
        </w:tc>
        <w:tc>
          <w:tcPr>
            <w:tcW w:w="212" w:type="pct"/>
            <w:tcBorders>
              <w:top w:val="nil"/>
              <w:left w:val="nil"/>
              <w:bottom w:val="single" w:sz="4" w:space="0" w:color="auto"/>
              <w:right w:val="nil"/>
            </w:tcBorders>
            <w:shd w:val="clear" w:color="auto" w:fill="auto"/>
            <w:noWrap/>
            <w:vAlign w:val="bottom"/>
            <w:hideMark/>
          </w:tcPr>
          <w:p w14:paraId="7AD512F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69,83</w:t>
            </w:r>
          </w:p>
        </w:tc>
        <w:tc>
          <w:tcPr>
            <w:tcW w:w="212" w:type="pct"/>
            <w:tcBorders>
              <w:top w:val="nil"/>
              <w:left w:val="nil"/>
              <w:bottom w:val="single" w:sz="4" w:space="0" w:color="auto"/>
              <w:right w:val="nil"/>
            </w:tcBorders>
            <w:shd w:val="clear" w:color="auto" w:fill="auto"/>
            <w:noWrap/>
            <w:vAlign w:val="bottom"/>
            <w:hideMark/>
          </w:tcPr>
          <w:p w14:paraId="5B45232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69,83</w:t>
            </w:r>
          </w:p>
        </w:tc>
        <w:tc>
          <w:tcPr>
            <w:tcW w:w="208" w:type="pct"/>
            <w:tcBorders>
              <w:top w:val="nil"/>
              <w:left w:val="nil"/>
              <w:bottom w:val="single" w:sz="4" w:space="0" w:color="auto"/>
              <w:right w:val="nil"/>
            </w:tcBorders>
            <w:shd w:val="clear" w:color="auto" w:fill="auto"/>
            <w:noWrap/>
            <w:vAlign w:val="bottom"/>
            <w:hideMark/>
          </w:tcPr>
          <w:p w14:paraId="0662B3F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69,83</w:t>
            </w:r>
          </w:p>
        </w:tc>
      </w:tr>
      <w:tr w:rsidR="00B54F4E" w:rsidRPr="00D050B8" w14:paraId="630DF8D0" w14:textId="77777777" w:rsidTr="006504C4">
        <w:trPr>
          <w:trHeight w:val="254"/>
        </w:trPr>
        <w:tc>
          <w:tcPr>
            <w:tcW w:w="1184" w:type="pct"/>
            <w:tcBorders>
              <w:top w:val="nil"/>
              <w:left w:val="nil"/>
              <w:bottom w:val="nil"/>
              <w:right w:val="nil"/>
            </w:tcBorders>
            <w:shd w:val="clear" w:color="auto" w:fill="auto"/>
            <w:noWrap/>
            <w:vAlign w:val="bottom"/>
            <w:hideMark/>
          </w:tcPr>
          <w:p w14:paraId="262B1C1C"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Inversión y Costos</w:t>
            </w:r>
          </w:p>
        </w:tc>
        <w:tc>
          <w:tcPr>
            <w:tcW w:w="253" w:type="pct"/>
            <w:tcBorders>
              <w:top w:val="nil"/>
              <w:left w:val="nil"/>
              <w:bottom w:val="nil"/>
              <w:right w:val="nil"/>
            </w:tcBorders>
            <w:shd w:val="clear" w:color="auto" w:fill="auto"/>
            <w:noWrap/>
            <w:vAlign w:val="bottom"/>
            <w:hideMark/>
          </w:tcPr>
          <w:p w14:paraId="5EE22367" w14:textId="77777777" w:rsidR="00B54F4E" w:rsidRPr="00D050B8" w:rsidRDefault="00B54F4E" w:rsidP="006504C4">
            <w:pPr>
              <w:spacing w:before="0" w:after="0"/>
              <w:jc w:val="left"/>
              <w:rPr>
                <w:rFonts w:ascii="Calibri" w:hAnsi="Calibri" w:cs="Calibri"/>
                <w:b/>
                <w:bCs/>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2475205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C65FE4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FD983E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6A5E3A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51C248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3B18611"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4C70F0C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3D2ABE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419CF6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D36806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EE7DA8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FB796A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11C740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B9C93E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0E1D5F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2DA1330"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31EE397"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8FFD150" w14:textId="77777777" w:rsidTr="006504C4">
        <w:trPr>
          <w:trHeight w:val="254"/>
        </w:trPr>
        <w:tc>
          <w:tcPr>
            <w:tcW w:w="1184" w:type="pct"/>
            <w:tcBorders>
              <w:top w:val="nil"/>
              <w:left w:val="nil"/>
              <w:bottom w:val="nil"/>
              <w:right w:val="nil"/>
            </w:tcBorders>
            <w:shd w:val="clear" w:color="auto" w:fill="auto"/>
            <w:noWrap/>
            <w:vAlign w:val="bottom"/>
            <w:hideMark/>
          </w:tcPr>
          <w:p w14:paraId="2A0F1F0D"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Inversión en neveras eficientes ($USD Millones)</w:t>
            </w:r>
          </w:p>
        </w:tc>
        <w:tc>
          <w:tcPr>
            <w:tcW w:w="253" w:type="pct"/>
            <w:tcBorders>
              <w:top w:val="nil"/>
              <w:left w:val="nil"/>
              <w:bottom w:val="nil"/>
              <w:right w:val="nil"/>
            </w:tcBorders>
            <w:shd w:val="clear" w:color="auto" w:fill="auto"/>
            <w:noWrap/>
            <w:vAlign w:val="bottom"/>
            <w:hideMark/>
          </w:tcPr>
          <w:p w14:paraId="2127073F"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714DC75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FE52B1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5B2430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12" w:type="pct"/>
            <w:tcBorders>
              <w:top w:val="nil"/>
              <w:left w:val="nil"/>
              <w:bottom w:val="nil"/>
              <w:right w:val="nil"/>
            </w:tcBorders>
            <w:shd w:val="clear" w:color="auto" w:fill="auto"/>
            <w:noWrap/>
            <w:vAlign w:val="bottom"/>
            <w:hideMark/>
          </w:tcPr>
          <w:p w14:paraId="42C3510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5A08EE7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23B1DC9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183" w:type="pct"/>
            <w:tcBorders>
              <w:top w:val="nil"/>
              <w:left w:val="nil"/>
              <w:bottom w:val="nil"/>
              <w:right w:val="nil"/>
            </w:tcBorders>
            <w:shd w:val="clear" w:color="auto" w:fill="auto"/>
            <w:noWrap/>
            <w:vAlign w:val="bottom"/>
            <w:hideMark/>
          </w:tcPr>
          <w:p w14:paraId="7967987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1651F03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607A45A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4DCFDEC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3AA3605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28B321A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7B1FB54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nil"/>
              <w:left w:val="nil"/>
              <w:bottom w:val="nil"/>
              <w:right w:val="nil"/>
            </w:tcBorders>
            <w:shd w:val="clear" w:color="auto" w:fill="auto"/>
            <w:noWrap/>
            <w:vAlign w:val="bottom"/>
            <w:hideMark/>
          </w:tcPr>
          <w:p w14:paraId="0A7B217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12" w:type="pct"/>
            <w:tcBorders>
              <w:top w:val="nil"/>
              <w:left w:val="nil"/>
              <w:bottom w:val="nil"/>
              <w:right w:val="nil"/>
            </w:tcBorders>
            <w:shd w:val="clear" w:color="auto" w:fill="auto"/>
            <w:noWrap/>
            <w:vAlign w:val="bottom"/>
            <w:hideMark/>
          </w:tcPr>
          <w:p w14:paraId="30BEB73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12" w:type="pct"/>
            <w:tcBorders>
              <w:top w:val="nil"/>
              <w:left w:val="nil"/>
              <w:bottom w:val="nil"/>
              <w:right w:val="nil"/>
            </w:tcBorders>
            <w:shd w:val="clear" w:color="auto" w:fill="auto"/>
            <w:noWrap/>
            <w:vAlign w:val="bottom"/>
            <w:hideMark/>
          </w:tcPr>
          <w:p w14:paraId="1F8726D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8" w:type="pct"/>
            <w:tcBorders>
              <w:top w:val="nil"/>
              <w:left w:val="nil"/>
              <w:bottom w:val="nil"/>
              <w:right w:val="nil"/>
            </w:tcBorders>
            <w:shd w:val="clear" w:color="auto" w:fill="auto"/>
            <w:noWrap/>
            <w:vAlign w:val="bottom"/>
            <w:hideMark/>
          </w:tcPr>
          <w:p w14:paraId="1EEA2E5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r>
      <w:tr w:rsidR="00B54F4E" w:rsidRPr="00D050B8" w14:paraId="2364BC3A" w14:textId="77777777" w:rsidTr="006504C4">
        <w:trPr>
          <w:trHeight w:val="254"/>
        </w:trPr>
        <w:tc>
          <w:tcPr>
            <w:tcW w:w="1184" w:type="pct"/>
            <w:tcBorders>
              <w:top w:val="single" w:sz="4" w:space="0" w:color="auto"/>
              <w:left w:val="nil"/>
              <w:bottom w:val="single" w:sz="4" w:space="0" w:color="auto"/>
              <w:right w:val="nil"/>
            </w:tcBorders>
            <w:shd w:val="clear" w:color="auto" w:fill="auto"/>
            <w:noWrap/>
            <w:vAlign w:val="bottom"/>
            <w:hideMark/>
          </w:tcPr>
          <w:p w14:paraId="290DB584"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Total Inversión y Costos ($USD Millones)</w:t>
            </w:r>
          </w:p>
        </w:tc>
        <w:tc>
          <w:tcPr>
            <w:tcW w:w="253" w:type="pct"/>
            <w:tcBorders>
              <w:top w:val="single" w:sz="4" w:space="0" w:color="auto"/>
              <w:left w:val="nil"/>
              <w:bottom w:val="single" w:sz="4" w:space="0" w:color="auto"/>
              <w:right w:val="nil"/>
            </w:tcBorders>
            <w:shd w:val="clear" w:color="auto" w:fill="auto"/>
            <w:noWrap/>
            <w:vAlign w:val="bottom"/>
            <w:hideMark/>
          </w:tcPr>
          <w:p w14:paraId="0DF95F6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single" w:sz="4" w:space="0" w:color="auto"/>
              <w:left w:val="nil"/>
              <w:bottom w:val="single" w:sz="4" w:space="0" w:color="auto"/>
              <w:right w:val="nil"/>
            </w:tcBorders>
            <w:shd w:val="clear" w:color="auto" w:fill="auto"/>
            <w:noWrap/>
            <w:vAlign w:val="bottom"/>
            <w:hideMark/>
          </w:tcPr>
          <w:p w14:paraId="32CE7D3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single" w:sz="4" w:space="0" w:color="auto"/>
              <w:left w:val="nil"/>
              <w:bottom w:val="single" w:sz="4" w:space="0" w:color="auto"/>
              <w:right w:val="nil"/>
            </w:tcBorders>
            <w:shd w:val="clear" w:color="auto" w:fill="auto"/>
            <w:noWrap/>
            <w:vAlign w:val="bottom"/>
            <w:hideMark/>
          </w:tcPr>
          <w:p w14:paraId="36A7602E"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single" w:sz="4" w:space="0" w:color="auto"/>
              <w:left w:val="nil"/>
              <w:bottom w:val="single" w:sz="4" w:space="0" w:color="auto"/>
              <w:right w:val="nil"/>
            </w:tcBorders>
            <w:shd w:val="clear" w:color="auto" w:fill="auto"/>
            <w:noWrap/>
            <w:vAlign w:val="bottom"/>
            <w:hideMark/>
          </w:tcPr>
          <w:p w14:paraId="4E21A87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12" w:type="pct"/>
            <w:tcBorders>
              <w:top w:val="single" w:sz="4" w:space="0" w:color="auto"/>
              <w:left w:val="nil"/>
              <w:bottom w:val="single" w:sz="4" w:space="0" w:color="auto"/>
              <w:right w:val="nil"/>
            </w:tcBorders>
            <w:shd w:val="clear" w:color="auto" w:fill="auto"/>
            <w:noWrap/>
            <w:vAlign w:val="bottom"/>
            <w:hideMark/>
          </w:tcPr>
          <w:p w14:paraId="7C47C7D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68C9BC2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1E43D73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183" w:type="pct"/>
            <w:tcBorders>
              <w:top w:val="single" w:sz="4" w:space="0" w:color="auto"/>
              <w:left w:val="nil"/>
              <w:bottom w:val="single" w:sz="4" w:space="0" w:color="auto"/>
              <w:right w:val="nil"/>
            </w:tcBorders>
            <w:shd w:val="clear" w:color="auto" w:fill="auto"/>
            <w:noWrap/>
            <w:vAlign w:val="bottom"/>
            <w:hideMark/>
          </w:tcPr>
          <w:p w14:paraId="2BA3676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36C2331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532E789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38D5B33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7948335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61E5A66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422EBB7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36,5</w:t>
            </w:r>
          </w:p>
        </w:tc>
        <w:tc>
          <w:tcPr>
            <w:tcW w:w="212" w:type="pct"/>
            <w:tcBorders>
              <w:top w:val="single" w:sz="4" w:space="0" w:color="auto"/>
              <w:left w:val="nil"/>
              <w:bottom w:val="single" w:sz="4" w:space="0" w:color="auto"/>
              <w:right w:val="nil"/>
            </w:tcBorders>
            <w:shd w:val="clear" w:color="auto" w:fill="auto"/>
            <w:noWrap/>
            <w:vAlign w:val="bottom"/>
            <w:hideMark/>
          </w:tcPr>
          <w:p w14:paraId="15DB184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12" w:type="pct"/>
            <w:tcBorders>
              <w:top w:val="single" w:sz="4" w:space="0" w:color="auto"/>
              <w:left w:val="nil"/>
              <w:bottom w:val="single" w:sz="4" w:space="0" w:color="auto"/>
              <w:right w:val="nil"/>
            </w:tcBorders>
            <w:shd w:val="clear" w:color="auto" w:fill="auto"/>
            <w:noWrap/>
            <w:vAlign w:val="bottom"/>
            <w:hideMark/>
          </w:tcPr>
          <w:p w14:paraId="113F374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12" w:type="pct"/>
            <w:tcBorders>
              <w:top w:val="single" w:sz="4" w:space="0" w:color="auto"/>
              <w:left w:val="nil"/>
              <w:bottom w:val="single" w:sz="4" w:space="0" w:color="auto"/>
              <w:right w:val="nil"/>
            </w:tcBorders>
            <w:shd w:val="clear" w:color="auto" w:fill="auto"/>
            <w:noWrap/>
            <w:vAlign w:val="bottom"/>
            <w:hideMark/>
          </w:tcPr>
          <w:p w14:paraId="413896A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8" w:type="pct"/>
            <w:tcBorders>
              <w:top w:val="single" w:sz="4" w:space="0" w:color="auto"/>
              <w:left w:val="nil"/>
              <w:bottom w:val="single" w:sz="4" w:space="0" w:color="auto"/>
              <w:right w:val="nil"/>
            </w:tcBorders>
            <w:shd w:val="clear" w:color="auto" w:fill="auto"/>
            <w:noWrap/>
            <w:vAlign w:val="bottom"/>
            <w:hideMark/>
          </w:tcPr>
          <w:p w14:paraId="32F95CA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r>
      <w:tr w:rsidR="00B54F4E" w:rsidRPr="00D050B8" w14:paraId="40E0EBFF" w14:textId="77777777" w:rsidTr="006504C4">
        <w:trPr>
          <w:trHeight w:val="254"/>
        </w:trPr>
        <w:tc>
          <w:tcPr>
            <w:tcW w:w="1184" w:type="pct"/>
            <w:tcBorders>
              <w:top w:val="nil"/>
              <w:left w:val="nil"/>
              <w:bottom w:val="single" w:sz="4" w:space="0" w:color="auto"/>
              <w:right w:val="nil"/>
            </w:tcBorders>
            <w:shd w:val="clear" w:color="auto" w:fill="auto"/>
            <w:noWrap/>
            <w:vAlign w:val="bottom"/>
            <w:hideMark/>
          </w:tcPr>
          <w:p w14:paraId="6A95C812"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Flujo Neto</w:t>
            </w:r>
          </w:p>
        </w:tc>
        <w:tc>
          <w:tcPr>
            <w:tcW w:w="253" w:type="pct"/>
            <w:tcBorders>
              <w:top w:val="nil"/>
              <w:left w:val="nil"/>
              <w:bottom w:val="single" w:sz="4" w:space="0" w:color="auto"/>
              <w:right w:val="nil"/>
            </w:tcBorders>
            <w:shd w:val="clear" w:color="auto" w:fill="auto"/>
            <w:noWrap/>
            <w:vAlign w:val="bottom"/>
            <w:hideMark/>
          </w:tcPr>
          <w:p w14:paraId="0F2953E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3F85687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7C056E0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nil"/>
              <w:left w:val="nil"/>
              <w:bottom w:val="single" w:sz="4" w:space="0" w:color="auto"/>
              <w:right w:val="nil"/>
            </w:tcBorders>
            <w:shd w:val="clear" w:color="auto" w:fill="auto"/>
            <w:noWrap/>
            <w:vAlign w:val="bottom"/>
            <w:hideMark/>
          </w:tcPr>
          <w:p w14:paraId="7759EED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12" w:type="pct"/>
            <w:tcBorders>
              <w:top w:val="nil"/>
              <w:left w:val="nil"/>
              <w:bottom w:val="single" w:sz="4" w:space="0" w:color="auto"/>
              <w:right w:val="nil"/>
            </w:tcBorders>
            <w:shd w:val="clear" w:color="auto" w:fill="auto"/>
            <w:noWrap/>
            <w:vAlign w:val="bottom"/>
            <w:hideMark/>
          </w:tcPr>
          <w:p w14:paraId="502D475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-29,5</w:t>
            </w:r>
          </w:p>
        </w:tc>
        <w:tc>
          <w:tcPr>
            <w:tcW w:w="212" w:type="pct"/>
            <w:tcBorders>
              <w:top w:val="nil"/>
              <w:left w:val="nil"/>
              <w:bottom w:val="single" w:sz="4" w:space="0" w:color="auto"/>
              <w:right w:val="nil"/>
            </w:tcBorders>
            <w:shd w:val="clear" w:color="auto" w:fill="auto"/>
            <w:noWrap/>
            <w:vAlign w:val="bottom"/>
            <w:hideMark/>
          </w:tcPr>
          <w:p w14:paraId="7415965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-22,5</w:t>
            </w:r>
          </w:p>
        </w:tc>
        <w:tc>
          <w:tcPr>
            <w:tcW w:w="212" w:type="pct"/>
            <w:tcBorders>
              <w:top w:val="nil"/>
              <w:left w:val="nil"/>
              <w:bottom w:val="single" w:sz="4" w:space="0" w:color="auto"/>
              <w:right w:val="nil"/>
            </w:tcBorders>
            <w:shd w:val="clear" w:color="auto" w:fill="auto"/>
            <w:noWrap/>
            <w:vAlign w:val="bottom"/>
            <w:hideMark/>
          </w:tcPr>
          <w:p w14:paraId="7B36408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-15,5</w:t>
            </w:r>
          </w:p>
        </w:tc>
        <w:tc>
          <w:tcPr>
            <w:tcW w:w="183" w:type="pct"/>
            <w:tcBorders>
              <w:top w:val="nil"/>
              <w:left w:val="nil"/>
              <w:bottom w:val="single" w:sz="4" w:space="0" w:color="auto"/>
              <w:right w:val="nil"/>
            </w:tcBorders>
            <w:shd w:val="clear" w:color="auto" w:fill="auto"/>
            <w:noWrap/>
            <w:vAlign w:val="bottom"/>
            <w:hideMark/>
          </w:tcPr>
          <w:p w14:paraId="6B55831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135,7</w:t>
            </w:r>
          </w:p>
        </w:tc>
        <w:tc>
          <w:tcPr>
            <w:tcW w:w="212" w:type="pct"/>
            <w:tcBorders>
              <w:top w:val="nil"/>
              <w:left w:val="nil"/>
              <w:bottom w:val="single" w:sz="4" w:space="0" w:color="auto"/>
              <w:right w:val="nil"/>
            </w:tcBorders>
            <w:shd w:val="clear" w:color="auto" w:fill="auto"/>
            <w:noWrap/>
            <w:vAlign w:val="bottom"/>
            <w:hideMark/>
          </w:tcPr>
          <w:p w14:paraId="4A929DF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w:t>
            </w:r>
          </w:p>
        </w:tc>
        <w:tc>
          <w:tcPr>
            <w:tcW w:w="212" w:type="pct"/>
            <w:tcBorders>
              <w:top w:val="nil"/>
              <w:left w:val="nil"/>
              <w:bottom w:val="single" w:sz="4" w:space="0" w:color="auto"/>
              <w:right w:val="nil"/>
            </w:tcBorders>
            <w:shd w:val="clear" w:color="auto" w:fill="auto"/>
            <w:noWrap/>
            <w:vAlign w:val="bottom"/>
            <w:hideMark/>
          </w:tcPr>
          <w:p w14:paraId="75C2BE6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5,4</w:t>
            </w:r>
          </w:p>
        </w:tc>
        <w:tc>
          <w:tcPr>
            <w:tcW w:w="212" w:type="pct"/>
            <w:tcBorders>
              <w:top w:val="nil"/>
              <w:left w:val="nil"/>
              <w:bottom w:val="single" w:sz="4" w:space="0" w:color="auto"/>
              <w:right w:val="nil"/>
            </w:tcBorders>
            <w:shd w:val="clear" w:color="auto" w:fill="auto"/>
            <w:noWrap/>
            <w:vAlign w:val="bottom"/>
            <w:hideMark/>
          </w:tcPr>
          <w:p w14:paraId="4B0F860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12,4</w:t>
            </w:r>
          </w:p>
        </w:tc>
        <w:tc>
          <w:tcPr>
            <w:tcW w:w="212" w:type="pct"/>
            <w:tcBorders>
              <w:top w:val="nil"/>
              <w:left w:val="nil"/>
              <w:bottom w:val="single" w:sz="4" w:space="0" w:color="auto"/>
              <w:right w:val="nil"/>
            </w:tcBorders>
            <w:shd w:val="clear" w:color="auto" w:fill="auto"/>
            <w:noWrap/>
            <w:vAlign w:val="bottom"/>
            <w:hideMark/>
          </w:tcPr>
          <w:p w14:paraId="2D95AA4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19,4</w:t>
            </w:r>
          </w:p>
        </w:tc>
        <w:tc>
          <w:tcPr>
            <w:tcW w:w="212" w:type="pct"/>
            <w:tcBorders>
              <w:top w:val="nil"/>
              <w:left w:val="nil"/>
              <w:bottom w:val="single" w:sz="4" w:space="0" w:color="auto"/>
              <w:right w:val="nil"/>
            </w:tcBorders>
            <w:shd w:val="clear" w:color="auto" w:fill="auto"/>
            <w:noWrap/>
            <w:vAlign w:val="bottom"/>
            <w:hideMark/>
          </w:tcPr>
          <w:p w14:paraId="61B19F8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26,4</w:t>
            </w:r>
          </w:p>
        </w:tc>
        <w:tc>
          <w:tcPr>
            <w:tcW w:w="212" w:type="pct"/>
            <w:tcBorders>
              <w:top w:val="nil"/>
              <w:left w:val="nil"/>
              <w:bottom w:val="single" w:sz="4" w:space="0" w:color="auto"/>
              <w:right w:val="nil"/>
            </w:tcBorders>
            <w:shd w:val="clear" w:color="auto" w:fill="auto"/>
            <w:noWrap/>
            <w:vAlign w:val="bottom"/>
            <w:hideMark/>
          </w:tcPr>
          <w:p w14:paraId="76412FE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33,4</w:t>
            </w:r>
          </w:p>
        </w:tc>
        <w:tc>
          <w:tcPr>
            <w:tcW w:w="212" w:type="pct"/>
            <w:tcBorders>
              <w:top w:val="nil"/>
              <w:left w:val="nil"/>
              <w:bottom w:val="single" w:sz="4" w:space="0" w:color="auto"/>
              <w:right w:val="nil"/>
            </w:tcBorders>
            <w:shd w:val="clear" w:color="auto" w:fill="auto"/>
            <w:noWrap/>
            <w:vAlign w:val="bottom"/>
            <w:hideMark/>
          </w:tcPr>
          <w:p w14:paraId="3DD72CB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w:t>
            </w:r>
          </w:p>
        </w:tc>
        <w:tc>
          <w:tcPr>
            <w:tcW w:w="212" w:type="pct"/>
            <w:tcBorders>
              <w:top w:val="nil"/>
              <w:left w:val="nil"/>
              <w:bottom w:val="single" w:sz="4" w:space="0" w:color="auto"/>
              <w:right w:val="nil"/>
            </w:tcBorders>
            <w:shd w:val="clear" w:color="auto" w:fill="auto"/>
            <w:noWrap/>
            <w:vAlign w:val="bottom"/>
            <w:hideMark/>
          </w:tcPr>
          <w:p w14:paraId="02DB887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w:t>
            </w:r>
          </w:p>
        </w:tc>
        <w:tc>
          <w:tcPr>
            <w:tcW w:w="212" w:type="pct"/>
            <w:tcBorders>
              <w:top w:val="nil"/>
              <w:left w:val="nil"/>
              <w:bottom w:val="single" w:sz="4" w:space="0" w:color="auto"/>
              <w:right w:val="nil"/>
            </w:tcBorders>
            <w:shd w:val="clear" w:color="auto" w:fill="auto"/>
            <w:noWrap/>
            <w:vAlign w:val="bottom"/>
            <w:hideMark/>
          </w:tcPr>
          <w:p w14:paraId="3B0E9C6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w:t>
            </w:r>
          </w:p>
        </w:tc>
        <w:tc>
          <w:tcPr>
            <w:tcW w:w="208" w:type="pct"/>
            <w:tcBorders>
              <w:top w:val="nil"/>
              <w:left w:val="nil"/>
              <w:bottom w:val="single" w:sz="4" w:space="0" w:color="auto"/>
              <w:right w:val="nil"/>
            </w:tcBorders>
            <w:shd w:val="clear" w:color="auto" w:fill="auto"/>
            <w:noWrap/>
            <w:vAlign w:val="bottom"/>
            <w:hideMark/>
          </w:tcPr>
          <w:p w14:paraId="3A9352E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69,8</w:t>
            </w:r>
          </w:p>
        </w:tc>
      </w:tr>
      <w:tr w:rsidR="00B54F4E" w:rsidRPr="00D050B8" w14:paraId="15559BD1" w14:textId="77777777" w:rsidTr="006504C4">
        <w:trPr>
          <w:trHeight w:val="254"/>
        </w:trPr>
        <w:tc>
          <w:tcPr>
            <w:tcW w:w="1184" w:type="pct"/>
            <w:tcBorders>
              <w:top w:val="nil"/>
              <w:left w:val="nil"/>
              <w:bottom w:val="nil"/>
              <w:right w:val="nil"/>
            </w:tcBorders>
            <w:shd w:val="clear" w:color="auto" w:fill="auto"/>
            <w:noWrap/>
            <w:vAlign w:val="bottom"/>
            <w:hideMark/>
          </w:tcPr>
          <w:p w14:paraId="0FCA5B53"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53" w:type="pct"/>
            <w:tcBorders>
              <w:top w:val="nil"/>
              <w:left w:val="nil"/>
              <w:bottom w:val="nil"/>
              <w:right w:val="nil"/>
            </w:tcBorders>
            <w:shd w:val="clear" w:color="auto" w:fill="auto"/>
            <w:noWrap/>
            <w:vAlign w:val="bottom"/>
            <w:hideMark/>
          </w:tcPr>
          <w:p w14:paraId="611E2FC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E1BE11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E96727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CB1190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11A7344"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EC4E15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20617E1"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1ECEF90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533E5F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30A3AE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A837C2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13EA6C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B910C7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698FC5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61562C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D7B701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3880F99"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5CB5A56"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60E23A2" w14:textId="77777777" w:rsidTr="006504C4">
        <w:trPr>
          <w:trHeight w:val="254"/>
        </w:trPr>
        <w:tc>
          <w:tcPr>
            <w:tcW w:w="1184" w:type="pct"/>
            <w:tcBorders>
              <w:top w:val="single" w:sz="4" w:space="0" w:color="000000"/>
              <w:left w:val="nil"/>
              <w:bottom w:val="single" w:sz="4" w:space="0" w:color="000000"/>
              <w:right w:val="nil"/>
            </w:tcBorders>
            <w:shd w:val="clear" w:color="auto" w:fill="auto"/>
            <w:noWrap/>
            <w:vAlign w:val="bottom"/>
            <w:hideMark/>
          </w:tcPr>
          <w:p w14:paraId="10475D19"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energético de refrigeración</w:t>
            </w:r>
          </w:p>
        </w:tc>
        <w:tc>
          <w:tcPr>
            <w:tcW w:w="253" w:type="pct"/>
            <w:tcBorders>
              <w:top w:val="single" w:sz="4" w:space="0" w:color="000000"/>
              <w:left w:val="nil"/>
              <w:bottom w:val="single" w:sz="4" w:space="0" w:color="000000"/>
              <w:right w:val="nil"/>
            </w:tcBorders>
            <w:shd w:val="clear" w:color="auto" w:fill="auto"/>
            <w:noWrap/>
            <w:vAlign w:val="bottom"/>
            <w:hideMark/>
          </w:tcPr>
          <w:p w14:paraId="1CCB361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single" w:sz="4" w:space="0" w:color="000000"/>
              <w:left w:val="nil"/>
              <w:bottom w:val="single" w:sz="4" w:space="0" w:color="000000"/>
              <w:right w:val="nil"/>
            </w:tcBorders>
            <w:shd w:val="clear" w:color="auto" w:fill="auto"/>
            <w:noWrap/>
            <w:vAlign w:val="bottom"/>
            <w:hideMark/>
          </w:tcPr>
          <w:p w14:paraId="3AE6D81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single" w:sz="4" w:space="0" w:color="000000"/>
              <w:left w:val="nil"/>
              <w:bottom w:val="single" w:sz="4" w:space="0" w:color="000000"/>
              <w:right w:val="nil"/>
            </w:tcBorders>
            <w:shd w:val="clear" w:color="auto" w:fill="auto"/>
            <w:noWrap/>
            <w:vAlign w:val="bottom"/>
            <w:hideMark/>
          </w:tcPr>
          <w:p w14:paraId="44FBB122"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12" w:type="pct"/>
            <w:tcBorders>
              <w:top w:val="single" w:sz="4" w:space="0" w:color="000000"/>
              <w:left w:val="nil"/>
              <w:bottom w:val="single" w:sz="4" w:space="0" w:color="000000"/>
              <w:right w:val="nil"/>
            </w:tcBorders>
            <w:shd w:val="clear" w:color="auto" w:fill="auto"/>
            <w:noWrap/>
            <w:vAlign w:val="bottom"/>
            <w:hideMark/>
          </w:tcPr>
          <w:p w14:paraId="06C73E9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12" w:type="pct"/>
            <w:tcBorders>
              <w:top w:val="single" w:sz="4" w:space="0" w:color="000000"/>
              <w:left w:val="nil"/>
              <w:bottom w:val="single" w:sz="4" w:space="0" w:color="000000"/>
              <w:right w:val="nil"/>
            </w:tcBorders>
            <w:shd w:val="clear" w:color="auto" w:fill="auto"/>
            <w:noWrap/>
            <w:vAlign w:val="bottom"/>
            <w:hideMark/>
          </w:tcPr>
          <w:p w14:paraId="24B90D8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w:t>
            </w:r>
          </w:p>
        </w:tc>
        <w:tc>
          <w:tcPr>
            <w:tcW w:w="212" w:type="pct"/>
            <w:tcBorders>
              <w:top w:val="single" w:sz="4" w:space="0" w:color="000000"/>
              <w:left w:val="nil"/>
              <w:bottom w:val="single" w:sz="4" w:space="0" w:color="000000"/>
              <w:right w:val="nil"/>
            </w:tcBorders>
            <w:shd w:val="clear" w:color="auto" w:fill="auto"/>
            <w:noWrap/>
            <w:vAlign w:val="bottom"/>
            <w:hideMark/>
          </w:tcPr>
          <w:p w14:paraId="6A48083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12" w:type="pct"/>
            <w:tcBorders>
              <w:top w:val="single" w:sz="4" w:space="0" w:color="000000"/>
              <w:left w:val="nil"/>
              <w:bottom w:val="single" w:sz="4" w:space="0" w:color="000000"/>
              <w:right w:val="nil"/>
            </w:tcBorders>
            <w:shd w:val="clear" w:color="auto" w:fill="auto"/>
            <w:noWrap/>
            <w:vAlign w:val="bottom"/>
            <w:hideMark/>
          </w:tcPr>
          <w:p w14:paraId="68703DE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w:t>
            </w:r>
          </w:p>
        </w:tc>
        <w:tc>
          <w:tcPr>
            <w:tcW w:w="183" w:type="pct"/>
            <w:tcBorders>
              <w:top w:val="single" w:sz="4" w:space="0" w:color="000000"/>
              <w:left w:val="nil"/>
              <w:bottom w:val="single" w:sz="4" w:space="0" w:color="000000"/>
              <w:right w:val="nil"/>
            </w:tcBorders>
            <w:shd w:val="clear" w:color="auto" w:fill="auto"/>
            <w:noWrap/>
            <w:vAlign w:val="bottom"/>
            <w:hideMark/>
          </w:tcPr>
          <w:p w14:paraId="3504E1C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18%</w:t>
            </w:r>
          </w:p>
        </w:tc>
        <w:tc>
          <w:tcPr>
            <w:tcW w:w="212" w:type="pct"/>
            <w:tcBorders>
              <w:top w:val="single" w:sz="4" w:space="0" w:color="000000"/>
              <w:left w:val="nil"/>
              <w:bottom w:val="single" w:sz="4" w:space="0" w:color="000000"/>
              <w:right w:val="nil"/>
            </w:tcBorders>
            <w:shd w:val="clear" w:color="auto" w:fill="auto"/>
            <w:noWrap/>
            <w:vAlign w:val="bottom"/>
            <w:hideMark/>
          </w:tcPr>
          <w:p w14:paraId="17555A1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22%</w:t>
            </w:r>
          </w:p>
        </w:tc>
        <w:tc>
          <w:tcPr>
            <w:tcW w:w="212" w:type="pct"/>
            <w:tcBorders>
              <w:top w:val="single" w:sz="4" w:space="0" w:color="000000"/>
              <w:left w:val="nil"/>
              <w:bottom w:val="single" w:sz="4" w:space="0" w:color="000000"/>
              <w:right w:val="nil"/>
            </w:tcBorders>
            <w:shd w:val="clear" w:color="auto" w:fill="auto"/>
            <w:noWrap/>
            <w:vAlign w:val="bottom"/>
            <w:hideMark/>
          </w:tcPr>
          <w:p w14:paraId="406F02C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25%</w:t>
            </w:r>
          </w:p>
        </w:tc>
        <w:tc>
          <w:tcPr>
            <w:tcW w:w="212" w:type="pct"/>
            <w:tcBorders>
              <w:top w:val="single" w:sz="4" w:space="0" w:color="000000"/>
              <w:left w:val="nil"/>
              <w:bottom w:val="single" w:sz="4" w:space="0" w:color="000000"/>
              <w:right w:val="nil"/>
            </w:tcBorders>
            <w:shd w:val="clear" w:color="auto" w:fill="auto"/>
            <w:noWrap/>
            <w:vAlign w:val="bottom"/>
            <w:hideMark/>
          </w:tcPr>
          <w:p w14:paraId="7DCB140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28%</w:t>
            </w:r>
          </w:p>
        </w:tc>
        <w:tc>
          <w:tcPr>
            <w:tcW w:w="212" w:type="pct"/>
            <w:tcBorders>
              <w:top w:val="single" w:sz="4" w:space="0" w:color="000000"/>
              <w:left w:val="nil"/>
              <w:bottom w:val="single" w:sz="4" w:space="0" w:color="000000"/>
              <w:right w:val="nil"/>
            </w:tcBorders>
            <w:shd w:val="clear" w:color="auto" w:fill="auto"/>
            <w:noWrap/>
            <w:vAlign w:val="bottom"/>
            <w:hideMark/>
          </w:tcPr>
          <w:p w14:paraId="72CCABD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31%</w:t>
            </w:r>
          </w:p>
        </w:tc>
        <w:tc>
          <w:tcPr>
            <w:tcW w:w="212" w:type="pct"/>
            <w:tcBorders>
              <w:top w:val="single" w:sz="4" w:space="0" w:color="000000"/>
              <w:left w:val="nil"/>
              <w:bottom w:val="single" w:sz="4" w:space="0" w:color="000000"/>
              <w:right w:val="nil"/>
            </w:tcBorders>
            <w:shd w:val="clear" w:color="auto" w:fill="auto"/>
            <w:noWrap/>
            <w:vAlign w:val="bottom"/>
            <w:hideMark/>
          </w:tcPr>
          <w:p w14:paraId="30E9E3E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32%</w:t>
            </w:r>
          </w:p>
        </w:tc>
        <w:tc>
          <w:tcPr>
            <w:tcW w:w="212" w:type="pct"/>
            <w:tcBorders>
              <w:top w:val="single" w:sz="4" w:space="0" w:color="000000"/>
              <w:left w:val="nil"/>
              <w:bottom w:val="single" w:sz="4" w:space="0" w:color="000000"/>
              <w:right w:val="nil"/>
            </w:tcBorders>
            <w:shd w:val="clear" w:color="auto" w:fill="auto"/>
            <w:noWrap/>
            <w:vAlign w:val="bottom"/>
            <w:hideMark/>
          </w:tcPr>
          <w:p w14:paraId="17D7D0D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w:t>
            </w:r>
          </w:p>
        </w:tc>
        <w:tc>
          <w:tcPr>
            <w:tcW w:w="212" w:type="pct"/>
            <w:tcBorders>
              <w:top w:val="single" w:sz="4" w:space="0" w:color="000000"/>
              <w:left w:val="nil"/>
              <w:bottom w:val="single" w:sz="4" w:space="0" w:color="000000"/>
              <w:right w:val="nil"/>
            </w:tcBorders>
            <w:shd w:val="clear" w:color="auto" w:fill="auto"/>
            <w:noWrap/>
            <w:vAlign w:val="bottom"/>
            <w:hideMark/>
          </w:tcPr>
          <w:p w14:paraId="4D7347A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32%</w:t>
            </w:r>
          </w:p>
        </w:tc>
        <w:tc>
          <w:tcPr>
            <w:tcW w:w="212" w:type="pct"/>
            <w:tcBorders>
              <w:top w:val="single" w:sz="4" w:space="0" w:color="000000"/>
              <w:left w:val="nil"/>
              <w:bottom w:val="single" w:sz="4" w:space="0" w:color="000000"/>
              <w:right w:val="nil"/>
            </w:tcBorders>
            <w:shd w:val="clear" w:color="auto" w:fill="auto"/>
            <w:noWrap/>
            <w:vAlign w:val="bottom"/>
            <w:hideMark/>
          </w:tcPr>
          <w:p w14:paraId="5A90CE6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31%</w:t>
            </w:r>
          </w:p>
        </w:tc>
        <w:tc>
          <w:tcPr>
            <w:tcW w:w="212" w:type="pct"/>
            <w:tcBorders>
              <w:top w:val="single" w:sz="4" w:space="0" w:color="000000"/>
              <w:left w:val="nil"/>
              <w:bottom w:val="single" w:sz="4" w:space="0" w:color="000000"/>
              <w:right w:val="nil"/>
            </w:tcBorders>
            <w:shd w:val="clear" w:color="auto" w:fill="auto"/>
            <w:noWrap/>
            <w:vAlign w:val="bottom"/>
            <w:hideMark/>
          </w:tcPr>
          <w:p w14:paraId="004BEFA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30%</w:t>
            </w:r>
          </w:p>
        </w:tc>
        <w:tc>
          <w:tcPr>
            <w:tcW w:w="208" w:type="pct"/>
            <w:tcBorders>
              <w:top w:val="single" w:sz="4" w:space="0" w:color="000000"/>
              <w:left w:val="nil"/>
              <w:bottom w:val="single" w:sz="4" w:space="0" w:color="000000"/>
              <w:right w:val="nil"/>
            </w:tcBorders>
            <w:shd w:val="clear" w:color="auto" w:fill="auto"/>
            <w:noWrap/>
            <w:vAlign w:val="bottom"/>
            <w:hideMark/>
          </w:tcPr>
          <w:p w14:paraId="7C34F0F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28%</w:t>
            </w:r>
          </w:p>
        </w:tc>
      </w:tr>
      <w:tr w:rsidR="00B54F4E" w:rsidRPr="00D050B8" w14:paraId="057A07B3" w14:textId="77777777" w:rsidTr="006504C4">
        <w:trPr>
          <w:trHeight w:val="254"/>
        </w:trPr>
        <w:tc>
          <w:tcPr>
            <w:tcW w:w="1184" w:type="pct"/>
            <w:tcBorders>
              <w:top w:val="nil"/>
              <w:left w:val="nil"/>
              <w:bottom w:val="nil"/>
              <w:right w:val="nil"/>
            </w:tcBorders>
            <w:shd w:val="clear" w:color="auto" w:fill="auto"/>
            <w:noWrap/>
            <w:vAlign w:val="bottom"/>
            <w:hideMark/>
          </w:tcPr>
          <w:p w14:paraId="3779BA2B"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53" w:type="pct"/>
            <w:tcBorders>
              <w:top w:val="nil"/>
              <w:left w:val="nil"/>
              <w:bottom w:val="nil"/>
              <w:right w:val="nil"/>
            </w:tcBorders>
            <w:shd w:val="clear" w:color="auto" w:fill="auto"/>
            <w:noWrap/>
            <w:vAlign w:val="bottom"/>
            <w:hideMark/>
          </w:tcPr>
          <w:p w14:paraId="53E7E5E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26C9AE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B804A2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3AA25D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179BDB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670A3F9"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6A4F56A7"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00BC44A6"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1A25112"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B0D054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D90E6D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AF387D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BAFFC0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963A09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E145563"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D1C87F7"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A98CFC5"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3678585"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028268E0" w14:textId="77777777" w:rsidTr="006504C4">
        <w:trPr>
          <w:trHeight w:val="254"/>
        </w:trPr>
        <w:tc>
          <w:tcPr>
            <w:tcW w:w="1184" w:type="pct"/>
            <w:tcBorders>
              <w:top w:val="nil"/>
              <w:left w:val="nil"/>
              <w:bottom w:val="nil"/>
              <w:right w:val="nil"/>
            </w:tcBorders>
            <w:shd w:val="clear" w:color="auto" w:fill="auto"/>
            <w:noWrap/>
            <w:vAlign w:val="bottom"/>
            <w:hideMark/>
          </w:tcPr>
          <w:p w14:paraId="35862356"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single" w:sz="4" w:space="0" w:color="FFFFFF"/>
              <w:left w:val="nil"/>
              <w:bottom w:val="single" w:sz="4" w:space="0" w:color="auto"/>
              <w:right w:val="single" w:sz="4" w:space="0" w:color="FFFFFF"/>
            </w:tcBorders>
            <w:shd w:val="clear" w:color="000000" w:fill="203764"/>
            <w:noWrap/>
            <w:vAlign w:val="bottom"/>
            <w:hideMark/>
          </w:tcPr>
          <w:p w14:paraId="760674C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Beneficios</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70B9FA22"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Costos</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29BDEB74"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Neto</w:t>
            </w:r>
          </w:p>
        </w:tc>
        <w:tc>
          <w:tcPr>
            <w:tcW w:w="212" w:type="pct"/>
            <w:tcBorders>
              <w:top w:val="nil"/>
              <w:left w:val="nil"/>
              <w:bottom w:val="nil"/>
              <w:right w:val="nil"/>
            </w:tcBorders>
            <w:shd w:val="clear" w:color="auto" w:fill="auto"/>
            <w:noWrap/>
            <w:vAlign w:val="bottom"/>
            <w:hideMark/>
          </w:tcPr>
          <w:p w14:paraId="75FE99C7" w14:textId="77777777" w:rsidR="00B54F4E" w:rsidRPr="00D050B8" w:rsidRDefault="00B54F4E" w:rsidP="006504C4">
            <w:pPr>
              <w:spacing w:before="0" w:after="0"/>
              <w:jc w:val="center"/>
              <w:rPr>
                <w:rFonts w:ascii="Calibri" w:hAnsi="Calibri" w:cs="Calibri"/>
                <w:color w:val="FFFFFF"/>
                <w:sz w:val="12"/>
                <w:szCs w:val="12"/>
                <w:lang w:eastAsia="es-CO"/>
              </w:rPr>
            </w:pPr>
          </w:p>
        </w:tc>
        <w:tc>
          <w:tcPr>
            <w:tcW w:w="212" w:type="pct"/>
            <w:tcBorders>
              <w:top w:val="nil"/>
              <w:left w:val="nil"/>
              <w:bottom w:val="nil"/>
              <w:right w:val="nil"/>
            </w:tcBorders>
            <w:shd w:val="clear" w:color="auto" w:fill="auto"/>
            <w:noWrap/>
            <w:vAlign w:val="bottom"/>
            <w:hideMark/>
          </w:tcPr>
          <w:p w14:paraId="435E62ED"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705ECD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95C1700"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CEB307E"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5B0354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3F8C705"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9F8100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C8C27F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7E65B3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B462C1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E154EE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281061B"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AD3FBE5"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17361F9"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04AC68A6" w14:textId="77777777" w:rsidTr="006504C4">
        <w:trPr>
          <w:trHeight w:val="254"/>
        </w:trPr>
        <w:tc>
          <w:tcPr>
            <w:tcW w:w="1184" w:type="pct"/>
            <w:tcBorders>
              <w:top w:val="single" w:sz="4" w:space="0" w:color="auto"/>
              <w:left w:val="single" w:sz="4" w:space="0" w:color="auto"/>
              <w:bottom w:val="single" w:sz="4" w:space="0" w:color="auto"/>
              <w:right w:val="nil"/>
            </w:tcBorders>
            <w:shd w:val="clear" w:color="000000" w:fill="E2EFDA"/>
            <w:noWrap/>
            <w:vAlign w:val="bottom"/>
            <w:hideMark/>
          </w:tcPr>
          <w:p w14:paraId="5FFDFD9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VPN dic 2016 ($USD Millones)</w:t>
            </w:r>
          </w:p>
        </w:tc>
        <w:tc>
          <w:tcPr>
            <w:tcW w:w="253" w:type="pct"/>
            <w:tcBorders>
              <w:top w:val="nil"/>
              <w:left w:val="nil"/>
              <w:bottom w:val="single" w:sz="4" w:space="0" w:color="auto"/>
              <w:right w:val="single" w:sz="4" w:space="0" w:color="auto"/>
            </w:tcBorders>
            <w:shd w:val="clear" w:color="000000" w:fill="E2EFDA"/>
            <w:noWrap/>
            <w:vAlign w:val="bottom"/>
            <w:hideMark/>
          </w:tcPr>
          <w:p w14:paraId="2DF5734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$341</w:t>
            </w:r>
          </w:p>
        </w:tc>
        <w:tc>
          <w:tcPr>
            <w:tcW w:w="209" w:type="pct"/>
            <w:tcBorders>
              <w:top w:val="nil"/>
              <w:left w:val="nil"/>
              <w:bottom w:val="single" w:sz="4" w:space="0" w:color="auto"/>
              <w:right w:val="single" w:sz="4" w:space="0" w:color="auto"/>
            </w:tcBorders>
            <w:shd w:val="clear" w:color="000000" w:fill="E2EFDA"/>
            <w:noWrap/>
            <w:vAlign w:val="bottom"/>
            <w:hideMark/>
          </w:tcPr>
          <w:p w14:paraId="3C534B5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$206</w:t>
            </w:r>
          </w:p>
        </w:tc>
        <w:tc>
          <w:tcPr>
            <w:tcW w:w="209" w:type="pct"/>
            <w:tcBorders>
              <w:top w:val="nil"/>
              <w:left w:val="nil"/>
              <w:bottom w:val="single" w:sz="4" w:space="0" w:color="auto"/>
              <w:right w:val="single" w:sz="4" w:space="0" w:color="auto"/>
            </w:tcBorders>
            <w:shd w:val="clear" w:color="000000" w:fill="E2EFDA"/>
            <w:noWrap/>
            <w:vAlign w:val="bottom"/>
            <w:hideMark/>
          </w:tcPr>
          <w:p w14:paraId="627E5AC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$135</w:t>
            </w:r>
          </w:p>
        </w:tc>
        <w:tc>
          <w:tcPr>
            <w:tcW w:w="212" w:type="pct"/>
            <w:tcBorders>
              <w:top w:val="nil"/>
              <w:left w:val="nil"/>
              <w:bottom w:val="nil"/>
              <w:right w:val="nil"/>
            </w:tcBorders>
            <w:shd w:val="clear" w:color="auto" w:fill="auto"/>
            <w:noWrap/>
            <w:vAlign w:val="bottom"/>
            <w:hideMark/>
          </w:tcPr>
          <w:p w14:paraId="246DDFD6"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12" w:type="pct"/>
            <w:tcBorders>
              <w:top w:val="nil"/>
              <w:left w:val="nil"/>
              <w:bottom w:val="nil"/>
              <w:right w:val="nil"/>
            </w:tcBorders>
            <w:shd w:val="clear" w:color="auto" w:fill="auto"/>
            <w:noWrap/>
            <w:vAlign w:val="bottom"/>
            <w:hideMark/>
          </w:tcPr>
          <w:p w14:paraId="2630D02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9AE904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8E2F140"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54E1A3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104F79A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53FBE4AC"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18079DF"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38D01C41"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22D8C4F4"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10893B0"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7116B8FA"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0FC33A58" w14:textId="77777777" w:rsidR="00B54F4E" w:rsidRPr="00D050B8" w:rsidRDefault="00B54F4E" w:rsidP="006504C4">
            <w:pPr>
              <w:spacing w:before="0" w:after="0"/>
              <w:jc w:val="left"/>
              <w:rPr>
                <w:rFonts w:ascii="Times New Roman" w:hAnsi="Times New Roman"/>
                <w:sz w:val="12"/>
                <w:szCs w:val="12"/>
                <w:lang w:eastAsia="es-CO"/>
              </w:rPr>
            </w:pPr>
          </w:p>
        </w:tc>
        <w:tc>
          <w:tcPr>
            <w:tcW w:w="212" w:type="pct"/>
            <w:tcBorders>
              <w:top w:val="nil"/>
              <w:left w:val="nil"/>
              <w:bottom w:val="nil"/>
              <w:right w:val="nil"/>
            </w:tcBorders>
            <w:shd w:val="clear" w:color="auto" w:fill="auto"/>
            <w:noWrap/>
            <w:vAlign w:val="bottom"/>
            <w:hideMark/>
          </w:tcPr>
          <w:p w14:paraId="4FA20E9F"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717BCA3" w14:textId="77777777" w:rsidR="00B54F4E" w:rsidRPr="00D050B8" w:rsidRDefault="00B54F4E" w:rsidP="006504C4">
            <w:pPr>
              <w:spacing w:before="0" w:after="0"/>
              <w:jc w:val="left"/>
              <w:rPr>
                <w:rFonts w:ascii="Times New Roman" w:hAnsi="Times New Roman"/>
                <w:sz w:val="12"/>
                <w:szCs w:val="12"/>
                <w:lang w:eastAsia="es-CO"/>
              </w:rPr>
            </w:pPr>
          </w:p>
        </w:tc>
      </w:tr>
    </w:tbl>
    <w:p w14:paraId="65375AF4" w14:textId="77777777" w:rsidR="00B54F4E" w:rsidRDefault="00B54F4E" w:rsidP="00B54F4E">
      <w:pPr>
        <w:spacing w:before="0" w:after="160" w:line="259" w:lineRule="auto"/>
        <w:jc w:val="left"/>
      </w:pPr>
    </w:p>
    <w:p w14:paraId="17A93AC1" w14:textId="77777777" w:rsidR="00B54F4E" w:rsidRPr="007220A7" w:rsidRDefault="00B54F4E" w:rsidP="00B54F4E">
      <w:pPr>
        <w:spacing w:before="0" w:after="160" w:line="259" w:lineRule="auto"/>
        <w:jc w:val="left"/>
        <w:rPr>
          <w:b/>
        </w:rPr>
      </w:pPr>
      <w:r w:rsidRPr="007220A7">
        <w:rPr>
          <w:b/>
        </w:rPr>
        <w:t>TIR de la medida: 47%</w:t>
      </w:r>
      <w:r w:rsidRPr="007220A7">
        <w:rPr>
          <w:b/>
        </w:rPr>
        <w:br w:type="page"/>
      </w:r>
    </w:p>
    <w:p w14:paraId="523FB81B" w14:textId="77777777" w:rsidR="00B54F4E" w:rsidRPr="006C4E72" w:rsidRDefault="00B54F4E" w:rsidP="00B54F4E">
      <w:pPr>
        <w:ind w:left="720"/>
        <w:jc w:val="center"/>
        <w:rPr>
          <w:b/>
        </w:rPr>
      </w:pPr>
      <w:bookmarkStart w:id="156" w:name="_Toc484097072"/>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32</w:t>
      </w:r>
      <w:r w:rsidRPr="008C12BC">
        <w:rPr>
          <w:b/>
        </w:rPr>
        <w:fldChar w:fldCharType="end"/>
      </w:r>
      <w:r>
        <w:rPr>
          <w:b/>
        </w:rPr>
        <w:t xml:space="preserve"> – Proyección de beneficios y costos para la medida de sustitución de bombillos (Sector comercial)</w:t>
      </w:r>
      <w:bookmarkEnd w:id="156"/>
    </w:p>
    <w:tbl>
      <w:tblPr>
        <w:tblW w:w="4928" w:type="pct"/>
        <w:tblCellMar>
          <w:left w:w="70" w:type="dxa"/>
          <w:right w:w="70" w:type="dxa"/>
        </w:tblCellMar>
        <w:tblLook w:val="04A0" w:firstRow="1" w:lastRow="0" w:firstColumn="1" w:lastColumn="0" w:noHBand="0" w:noVBand="1"/>
      </w:tblPr>
      <w:tblGrid>
        <w:gridCol w:w="3257"/>
        <w:gridCol w:w="657"/>
        <w:gridCol w:w="495"/>
        <w:gridCol w:w="496"/>
        <w:gridCol w:w="504"/>
        <w:gridCol w:w="504"/>
        <w:gridCol w:w="504"/>
        <w:gridCol w:w="504"/>
        <w:gridCol w:w="536"/>
        <w:gridCol w:w="536"/>
        <w:gridCol w:w="536"/>
        <w:gridCol w:w="536"/>
        <w:gridCol w:w="536"/>
        <w:gridCol w:w="536"/>
        <w:gridCol w:w="536"/>
        <w:gridCol w:w="536"/>
        <w:gridCol w:w="536"/>
        <w:gridCol w:w="536"/>
        <w:gridCol w:w="536"/>
      </w:tblGrid>
      <w:tr w:rsidR="00B54F4E" w:rsidRPr="00D050B8" w14:paraId="3A9D0554" w14:textId="77777777" w:rsidTr="006504C4">
        <w:trPr>
          <w:trHeight w:val="255"/>
        </w:trPr>
        <w:tc>
          <w:tcPr>
            <w:tcW w:w="1253" w:type="pct"/>
            <w:tcBorders>
              <w:top w:val="single" w:sz="4" w:space="0" w:color="000000"/>
              <w:left w:val="nil"/>
              <w:bottom w:val="nil"/>
              <w:right w:val="nil"/>
            </w:tcBorders>
            <w:shd w:val="clear" w:color="auto" w:fill="auto"/>
            <w:noWrap/>
            <w:vAlign w:val="bottom"/>
            <w:hideMark/>
          </w:tcPr>
          <w:p w14:paraId="7186D44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Consumo por bombillo incandescente GWh/Año</w:t>
            </w:r>
          </w:p>
        </w:tc>
        <w:tc>
          <w:tcPr>
            <w:tcW w:w="253" w:type="pct"/>
            <w:tcBorders>
              <w:top w:val="single" w:sz="4" w:space="0" w:color="000000"/>
              <w:left w:val="nil"/>
              <w:bottom w:val="nil"/>
              <w:right w:val="nil"/>
            </w:tcBorders>
            <w:shd w:val="clear" w:color="auto" w:fill="auto"/>
            <w:noWrap/>
            <w:vAlign w:val="bottom"/>
            <w:hideMark/>
          </w:tcPr>
          <w:p w14:paraId="5C8A73EB" w14:textId="77777777" w:rsidR="00B54F4E" w:rsidRPr="00D050B8" w:rsidRDefault="00B54F4E" w:rsidP="006504C4">
            <w:pPr>
              <w:spacing w:before="0" w:after="0"/>
              <w:jc w:val="right"/>
              <w:rPr>
                <w:rFonts w:ascii="Calibri" w:hAnsi="Calibri" w:cs="Calibri"/>
                <w:color w:val="00B050"/>
                <w:sz w:val="12"/>
                <w:szCs w:val="12"/>
                <w:lang w:eastAsia="es-CO"/>
              </w:rPr>
            </w:pPr>
            <w:r w:rsidRPr="00D050B8">
              <w:rPr>
                <w:rFonts w:ascii="Calibri" w:hAnsi="Calibri" w:cs="Calibri"/>
                <w:color w:val="00B050"/>
                <w:sz w:val="12"/>
                <w:szCs w:val="12"/>
                <w:lang w:eastAsia="es-CO"/>
              </w:rPr>
              <w:t>0,0003285</w:t>
            </w:r>
          </w:p>
        </w:tc>
        <w:tc>
          <w:tcPr>
            <w:tcW w:w="203" w:type="pct"/>
            <w:tcBorders>
              <w:top w:val="nil"/>
              <w:left w:val="nil"/>
              <w:bottom w:val="nil"/>
              <w:right w:val="nil"/>
            </w:tcBorders>
            <w:shd w:val="clear" w:color="auto" w:fill="auto"/>
            <w:noWrap/>
            <w:vAlign w:val="bottom"/>
            <w:hideMark/>
          </w:tcPr>
          <w:p w14:paraId="468DED31" w14:textId="77777777" w:rsidR="00B54F4E" w:rsidRPr="00D050B8" w:rsidRDefault="00B54F4E" w:rsidP="006504C4">
            <w:pPr>
              <w:spacing w:before="0" w:after="0"/>
              <w:jc w:val="right"/>
              <w:rPr>
                <w:rFonts w:ascii="Calibri" w:hAnsi="Calibri" w:cs="Calibri"/>
                <w:color w:val="00B050"/>
                <w:sz w:val="12"/>
                <w:szCs w:val="12"/>
                <w:lang w:eastAsia="es-CO"/>
              </w:rPr>
            </w:pPr>
          </w:p>
        </w:tc>
        <w:tc>
          <w:tcPr>
            <w:tcW w:w="203" w:type="pct"/>
            <w:tcBorders>
              <w:top w:val="nil"/>
              <w:left w:val="nil"/>
              <w:bottom w:val="nil"/>
              <w:right w:val="nil"/>
            </w:tcBorders>
            <w:shd w:val="clear" w:color="auto" w:fill="auto"/>
            <w:noWrap/>
            <w:vAlign w:val="bottom"/>
            <w:hideMark/>
          </w:tcPr>
          <w:p w14:paraId="4DD13D1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F20FEA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FD65D6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DCB1C1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401F4C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A1930C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370B64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60EA5C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AFA9C2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B4594B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766A5F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7FACAA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B3C55A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4AEFFB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8943EA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A33A711"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29830EFA"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34E22C4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Consumo por bombillo LFC GWh/Año</w:t>
            </w:r>
          </w:p>
        </w:tc>
        <w:tc>
          <w:tcPr>
            <w:tcW w:w="253" w:type="pct"/>
            <w:tcBorders>
              <w:top w:val="nil"/>
              <w:left w:val="nil"/>
              <w:bottom w:val="single" w:sz="4" w:space="0" w:color="000000"/>
              <w:right w:val="nil"/>
            </w:tcBorders>
            <w:shd w:val="clear" w:color="auto" w:fill="auto"/>
            <w:noWrap/>
            <w:vAlign w:val="bottom"/>
            <w:hideMark/>
          </w:tcPr>
          <w:p w14:paraId="63CA5612" w14:textId="77777777" w:rsidR="00B54F4E" w:rsidRPr="00D050B8" w:rsidRDefault="00B54F4E" w:rsidP="006504C4">
            <w:pPr>
              <w:spacing w:before="0" w:after="0"/>
              <w:jc w:val="right"/>
              <w:rPr>
                <w:rFonts w:ascii="Calibri" w:hAnsi="Calibri" w:cs="Calibri"/>
                <w:color w:val="00B050"/>
                <w:sz w:val="12"/>
                <w:szCs w:val="12"/>
                <w:lang w:eastAsia="es-CO"/>
              </w:rPr>
            </w:pPr>
            <w:r w:rsidRPr="00D050B8">
              <w:rPr>
                <w:rFonts w:ascii="Calibri" w:hAnsi="Calibri" w:cs="Calibri"/>
                <w:color w:val="00B050"/>
                <w:sz w:val="12"/>
                <w:szCs w:val="12"/>
                <w:lang w:eastAsia="es-CO"/>
              </w:rPr>
              <w:t>0,0000657</w:t>
            </w:r>
          </w:p>
        </w:tc>
        <w:tc>
          <w:tcPr>
            <w:tcW w:w="203" w:type="pct"/>
            <w:tcBorders>
              <w:top w:val="nil"/>
              <w:left w:val="nil"/>
              <w:bottom w:val="nil"/>
              <w:right w:val="nil"/>
            </w:tcBorders>
            <w:shd w:val="clear" w:color="auto" w:fill="auto"/>
            <w:noWrap/>
            <w:vAlign w:val="bottom"/>
            <w:hideMark/>
          </w:tcPr>
          <w:p w14:paraId="6454D10B" w14:textId="77777777" w:rsidR="00B54F4E" w:rsidRPr="00D050B8" w:rsidRDefault="00B54F4E" w:rsidP="006504C4">
            <w:pPr>
              <w:spacing w:before="0" w:after="0"/>
              <w:jc w:val="right"/>
              <w:rPr>
                <w:rFonts w:ascii="Calibri" w:hAnsi="Calibri" w:cs="Calibri"/>
                <w:color w:val="00B050"/>
                <w:sz w:val="12"/>
                <w:szCs w:val="12"/>
                <w:lang w:eastAsia="es-CO"/>
              </w:rPr>
            </w:pPr>
          </w:p>
        </w:tc>
        <w:tc>
          <w:tcPr>
            <w:tcW w:w="203" w:type="pct"/>
            <w:tcBorders>
              <w:top w:val="nil"/>
              <w:left w:val="nil"/>
              <w:bottom w:val="nil"/>
              <w:right w:val="nil"/>
            </w:tcBorders>
            <w:shd w:val="clear" w:color="auto" w:fill="auto"/>
            <w:noWrap/>
            <w:vAlign w:val="bottom"/>
            <w:hideMark/>
          </w:tcPr>
          <w:p w14:paraId="24E4916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FAAE04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96BD98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9856EC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EF8AF5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56BD35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49824B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BC59EC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76A174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C0B115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FA4688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14AF8E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43BAB7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02E674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F3DB1B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CD8856A"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6BF833D6" w14:textId="77777777" w:rsidTr="006504C4">
        <w:trPr>
          <w:trHeight w:val="255"/>
        </w:trPr>
        <w:tc>
          <w:tcPr>
            <w:tcW w:w="1253" w:type="pct"/>
            <w:tcBorders>
              <w:top w:val="nil"/>
              <w:left w:val="nil"/>
              <w:bottom w:val="nil"/>
              <w:right w:val="nil"/>
            </w:tcBorders>
            <w:shd w:val="clear" w:color="auto" w:fill="auto"/>
            <w:noWrap/>
            <w:vAlign w:val="bottom"/>
            <w:hideMark/>
          </w:tcPr>
          <w:p w14:paraId="23E2663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Potencial de ahorro por cambio de bombillo Incandecente a LFC</w:t>
            </w:r>
          </w:p>
        </w:tc>
        <w:tc>
          <w:tcPr>
            <w:tcW w:w="253" w:type="pct"/>
            <w:tcBorders>
              <w:top w:val="nil"/>
              <w:left w:val="nil"/>
              <w:bottom w:val="nil"/>
              <w:right w:val="nil"/>
            </w:tcBorders>
            <w:shd w:val="clear" w:color="auto" w:fill="auto"/>
            <w:noWrap/>
            <w:vAlign w:val="bottom"/>
            <w:hideMark/>
          </w:tcPr>
          <w:p w14:paraId="3F77F3D8"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82,7%</w:t>
            </w:r>
          </w:p>
        </w:tc>
        <w:tc>
          <w:tcPr>
            <w:tcW w:w="203" w:type="pct"/>
            <w:tcBorders>
              <w:top w:val="nil"/>
              <w:left w:val="nil"/>
              <w:bottom w:val="nil"/>
              <w:right w:val="nil"/>
            </w:tcBorders>
            <w:shd w:val="clear" w:color="auto" w:fill="auto"/>
            <w:noWrap/>
            <w:vAlign w:val="bottom"/>
            <w:hideMark/>
          </w:tcPr>
          <w:p w14:paraId="77D27138"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3" w:type="pct"/>
            <w:tcBorders>
              <w:top w:val="nil"/>
              <w:left w:val="nil"/>
              <w:bottom w:val="nil"/>
              <w:right w:val="nil"/>
            </w:tcBorders>
            <w:shd w:val="clear" w:color="auto" w:fill="auto"/>
            <w:noWrap/>
            <w:vAlign w:val="bottom"/>
            <w:hideMark/>
          </w:tcPr>
          <w:p w14:paraId="5F4E63A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D53119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6D749C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C35B19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2EB532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8E138A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347882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A3F3B6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6D796B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7BDEDA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C54082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EC96EC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0AB7B0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D9B478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91408A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09C6C6B"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29CA455F"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2BE99952"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Potencial de ahorro por cambio de bombillo LFC a LED</w:t>
            </w:r>
          </w:p>
        </w:tc>
        <w:tc>
          <w:tcPr>
            <w:tcW w:w="253" w:type="pct"/>
            <w:tcBorders>
              <w:top w:val="nil"/>
              <w:left w:val="nil"/>
              <w:bottom w:val="single" w:sz="4" w:space="0" w:color="000000"/>
              <w:right w:val="nil"/>
            </w:tcBorders>
            <w:shd w:val="clear" w:color="auto" w:fill="auto"/>
            <w:noWrap/>
            <w:vAlign w:val="bottom"/>
            <w:hideMark/>
          </w:tcPr>
          <w:p w14:paraId="3BABACF1"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33,3%</w:t>
            </w:r>
          </w:p>
        </w:tc>
        <w:tc>
          <w:tcPr>
            <w:tcW w:w="203" w:type="pct"/>
            <w:tcBorders>
              <w:top w:val="nil"/>
              <w:left w:val="nil"/>
              <w:bottom w:val="nil"/>
              <w:right w:val="nil"/>
            </w:tcBorders>
            <w:shd w:val="clear" w:color="auto" w:fill="auto"/>
            <w:noWrap/>
            <w:vAlign w:val="bottom"/>
            <w:hideMark/>
          </w:tcPr>
          <w:p w14:paraId="44165E56"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3" w:type="pct"/>
            <w:tcBorders>
              <w:top w:val="nil"/>
              <w:left w:val="nil"/>
              <w:bottom w:val="nil"/>
              <w:right w:val="nil"/>
            </w:tcBorders>
            <w:shd w:val="clear" w:color="auto" w:fill="auto"/>
            <w:noWrap/>
            <w:vAlign w:val="bottom"/>
            <w:hideMark/>
          </w:tcPr>
          <w:p w14:paraId="292DD95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EF7BF1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16B939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70958A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C9AC7E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8F2A1B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F31911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B97E30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CECEB1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804AF8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6CD6D9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1F0D94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FCD03F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71ED06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42E1B4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7D8F8B7"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789E35AE"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4FD40C8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Costo de un bombillo LED ($USD)</w:t>
            </w:r>
          </w:p>
        </w:tc>
        <w:tc>
          <w:tcPr>
            <w:tcW w:w="253" w:type="pct"/>
            <w:tcBorders>
              <w:top w:val="nil"/>
              <w:left w:val="nil"/>
              <w:bottom w:val="single" w:sz="4" w:space="0" w:color="000000"/>
              <w:right w:val="nil"/>
            </w:tcBorders>
            <w:shd w:val="clear" w:color="auto" w:fill="auto"/>
            <w:noWrap/>
            <w:vAlign w:val="bottom"/>
            <w:hideMark/>
          </w:tcPr>
          <w:p w14:paraId="14F167AB"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25,00</w:t>
            </w:r>
          </w:p>
        </w:tc>
        <w:tc>
          <w:tcPr>
            <w:tcW w:w="203" w:type="pct"/>
            <w:tcBorders>
              <w:top w:val="nil"/>
              <w:left w:val="nil"/>
              <w:bottom w:val="nil"/>
              <w:right w:val="nil"/>
            </w:tcBorders>
            <w:shd w:val="clear" w:color="auto" w:fill="auto"/>
            <w:noWrap/>
            <w:vAlign w:val="bottom"/>
            <w:hideMark/>
          </w:tcPr>
          <w:p w14:paraId="0C22CFAF"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3" w:type="pct"/>
            <w:tcBorders>
              <w:top w:val="nil"/>
              <w:left w:val="nil"/>
              <w:bottom w:val="nil"/>
              <w:right w:val="nil"/>
            </w:tcBorders>
            <w:shd w:val="clear" w:color="auto" w:fill="auto"/>
            <w:noWrap/>
            <w:vAlign w:val="bottom"/>
            <w:hideMark/>
          </w:tcPr>
          <w:p w14:paraId="2E8627C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BB0771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BD4EAD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24148B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D905B6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60EF84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757737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0F5747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38304E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460DB4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2CA05B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B4946A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527FEA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A606CD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03C1B5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CF2C5E2"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42B58212" w14:textId="77777777" w:rsidTr="006504C4">
        <w:trPr>
          <w:trHeight w:val="255"/>
        </w:trPr>
        <w:tc>
          <w:tcPr>
            <w:tcW w:w="1253" w:type="pct"/>
            <w:tcBorders>
              <w:top w:val="nil"/>
              <w:left w:val="nil"/>
              <w:bottom w:val="nil"/>
              <w:right w:val="nil"/>
            </w:tcBorders>
            <w:shd w:val="clear" w:color="auto" w:fill="auto"/>
            <w:noWrap/>
            <w:vAlign w:val="bottom"/>
            <w:hideMark/>
          </w:tcPr>
          <w:p w14:paraId="687E5875"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nil"/>
              <w:left w:val="nil"/>
              <w:bottom w:val="nil"/>
              <w:right w:val="nil"/>
            </w:tcBorders>
            <w:shd w:val="clear" w:color="auto" w:fill="auto"/>
            <w:noWrap/>
            <w:vAlign w:val="bottom"/>
            <w:hideMark/>
          </w:tcPr>
          <w:p w14:paraId="52147145"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754A4C10"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3E55068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EE79D7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68FC75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4DE9BB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B095A6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0DD285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F6130B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E962B7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20EC91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C45C5E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BC7335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409A8C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19CFD9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EB84F4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FC6726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B2056FA"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22E6B411" w14:textId="77777777" w:rsidTr="006504C4">
        <w:trPr>
          <w:trHeight w:val="255"/>
        </w:trPr>
        <w:tc>
          <w:tcPr>
            <w:tcW w:w="1253" w:type="pct"/>
            <w:tcBorders>
              <w:top w:val="nil"/>
              <w:left w:val="nil"/>
              <w:bottom w:val="nil"/>
              <w:right w:val="nil"/>
            </w:tcBorders>
            <w:shd w:val="clear" w:color="auto" w:fill="auto"/>
            <w:noWrap/>
            <w:vAlign w:val="bottom"/>
            <w:hideMark/>
          </w:tcPr>
          <w:p w14:paraId="484BD0CB"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nil"/>
              <w:left w:val="nil"/>
              <w:bottom w:val="nil"/>
              <w:right w:val="nil"/>
            </w:tcBorders>
            <w:shd w:val="clear" w:color="auto" w:fill="auto"/>
            <w:noWrap/>
            <w:vAlign w:val="bottom"/>
            <w:hideMark/>
          </w:tcPr>
          <w:p w14:paraId="1F95D6F0"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52636AD6"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4B066FA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0F73B2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7A62CC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D118D2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56246A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63E256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92DAFF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8C5795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ACDD9A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624831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1C6AB0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D9C0DE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6CF038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EC7485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E2F9DA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3BF09C6"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291AF4ED"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0796C06E"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$USD</w:t>
            </w:r>
          </w:p>
        </w:tc>
        <w:tc>
          <w:tcPr>
            <w:tcW w:w="253" w:type="pct"/>
            <w:tcBorders>
              <w:top w:val="nil"/>
              <w:left w:val="nil"/>
              <w:bottom w:val="single" w:sz="4" w:space="0" w:color="auto"/>
              <w:right w:val="nil"/>
            </w:tcBorders>
            <w:shd w:val="clear" w:color="auto" w:fill="auto"/>
            <w:noWrap/>
            <w:vAlign w:val="bottom"/>
            <w:hideMark/>
          </w:tcPr>
          <w:p w14:paraId="3D60DDAE"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 </w:t>
            </w:r>
          </w:p>
        </w:tc>
        <w:tc>
          <w:tcPr>
            <w:tcW w:w="203" w:type="pct"/>
            <w:tcBorders>
              <w:top w:val="single" w:sz="4" w:space="0" w:color="FFFFFF"/>
              <w:left w:val="nil"/>
              <w:bottom w:val="single" w:sz="4" w:space="0" w:color="auto"/>
              <w:right w:val="single" w:sz="4" w:space="0" w:color="FFFFFF"/>
            </w:tcBorders>
            <w:shd w:val="clear" w:color="000000" w:fill="203764"/>
            <w:noWrap/>
            <w:vAlign w:val="bottom"/>
            <w:hideMark/>
          </w:tcPr>
          <w:p w14:paraId="48252C02"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2014</w:t>
            </w:r>
          </w:p>
        </w:tc>
        <w:tc>
          <w:tcPr>
            <w:tcW w:w="203" w:type="pct"/>
            <w:tcBorders>
              <w:top w:val="single" w:sz="4" w:space="0" w:color="FFFFFF"/>
              <w:left w:val="nil"/>
              <w:bottom w:val="single" w:sz="4" w:space="0" w:color="auto"/>
              <w:right w:val="single" w:sz="4" w:space="0" w:color="FFFFFF"/>
            </w:tcBorders>
            <w:shd w:val="clear" w:color="000000" w:fill="203764"/>
            <w:noWrap/>
            <w:vAlign w:val="bottom"/>
            <w:hideMark/>
          </w:tcPr>
          <w:p w14:paraId="551633B9"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2015</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4FCB28BB"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2016</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3FE676AF"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2017</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0763EEDF"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2018</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1FCF8594"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2019</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77444AD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2020</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11F71BC8"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2021</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4FF171D7"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2022</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7CA9290E"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2023</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00990A22"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2024</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0A265A33"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2025</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7C5F1192"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2026</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6631F879"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2027</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261627E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2028</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3B04A81F"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2029</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3CB28EBE"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2030</w:t>
            </w:r>
          </w:p>
        </w:tc>
      </w:tr>
      <w:tr w:rsidR="00B54F4E" w:rsidRPr="00D050B8" w14:paraId="275E2B84" w14:textId="77777777" w:rsidTr="006504C4">
        <w:trPr>
          <w:trHeight w:val="255"/>
        </w:trPr>
        <w:tc>
          <w:tcPr>
            <w:tcW w:w="1253" w:type="pct"/>
            <w:tcBorders>
              <w:top w:val="nil"/>
              <w:left w:val="nil"/>
              <w:bottom w:val="nil"/>
              <w:right w:val="nil"/>
            </w:tcBorders>
            <w:shd w:val="clear" w:color="auto" w:fill="auto"/>
            <w:noWrap/>
            <w:vAlign w:val="bottom"/>
            <w:hideMark/>
          </w:tcPr>
          <w:p w14:paraId="0A330324" w14:textId="77777777" w:rsidR="00B54F4E" w:rsidRPr="00D050B8" w:rsidRDefault="00B54F4E" w:rsidP="006504C4">
            <w:pPr>
              <w:spacing w:before="0" w:after="0"/>
              <w:jc w:val="left"/>
              <w:rPr>
                <w:rFonts w:ascii="Calibri" w:hAnsi="Calibri" w:cs="Calibri"/>
                <w:color w:val="000000"/>
                <w:sz w:val="12"/>
                <w:szCs w:val="12"/>
                <w:lang w:eastAsia="es-CO"/>
              </w:rPr>
            </w:pPr>
            <w:bookmarkStart w:id="157" w:name="RANGE!B175:T177"/>
            <w:r w:rsidRPr="00D050B8">
              <w:rPr>
                <w:rFonts w:ascii="Calibri" w:hAnsi="Calibri" w:cs="Calibri"/>
                <w:color w:val="000000"/>
                <w:sz w:val="12"/>
                <w:szCs w:val="12"/>
                <w:lang w:eastAsia="es-CO"/>
              </w:rPr>
              <w:t>Consumo de iluminación GWh/Año</w:t>
            </w:r>
            <w:bookmarkEnd w:id="157"/>
          </w:p>
        </w:tc>
        <w:tc>
          <w:tcPr>
            <w:tcW w:w="253" w:type="pct"/>
            <w:tcBorders>
              <w:top w:val="nil"/>
              <w:left w:val="nil"/>
              <w:bottom w:val="nil"/>
              <w:right w:val="nil"/>
            </w:tcBorders>
            <w:shd w:val="clear" w:color="auto" w:fill="auto"/>
            <w:noWrap/>
            <w:vAlign w:val="bottom"/>
            <w:hideMark/>
          </w:tcPr>
          <w:p w14:paraId="620C23CA" w14:textId="77777777" w:rsidR="00B54F4E" w:rsidRPr="00D050B8" w:rsidRDefault="00B54F4E" w:rsidP="006504C4">
            <w:pPr>
              <w:spacing w:before="0" w:after="0"/>
              <w:jc w:val="left"/>
              <w:rPr>
                <w:rFonts w:ascii="Calibri" w:hAnsi="Calibri" w:cs="Calibri"/>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06C5E09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1.012</w:t>
            </w:r>
          </w:p>
        </w:tc>
        <w:tc>
          <w:tcPr>
            <w:tcW w:w="203" w:type="pct"/>
            <w:tcBorders>
              <w:top w:val="nil"/>
              <w:left w:val="nil"/>
              <w:bottom w:val="nil"/>
              <w:right w:val="nil"/>
            </w:tcBorders>
            <w:shd w:val="clear" w:color="auto" w:fill="auto"/>
            <w:noWrap/>
            <w:vAlign w:val="bottom"/>
            <w:hideMark/>
          </w:tcPr>
          <w:p w14:paraId="7044C88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1.094</w:t>
            </w:r>
          </w:p>
        </w:tc>
        <w:tc>
          <w:tcPr>
            <w:tcW w:w="206" w:type="pct"/>
            <w:tcBorders>
              <w:top w:val="nil"/>
              <w:left w:val="nil"/>
              <w:bottom w:val="nil"/>
              <w:right w:val="nil"/>
            </w:tcBorders>
            <w:shd w:val="clear" w:color="auto" w:fill="auto"/>
            <w:noWrap/>
            <w:vAlign w:val="bottom"/>
            <w:hideMark/>
          </w:tcPr>
          <w:p w14:paraId="19CDE98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1.176</w:t>
            </w:r>
          </w:p>
        </w:tc>
        <w:tc>
          <w:tcPr>
            <w:tcW w:w="206" w:type="pct"/>
            <w:tcBorders>
              <w:top w:val="nil"/>
              <w:left w:val="nil"/>
              <w:bottom w:val="nil"/>
              <w:right w:val="nil"/>
            </w:tcBorders>
            <w:shd w:val="clear" w:color="auto" w:fill="auto"/>
            <w:noWrap/>
            <w:vAlign w:val="bottom"/>
            <w:hideMark/>
          </w:tcPr>
          <w:p w14:paraId="0B852EC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1.258</w:t>
            </w:r>
          </w:p>
        </w:tc>
        <w:tc>
          <w:tcPr>
            <w:tcW w:w="206" w:type="pct"/>
            <w:tcBorders>
              <w:top w:val="nil"/>
              <w:left w:val="nil"/>
              <w:bottom w:val="nil"/>
              <w:right w:val="nil"/>
            </w:tcBorders>
            <w:shd w:val="clear" w:color="auto" w:fill="auto"/>
            <w:noWrap/>
            <w:vAlign w:val="bottom"/>
            <w:hideMark/>
          </w:tcPr>
          <w:p w14:paraId="0F601B0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1.340</w:t>
            </w:r>
          </w:p>
        </w:tc>
        <w:tc>
          <w:tcPr>
            <w:tcW w:w="206" w:type="pct"/>
            <w:tcBorders>
              <w:top w:val="nil"/>
              <w:left w:val="nil"/>
              <w:bottom w:val="nil"/>
              <w:right w:val="nil"/>
            </w:tcBorders>
            <w:shd w:val="clear" w:color="auto" w:fill="auto"/>
            <w:noWrap/>
            <w:vAlign w:val="bottom"/>
            <w:hideMark/>
          </w:tcPr>
          <w:p w14:paraId="74F99EC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1.423</w:t>
            </w:r>
          </w:p>
        </w:tc>
        <w:tc>
          <w:tcPr>
            <w:tcW w:w="206" w:type="pct"/>
            <w:tcBorders>
              <w:top w:val="nil"/>
              <w:left w:val="nil"/>
              <w:bottom w:val="nil"/>
              <w:right w:val="nil"/>
            </w:tcBorders>
            <w:shd w:val="clear" w:color="auto" w:fill="auto"/>
            <w:noWrap/>
            <w:vAlign w:val="bottom"/>
            <w:hideMark/>
          </w:tcPr>
          <w:p w14:paraId="274C295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1.505</w:t>
            </w:r>
          </w:p>
        </w:tc>
        <w:tc>
          <w:tcPr>
            <w:tcW w:w="206" w:type="pct"/>
            <w:tcBorders>
              <w:top w:val="nil"/>
              <w:left w:val="nil"/>
              <w:bottom w:val="nil"/>
              <w:right w:val="nil"/>
            </w:tcBorders>
            <w:shd w:val="clear" w:color="auto" w:fill="auto"/>
            <w:noWrap/>
            <w:vAlign w:val="bottom"/>
            <w:hideMark/>
          </w:tcPr>
          <w:p w14:paraId="2FDA65D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1.592</w:t>
            </w:r>
          </w:p>
        </w:tc>
        <w:tc>
          <w:tcPr>
            <w:tcW w:w="206" w:type="pct"/>
            <w:tcBorders>
              <w:top w:val="nil"/>
              <w:left w:val="nil"/>
              <w:bottom w:val="nil"/>
              <w:right w:val="nil"/>
            </w:tcBorders>
            <w:shd w:val="clear" w:color="auto" w:fill="auto"/>
            <w:noWrap/>
            <w:vAlign w:val="bottom"/>
            <w:hideMark/>
          </w:tcPr>
          <w:p w14:paraId="6881B94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1.679</w:t>
            </w:r>
          </w:p>
        </w:tc>
        <w:tc>
          <w:tcPr>
            <w:tcW w:w="206" w:type="pct"/>
            <w:tcBorders>
              <w:top w:val="nil"/>
              <w:left w:val="nil"/>
              <w:bottom w:val="nil"/>
              <w:right w:val="nil"/>
            </w:tcBorders>
            <w:shd w:val="clear" w:color="auto" w:fill="auto"/>
            <w:noWrap/>
            <w:vAlign w:val="bottom"/>
            <w:hideMark/>
          </w:tcPr>
          <w:p w14:paraId="53ADC04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1.766</w:t>
            </w:r>
          </w:p>
        </w:tc>
        <w:tc>
          <w:tcPr>
            <w:tcW w:w="206" w:type="pct"/>
            <w:tcBorders>
              <w:top w:val="nil"/>
              <w:left w:val="nil"/>
              <w:bottom w:val="nil"/>
              <w:right w:val="nil"/>
            </w:tcBorders>
            <w:shd w:val="clear" w:color="auto" w:fill="auto"/>
            <w:noWrap/>
            <w:vAlign w:val="bottom"/>
            <w:hideMark/>
          </w:tcPr>
          <w:p w14:paraId="4BB5EAF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1.854</w:t>
            </w:r>
          </w:p>
        </w:tc>
        <w:tc>
          <w:tcPr>
            <w:tcW w:w="206" w:type="pct"/>
            <w:tcBorders>
              <w:top w:val="nil"/>
              <w:left w:val="nil"/>
              <w:bottom w:val="nil"/>
              <w:right w:val="nil"/>
            </w:tcBorders>
            <w:shd w:val="clear" w:color="auto" w:fill="auto"/>
            <w:noWrap/>
            <w:vAlign w:val="bottom"/>
            <w:hideMark/>
          </w:tcPr>
          <w:p w14:paraId="1D04B02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2.028</w:t>
            </w:r>
          </w:p>
        </w:tc>
        <w:tc>
          <w:tcPr>
            <w:tcW w:w="206" w:type="pct"/>
            <w:tcBorders>
              <w:top w:val="nil"/>
              <w:left w:val="nil"/>
              <w:bottom w:val="nil"/>
              <w:right w:val="nil"/>
            </w:tcBorders>
            <w:shd w:val="clear" w:color="auto" w:fill="auto"/>
            <w:noWrap/>
            <w:vAlign w:val="bottom"/>
            <w:hideMark/>
          </w:tcPr>
          <w:p w14:paraId="57E74DA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2.137</w:t>
            </w:r>
          </w:p>
        </w:tc>
        <w:tc>
          <w:tcPr>
            <w:tcW w:w="206" w:type="pct"/>
            <w:tcBorders>
              <w:top w:val="nil"/>
              <w:left w:val="nil"/>
              <w:bottom w:val="nil"/>
              <w:right w:val="nil"/>
            </w:tcBorders>
            <w:shd w:val="clear" w:color="auto" w:fill="auto"/>
            <w:noWrap/>
            <w:vAlign w:val="bottom"/>
            <w:hideMark/>
          </w:tcPr>
          <w:p w14:paraId="5F9B701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2.246</w:t>
            </w:r>
          </w:p>
        </w:tc>
        <w:tc>
          <w:tcPr>
            <w:tcW w:w="206" w:type="pct"/>
            <w:tcBorders>
              <w:top w:val="nil"/>
              <w:left w:val="nil"/>
              <w:bottom w:val="nil"/>
              <w:right w:val="nil"/>
            </w:tcBorders>
            <w:shd w:val="clear" w:color="auto" w:fill="auto"/>
            <w:noWrap/>
            <w:vAlign w:val="bottom"/>
            <w:hideMark/>
          </w:tcPr>
          <w:p w14:paraId="6928DDF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2.354</w:t>
            </w:r>
          </w:p>
        </w:tc>
        <w:tc>
          <w:tcPr>
            <w:tcW w:w="206" w:type="pct"/>
            <w:tcBorders>
              <w:top w:val="nil"/>
              <w:left w:val="nil"/>
              <w:bottom w:val="nil"/>
              <w:right w:val="nil"/>
            </w:tcBorders>
            <w:shd w:val="clear" w:color="auto" w:fill="auto"/>
            <w:noWrap/>
            <w:vAlign w:val="bottom"/>
            <w:hideMark/>
          </w:tcPr>
          <w:p w14:paraId="5FD7B62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2.463</w:t>
            </w:r>
          </w:p>
        </w:tc>
        <w:tc>
          <w:tcPr>
            <w:tcW w:w="206" w:type="pct"/>
            <w:tcBorders>
              <w:top w:val="nil"/>
              <w:left w:val="nil"/>
              <w:bottom w:val="nil"/>
              <w:right w:val="nil"/>
            </w:tcBorders>
            <w:shd w:val="clear" w:color="auto" w:fill="auto"/>
            <w:noWrap/>
            <w:vAlign w:val="bottom"/>
            <w:hideMark/>
          </w:tcPr>
          <w:p w14:paraId="7174C2B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2.681</w:t>
            </w:r>
          </w:p>
        </w:tc>
      </w:tr>
      <w:tr w:rsidR="00B54F4E" w:rsidRPr="00D050B8" w14:paraId="3EBE27C4" w14:textId="77777777" w:rsidTr="006504C4">
        <w:trPr>
          <w:trHeight w:val="255"/>
        </w:trPr>
        <w:tc>
          <w:tcPr>
            <w:tcW w:w="1253" w:type="pct"/>
            <w:tcBorders>
              <w:top w:val="nil"/>
              <w:left w:val="nil"/>
              <w:bottom w:val="nil"/>
              <w:right w:val="nil"/>
            </w:tcBorders>
            <w:shd w:val="clear" w:color="auto" w:fill="auto"/>
            <w:noWrap/>
            <w:vAlign w:val="bottom"/>
            <w:hideMark/>
          </w:tcPr>
          <w:p w14:paraId="62B81C6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Número de bombillos incandescente a cambiar (por LED)</w:t>
            </w:r>
          </w:p>
        </w:tc>
        <w:tc>
          <w:tcPr>
            <w:tcW w:w="253" w:type="pct"/>
            <w:tcBorders>
              <w:top w:val="nil"/>
              <w:left w:val="nil"/>
              <w:bottom w:val="nil"/>
              <w:right w:val="nil"/>
            </w:tcBorders>
            <w:shd w:val="clear" w:color="auto" w:fill="auto"/>
            <w:noWrap/>
            <w:vAlign w:val="bottom"/>
            <w:hideMark/>
          </w:tcPr>
          <w:p w14:paraId="4C257C45" w14:textId="77777777" w:rsidR="00B54F4E" w:rsidRPr="00D050B8" w:rsidRDefault="00B54F4E" w:rsidP="006504C4">
            <w:pPr>
              <w:spacing w:before="0" w:after="0"/>
              <w:jc w:val="left"/>
              <w:rPr>
                <w:rFonts w:ascii="Calibri" w:hAnsi="Calibri" w:cs="Calibri"/>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551D4466"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5ED5D50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C5A041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45C0069" w14:textId="77777777" w:rsidR="00B54F4E" w:rsidRPr="00D050B8" w:rsidRDefault="00B54F4E" w:rsidP="006504C4">
            <w:pPr>
              <w:spacing w:before="0" w:after="0"/>
              <w:jc w:val="right"/>
              <w:rPr>
                <w:rFonts w:ascii="Calibri" w:hAnsi="Calibri" w:cs="Calibri"/>
                <w:color w:val="00B050"/>
                <w:sz w:val="12"/>
                <w:szCs w:val="12"/>
                <w:lang w:eastAsia="es-CO"/>
              </w:rPr>
            </w:pPr>
            <w:r w:rsidRPr="00D050B8">
              <w:rPr>
                <w:rFonts w:ascii="Calibri" w:hAnsi="Calibri" w:cs="Calibri"/>
                <w:color w:val="00B050"/>
                <w:sz w:val="12"/>
                <w:szCs w:val="12"/>
                <w:lang w:eastAsia="es-CO"/>
              </w:rPr>
              <w:t>41.062</w:t>
            </w:r>
          </w:p>
        </w:tc>
        <w:tc>
          <w:tcPr>
            <w:tcW w:w="206" w:type="pct"/>
            <w:tcBorders>
              <w:top w:val="nil"/>
              <w:left w:val="nil"/>
              <w:bottom w:val="nil"/>
              <w:right w:val="nil"/>
            </w:tcBorders>
            <w:shd w:val="clear" w:color="auto" w:fill="auto"/>
            <w:noWrap/>
            <w:vAlign w:val="bottom"/>
            <w:hideMark/>
          </w:tcPr>
          <w:p w14:paraId="4888810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37C9DA6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55CD8A5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494150B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69C3961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0F62B18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5840429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34481C9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4D7E608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04498B9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147DA97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33DB83F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c>
          <w:tcPr>
            <w:tcW w:w="206" w:type="pct"/>
            <w:tcBorders>
              <w:top w:val="nil"/>
              <w:left w:val="nil"/>
              <w:bottom w:val="nil"/>
              <w:right w:val="nil"/>
            </w:tcBorders>
            <w:shd w:val="clear" w:color="auto" w:fill="auto"/>
            <w:noWrap/>
            <w:vAlign w:val="bottom"/>
            <w:hideMark/>
          </w:tcPr>
          <w:p w14:paraId="0761672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41.062</w:t>
            </w:r>
          </w:p>
        </w:tc>
      </w:tr>
      <w:tr w:rsidR="00B54F4E" w:rsidRPr="00D050B8" w14:paraId="144D36C3"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20086EAF"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Número de bombillos LFC a cambiar (por LED)</w:t>
            </w:r>
          </w:p>
        </w:tc>
        <w:tc>
          <w:tcPr>
            <w:tcW w:w="253" w:type="pct"/>
            <w:tcBorders>
              <w:top w:val="nil"/>
              <w:left w:val="nil"/>
              <w:bottom w:val="single" w:sz="4" w:space="0" w:color="000000"/>
              <w:right w:val="nil"/>
            </w:tcBorders>
            <w:shd w:val="clear" w:color="auto" w:fill="auto"/>
            <w:noWrap/>
            <w:vAlign w:val="bottom"/>
            <w:hideMark/>
          </w:tcPr>
          <w:p w14:paraId="7E8AF94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000000"/>
              <w:right w:val="nil"/>
            </w:tcBorders>
            <w:shd w:val="clear" w:color="auto" w:fill="auto"/>
            <w:noWrap/>
            <w:vAlign w:val="bottom"/>
            <w:hideMark/>
          </w:tcPr>
          <w:p w14:paraId="348AF4F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000000"/>
              <w:right w:val="nil"/>
            </w:tcBorders>
            <w:shd w:val="clear" w:color="auto" w:fill="auto"/>
            <w:noWrap/>
            <w:vAlign w:val="bottom"/>
            <w:hideMark/>
          </w:tcPr>
          <w:p w14:paraId="51E544AF"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000000"/>
              <w:right w:val="nil"/>
            </w:tcBorders>
            <w:shd w:val="clear" w:color="auto" w:fill="auto"/>
            <w:noWrap/>
            <w:vAlign w:val="bottom"/>
            <w:hideMark/>
          </w:tcPr>
          <w:p w14:paraId="6388BEF2"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000000"/>
              <w:right w:val="nil"/>
            </w:tcBorders>
            <w:shd w:val="clear" w:color="auto" w:fill="auto"/>
            <w:noWrap/>
            <w:vAlign w:val="bottom"/>
            <w:hideMark/>
          </w:tcPr>
          <w:p w14:paraId="10122DC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000000"/>
              <w:right w:val="nil"/>
            </w:tcBorders>
            <w:shd w:val="clear" w:color="auto" w:fill="auto"/>
            <w:noWrap/>
            <w:vAlign w:val="bottom"/>
            <w:hideMark/>
          </w:tcPr>
          <w:p w14:paraId="2473A375"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000000"/>
              <w:right w:val="nil"/>
            </w:tcBorders>
            <w:shd w:val="clear" w:color="auto" w:fill="auto"/>
            <w:noWrap/>
            <w:vAlign w:val="bottom"/>
            <w:hideMark/>
          </w:tcPr>
          <w:p w14:paraId="035289C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000000"/>
              <w:right w:val="nil"/>
            </w:tcBorders>
            <w:shd w:val="clear" w:color="auto" w:fill="auto"/>
            <w:noWrap/>
            <w:vAlign w:val="bottom"/>
            <w:hideMark/>
          </w:tcPr>
          <w:p w14:paraId="107BB18B" w14:textId="77777777" w:rsidR="00B54F4E" w:rsidRPr="00D050B8" w:rsidRDefault="00B54F4E" w:rsidP="006504C4">
            <w:pPr>
              <w:spacing w:before="0" w:after="0"/>
              <w:jc w:val="right"/>
              <w:rPr>
                <w:rFonts w:ascii="Calibri" w:hAnsi="Calibri" w:cs="Calibri"/>
                <w:color w:val="00B050"/>
                <w:sz w:val="12"/>
                <w:szCs w:val="12"/>
                <w:lang w:eastAsia="es-CO"/>
              </w:rPr>
            </w:pPr>
            <w:r w:rsidRPr="00D050B8">
              <w:rPr>
                <w:rFonts w:ascii="Calibri" w:hAnsi="Calibri" w:cs="Calibri"/>
                <w:color w:val="00B05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7456E1B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441DE72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4A39632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169E0B3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4821F9D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5A7B001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3BBFD27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48FA041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3A7B863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c>
          <w:tcPr>
            <w:tcW w:w="206" w:type="pct"/>
            <w:tcBorders>
              <w:top w:val="nil"/>
              <w:left w:val="nil"/>
              <w:bottom w:val="single" w:sz="4" w:space="0" w:color="000000"/>
              <w:right w:val="nil"/>
            </w:tcBorders>
            <w:shd w:val="clear" w:color="auto" w:fill="auto"/>
            <w:noWrap/>
            <w:vAlign w:val="bottom"/>
            <w:hideMark/>
          </w:tcPr>
          <w:p w14:paraId="2FD833E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821.236</w:t>
            </w:r>
          </w:p>
        </w:tc>
      </w:tr>
      <w:tr w:rsidR="00B54F4E" w:rsidRPr="00D050B8" w14:paraId="08BC0F2E" w14:textId="77777777" w:rsidTr="006504C4">
        <w:trPr>
          <w:trHeight w:val="255"/>
        </w:trPr>
        <w:tc>
          <w:tcPr>
            <w:tcW w:w="1253" w:type="pct"/>
            <w:tcBorders>
              <w:top w:val="nil"/>
              <w:left w:val="nil"/>
              <w:bottom w:val="nil"/>
              <w:right w:val="nil"/>
            </w:tcBorders>
            <w:shd w:val="clear" w:color="auto" w:fill="auto"/>
            <w:noWrap/>
            <w:vAlign w:val="bottom"/>
            <w:hideMark/>
          </w:tcPr>
          <w:p w14:paraId="713A8FA2"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Beneficios</w:t>
            </w:r>
          </w:p>
        </w:tc>
        <w:tc>
          <w:tcPr>
            <w:tcW w:w="253" w:type="pct"/>
            <w:tcBorders>
              <w:top w:val="nil"/>
              <w:left w:val="nil"/>
              <w:bottom w:val="nil"/>
              <w:right w:val="nil"/>
            </w:tcBorders>
            <w:shd w:val="clear" w:color="auto" w:fill="auto"/>
            <w:noWrap/>
            <w:vAlign w:val="bottom"/>
            <w:hideMark/>
          </w:tcPr>
          <w:p w14:paraId="6EA52DEA" w14:textId="77777777" w:rsidR="00B54F4E" w:rsidRPr="00D050B8" w:rsidRDefault="00B54F4E" w:rsidP="006504C4">
            <w:pPr>
              <w:spacing w:before="0" w:after="0"/>
              <w:jc w:val="left"/>
              <w:rPr>
                <w:rFonts w:ascii="Calibri" w:hAnsi="Calibri" w:cs="Calibri"/>
                <w:b/>
                <w:bCs/>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51DF51C8"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7F51558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E4AD6C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81EC67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FAFCCC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64F74B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13E41F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C75695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F56E27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33A70A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400A1D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74C9F0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17D89B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817FCF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B50ED1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AA394B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08E28B3"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03016775" w14:textId="77777777" w:rsidTr="006504C4">
        <w:trPr>
          <w:trHeight w:val="255"/>
        </w:trPr>
        <w:tc>
          <w:tcPr>
            <w:tcW w:w="1253" w:type="pct"/>
            <w:tcBorders>
              <w:top w:val="nil"/>
              <w:left w:val="nil"/>
              <w:bottom w:val="nil"/>
              <w:right w:val="nil"/>
            </w:tcBorders>
            <w:shd w:val="clear" w:color="auto" w:fill="auto"/>
            <w:noWrap/>
            <w:vAlign w:val="bottom"/>
            <w:hideMark/>
          </w:tcPr>
          <w:p w14:paraId="319F1B5F"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GWh/año</w:t>
            </w:r>
          </w:p>
        </w:tc>
        <w:tc>
          <w:tcPr>
            <w:tcW w:w="253" w:type="pct"/>
            <w:tcBorders>
              <w:top w:val="nil"/>
              <w:left w:val="nil"/>
              <w:bottom w:val="nil"/>
              <w:right w:val="nil"/>
            </w:tcBorders>
            <w:shd w:val="clear" w:color="auto" w:fill="auto"/>
            <w:noWrap/>
            <w:vAlign w:val="bottom"/>
            <w:hideMark/>
          </w:tcPr>
          <w:p w14:paraId="3FE9E62D"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0B301DF3"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4FF99F5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662789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06" w:type="pct"/>
            <w:tcBorders>
              <w:top w:val="nil"/>
              <w:left w:val="nil"/>
              <w:bottom w:val="nil"/>
              <w:right w:val="nil"/>
            </w:tcBorders>
            <w:shd w:val="clear" w:color="auto" w:fill="auto"/>
            <w:noWrap/>
            <w:vAlign w:val="bottom"/>
            <w:hideMark/>
          </w:tcPr>
          <w:p w14:paraId="7AB9043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11,15</w:t>
            </w:r>
          </w:p>
        </w:tc>
        <w:tc>
          <w:tcPr>
            <w:tcW w:w="206" w:type="pct"/>
            <w:tcBorders>
              <w:top w:val="nil"/>
              <w:left w:val="nil"/>
              <w:bottom w:val="nil"/>
              <w:right w:val="nil"/>
            </w:tcBorders>
            <w:shd w:val="clear" w:color="auto" w:fill="auto"/>
            <w:noWrap/>
            <w:vAlign w:val="bottom"/>
            <w:hideMark/>
          </w:tcPr>
          <w:p w14:paraId="26E4414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22,30</w:t>
            </w:r>
          </w:p>
        </w:tc>
        <w:tc>
          <w:tcPr>
            <w:tcW w:w="206" w:type="pct"/>
            <w:tcBorders>
              <w:top w:val="nil"/>
              <w:left w:val="nil"/>
              <w:bottom w:val="nil"/>
              <w:right w:val="nil"/>
            </w:tcBorders>
            <w:shd w:val="clear" w:color="auto" w:fill="auto"/>
            <w:noWrap/>
            <w:vAlign w:val="bottom"/>
            <w:hideMark/>
          </w:tcPr>
          <w:p w14:paraId="1DA9CFD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33,45</w:t>
            </w:r>
          </w:p>
        </w:tc>
        <w:tc>
          <w:tcPr>
            <w:tcW w:w="206" w:type="pct"/>
            <w:tcBorders>
              <w:top w:val="nil"/>
              <w:left w:val="nil"/>
              <w:bottom w:val="nil"/>
              <w:right w:val="nil"/>
            </w:tcBorders>
            <w:shd w:val="clear" w:color="auto" w:fill="auto"/>
            <w:noWrap/>
            <w:vAlign w:val="bottom"/>
            <w:hideMark/>
          </w:tcPr>
          <w:p w14:paraId="169611D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62,59</w:t>
            </w:r>
          </w:p>
        </w:tc>
        <w:tc>
          <w:tcPr>
            <w:tcW w:w="206" w:type="pct"/>
            <w:tcBorders>
              <w:top w:val="nil"/>
              <w:left w:val="nil"/>
              <w:bottom w:val="nil"/>
              <w:right w:val="nil"/>
            </w:tcBorders>
            <w:shd w:val="clear" w:color="auto" w:fill="auto"/>
            <w:noWrap/>
            <w:vAlign w:val="bottom"/>
            <w:hideMark/>
          </w:tcPr>
          <w:p w14:paraId="16363BB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91,72</w:t>
            </w:r>
          </w:p>
        </w:tc>
        <w:tc>
          <w:tcPr>
            <w:tcW w:w="206" w:type="pct"/>
            <w:tcBorders>
              <w:top w:val="nil"/>
              <w:left w:val="nil"/>
              <w:bottom w:val="nil"/>
              <w:right w:val="nil"/>
            </w:tcBorders>
            <w:shd w:val="clear" w:color="auto" w:fill="auto"/>
            <w:noWrap/>
            <w:vAlign w:val="bottom"/>
            <w:hideMark/>
          </w:tcPr>
          <w:p w14:paraId="399CDB0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120,86</w:t>
            </w:r>
          </w:p>
        </w:tc>
        <w:tc>
          <w:tcPr>
            <w:tcW w:w="206" w:type="pct"/>
            <w:tcBorders>
              <w:top w:val="nil"/>
              <w:left w:val="nil"/>
              <w:bottom w:val="nil"/>
              <w:right w:val="nil"/>
            </w:tcBorders>
            <w:shd w:val="clear" w:color="auto" w:fill="auto"/>
            <w:noWrap/>
            <w:vAlign w:val="bottom"/>
            <w:hideMark/>
          </w:tcPr>
          <w:p w14:paraId="518C753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150,00</w:t>
            </w:r>
          </w:p>
        </w:tc>
        <w:tc>
          <w:tcPr>
            <w:tcW w:w="206" w:type="pct"/>
            <w:tcBorders>
              <w:top w:val="nil"/>
              <w:left w:val="nil"/>
              <w:bottom w:val="nil"/>
              <w:right w:val="nil"/>
            </w:tcBorders>
            <w:shd w:val="clear" w:color="auto" w:fill="auto"/>
            <w:noWrap/>
            <w:vAlign w:val="bottom"/>
            <w:hideMark/>
          </w:tcPr>
          <w:p w14:paraId="147888C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179,13</w:t>
            </w:r>
          </w:p>
        </w:tc>
        <w:tc>
          <w:tcPr>
            <w:tcW w:w="206" w:type="pct"/>
            <w:tcBorders>
              <w:top w:val="nil"/>
              <w:left w:val="nil"/>
              <w:bottom w:val="nil"/>
              <w:right w:val="nil"/>
            </w:tcBorders>
            <w:shd w:val="clear" w:color="auto" w:fill="auto"/>
            <w:noWrap/>
            <w:vAlign w:val="bottom"/>
            <w:hideMark/>
          </w:tcPr>
          <w:p w14:paraId="6F23378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208,27</w:t>
            </w:r>
          </w:p>
        </w:tc>
        <w:tc>
          <w:tcPr>
            <w:tcW w:w="206" w:type="pct"/>
            <w:tcBorders>
              <w:top w:val="nil"/>
              <w:left w:val="nil"/>
              <w:bottom w:val="nil"/>
              <w:right w:val="nil"/>
            </w:tcBorders>
            <w:shd w:val="clear" w:color="auto" w:fill="auto"/>
            <w:noWrap/>
            <w:vAlign w:val="bottom"/>
            <w:hideMark/>
          </w:tcPr>
          <w:p w14:paraId="3516AAC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237,40</w:t>
            </w:r>
          </w:p>
        </w:tc>
        <w:tc>
          <w:tcPr>
            <w:tcW w:w="206" w:type="pct"/>
            <w:tcBorders>
              <w:top w:val="nil"/>
              <w:left w:val="nil"/>
              <w:bottom w:val="nil"/>
              <w:right w:val="nil"/>
            </w:tcBorders>
            <w:shd w:val="clear" w:color="auto" w:fill="auto"/>
            <w:noWrap/>
            <w:vAlign w:val="bottom"/>
            <w:hideMark/>
          </w:tcPr>
          <w:p w14:paraId="41A1B79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266,54</w:t>
            </w:r>
          </w:p>
        </w:tc>
        <w:tc>
          <w:tcPr>
            <w:tcW w:w="206" w:type="pct"/>
            <w:tcBorders>
              <w:top w:val="nil"/>
              <w:left w:val="nil"/>
              <w:bottom w:val="nil"/>
              <w:right w:val="nil"/>
            </w:tcBorders>
            <w:shd w:val="clear" w:color="auto" w:fill="auto"/>
            <w:noWrap/>
            <w:vAlign w:val="bottom"/>
            <w:hideMark/>
          </w:tcPr>
          <w:p w14:paraId="740D9B0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295,67</w:t>
            </w:r>
          </w:p>
        </w:tc>
        <w:tc>
          <w:tcPr>
            <w:tcW w:w="206" w:type="pct"/>
            <w:tcBorders>
              <w:top w:val="nil"/>
              <w:left w:val="nil"/>
              <w:bottom w:val="nil"/>
              <w:right w:val="nil"/>
            </w:tcBorders>
            <w:shd w:val="clear" w:color="auto" w:fill="auto"/>
            <w:noWrap/>
            <w:vAlign w:val="bottom"/>
            <w:hideMark/>
          </w:tcPr>
          <w:p w14:paraId="490281E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324,81</w:t>
            </w:r>
          </w:p>
        </w:tc>
        <w:tc>
          <w:tcPr>
            <w:tcW w:w="206" w:type="pct"/>
            <w:tcBorders>
              <w:top w:val="nil"/>
              <w:left w:val="nil"/>
              <w:bottom w:val="nil"/>
              <w:right w:val="nil"/>
            </w:tcBorders>
            <w:shd w:val="clear" w:color="auto" w:fill="auto"/>
            <w:noWrap/>
            <w:vAlign w:val="bottom"/>
            <w:hideMark/>
          </w:tcPr>
          <w:p w14:paraId="003EC46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353,95</w:t>
            </w:r>
          </w:p>
        </w:tc>
      </w:tr>
      <w:tr w:rsidR="00B54F4E" w:rsidRPr="00D050B8" w14:paraId="51F1DE06" w14:textId="77777777" w:rsidTr="006504C4">
        <w:trPr>
          <w:trHeight w:val="255"/>
        </w:trPr>
        <w:tc>
          <w:tcPr>
            <w:tcW w:w="1253" w:type="pct"/>
            <w:tcBorders>
              <w:top w:val="nil"/>
              <w:left w:val="nil"/>
              <w:bottom w:val="single" w:sz="4" w:space="0" w:color="BFBFBF"/>
              <w:right w:val="nil"/>
            </w:tcBorders>
            <w:shd w:val="clear" w:color="auto" w:fill="auto"/>
            <w:noWrap/>
            <w:vAlign w:val="bottom"/>
            <w:hideMark/>
          </w:tcPr>
          <w:p w14:paraId="67EAA448"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Emisiones de CO2 evitadas (TonCo2)</w:t>
            </w:r>
          </w:p>
        </w:tc>
        <w:tc>
          <w:tcPr>
            <w:tcW w:w="253" w:type="pct"/>
            <w:tcBorders>
              <w:top w:val="nil"/>
              <w:left w:val="nil"/>
              <w:bottom w:val="single" w:sz="4" w:space="0" w:color="BFBFBF"/>
              <w:right w:val="nil"/>
            </w:tcBorders>
            <w:shd w:val="clear" w:color="auto" w:fill="auto"/>
            <w:noWrap/>
            <w:vAlign w:val="bottom"/>
            <w:hideMark/>
          </w:tcPr>
          <w:p w14:paraId="2FAD4FE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BFBFBF"/>
              <w:right w:val="nil"/>
            </w:tcBorders>
            <w:shd w:val="clear" w:color="auto" w:fill="auto"/>
            <w:noWrap/>
            <w:vAlign w:val="bottom"/>
            <w:hideMark/>
          </w:tcPr>
          <w:p w14:paraId="26DE870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BFBFBF"/>
              <w:right w:val="nil"/>
            </w:tcBorders>
            <w:shd w:val="clear" w:color="auto" w:fill="auto"/>
            <w:noWrap/>
            <w:vAlign w:val="bottom"/>
            <w:hideMark/>
          </w:tcPr>
          <w:p w14:paraId="41EF60B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BFBFBF"/>
              <w:right w:val="nil"/>
            </w:tcBorders>
            <w:shd w:val="clear" w:color="auto" w:fill="auto"/>
            <w:noWrap/>
            <w:vAlign w:val="bottom"/>
            <w:hideMark/>
          </w:tcPr>
          <w:p w14:paraId="175E8E1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BFBFBF"/>
              <w:right w:val="nil"/>
            </w:tcBorders>
            <w:shd w:val="clear" w:color="auto" w:fill="auto"/>
            <w:noWrap/>
            <w:vAlign w:val="bottom"/>
            <w:hideMark/>
          </w:tcPr>
          <w:p w14:paraId="217E165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2.132</w:t>
            </w:r>
          </w:p>
        </w:tc>
        <w:tc>
          <w:tcPr>
            <w:tcW w:w="206" w:type="pct"/>
            <w:tcBorders>
              <w:top w:val="nil"/>
              <w:left w:val="nil"/>
              <w:bottom w:val="single" w:sz="4" w:space="0" w:color="BFBFBF"/>
              <w:right w:val="nil"/>
            </w:tcBorders>
            <w:shd w:val="clear" w:color="auto" w:fill="auto"/>
            <w:noWrap/>
            <w:vAlign w:val="bottom"/>
            <w:hideMark/>
          </w:tcPr>
          <w:p w14:paraId="7D2C0FD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4.265</w:t>
            </w:r>
          </w:p>
        </w:tc>
        <w:tc>
          <w:tcPr>
            <w:tcW w:w="206" w:type="pct"/>
            <w:tcBorders>
              <w:top w:val="nil"/>
              <w:left w:val="nil"/>
              <w:bottom w:val="single" w:sz="4" w:space="0" w:color="BFBFBF"/>
              <w:right w:val="nil"/>
            </w:tcBorders>
            <w:shd w:val="clear" w:color="auto" w:fill="auto"/>
            <w:noWrap/>
            <w:vAlign w:val="bottom"/>
            <w:hideMark/>
          </w:tcPr>
          <w:p w14:paraId="1E67F40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6.397</w:t>
            </w:r>
          </w:p>
        </w:tc>
        <w:tc>
          <w:tcPr>
            <w:tcW w:w="206" w:type="pct"/>
            <w:tcBorders>
              <w:top w:val="nil"/>
              <w:left w:val="nil"/>
              <w:bottom w:val="single" w:sz="4" w:space="0" w:color="BFBFBF"/>
              <w:right w:val="nil"/>
            </w:tcBorders>
            <w:shd w:val="clear" w:color="auto" w:fill="auto"/>
            <w:noWrap/>
            <w:vAlign w:val="bottom"/>
            <w:hideMark/>
          </w:tcPr>
          <w:p w14:paraId="1509C3C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11.969</w:t>
            </w:r>
          </w:p>
        </w:tc>
        <w:tc>
          <w:tcPr>
            <w:tcW w:w="206" w:type="pct"/>
            <w:tcBorders>
              <w:top w:val="nil"/>
              <w:left w:val="nil"/>
              <w:bottom w:val="single" w:sz="4" w:space="0" w:color="BFBFBF"/>
              <w:right w:val="nil"/>
            </w:tcBorders>
            <w:shd w:val="clear" w:color="auto" w:fill="auto"/>
            <w:noWrap/>
            <w:vAlign w:val="bottom"/>
            <w:hideMark/>
          </w:tcPr>
          <w:p w14:paraId="32A8803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17.541</w:t>
            </w:r>
          </w:p>
        </w:tc>
        <w:tc>
          <w:tcPr>
            <w:tcW w:w="206" w:type="pct"/>
            <w:tcBorders>
              <w:top w:val="nil"/>
              <w:left w:val="nil"/>
              <w:bottom w:val="single" w:sz="4" w:space="0" w:color="BFBFBF"/>
              <w:right w:val="nil"/>
            </w:tcBorders>
            <w:shd w:val="clear" w:color="auto" w:fill="auto"/>
            <w:noWrap/>
            <w:vAlign w:val="bottom"/>
            <w:hideMark/>
          </w:tcPr>
          <w:p w14:paraId="054B661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23.113</w:t>
            </w:r>
          </w:p>
        </w:tc>
        <w:tc>
          <w:tcPr>
            <w:tcW w:w="206" w:type="pct"/>
            <w:tcBorders>
              <w:top w:val="nil"/>
              <w:left w:val="nil"/>
              <w:bottom w:val="single" w:sz="4" w:space="0" w:color="BFBFBF"/>
              <w:right w:val="nil"/>
            </w:tcBorders>
            <w:shd w:val="clear" w:color="auto" w:fill="auto"/>
            <w:noWrap/>
            <w:vAlign w:val="bottom"/>
            <w:hideMark/>
          </w:tcPr>
          <w:p w14:paraId="38977AD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28.685</w:t>
            </w:r>
          </w:p>
        </w:tc>
        <w:tc>
          <w:tcPr>
            <w:tcW w:w="206" w:type="pct"/>
            <w:tcBorders>
              <w:top w:val="nil"/>
              <w:left w:val="nil"/>
              <w:bottom w:val="single" w:sz="4" w:space="0" w:color="BFBFBF"/>
              <w:right w:val="nil"/>
            </w:tcBorders>
            <w:shd w:val="clear" w:color="auto" w:fill="auto"/>
            <w:noWrap/>
            <w:vAlign w:val="bottom"/>
            <w:hideMark/>
          </w:tcPr>
          <w:p w14:paraId="2650235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34.257</w:t>
            </w:r>
          </w:p>
        </w:tc>
        <w:tc>
          <w:tcPr>
            <w:tcW w:w="206" w:type="pct"/>
            <w:tcBorders>
              <w:top w:val="nil"/>
              <w:left w:val="nil"/>
              <w:bottom w:val="single" w:sz="4" w:space="0" w:color="BFBFBF"/>
              <w:right w:val="nil"/>
            </w:tcBorders>
            <w:shd w:val="clear" w:color="auto" w:fill="auto"/>
            <w:noWrap/>
            <w:vAlign w:val="bottom"/>
            <w:hideMark/>
          </w:tcPr>
          <w:p w14:paraId="6B693C1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39.829</w:t>
            </w:r>
          </w:p>
        </w:tc>
        <w:tc>
          <w:tcPr>
            <w:tcW w:w="206" w:type="pct"/>
            <w:tcBorders>
              <w:top w:val="nil"/>
              <w:left w:val="nil"/>
              <w:bottom w:val="single" w:sz="4" w:space="0" w:color="BFBFBF"/>
              <w:right w:val="nil"/>
            </w:tcBorders>
            <w:shd w:val="clear" w:color="auto" w:fill="auto"/>
            <w:noWrap/>
            <w:vAlign w:val="bottom"/>
            <w:hideMark/>
          </w:tcPr>
          <w:p w14:paraId="3F32222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45.401</w:t>
            </w:r>
          </w:p>
        </w:tc>
        <w:tc>
          <w:tcPr>
            <w:tcW w:w="206" w:type="pct"/>
            <w:tcBorders>
              <w:top w:val="nil"/>
              <w:left w:val="nil"/>
              <w:bottom w:val="single" w:sz="4" w:space="0" w:color="BFBFBF"/>
              <w:right w:val="nil"/>
            </w:tcBorders>
            <w:shd w:val="clear" w:color="auto" w:fill="auto"/>
            <w:noWrap/>
            <w:vAlign w:val="bottom"/>
            <w:hideMark/>
          </w:tcPr>
          <w:p w14:paraId="0154309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50.973</w:t>
            </w:r>
          </w:p>
        </w:tc>
        <w:tc>
          <w:tcPr>
            <w:tcW w:w="206" w:type="pct"/>
            <w:tcBorders>
              <w:top w:val="nil"/>
              <w:left w:val="nil"/>
              <w:bottom w:val="single" w:sz="4" w:space="0" w:color="BFBFBF"/>
              <w:right w:val="nil"/>
            </w:tcBorders>
            <w:shd w:val="clear" w:color="auto" w:fill="auto"/>
            <w:noWrap/>
            <w:vAlign w:val="bottom"/>
            <w:hideMark/>
          </w:tcPr>
          <w:p w14:paraId="15D9F51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56.545</w:t>
            </w:r>
          </w:p>
        </w:tc>
        <w:tc>
          <w:tcPr>
            <w:tcW w:w="206" w:type="pct"/>
            <w:tcBorders>
              <w:top w:val="nil"/>
              <w:left w:val="nil"/>
              <w:bottom w:val="single" w:sz="4" w:space="0" w:color="BFBFBF"/>
              <w:right w:val="nil"/>
            </w:tcBorders>
            <w:shd w:val="clear" w:color="auto" w:fill="auto"/>
            <w:noWrap/>
            <w:vAlign w:val="bottom"/>
            <w:hideMark/>
          </w:tcPr>
          <w:p w14:paraId="659B549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62.117</w:t>
            </w:r>
          </w:p>
        </w:tc>
        <w:tc>
          <w:tcPr>
            <w:tcW w:w="206" w:type="pct"/>
            <w:tcBorders>
              <w:top w:val="nil"/>
              <w:left w:val="nil"/>
              <w:bottom w:val="single" w:sz="4" w:space="0" w:color="BFBFBF"/>
              <w:right w:val="nil"/>
            </w:tcBorders>
            <w:shd w:val="clear" w:color="auto" w:fill="auto"/>
            <w:noWrap/>
            <w:vAlign w:val="bottom"/>
            <w:hideMark/>
          </w:tcPr>
          <w:p w14:paraId="1308C17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67.689</w:t>
            </w:r>
          </w:p>
        </w:tc>
      </w:tr>
      <w:tr w:rsidR="00B54F4E" w:rsidRPr="00D050B8" w14:paraId="43CF7CC3" w14:textId="77777777" w:rsidTr="006504C4">
        <w:trPr>
          <w:trHeight w:val="255"/>
        </w:trPr>
        <w:tc>
          <w:tcPr>
            <w:tcW w:w="1253" w:type="pct"/>
            <w:tcBorders>
              <w:top w:val="nil"/>
              <w:left w:val="nil"/>
              <w:bottom w:val="nil"/>
              <w:right w:val="nil"/>
            </w:tcBorders>
            <w:shd w:val="clear" w:color="auto" w:fill="auto"/>
            <w:noWrap/>
            <w:vAlign w:val="bottom"/>
            <w:hideMark/>
          </w:tcPr>
          <w:p w14:paraId="46DF5B14"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costo final de energía evitado ($USD Millones)</w:t>
            </w:r>
          </w:p>
        </w:tc>
        <w:tc>
          <w:tcPr>
            <w:tcW w:w="253" w:type="pct"/>
            <w:tcBorders>
              <w:top w:val="nil"/>
              <w:left w:val="nil"/>
              <w:bottom w:val="nil"/>
              <w:right w:val="nil"/>
            </w:tcBorders>
            <w:shd w:val="clear" w:color="auto" w:fill="auto"/>
            <w:noWrap/>
            <w:vAlign w:val="bottom"/>
            <w:hideMark/>
          </w:tcPr>
          <w:p w14:paraId="01B5F260"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3C1FF3C3"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30D7641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227DEE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06" w:type="pct"/>
            <w:tcBorders>
              <w:top w:val="nil"/>
              <w:left w:val="nil"/>
              <w:bottom w:val="nil"/>
              <w:right w:val="nil"/>
            </w:tcBorders>
            <w:shd w:val="clear" w:color="auto" w:fill="auto"/>
            <w:noWrap/>
            <w:vAlign w:val="bottom"/>
            <w:hideMark/>
          </w:tcPr>
          <w:p w14:paraId="5E9F639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1,61</w:t>
            </w:r>
          </w:p>
        </w:tc>
        <w:tc>
          <w:tcPr>
            <w:tcW w:w="206" w:type="pct"/>
            <w:tcBorders>
              <w:top w:val="nil"/>
              <w:left w:val="nil"/>
              <w:bottom w:val="nil"/>
              <w:right w:val="nil"/>
            </w:tcBorders>
            <w:shd w:val="clear" w:color="auto" w:fill="auto"/>
            <w:noWrap/>
            <w:vAlign w:val="bottom"/>
            <w:hideMark/>
          </w:tcPr>
          <w:p w14:paraId="23BC749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3,21</w:t>
            </w:r>
          </w:p>
        </w:tc>
        <w:tc>
          <w:tcPr>
            <w:tcW w:w="206" w:type="pct"/>
            <w:tcBorders>
              <w:top w:val="nil"/>
              <w:left w:val="nil"/>
              <w:bottom w:val="nil"/>
              <w:right w:val="nil"/>
            </w:tcBorders>
            <w:shd w:val="clear" w:color="auto" w:fill="auto"/>
            <w:noWrap/>
            <w:vAlign w:val="bottom"/>
            <w:hideMark/>
          </w:tcPr>
          <w:p w14:paraId="0FD2A64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4,82</w:t>
            </w:r>
          </w:p>
        </w:tc>
        <w:tc>
          <w:tcPr>
            <w:tcW w:w="206" w:type="pct"/>
            <w:tcBorders>
              <w:top w:val="nil"/>
              <w:left w:val="nil"/>
              <w:bottom w:val="nil"/>
              <w:right w:val="nil"/>
            </w:tcBorders>
            <w:shd w:val="clear" w:color="auto" w:fill="auto"/>
            <w:noWrap/>
            <w:vAlign w:val="bottom"/>
            <w:hideMark/>
          </w:tcPr>
          <w:p w14:paraId="1F425D5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9,01</w:t>
            </w:r>
          </w:p>
        </w:tc>
        <w:tc>
          <w:tcPr>
            <w:tcW w:w="206" w:type="pct"/>
            <w:tcBorders>
              <w:top w:val="nil"/>
              <w:left w:val="nil"/>
              <w:bottom w:val="nil"/>
              <w:right w:val="nil"/>
            </w:tcBorders>
            <w:shd w:val="clear" w:color="auto" w:fill="auto"/>
            <w:noWrap/>
            <w:vAlign w:val="bottom"/>
            <w:hideMark/>
          </w:tcPr>
          <w:p w14:paraId="5004BBF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13,21</w:t>
            </w:r>
          </w:p>
        </w:tc>
        <w:tc>
          <w:tcPr>
            <w:tcW w:w="206" w:type="pct"/>
            <w:tcBorders>
              <w:top w:val="nil"/>
              <w:left w:val="nil"/>
              <w:bottom w:val="nil"/>
              <w:right w:val="nil"/>
            </w:tcBorders>
            <w:shd w:val="clear" w:color="auto" w:fill="auto"/>
            <w:noWrap/>
            <w:vAlign w:val="bottom"/>
            <w:hideMark/>
          </w:tcPr>
          <w:p w14:paraId="60AC8E6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17,40</w:t>
            </w:r>
          </w:p>
        </w:tc>
        <w:tc>
          <w:tcPr>
            <w:tcW w:w="206" w:type="pct"/>
            <w:tcBorders>
              <w:top w:val="nil"/>
              <w:left w:val="nil"/>
              <w:bottom w:val="nil"/>
              <w:right w:val="nil"/>
            </w:tcBorders>
            <w:shd w:val="clear" w:color="auto" w:fill="auto"/>
            <w:noWrap/>
            <w:vAlign w:val="bottom"/>
            <w:hideMark/>
          </w:tcPr>
          <w:p w14:paraId="56E0202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21,60</w:t>
            </w:r>
          </w:p>
        </w:tc>
        <w:tc>
          <w:tcPr>
            <w:tcW w:w="206" w:type="pct"/>
            <w:tcBorders>
              <w:top w:val="nil"/>
              <w:left w:val="nil"/>
              <w:bottom w:val="nil"/>
              <w:right w:val="nil"/>
            </w:tcBorders>
            <w:shd w:val="clear" w:color="auto" w:fill="auto"/>
            <w:noWrap/>
            <w:vAlign w:val="bottom"/>
            <w:hideMark/>
          </w:tcPr>
          <w:p w14:paraId="6F3E08A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25,79</w:t>
            </w:r>
          </w:p>
        </w:tc>
        <w:tc>
          <w:tcPr>
            <w:tcW w:w="206" w:type="pct"/>
            <w:tcBorders>
              <w:top w:val="nil"/>
              <w:left w:val="nil"/>
              <w:bottom w:val="nil"/>
              <w:right w:val="nil"/>
            </w:tcBorders>
            <w:shd w:val="clear" w:color="auto" w:fill="auto"/>
            <w:noWrap/>
            <w:vAlign w:val="bottom"/>
            <w:hideMark/>
          </w:tcPr>
          <w:p w14:paraId="39DEC70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29,99</w:t>
            </w:r>
          </w:p>
        </w:tc>
        <w:tc>
          <w:tcPr>
            <w:tcW w:w="206" w:type="pct"/>
            <w:tcBorders>
              <w:top w:val="nil"/>
              <w:left w:val="nil"/>
              <w:bottom w:val="nil"/>
              <w:right w:val="nil"/>
            </w:tcBorders>
            <w:shd w:val="clear" w:color="auto" w:fill="auto"/>
            <w:noWrap/>
            <w:vAlign w:val="bottom"/>
            <w:hideMark/>
          </w:tcPr>
          <w:p w14:paraId="3285779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34,19</w:t>
            </w:r>
          </w:p>
        </w:tc>
        <w:tc>
          <w:tcPr>
            <w:tcW w:w="206" w:type="pct"/>
            <w:tcBorders>
              <w:top w:val="nil"/>
              <w:left w:val="nil"/>
              <w:bottom w:val="nil"/>
              <w:right w:val="nil"/>
            </w:tcBorders>
            <w:shd w:val="clear" w:color="auto" w:fill="auto"/>
            <w:noWrap/>
            <w:vAlign w:val="bottom"/>
            <w:hideMark/>
          </w:tcPr>
          <w:p w14:paraId="45488F0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38,38</w:t>
            </w:r>
          </w:p>
        </w:tc>
        <w:tc>
          <w:tcPr>
            <w:tcW w:w="206" w:type="pct"/>
            <w:tcBorders>
              <w:top w:val="nil"/>
              <w:left w:val="nil"/>
              <w:bottom w:val="nil"/>
              <w:right w:val="nil"/>
            </w:tcBorders>
            <w:shd w:val="clear" w:color="auto" w:fill="auto"/>
            <w:noWrap/>
            <w:vAlign w:val="bottom"/>
            <w:hideMark/>
          </w:tcPr>
          <w:p w14:paraId="0BA2DBF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42,58</w:t>
            </w:r>
          </w:p>
        </w:tc>
        <w:tc>
          <w:tcPr>
            <w:tcW w:w="206" w:type="pct"/>
            <w:tcBorders>
              <w:top w:val="nil"/>
              <w:left w:val="nil"/>
              <w:bottom w:val="nil"/>
              <w:right w:val="nil"/>
            </w:tcBorders>
            <w:shd w:val="clear" w:color="auto" w:fill="auto"/>
            <w:noWrap/>
            <w:vAlign w:val="bottom"/>
            <w:hideMark/>
          </w:tcPr>
          <w:p w14:paraId="01DDCBA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46,77</w:t>
            </w:r>
          </w:p>
        </w:tc>
        <w:tc>
          <w:tcPr>
            <w:tcW w:w="206" w:type="pct"/>
            <w:tcBorders>
              <w:top w:val="nil"/>
              <w:left w:val="nil"/>
              <w:bottom w:val="nil"/>
              <w:right w:val="nil"/>
            </w:tcBorders>
            <w:shd w:val="clear" w:color="auto" w:fill="auto"/>
            <w:noWrap/>
            <w:vAlign w:val="bottom"/>
            <w:hideMark/>
          </w:tcPr>
          <w:p w14:paraId="34DAAA9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50,97</w:t>
            </w:r>
          </w:p>
        </w:tc>
      </w:tr>
      <w:tr w:rsidR="00B54F4E" w:rsidRPr="00D050B8" w14:paraId="50358DFA" w14:textId="77777777" w:rsidTr="006504C4">
        <w:trPr>
          <w:trHeight w:val="255"/>
        </w:trPr>
        <w:tc>
          <w:tcPr>
            <w:tcW w:w="1253" w:type="pct"/>
            <w:tcBorders>
              <w:top w:val="nil"/>
              <w:left w:val="nil"/>
              <w:bottom w:val="nil"/>
              <w:right w:val="nil"/>
            </w:tcBorders>
            <w:shd w:val="clear" w:color="auto" w:fill="auto"/>
            <w:noWrap/>
            <w:vAlign w:val="bottom"/>
            <w:hideMark/>
          </w:tcPr>
          <w:p w14:paraId="09F212C5"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menores emisiones de CO2 ($USD Millones)</w:t>
            </w:r>
          </w:p>
        </w:tc>
        <w:tc>
          <w:tcPr>
            <w:tcW w:w="253" w:type="pct"/>
            <w:tcBorders>
              <w:top w:val="nil"/>
              <w:left w:val="nil"/>
              <w:bottom w:val="nil"/>
              <w:right w:val="nil"/>
            </w:tcBorders>
            <w:shd w:val="clear" w:color="auto" w:fill="auto"/>
            <w:noWrap/>
            <w:vAlign w:val="bottom"/>
            <w:hideMark/>
          </w:tcPr>
          <w:p w14:paraId="26C6BF73"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31AB54E0"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14E3F4C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831991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06" w:type="pct"/>
            <w:tcBorders>
              <w:top w:val="nil"/>
              <w:left w:val="nil"/>
              <w:bottom w:val="nil"/>
              <w:right w:val="nil"/>
            </w:tcBorders>
            <w:shd w:val="clear" w:color="auto" w:fill="auto"/>
            <w:noWrap/>
            <w:vAlign w:val="bottom"/>
            <w:hideMark/>
          </w:tcPr>
          <w:p w14:paraId="71CA95F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0,01</w:t>
            </w:r>
          </w:p>
        </w:tc>
        <w:tc>
          <w:tcPr>
            <w:tcW w:w="206" w:type="pct"/>
            <w:tcBorders>
              <w:top w:val="nil"/>
              <w:left w:val="nil"/>
              <w:bottom w:val="nil"/>
              <w:right w:val="nil"/>
            </w:tcBorders>
            <w:shd w:val="clear" w:color="auto" w:fill="auto"/>
            <w:noWrap/>
            <w:vAlign w:val="bottom"/>
            <w:hideMark/>
          </w:tcPr>
          <w:p w14:paraId="03E80EA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0,03</w:t>
            </w:r>
          </w:p>
        </w:tc>
        <w:tc>
          <w:tcPr>
            <w:tcW w:w="206" w:type="pct"/>
            <w:tcBorders>
              <w:top w:val="nil"/>
              <w:left w:val="nil"/>
              <w:bottom w:val="nil"/>
              <w:right w:val="nil"/>
            </w:tcBorders>
            <w:shd w:val="clear" w:color="auto" w:fill="auto"/>
            <w:noWrap/>
            <w:vAlign w:val="bottom"/>
            <w:hideMark/>
          </w:tcPr>
          <w:p w14:paraId="7887FD0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0,04</w:t>
            </w:r>
          </w:p>
        </w:tc>
        <w:tc>
          <w:tcPr>
            <w:tcW w:w="206" w:type="pct"/>
            <w:tcBorders>
              <w:top w:val="nil"/>
              <w:left w:val="nil"/>
              <w:bottom w:val="nil"/>
              <w:right w:val="nil"/>
            </w:tcBorders>
            <w:shd w:val="clear" w:color="auto" w:fill="auto"/>
            <w:noWrap/>
            <w:vAlign w:val="bottom"/>
            <w:hideMark/>
          </w:tcPr>
          <w:p w14:paraId="1403E5B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0,07</w:t>
            </w:r>
          </w:p>
        </w:tc>
        <w:tc>
          <w:tcPr>
            <w:tcW w:w="206" w:type="pct"/>
            <w:tcBorders>
              <w:top w:val="nil"/>
              <w:left w:val="nil"/>
              <w:bottom w:val="nil"/>
              <w:right w:val="nil"/>
            </w:tcBorders>
            <w:shd w:val="clear" w:color="auto" w:fill="auto"/>
            <w:noWrap/>
            <w:vAlign w:val="bottom"/>
            <w:hideMark/>
          </w:tcPr>
          <w:p w14:paraId="749173F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0,11</w:t>
            </w:r>
          </w:p>
        </w:tc>
        <w:tc>
          <w:tcPr>
            <w:tcW w:w="206" w:type="pct"/>
            <w:tcBorders>
              <w:top w:val="nil"/>
              <w:left w:val="nil"/>
              <w:bottom w:val="nil"/>
              <w:right w:val="nil"/>
            </w:tcBorders>
            <w:shd w:val="clear" w:color="auto" w:fill="auto"/>
            <w:noWrap/>
            <w:vAlign w:val="bottom"/>
            <w:hideMark/>
          </w:tcPr>
          <w:p w14:paraId="0B1B226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0,14</w:t>
            </w:r>
          </w:p>
        </w:tc>
        <w:tc>
          <w:tcPr>
            <w:tcW w:w="206" w:type="pct"/>
            <w:tcBorders>
              <w:top w:val="nil"/>
              <w:left w:val="nil"/>
              <w:bottom w:val="nil"/>
              <w:right w:val="nil"/>
            </w:tcBorders>
            <w:shd w:val="clear" w:color="auto" w:fill="auto"/>
            <w:noWrap/>
            <w:vAlign w:val="bottom"/>
            <w:hideMark/>
          </w:tcPr>
          <w:p w14:paraId="2B028DB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0,17</w:t>
            </w:r>
          </w:p>
        </w:tc>
        <w:tc>
          <w:tcPr>
            <w:tcW w:w="206" w:type="pct"/>
            <w:tcBorders>
              <w:top w:val="nil"/>
              <w:left w:val="nil"/>
              <w:bottom w:val="nil"/>
              <w:right w:val="nil"/>
            </w:tcBorders>
            <w:shd w:val="clear" w:color="auto" w:fill="auto"/>
            <w:noWrap/>
            <w:vAlign w:val="bottom"/>
            <w:hideMark/>
          </w:tcPr>
          <w:p w14:paraId="1C03CBA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0,21</w:t>
            </w:r>
          </w:p>
        </w:tc>
        <w:tc>
          <w:tcPr>
            <w:tcW w:w="206" w:type="pct"/>
            <w:tcBorders>
              <w:top w:val="nil"/>
              <w:left w:val="nil"/>
              <w:bottom w:val="nil"/>
              <w:right w:val="nil"/>
            </w:tcBorders>
            <w:shd w:val="clear" w:color="auto" w:fill="auto"/>
            <w:noWrap/>
            <w:vAlign w:val="bottom"/>
            <w:hideMark/>
          </w:tcPr>
          <w:p w14:paraId="58A95AA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0,24</w:t>
            </w:r>
          </w:p>
        </w:tc>
        <w:tc>
          <w:tcPr>
            <w:tcW w:w="206" w:type="pct"/>
            <w:tcBorders>
              <w:top w:val="nil"/>
              <w:left w:val="nil"/>
              <w:bottom w:val="nil"/>
              <w:right w:val="nil"/>
            </w:tcBorders>
            <w:shd w:val="clear" w:color="auto" w:fill="auto"/>
            <w:noWrap/>
            <w:vAlign w:val="bottom"/>
            <w:hideMark/>
          </w:tcPr>
          <w:p w14:paraId="74088CD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0,27</w:t>
            </w:r>
          </w:p>
        </w:tc>
        <w:tc>
          <w:tcPr>
            <w:tcW w:w="206" w:type="pct"/>
            <w:tcBorders>
              <w:top w:val="nil"/>
              <w:left w:val="nil"/>
              <w:bottom w:val="nil"/>
              <w:right w:val="nil"/>
            </w:tcBorders>
            <w:shd w:val="clear" w:color="auto" w:fill="auto"/>
            <w:noWrap/>
            <w:vAlign w:val="bottom"/>
            <w:hideMark/>
          </w:tcPr>
          <w:p w14:paraId="071006D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0,31</w:t>
            </w:r>
          </w:p>
        </w:tc>
        <w:tc>
          <w:tcPr>
            <w:tcW w:w="206" w:type="pct"/>
            <w:tcBorders>
              <w:top w:val="nil"/>
              <w:left w:val="nil"/>
              <w:bottom w:val="nil"/>
              <w:right w:val="nil"/>
            </w:tcBorders>
            <w:shd w:val="clear" w:color="auto" w:fill="auto"/>
            <w:noWrap/>
            <w:vAlign w:val="bottom"/>
            <w:hideMark/>
          </w:tcPr>
          <w:p w14:paraId="0CE283B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0,34</w:t>
            </w:r>
          </w:p>
        </w:tc>
        <w:tc>
          <w:tcPr>
            <w:tcW w:w="206" w:type="pct"/>
            <w:tcBorders>
              <w:top w:val="nil"/>
              <w:left w:val="nil"/>
              <w:bottom w:val="nil"/>
              <w:right w:val="nil"/>
            </w:tcBorders>
            <w:shd w:val="clear" w:color="auto" w:fill="auto"/>
            <w:noWrap/>
            <w:vAlign w:val="bottom"/>
            <w:hideMark/>
          </w:tcPr>
          <w:p w14:paraId="68E43D7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0,37</w:t>
            </w:r>
          </w:p>
        </w:tc>
        <w:tc>
          <w:tcPr>
            <w:tcW w:w="206" w:type="pct"/>
            <w:tcBorders>
              <w:top w:val="nil"/>
              <w:left w:val="nil"/>
              <w:bottom w:val="nil"/>
              <w:right w:val="nil"/>
            </w:tcBorders>
            <w:shd w:val="clear" w:color="auto" w:fill="auto"/>
            <w:noWrap/>
            <w:vAlign w:val="bottom"/>
            <w:hideMark/>
          </w:tcPr>
          <w:p w14:paraId="17165E8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0,41</w:t>
            </w:r>
          </w:p>
        </w:tc>
      </w:tr>
      <w:tr w:rsidR="00B54F4E" w:rsidRPr="00D050B8" w14:paraId="4DB95F5B"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3194925A"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planta de generación evitada ($USD Millones)</w:t>
            </w:r>
          </w:p>
        </w:tc>
        <w:tc>
          <w:tcPr>
            <w:tcW w:w="253" w:type="pct"/>
            <w:tcBorders>
              <w:top w:val="nil"/>
              <w:left w:val="nil"/>
              <w:bottom w:val="single" w:sz="4" w:space="0" w:color="auto"/>
              <w:right w:val="nil"/>
            </w:tcBorders>
            <w:shd w:val="clear" w:color="auto" w:fill="auto"/>
            <w:noWrap/>
            <w:vAlign w:val="bottom"/>
            <w:hideMark/>
          </w:tcPr>
          <w:p w14:paraId="2BBF5B11"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auto"/>
              <w:right w:val="nil"/>
            </w:tcBorders>
            <w:shd w:val="clear" w:color="auto" w:fill="auto"/>
            <w:noWrap/>
            <w:vAlign w:val="bottom"/>
            <w:hideMark/>
          </w:tcPr>
          <w:p w14:paraId="671562E1"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auto"/>
              <w:right w:val="nil"/>
            </w:tcBorders>
            <w:shd w:val="clear" w:color="auto" w:fill="auto"/>
            <w:noWrap/>
            <w:vAlign w:val="bottom"/>
            <w:hideMark/>
          </w:tcPr>
          <w:p w14:paraId="3A7F4B6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auto"/>
              <w:right w:val="nil"/>
            </w:tcBorders>
            <w:shd w:val="clear" w:color="auto" w:fill="auto"/>
            <w:noWrap/>
            <w:vAlign w:val="bottom"/>
            <w:hideMark/>
          </w:tcPr>
          <w:p w14:paraId="407D477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212BD39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2961DBA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2A34FA5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4D75104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135</w:t>
            </w:r>
          </w:p>
        </w:tc>
        <w:tc>
          <w:tcPr>
            <w:tcW w:w="206" w:type="pct"/>
            <w:tcBorders>
              <w:top w:val="nil"/>
              <w:left w:val="nil"/>
              <w:bottom w:val="single" w:sz="4" w:space="0" w:color="auto"/>
              <w:right w:val="nil"/>
            </w:tcBorders>
            <w:shd w:val="clear" w:color="auto" w:fill="auto"/>
            <w:noWrap/>
            <w:vAlign w:val="bottom"/>
            <w:hideMark/>
          </w:tcPr>
          <w:p w14:paraId="1EFD8B5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7FD780D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09778C9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4A58F1F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51486A2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621D1B9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11B7EC9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57FB041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53D8AD8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3A86500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r>
      <w:tr w:rsidR="00B54F4E" w:rsidRPr="00D050B8" w14:paraId="5461DA62"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5B8C0A16"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Total Beneficios ($USD Millones)</w:t>
            </w:r>
          </w:p>
        </w:tc>
        <w:tc>
          <w:tcPr>
            <w:tcW w:w="253" w:type="pct"/>
            <w:tcBorders>
              <w:top w:val="nil"/>
              <w:left w:val="nil"/>
              <w:bottom w:val="single" w:sz="4" w:space="0" w:color="auto"/>
              <w:right w:val="nil"/>
            </w:tcBorders>
            <w:shd w:val="clear" w:color="auto" w:fill="auto"/>
            <w:noWrap/>
            <w:vAlign w:val="bottom"/>
            <w:hideMark/>
          </w:tcPr>
          <w:p w14:paraId="266BDAA4"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auto"/>
              <w:right w:val="nil"/>
            </w:tcBorders>
            <w:shd w:val="clear" w:color="auto" w:fill="auto"/>
            <w:noWrap/>
            <w:vAlign w:val="bottom"/>
            <w:hideMark/>
          </w:tcPr>
          <w:p w14:paraId="12AF8798"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auto"/>
              <w:right w:val="nil"/>
            </w:tcBorders>
            <w:shd w:val="clear" w:color="auto" w:fill="auto"/>
            <w:noWrap/>
            <w:vAlign w:val="bottom"/>
            <w:hideMark/>
          </w:tcPr>
          <w:p w14:paraId="72F186A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auto"/>
              <w:right w:val="nil"/>
            </w:tcBorders>
            <w:shd w:val="clear" w:color="auto" w:fill="auto"/>
            <w:noWrap/>
            <w:vAlign w:val="bottom"/>
            <w:hideMark/>
          </w:tcPr>
          <w:p w14:paraId="36C82DA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0,00</w:t>
            </w:r>
          </w:p>
        </w:tc>
        <w:tc>
          <w:tcPr>
            <w:tcW w:w="206" w:type="pct"/>
            <w:tcBorders>
              <w:top w:val="nil"/>
              <w:left w:val="nil"/>
              <w:bottom w:val="single" w:sz="4" w:space="0" w:color="auto"/>
              <w:right w:val="nil"/>
            </w:tcBorders>
            <w:shd w:val="clear" w:color="auto" w:fill="auto"/>
            <w:noWrap/>
            <w:vAlign w:val="bottom"/>
            <w:hideMark/>
          </w:tcPr>
          <w:p w14:paraId="388C504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1,62</w:t>
            </w:r>
          </w:p>
        </w:tc>
        <w:tc>
          <w:tcPr>
            <w:tcW w:w="206" w:type="pct"/>
            <w:tcBorders>
              <w:top w:val="nil"/>
              <w:left w:val="nil"/>
              <w:bottom w:val="single" w:sz="4" w:space="0" w:color="auto"/>
              <w:right w:val="nil"/>
            </w:tcBorders>
            <w:shd w:val="clear" w:color="auto" w:fill="auto"/>
            <w:noWrap/>
            <w:vAlign w:val="bottom"/>
            <w:hideMark/>
          </w:tcPr>
          <w:p w14:paraId="79F0DA9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3,24</w:t>
            </w:r>
          </w:p>
        </w:tc>
        <w:tc>
          <w:tcPr>
            <w:tcW w:w="206" w:type="pct"/>
            <w:tcBorders>
              <w:top w:val="nil"/>
              <w:left w:val="nil"/>
              <w:bottom w:val="single" w:sz="4" w:space="0" w:color="auto"/>
              <w:right w:val="nil"/>
            </w:tcBorders>
            <w:shd w:val="clear" w:color="auto" w:fill="auto"/>
            <w:noWrap/>
            <w:vAlign w:val="bottom"/>
            <w:hideMark/>
          </w:tcPr>
          <w:p w14:paraId="27FE6CB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4,86</w:t>
            </w:r>
          </w:p>
        </w:tc>
        <w:tc>
          <w:tcPr>
            <w:tcW w:w="206" w:type="pct"/>
            <w:tcBorders>
              <w:top w:val="nil"/>
              <w:left w:val="nil"/>
              <w:bottom w:val="single" w:sz="4" w:space="0" w:color="auto"/>
              <w:right w:val="nil"/>
            </w:tcBorders>
            <w:shd w:val="clear" w:color="auto" w:fill="auto"/>
            <w:noWrap/>
            <w:vAlign w:val="bottom"/>
            <w:hideMark/>
          </w:tcPr>
          <w:p w14:paraId="669D28D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144,16</w:t>
            </w:r>
          </w:p>
        </w:tc>
        <w:tc>
          <w:tcPr>
            <w:tcW w:w="206" w:type="pct"/>
            <w:tcBorders>
              <w:top w:val="nil"/>
              <w:left w:val="nil"/>
              <w:bottom w:val="single" w:sz="4" w:space="0" w:color="auto"/>
              <w:right w:val="nil"/>
            </w:tcBorders>
            <w:shd w:val="clear" w:color="auto" w:fill="auto"/>
            <w:noWrap/>
            <w:vAlign w:val="bottom"/>
            <w:hideMark/>
          </w:tcPr>
          <w:p w14:paraId="36352FE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13,31</w:t>
            </w:r>
          </w:p>
        </w:tc>
        <w:tc>
          <w:tcPr>
            <w:tcW w:w="206" w:type="pct"/>
            <w:tcBorders>
              <w:top w:val="nil"/>
              <w:left w:val="nil"/>
              <w:bottom w:val="single" w:sz="4" w:space="0" w:color="auto"/>
              <w:right w:val="nil"/>
            </w:tcBorders>
            <w:shd w:val="clear" w:color="auto" w:fill="auto"/>
            <w:noWrap/>
            <w:vAlign w:val="bottom"/>
            <w:hideMark/>
          </w:tcPr>
          <w:p w14:paraId="317A87C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17,54</w:t>
            </w:r>
          </w:p>
        </w:tc>
        <w:tc>
          <w:tcPr>
            <w:tcW w:w="206" w:type="pct"/>
            <w:tcBorders>
              <w:top w:val="nil"/>
              <w:left w:val="nil"/>
              <w:bottom w:val="single" w:sz="4" w:space="0" w:color="auto"/>
              <w:right w:val="nil"/>
            </w:tcBorders>
            <w:shd w:val="clear" w:color="auto" w:fill="auto"/>
            <w:noWrap/>
            <w:vAlign w:val="bottom"/>
            <w:hideMark/>
          </w:tcPr>
          <w:p w14:paraId="44B8C51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21,77</w:t>
            </w:r>
          </w:p>
        </w:tc>
        <w:tc>
          <w:tcPr>
            <w:tcW w:w="206" w:type="pct"/>
            <w:tcBorders>
              <w:top w:val="nil"/>
              <w:left w:val="nil"/>
              <w:bottom w:val="single" w:sz="4" w:space="0" w:color="auto"/>
              <w:right w:val="nil"/>
            </w:tcBorders>
            <w:shd w:val="clear" w:color="auto" w:fill="auto"/>
            <w:noWrap/>
            <w:vAlign w:val="bottom"/>
            <w:hideMark/>
          </w:tcPr>
          <w:p w14:paraId="7F6E330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26,00</w:t>
            </w:r>
          </w:p>
        </w:tc>
        <w:tc>
          <w:tcPr>
            <w:tcW w:w="206" w:type="pct"/>
            <w:tcBorders>
              <w:top w:val="nil"/>
              <w:left w:val="nil"/>
              <w:bottom w:val="single" w:sz="4" w:space="0" w:color="auto"/>
              <w:right w:val="nil"/>
            </w:tcBorders>
            <w:shd w:val="clear" w:color="auto" w:fill="auto"/>
            <w:noWrap/>
            <w:vAlign w:val="bottom"/>
            <w:hideMark/>
          </w:tcPr>
          <w:p w14:paraId="41A9C4A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30,23</w:t>
            </w:r>
          </w:p>
        </w:tc>
        <w:tc>
          <w:tcPr>
            <w:tcW w:w="206" w:type="pct"/>
            <w:tcBorders>
              <w:top w:val="nil"/>
              <w:left w:val="nil"/>
              <w:bottom w:val="single" w:sz="4" w:space="0" w:color="auto"/>
              <w:right w:val="nil"/>
            </w:tcBorders>
            <w:shd w:val="clear" w:color="auto" w:fill="auto"/>
            <w:noWrap/>
            <w:vAlign w:val="bottom"/>
            <w:hideMark/>
          </w:tcPr>
          <w:p w14:paraId="28E929D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34,46</w:t>
            </w:r>
          </w:p>
        </w:tc>
        <w:tc>
          <w:tcPr>
            <w:tcW w:w="206" w:type="pct"/>
            <w:tcBorders>
              <w:top w:val="nil"/>
              <w:left w:val="nil"/>
              <w:bottom w:val="single" w:sz="4" w:space="0" w:color="auto"/>
              <w:right w:val="nil"/>
            </w:tcBorders>
            <w:shd w:val="clear" w:color="auto" w:fill="auto"/>
            <w:noWrap/>
            <w:vAlign w:val="bottom"/>
            <w:hideMark/>
          </w:tcPr>
          <w:p w14:paraId="13F6A5F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38,69</w:t>
            </w:r>
          </w:p>
        </w:tc>
        <w:tc>
          <w:tcPr>
            <w:tcW w:w="206" w:type="pct"/>
            <w:tcBorders>
              <w:top w:val="nil"/>
              <w:left w:val="nil"/>
              <w:bottom w:val="single" w:sz="4" w:space="0" w:color="auto"/>
              <w:right w:val="nil"/>
            </w:tcBorders>
            <w:shd w:val="clear" w:color="auto" w:fill="auto"/>
            <w:noWrap/>
            <w:vAlign w:val="bottom"/>
            <w:hideMark/>
          </w:tcPr>
          <w:p w14:paraId="78491F6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42,92</w:t>
            </w:r>
          </w:p>
        </w:tc>
        <w:tc>
          <w:tcPr>
            <w:tcW w:w="206" w:type="pct"/>
            <w:tcBorders>
              <w:top w:val="nil"/>
              <w:left w:val="nil"/>
              <w:bottom w:val="single" w:sz="4" w:space="0" w:color="auto"/>
              <w:right w:val="nil"/>
            </w:tcBorders>
            <w:shd w:val="clear" w:color="auto" w:fill="auto"/>
            <w:noWrap/>
            <w:vAlign w:val="bottom"/>
            <w:hideMark/>
          </w:tcPr>
          <w:p w14:paraId="2845F71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47,15</w:t>
            </w:r>
          </w:p>
        </w:tc>
        <w:tc>
          <w:tcPr>
            <w:tcW w:w="206" w:type="pct"/>
            <w:tcBorders>
              <w:top w:val="nil"/>
              <w:left w:val="nil"/>
              <w:bottom w:val="single" w:sz="4" w:space="0" w:color="auto"/>
              <w:right w:val="nil"/>
            </w:tcBorders>
            <w:shd w:val="clear" w:color="auto" w:fill="auto"/>
            <w:noWrap/>
            <w:vAlign w:val="bottom"/>
            <w:hideMark/>
          </w:tcPr>
          <w:p w14:paraId="1F24732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51,37</w:t>
            </w:r>
          </w:p>
        </w:tc>
      </w:tr>
      <w:tr w:rsidR="00B54F4E" w:rsidRPr="00D050B8" w14:paraId="773538C0" w14:textId="77777777" w:rsidTr="006504C4">
        <w:trPr>
          <w:trHeight w:val="255"/>
        </w:trPr>
        <w:tc>
          <w:tcPr>
            <w:tcW w:w="1253" w:type="pct"/>
            <w:tcBorders>
              <w:top w:val="nil"/>
              <w:left w:val="nil"/>
              <w:bottom w:val="nil"/>
              <w:right w:val="nil"/>
            </w:tcBorders>
            <w:shd w:val="clear" w:color="auto" w:fill="auto"/>
            <w:noWrap/>
            <w:vAlign w:val="bottom"/>
            <w:hideMark/>
          </w:tcPr>
          <w:p w14:paraId="4903C52E"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Inversión y Costos</w:t>
            </w:r>
          </w:p>
        </w:tc>
        <w:tc>
          <w:tcPr>
            <w:tcW w:w="253" w:type="pct"/>
            <w:tcBorders>
              <w:top w:val="nil"/>
              <w:left w:val="nil"/>
              <w:bottom w:val="nil"/>
              <w:right w:val="nil"/>
            </w:tcBorders>
            <w:shd w:val="clear" w:color="auto" w:fill="auto"/>
            <w:noWrap/>
            <w:vAlign w:val="bottom"/>
            <w:hideMark/>
          </w:tcPr>
          <w:p w14:paraId="30B05EE9" w14:textId="77777777" w:rsidR="00B54F4E" w:rsidRPr="00D050B8" w:rsidRDefault="00B54F4E" w:rsidP="006504C4">
            <w:pPr>
              <w:spacing w:before="0" w:after="0"/>
              <w:jc w:val="left"/>
              <w:rPr>
                <w:rFonts w:ascii="Calibri" w:hAnsi="Calibri" w:cs="Calibri"/>
                <w:b/>
                <w:bCs/>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7935EB61"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2493E72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9182B1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F39323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0478E2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424DD1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5425EF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E414E8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A6F022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FB2CCA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962739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0F86B6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53D0D3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2308C5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B84902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79B7BB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2E50674"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319968A" w14:textId="77777777" w:rsidTr="006504C4">
        <w:trPr>
          <w:trHeight w:val="255"/>
        </w:trPr>
        <w:tc>
          <w:tcPr>
            <w:tcW w:w="1253" w:type="pct"/>
            <w:tcBorders>
              <w:top w:val="nil"/>
              <w:left w:val="nil"/>
              <w:bottom w:val="nil"/>
              <w:right w:val="nil"/>
            </w:tcBorders>
            <w:shd w:val="clear" w:color="auto" w:fill="auto"/>
            <w:noWrap/>
            <w:vAlign w:val="bottom"/>
            <w:hideMark/>
          </w:tcPr>
          <w:p w14:paraId="4FCF08D2"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Inversión en bombillos LED ($USD Millones)</w:t>
            </w:r>
          </w:p>
        </w:tc>
        <w:tc>
          <w:tcPr>
            <w:tcW w:w="253" w:type="pct"/>
            <w:tcBorders>
              <w:top w:val="nil"/>
              <w:left w:val="nil"/>
              <w:bottom w:val="nil"/>
              <w:right w:val="nil"/>
            </w:tcBorders>
            <w:shd w:val="clear" w:color="auto" w:fill="auto"/>
            <w:noWrap/>
            <w:vAlign w:val="bottom"/>
            <w:hideMark/>
          </w:tcPr>
          <w:p w14:paraId="54924FDB"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3" w:type="pct"/>
            <w:tcBorders>
              <w:top w:val="nil"/>
              <w:left w:val="nil"/>
              <w:bottom w:val="nil"/>
              <w:right w:val="nil"/>
            </w:tcBorders>
            <w:shd w:val="clear" w:color="auto" w:fill="auto"/>
            <w:noWrap/>
            <w:vAlign w:val="bottom"/>
            <w:hideMark/>
          </w:tcPr>
          <w:p w14:paraId="0C0E7029"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20F1821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C18010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6" w:type="pct"/>
            <w:tcBorders>
              <w:top w:val="nil"/>
              <w:left w:val="nil"/>
              <w:bottom w:val="nil"/>
              <w:right w:val="nil"/>
            </w:tcBorders>
            <w:shd w:val="clear" w:color="auto" w:fill="auto"/>
            <w:noWrap/>
            <w:vAlign w:val="bottom"/>
            <w:hideMark/>
          </w:tcPr>
          <w:p w14:paraId="6FED03A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06" w:type="pct"/>
            <w:tcBorders>
              <w:top w:val="nil"/>
              <w:left w:val="nil"/>
              <w:bottom w:val="nil"/>
              <w:right w:val="nil"/>
            </w:tcBorders>
            <w:shd w:val="clear" w:color="auto" w:fill="auto"/>
            <w:noWrap/>
            <w:vAlign w:val="bottom"/>
            <w:hideMark/>
          </w:tcPr>
          <w:p w14:paraId="72B1CC7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06" w:type="pct"/>
            <w:tcBorders>
              <w:top w:val="nil"/>
              <w:left w:val="nil"/>
              <w:bottom w:val="nil"/>
              <w:right w:val="nil"/>
            </w:tcBorders>
            <w:shd w:val="clear" w:color="auto" w:fill="auto"/>
            <w:noWrap/>
            <w:vAlign w:val="bottom"/>
            <w:hideMark/>
          </w:tcPr>
          <w:p w14:paraId="29FF123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06" w:type="pct"/>
            <w:tcBorders>
              <w:top w:val="nil"/>
              <w:left w:val="nil"/>
              <w:bottom w:val="nil"/>
              <w:right w:val="nil"/>
            </w:tcBorders>
            <w:shd w:val="clear" w:color="auto" w:fill="auto"/>
            <w:noWrap/>
            <w:vAlign w:val="bottom"/>
            <w:hideMark/>
          </w:tcPr>
          <w:p w14:paraId="396A4EA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3E58168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5464821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2EE0B3A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7D58158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373FE24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28D84A4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0CA778F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0FD955E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1FC1708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nil"/>
              <w:left w:val="nil"/>
              <w:bottom w:val="nil"/>
              <w:right w:val="nil"/>
            </w:tcBorders>
            <w:shd w:val="clear" w:color="auto" w:fill="auto"/>
            <w:noWrap/>
            <w:vAlign w:val="bottom"/>
            <w:hideMark/>
          </w:tcPr>
          <w:p w14:paraId="5B06132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r>
      <w:tr w:rsidR="00B54F4E" w:rsidRPr="00D050B8" w14:paraId="522A92D4" w14:textId="77777777" w:rsidTr="006504C4">
        <w:trPr>
          <w:trHeight w:val="255"/>
        </w:trPr>
        <w:tc>
          <w:tcPr>
            <w:tcW w:w="1253" w:type="pct"/>
            <w:tcBorders>
              <w:top w:val="single" w:sz="4" w:space="0" w:color="auto"/>
              <w:left w:val="nil"/>
              <w:bottom w:val="single" w:sz="4" w:space="0" w:color="auto"/>
              <w:right w:val="nil"/>
            </w:tcBorders>
            <w:shd w:val="clear" w:color="auto" w:fill="auto"/>
            <w:noWrap/>
            <w:vAlign w:val="bottom"/>
            <w:hideMark/>
          </w:tcPr>
          <w:p w14:paraId="57B0D7AA"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Total Inversión y Costos ($USD Millones)</w:t>
            </w:r>
          </w:p>
        </w:tc>
        <w:tc>
          <w:tcPr>
            <w:tcW w:w="253" w:type="pct"/>
            <w:tcBorders>
              <w:top w:val="single" w:sz="4" w:space="0" w:color="auto"/>
              <w:left w:val="nil"/>
              <w:bottom w:val="single" w:sz="4" w:space="0" w:color="auto"/>
              <w:right w:val="nil"/>
            </w:tcBorders>
            <w:shd w:val="clear" w:color="auto" w:fill="auto"/>
            <w:noWrap/>
            <w:vAlign w:val="bottom"/>
            <w:hideMark/>
          </w:tcPr>
          <w:p w14:paraId="364E830E"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single" w:sz="4" w:space="0" w:color="auto"/>
              <w:left w:val="nil"/>
              <w:bottom w:val="single" w:sz="4" w:space="0" w:color="auto"/>
              <w:right w:val="nil"/>
            </w:tcBorders>
            <w:shd w:val="clear" w:color="auto" w:fill="auto"/>
            <w:noWrap/>
            <w:vAlign w:val="bottom"/>
            <w:hideMark/>
          </w:tcPr>
          <w:p w14:paraId="7D0671F2"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single" w:sz="4" w:space="0" w:color="auto"/>
              <w:left w:val="nil"/>
              <w:bottom w:val="single" w:sz="4" w:space="0" w:color="auto"/>
              <w:right w:val="nil"/>
            </w:tcBorders>
            <w:shd w:val="clear" w:color="auto" w:fill="auto"/>
            <w:noWrap/>
            <w:vAlign w:val="bottom"/>
            <w:hideMark/>
          </w:tcPr>
          <w:p w14:paraId="7B4E442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single" w:sz="4" w:space="0" w:color="auto"/>
              <w:left w:val="nil"/>
              <w:bottom w:val="single" w:sz="4" w:space="0" w:color="auto"/>
              <w:right w:val="nil"/>
            </w:tcBorders>
            <w:shd w:val="clear" w:color="auto" w:fill="auto"/>
            <w:noWrap/>
            <w:vAlign w:val="bottom"/>
            <w:hideMark/>
          </w:tcPr>
          <w:p w14:paraId="0499741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6" w:type="pct"/>
            <w:tcBorders>
              <w:top w:val="single" w:sz="4" w:space="0" w:color="auto"/>
              <w:left w:val="nil"/>
              <w:bottom w:val="single" w:sz="4" w:space="0" w:color="auto"/>
              <w:right w:val="nil"/>
            </w:tcBorders>
            <w:shd w:val="clear" w:color="auto" w:fill="auto"/>
            <w:noWrap/>
            <w:vAlign w:val="bottom"/>
            <w:hideMark/>
          </w:tcPr>
          <w:p w14:paraId="0E07942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06" w:type="pct"/>
            <w:tcBorders>
              <w:top w:val="single" w:sz="4" w:space="0" w:color="auto"/>
              <w:left w:val="nil"/>
              <w:bottom w:val="single" w:sz="4" w:space="0" w:color="auto"/>
              <w:right w:val="nil"/>
            </w:tcBorders>
            <w:shd w:val="clear" w:color="auto" w:fill="auto"/>
            <w:noWrap/>
            <w:vAlign w:val="bottom"/>
            <w:hideMark/>
          </w:tcPr>
          <w:p w14:paraId="53CBC1C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06" w:type="pct"/>
            <w:tcBorders>
              <w:top w:val="single" w:sz="4" w:space="0" w:color="auto"/>
              <w:left w:val="nil"/>
              <w:bottom w:val="single" w:sz="4" w:space="0" w:color="auto"/>
              <w:right w:val="nil"/>
            </w:tcBorders>
            <w:shd w:val="clear" w:color="auto" w:fill="auto"/>
            <w:noWrap/>
            <w:vAlign w:val="bottom"/>
            <w:hideMark/>
          </w:tcPr>
          <w:p w14:paraId="4AD519A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06" w:type="pct"/>
            <w:tcBorders>
              <w:top w:val="single" w:sz="4" w:space="0" w:color="auto"/>
              <w:left w:val="nil"/>
              <w:bottom w:val="single" w:sz="4" w:space="0" w:color="auto"/>
              <w:right w:val="nil"/>
            </w:tcBorders>
            <w:shd w:val="clear" w:color="auto" w:fill="auto"/>
            <w:noWrap/>
            <w:vAlign w:val="bottom"/>
            <w:hideMark/>
          </w:tcPr>
          <w:p w14:paraId="6C45DDE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4F5ED6A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045CFE7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7E9AC72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12D6747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483FB31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4EC6E88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3FD3551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2974293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685E4FB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c>
          <w:tcPr>
            <w:tcW w:w="206" w:type="pct"/>
            <w:tcBorders>
              <w:top w:val="single" w:sz="4" w:space="0" w:color="auto"/>
              <w:left w:val="nil"/>
              <w:bottom w:val="single" w:sz="4" w:space="0" w:color="auto"/>
              <w:right w:val="nil"/>
            </w:tcBorders>
            <w:shd w:val="clear" w:color="auto" w:fill="auto"/>
            <w:noWrap/>
            <w:vAlign w:val="bottom"/>
            <w:hideMark/>
          </w:tcPr>
          <w:p w14:paraId="052406E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21,6</w:t>
            </w:r>
          </w:p>
        </w:tc>
      </w:tr>
      <w:tr w:rsidR="00B54F4E" w:rsidRPr="00D050B8" w14:paraId="34DB0722"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464FBBF6"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Flujo Neto</w:t>
            </w:r>
          </w:p>
        </w:tc>
        <w:tc>
          <w:tcPr>
            <w:tcW w:w="253" w:type="pct"/>
            <w:tcBorders>
              <w:top w:val="nil"/>
              <w:left w:val="nil"/>
              <w:bottom w:val="single" w:sz="4" w:space="0" w:color="auto"/>
              <w:right w:val="nil"/>
            </w:tcBorders>
            <w:shd w:val="clear" w:color="auto" w:fill="auto"/>
            <w:noWrap/>
            <w:vAlign w:val="bottom"/>
            <w:hideMark/>
          </w:tcPr>
          <w:p w14:paraId="7BEAAA4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auto"/>
              <w:right w:val="nil"/>
            </w:tcBorders>
            <w:shd w:val="clear" w:color="auto" w:fill="auto"/>
            <w:noWrap/>
            <w:vAlign w:val="bottom"/>
            <w:hideMark/>
          </w:tcPr>
          <w:p w14:paraId="749249F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nil"/>
              <w:left w:val="nil"/>
              <w:bottom w:val="single" w:sz="4" w:space="0" w:color="auto"/>
              <w:right w:val="nil"/>
            </w:tcBorders>
            <w:shd w:val="clear" w:color="auto" w:fill="auto"/>
            <w:noWrap/>
            <w:vAlign w:val="bottom"/>
            <w:hideMark/>
          </w:tcPr>
          <w:p w14:paraId="2B2B839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nil"/>
              <w:left w:val="nil"/>
              <w:bottom w:val="single" w:sz="4" w:space="0" w:color="auto"/>
              <w:right w:val="nil"/>
            </w:tcBorders>
            <w:shd w:val="clear" w:color="auto" w:fill="auto"/>
            <w:noWrap/>
            <w:vAlign w:val="bottom"/>
            <w:hideMark/>
          </w:tcPr>
          <w:p w14:paraId="3F63CDA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6" w:type="pct"/>
            <w:tcBorders>
              <w:top w:val="nil"/>
              <w:left w:val="nil"/>
              <w:bottom w:val="single" w:sz="4" w:space="0" w:color="auto"/>
              <w:right w:val="nil"/>
            </w:tcBorders>
            <w:shd w:val="clear" w:color="auto" w:fill="auto"/>
            <w:noWrap/>
            <w:vAlign w:val="bottom"/>
            <w:hideMark/>
          </w:tcPr>
          <w:p w14:paraId="72D5A0C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0,6</w:t>
            </w:r>
          </w:p>
        </w:tc>
        <w:tc>
          <w:tcPr>
            <w:tcW w:w="206" w:type="pct"/>
            <w:tcBorders>
              <w:top w:val="nil"/>
              <w:left w:val="nil"/>
              <w:bottom w:val="single" w:sz="4" w:space="0" w:color="auto"/>
              <w:right w:val="nil"/>
            </w:tcBorders>
            <w:shd w:val="clear" w:color="auto" w:fill="auto"/>
            <w:noWrap/>
            <w:vAlign w:val="bottom"/>
            <w:hideMark/>
          </w:tcPr>
          <w:p w14:paraId="088546E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2,2</w:t>
            </w:r>
          </w:p>
        </w:tc>
        <w:tc>
          <w:tcPr>
            <w:tcW w:w="206" w:type="pct"/>
            <w:tcBorders>
              <w:top w:val="nil"/>
              <w:left w:val="nil"/>
              <w:bottom w:val="single" w:sz="4" w:space="0" w:color="auto"/>
              <w:right w:val="nil"/>
            </w:tcBorders>
            <w:shd w:val="clear" w:color="auto" w:fill="auto"/>
            <w:noWrap/>
            <w:vAlign w:val="bottom"/>
            <w:hideMark/>
          </w:tcPr>
          <w:p w14:paraId="7BFE2C0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3,8</w:t>
            </w:r>
          </w:p>
        </w:tc>
        <w:tc>
          <w:tcPr>
            <w:tcW w:w="206" w:type="pct"/>
            <w:tcBorders>
              <w:top w:val="nil"/>
              <w:left w:val="nil"/>
              <w:bottom w:val="single" w:sz="4" w:space="0" w:color="auto"/>
              <w:right w:val="nil"/>
            </w:tcBorders>
            <w:shd w:val="clear" w:color="auto" w:fill="auto"/>
            <w:noWrap/>
            <w:vAlign w:val="bottom"/>
            <w:hideMark/>
          </w:tcPr>
          <w:p w14:paraId="60EC5BD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122,6</w:t>
            </w:r>
          </w:p>
        </w:tc>
        <w:tc>
          <w:tcPr>
            <w:tcW w:w="206" w:type="pct"/>
            <w:tcBorders>
              <w:top w:val="nil"/>
              <w:left w:val="nil"/>
              <w:bottom w:val="single" w:sz="4" w:space="0" w:color="auto"/>
              <w:right w:val="nil"/>
            </w:tcBorders>
            <w:shd w:val="clear" w:color="auto" w:fill="auto"/>
            <w:noWrap/>
            <w:vAlign w:val="bottom"/>
            <w:hideMark/>
          </w:tcPr>
          <w:p w14:paraId="668C29A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w:t>
            </w:r>
          </w:p>
        </w:tc>
        <w:tc>
          <w:tcPr>
            <w:tcW w:w="206" w:type="pct"/>
            <w:tcBorders>
              <w:top w:val="nil"/>
              <w:left w:val="nil"/>
              <w:bottom w:val="single" w:sz="4" w:space="0" w:color="auto"/>
              <w:right w:val="nil"/>
            </w:tcBorders>
            <w:shd w:val="clear" w:color="auto" w:fill="auto"/>
            <w:noWrap/>
            <w:vAlign w:val="bottom"/>
            <w:hideMark/>
          </w:tcPr>
          <w:p w14:paraId="2A26269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-4,0</w:t>
            </w:r>
          </w:p>
        </w:tc>
        <w:tc>
          <w:tcPr>
            <w:tcW w:w="206" w:type="pct"/>
            <w:tcBorders>
              <w:top w:val="nil"/>
              <w:left w:val="nil"/>
              <w:bottom w:val="single" w:sz="4" w:space="0" w:color="auto"/>
              <w:right w:val="nil"/>
            </w:tcBorders>
            <w:shd w:val="clear" w:color="auto" w:fill="auto"/>
            <w:noWrap/>
            <w:vAlign w:val="bottom"/>
            <w:hideMark/>
          </w:tcPr>
          <w:p w14:paraId="14A3103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w:t>
            </w:r>
          </w:p>
        </w:tc>
        <w:tc>
          <w:tcPr>
            <w:tcW w:w="206" w:type="pct"/>
            <w:tcBorders>
              <w:top w:val="nil"/>
              <w:left w:val="nil"/>
              <w:bottom w:val="single" w:sz="4" w:space="0" w:color="auto"/>
              <w:right w:val="nil"/>
            </w:tcBorders>
            <w:shd w:val="clear" w:color="auto" w:fill="auto"/>
            <w:noWrap/>
            <w:vAlign w:val="bottom"/>
            <w:hideMark/>
          </w:tcPr>
          <w:p w14:paraId="4EB147D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4,4</w:t>
            </w:r>
          </w:p>
        </w:tc>
        <w:tc>
          <w:tcPr>
            <w:tcW w:w="206" w:type="pct"/>
            <w:tcBorders>
              <w:top w:val="nil"/>
              <w:left w:val="nil"/>
              <w:bottom w:val="single" w:sz="4" w:space="0" w:color="auto"/>
              <w:right w:val="nil"/>
            </w:tcBorders>
            <w:shd w:val="clear" w:color="auto" w:fill="auto"/>
            <w:noWrap/>
            <w:vAlign w:val="bottom"/>
            <w:hideMark/>
          </w:tcPr>
          <w:p w14:paraId="021E291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8,7</w:t>
            </w:r>
          </w:p>
        </w:tc>
        <w:tc>
          <w:tcPr>
            <w:tcW w:w="206" w:type="pct"/>
            <w:tcBorders>
              <w:top w:val="nil"/>
              <w:left w:val="nil"/>
              <w:bottom w:val="single" w:sz="4" w:space="0" w:color="auto"/>
              <w:right w:val="nil"/>
            </w:tcBorders>
            <w:shd w:val="clear" w:color="auto" w:fill="auto"/>
            <w:noWrap/>
            <w:vAlign w:val="bottom"/>
            <w:hideMark/>
          </w:tcPr>
          <w:p w14:paraId="5A1A7E3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12,9</w:t>
            </w:r>
          </w:p>
        </w:tc>
        <w:tc>
          <w:tcPr>
            <w:tcW w:w="206" w:type="pct"/>
            <w:tcBorders>
              <w:top w:val="nil"/>
              <w:left w:val="nil"/>
              <w:bottom w:val="single" w:sz="4" w:space="0" w:color="auto"/>
              <w:right w:val="nil"/>
            </w:tcBorders>
            <w:shd w:val="clear" w:color="auto" w:fill="auto"/>
            <w:noWrap/>
            <w:vAlign w:val="bottom"/>
            <w:hideMark/>
          </w:tcPr>
          <w:p w14:paraId="4567F1C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17,1</w:t>
            </w:r>
          </w:p>
        </w:tc>
        <w:tc>
          <w:tcPr>
            <w:tcW w:w="206" w:type="pct"/>
            <w:tcBorders>
              <w:top w:val="nil"/>
              <w:left w:val="nil"/>
              <w:bottom w:val="single" w:sz="4" w:space="0" w:color="auto"/>
              <w:right w:val="nil"/>
            </w:tcBorders>
            <w:shd w:val="clear" w:color="auto" w:fill="auto"/>
            <w:noWrap/>
            <w:vAlign w:val="bottom"/>
            <w:hideMark/>
          </w:tcPr>
          <w:p w14:paraId="3FB4015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21,4</w:t>
            </w:r>
          </w:p>
        </w:tc>
        <w:tc>
          <w:tcPr>
            <w:tcW w:w="206" w:type="pct"/>
            <w:tcBorders>
              <w:top w:val="nil"/>
              <w:left w:val="nil"/>
              <w:bottom w:val="single" w:sz="4" w:space="0" w:color="auto"/>
              <w:right w:val="nil"/>
            </w:tcBorders>
            <w:shd w:val="clear" w:color="auto" w:fill="auto"/>
            <w:noWrap/>
            <w:vAlign w:val="bottom"/>
            <w:hideMark/>
          </w:tcPr>
          <w:p w14:paraId="77A4457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25,6</w:t>
            </w:r>
          </w:p>
        </w:tc>
        <w:tc>
          <w:tcPr>
            <w:tcW w:w="206" w:type="pct"/>
            <w:tcBorders>
              <w:top w:val="nil"/>
              <w:left w:val="nil"/>
              <w:bottom w:val="single" w:sz="4" w:space="0" w:color="auto"/>
              <w:right w:val="nil"/>
            </w:tcBorders>
            <w:shd w:val="clear" w:color="auto" w:fill="auto"/>
            <w:noWrap/>
            <w:vAlign w:val="bottom"/>
            <w:hideMark/>
          </w:tcPr>
          <w:p w14:paraId="7409BE6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29,8</w:t>
            </w:r>
          </w:p>
        </w:tc>
      </w:tr>
      <w:tr w:rsidR="00B54F4E" w:rsidRPr="00D050B8" w14:paraId="43FB4AFE" w14:textId="77777777" w:rsidTr="006504C4">
        <w:trPr>
          <w:trHeight w:val="255"/>
        </w:trPr>
        <w:tc>
          <w:tcPr>
            <w:tcW w:w="1253" w:type="pct"/>
            <w:tcBorders>
              <w:top w:val="nil"/>
              <w:left w:val="nil"/>
              <w:bottom w:val="nil"/>
              <w:right w:val="nil"/>
            </w:tcBorders>
            <w:shd w:val="clear" w:color="auto" w:fill="auto"/>
            <w:noWrap/>
            <w:vAlign w:val="bottom"/>
            <w:hideMark/>
          </w:tcPr>
          <w:p w14:paraId="51AD6B5B"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53" w:type="pct"/>
            <w:tcBorders>
              <w:top w:val="nil"/>
              <w:left w:val="nil"/>
              <w:bottom w:val="nil"/>
              <w:right w:val="nil"/>
            </w:tcBorders>
            <w:shd w:val="clear" w:color="auto" w:fill="auto"/>
            <w:noWrap/>
            <w:vAlign w:val="bottom"/>
            <w:hideMark/>
          </w:tcPr>
          <w:p w14:paraId="04FC7142"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6391935E"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62CF654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96E00E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C24A3A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4A66D4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FBACDB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C73345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AAC747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4FC677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21A64E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99E952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3CD478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53D9C4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7A1E78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93AF5D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5F4FE0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2C17D93"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56ABEABC" w14:textId="77777777" w:rsidTr="006504C4">
        <w:trPr>
          <w:trHeight w:val="255"/>
        </w:trPr>
        <w:tc>
          <w:tcPr>
            <w:tcW w:w="1253" w:type="pct"/>
            <w:tcBorders>
              <w:top w:val="single" w:sz="4" w:space="0" w:color="000000"/>
              <w:left w:val="nil"/>
              <w:bottom w:val="single" w:sz="4" w:space="0" w:color="000000"/>
              <w:right w:val="nil"/>
            </w:tcBorders>
            <w:shd w:val="clear" w:color="auto" w:fill="auto"/>
            <w:noWrap/>
            <w:vAlign w:val="bottom"/>
            <w:hideMark/>
          </w:tcPr>
          <w:p w14:paraId="1A78BCE8"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energético de iluminación</w:t>
            </w:r>
          </w:p>
        </w:tc>
        <w:tc>
          <w:tcPr>
            <w:tcW w:w="253" w:type="pct"/>
            <w:tcBorders>
              <w:top w:val="single" w:sz="4" w:space="0" w:color="000000"/>
              <w:left w:val="nil"/>
              <w:bottom w:val="single" w:sz="4" w:space="0" w:color="000000"/>
              <w:right w:val="nil"/>
            </w:tcBorders>
            <w:shd w:val="clear" w:color="auto" w:fill="auto"/>
            <w:noWrap/>
            <w:vAlign w:val="bottom"/>
            <w:hideMark/>
          </w:tcPr>
          <w:p w14:paraId="24F3C07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single" w:sz="4" w:space="0" w:color="000000"/>
              <w:left w:val="nil"/>
              <w:bottom w:val="single" w:sz="4" w:space="0" w:color="000000"/>
              <w:right w:val="nil"/>
            </w:tcBorders>
            <w:shd w:val="clear" w:color="auto" w:fill="auto"/>
            <w:noWrap/>
            <w:vAlign w:val="bottom"/>
            <w:hideMark/>
          </w:tcPr>
          <w:p w14:paraId="362B40D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3" w:type="pct"/>
            <w:tcBorders>
              <w:top w:val="single" w:sz="4" w:space="0" w:color="000000"/>
              <w:left w:val="nil"/>
              <w:bottom w:val="single" w:sz="4" w:space="0" w:color="000000"/>
              <w:right w:val="nil"/>
            </w:tcBorders>
            <w:shd w:val="clear" w:color="auto" w:fill="auto"/>
            <w:noWrap/>
            <w:vAlign w:val="bottom"/>
            <w:hideMark/>
          </w:tcPr>
          <w:p w14:paraId="34634702"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6" w:type="pct"/>
            <w:tcBorders>
              <w:top w:val="single" w:sz="4" w:space="0" w:color="000000"/>
              <w:left w:val="nil"/>
              <w:bottom w:val="single" w:sz="4" w:space="0" w:color="000000"/>
              <w:right w:val="nil"/>
            </w:tcBorders>
            <w:shd w:val="clear" w:color="auto" w:fill="auto"/>
            <w:noWrap/>
            <w:vAlign w:val="bottom"/>
            <w:hideMark/>
          </w:tcPr>
          <w:p w14:paraId="5FA7D57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6" w:type="pct"/>
            <w:tcBorders>
              <w:top w:val="single" w:sz="4" w:space="0" w:color="000000"/>
              <w:left w:val="nil"/>
              <w:bottom w:val="single" w:sz="4" w:space="0" w:color="000000"/>
              <w:right w:val="nil"/>
            </w:tcBorders>
            <w:shd w:val="clear" w:color="auto" w:fill="auto"/>
            <w:noWrap/>
            <w:vAlign w:val="bottom"/>
            <w:hideMark/>
          </w:tcPr>
          <w:p w14:paraId="44B529D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0,9%</w:t>
            </w:r>
          </w:p>
        </w:tc>
        <w:tc>
          <w:tcPr>
            <w:tcW w:w="206" w:type="pct"/>
            <w:tcBorders>
              <w:top w:val="single" w:sz="4" w:space="0" w:color="000000"/>
              <w:left w:val="nil"/>
              <w:bottom w:val="single" w:sz="4" w:space="0" w:color="000000"/>
              <w:right w:val="nil"/>
            </w:tcBorders>
            <w:shd w:val="clear" w:color="auto" w:fill="auto"/>
            <w:noWrap/>
            <w:vAlign w:val="bottom"/>
            <w:hideMark/>
          </w:tcPr>
          <w:p w14:paraId="751327B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1,7%</w:t>
            </w:r>
          </w:p>
        </w:tc>
        <w:tc>
          <w:tcPr>
            <w:tcW w:w="206" w:type="pct"/>
            <w:tcBorders>
              <w:top w:val="single" w:sz="4" w:space="0" w:color="000000"/>
              <w:left w:val="nil"/>
              <w:bottom w:val="single" w:sz="4" w:space="0" w:color="000000"/>
              <w:right w:val="nil"/>
            </w:tcBorders>
            <w:shd w:val="clear" w:color="auto" w:fill="auto"/>
            <w:noWrap/>
            <w:vAlign w:val="bottom"/>
            <w:hideMark/>
          </w:tcPr>
          <w:p w14:paraId="7AE7BF6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2,4%</w:t>
            </w:r>
          </w:p>
        </w:tc>
        <w:tc>
          <w:tcPr>
            <w:tcW w:w="206" w:type="pct"/>
            <w:tcBorders>
              <w:top w:val="single" w:sz="4" w:space="0" w:color="000000"/>
              <w:left w:val="nil"/>
              <w:bottom w:val="single" w:sz="4" w:space="0" w:color="000000"/>
              <w:right w:val="nil"/>
            </w:tcBorders>
            <w:shd w:val="clear" w:color="auto" w:fill="auto"/>
            <w:noWrap/>
            <w:vAlign w:val="bottom"/>
            <w:hideMark/>
          </w:tcPr>
          <w:p w14:paraId="27A661C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4,2%</w:t>
            </w:r>
          </w:p>
        </w:tc>
        <w:tc>
          <w:tcPr>
            <w:tcW w:w="206" w:type="pct"/>
            <w:tcBorders>
              <w:top w:val="single" w:sz="4" w:space="0" w:color="000000"/>
              <w:left w:val="nil"/>
              <w:bottom w:val="single" w:sz="4" w:space="0" w:color="000000"/>
              <w:right w:val="nil"/>
            </w:tcBorders>
            <w:shd w:val="clear" w:color="auto" w:fill="auto"/>
            <w:noWrap/>
            <w:vAlign w:val="bottom"/>
            <w:hideMark/>
          </w:tcPr>
          <w:p w14:paraId="3501F24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5,8%</w:t>
            </w:r>
          </w:p>
        </w:tc>
        <w:tc>
          <w:tcPr>
            <w:tcW w:w="206" w:type="pct"/>
            <w:tcBorders>
              <w:top w:val="single" w:sz="4" w:space="0" w:color="000000"/>
              <w:left w:val="nil"/>
              <w:bottom w:val="single" w:sz="4" w:space="0" w:color="000000"/>
              <w:right w:val="nil"/>
            </w:tcBorders>
            <w:shd w:val="clear" w:color="auto" w:fill="auto"/>
            <w:noWrap/>
            <w:vAlign w:val="bottom"/>
            <w:hideMark/>
          </w:tcPr>
          <w:p w14:paraId="26B83F3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w:t>
            </w:r>
          </w:p>
        </w:tc>
        <w:tc>
          <w:tcPr>
            <w:tcW w:w="206" w:type="pct"/>
            <w:tcBorders>
              <w:top w:val="single" w:sz="4" w:space="0" w:color="000000"/>
              <w:left w:val="nil"/>
              <w:bottom w:val="single" w:sz="4" w:space="0" w:color="000000"/>
              <w:right w:val="nil"/>
            </w:tcBorders>
            <w:shd w:val="clear" w:color="auto" w:fill="auto"/>
            <w:noWrap/>
            <w:vAlign w:val="bottom"/>
            <w:hideMark/>
          </w:tcPr>
          <w:p w14:paraId="055F293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8,5%</w:t>
            </w:r>
          </w:p>
        </w:tc>
        <w:tc>
          <w:tcPr>
            <w:tcW w:w="206" w:type="pct"/>
            <w:tcBorders>
              <w:top w:val="single" w:sz="4" w:space="0" w:color="000000"/>
              <w:left w:val="nil"/>
              <w:bottom w:val="single" w:sz="4" w:space="0" w:color="000000"/>
              <w:right w:val="nil"/>
            </w:tcBorders>
            <w:shd w:val="clear" w:color="auto" w:fill="auto"/>
            <w:noWrap/>
            <w:vAlign w:val="bottom"/>
            <w:hideMark/>
          </w:tcPr>
          <w:p w14:paraId="2EBD920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9,7%</w:t>
            </w:r>
          </w:p>
        </w:tc>
        <w:tc>
          <w:tcPr>
            <w:tcW w:w="206" w:type="pct"/>
            <w:tcBorders>
              <w:top w:val="single" w:sz="4" w:space="0" w:color="000000"/>
              <w:left w:val="nil"/>
              <w:bottom w:val="single" w:sz="4" w:space="0" w:color="000000"/>
              <w:right w:val="nil"/>
            </w:tcBorders>
            <w:shd w:val="clear" w:color="auto" w:fill="auto"/>
            <w:noWrap/>
            <w:vAlign w:val="bottom"/>
            <w:hideMark/>
          </w:tcPr>
          <w:p w14:paraId="3996F47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10,3%</w:t>
            </w:r>
          </w:p>
        </w:tc>
        <w:tc>
          <w:tcPr>
            <w:tcW w:w="206" w:type="pct"/>
            <w:tcBorders>
              <w:top w:val="single" w:sz="4" w:space="0" w:color="000000"/>
              <w:left w:val="nil"/>
              <w:bottom w:val="single" w:sz="4" w:space="0" w:color="000000"/>
              <w:right w:val="nil"/>
            </w:tcBorders>
            <w:shd w:val="clear" w:color="auto" w:fill="auto"/>
            <w:noWrap/>
            <w:vAlign w:val="bottom"/>
            <w:hideMark/>
          </w:tcPr>
          <w:p w14:paraId="6F2DA41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11,1%</w:t>
            </w:r>
          </w:p>
        </w:tc>
        <w:tc>
          <w:tcPr>
            <w:tcW w:w="206" w:type="pct"/>
            <w:tcBorders>
              <w:top w:val="single" w:sz="4" w:space="0" w:color="000000"/>
              <w:left w:val="nil"/>
              <w:bottom w:val="single" w:sz="4" w:space="0" w:color="000000"/>
              <w:right w:val="nil"/>
            </w:tcBorders>
            <w:shd w:val="clear" w:color="auto" w:fill="auto"/>
            <w:noWrap/>
            <w:vAlign w:val="bottom"/>
            <w:hideMark/>
          </w:tcPr>
          <w:p w14:paraId="44FBFF6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11,9%</w:t>
            </w:r>
          </w:p>
        </w:tc>
        <w:tc>
          <w:tcPr>
            <w:tcW w:w="206" w:type="pct"/>
            <w:tcBorders>
              <w:top w:val="single" w:sz="4" w:space="0" w:color="000000"/>
              <w:left w:val="nil"/>
              <w:bottom w:val="single" w:sz="4" w:space="0" w:color="000000"/>
              <w:right w:val="nil"/>
            </w:tcBorders>
            <w:shd w:val="clear" w:color="auto" w:fill="auto"/>
            <w:noWrap/>
            <w:vAlign w:val="bottom"/>
            <w:hideMark/>
          </w:tcPr>
          <w:p w14:paraId="128233E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12,6%</w:t>
            </w:r>
          </w:p>
        </w:tc>
        <w:tc>
          <w:tcPr>
            <w:tcW w:w="206" w:type="pct"/>
            <w:tcBorders>
              <w:top w:val="single" w:sz="4" w:space="0" w:color="000000"/>
              <w:left w:val="nil"/>
              <w:bottom w:val="single" w:sz="4" w:space="0" w:color="000000"/>
              <w:right w:val="nil"/>
            </w:tcBorders>
            <w:shd w:val="clear" w:color="auto" w:fill="auto"/>
            <w:noWrap/>
            <w:vAlign w:val="bottom"/>
            <w:hideMark/>
          </w:tcPr>
          <w:p w14:paraId="280D760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13,2%</w:t>
            </w:r>
          </w:p>
        </w:tc>
        <w:tc>
          <w:tcPr>
            <w:tcW w:w="206" w:type="pct"/>
            <w:tcBorders>
              <w:top w:val="single" w:sz="4" w:space="0" w:color="000000"/>
              <w:left w:val="nil"/>
              <w:bottom w:val="single" w:sz="4" w:space="0" w:color="000000"/>
              <w:right w:val="nil"/>
            </w:tcBorders>
            <w:shd w:val="clear" w:color="auto" w:fill="auto"/>
            <w:noWrap/>
            <w:vAlign w:val="bottom"/>
            <w:hideMark/>
          </w:tcPr>
          <w:p w14:paraId="2775362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13,2%</w:t>
            </w:r>
          </w:p>
        </w:tc>
      </w:tr>
      <w:tr w:rsidR="00B54F4E" w:rsidRPr="00D050B8" w14:paraId="27FE46BF" w14:textId="77777777" w:rsidTr="006504C4">
        <w:trPr>
          <w:trHeight w:val="255"/>
        </w:trPr>
        <w:tc>
          <w:tcPr>
            <w:tcW w:w="1253" w:type="pct"/>
            <w:tcBorders>
              <w:top w:val="nil"/>
              <w:left w:val="nil"/>
              <w:bottom w:val="nil"/>
              <w:right w:val="nil"/>
            </w:tcBorders>
            <w:shd w:val="clear" w:color="auto" w:fill="auto"/>
            <w:noWrap/>
            <w:vAlign w:val="bottom"/>
            <w:hideMark/>
          </w:tcPr>
          <w:p w14:paraId="1C590358"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53" w:type="pct"/>
            <w:tcBorders>
              <w:top w:val="nil"/>
              <w:left w:val="nil"/>
              <w:bottom w:val="nil"/>
              <w:right w:val="nil"/>
            </w:tcBorders>
            <w:shd w:val="clear" w:color="auto" w:fill="auto"/>
            <w:noWrap/>
            <w:vAlign w:val="bottom"/>
            <w:hideMark/>
          </w:tcPr>
          <w:p w14:paraId="1DE200AA"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02404E5B" w14:textId="77777777" w:rsidR="00B54F4E" w:rsidRPr="00D050B8" w:rsidRDefault="00B54F4E" w:rsidP="006504C4">
            <w:pPr>
              <w:spacing w:before="0" w:after="0"/>
              <w:jc w:val="left"/>
              <w:rPr>
                <w:rFonts w:ascii="Times New Roman" w:hAnsi="Times New Roman"/>
                <w:sz w:val="12"/>
                <w:szCs w:val="12"/>
                <w:lang w:eastAsia="es-CO"/>
              </w:rPr>
            </w:pPr>
          </w:p>
        </w:tc>
        <w:tc>
          <w:tcPr>
            <w:tcW w:w="203" w:type="pct"/>
            <w:tcBorders>
              <w:top w:val="nil"/>
              <w:left w:val="nil"/>
              <w:bottom w:val="nil"/>
              <w:right w:val="nil"/>
            </w:tcBorders>
            <w:shd w:val="clear" w:color="auto" w:fill="auto"/>
            <w:noWrap/>
            <w:vAlign w:val="bottom"/>
            <w:hideMark/>
          </w:tcPr>
          <w:p w14:paraId="780AAF4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CF430A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EFB8E6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392B214"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DC666A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F5C25A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D1C3DA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F74D61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045848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5F9D88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CF58B2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2E994D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5FFE53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509DC47"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654737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0DDCC96"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6BAFBEB0" w14:textId="77777777" w:rsidTr="006504C4">
        <w:trPr>
          <w:trHeight w:val="255"/>
        </w:trPr>
        <w:tc>
          <w:tcPr>
            <w:tcW w:w="1253" w:type="pct"/>
            <w:tcBorders>
              <w:top w:val="nil"/>
              <w:left w:val="nil"/>
              <w:bottom w:val="nil"/>
              <w:right w:val="nil"/>
            </w:tcBorders>
            <w:shd w:val="clear" w:color="auto" w:fill="auto"/>
            <w:noWrap/>
            <w:vAlign w:val="bottom"/>
            <w:hideMark/>
          </w:tcPr>
          <w:p w14:paraId="60ECE653"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single" w:sz="4" w:space="0" w:color="FFFFFF"/>
              <w:left w:val="nil"/>
              <w:bottom w:val="single" w:sz="4" w:space="0" w:color="auto"/>
              <w:right w:val="single" w:sz="4" w:space="0" w:color="FFFFFF"/>
            </w:tcBorders>
            <w:shd w:val="clear" w:color="000000" w:fill="203764"/>
            <w:noWrap/>
            <w:vAlign w:val="bottom"/>
            <w:hideMark/>
          </w:tcPr>
          <w:p w14:paraId="7B4CEF4A"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Beneficios</w:t>
            </w:r>
          </w:p>
        </w:tc>
        <w:tc>
          <w:tcPr>
            <w:tcW w:w="203" w:type="pct"/>
            <w:tcBorders>
              <w:top w:val="single" w:sz="4" w:space="0" w:color="FFFFFF"/>
              <w:left w:val="nil"/>
              <w:bottom w:val="single" w:sz="4" w:space="0" w:color="auto"/>
              <w:right w:val="single" w:sz="4" w:space="0" w:color="FFFFFF"/>
            </w:tcBorders>
            <w:shd w:val="clear" w:color="000000" w:fill="203764"/>
            <w:noWrap/>
            <w:vAlign w:val="bottom"/>
            <w:hideMark/>
          </w:tcPr>
          <w:p w14:paraId="5184F4B9"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Costos</w:t>
            </w:r>
          </w:p>
        </w:tc>
        <w:tc>
          <w:tcPr>
            <w:tcW w:w="203" w:type="pct"/>
            <w:tcBorders>
              <w:top w:val="single" w:sz="4" w:space="0" w:color="FFFFFF"/>
              <w:left w:val="nil"/>
              <w:bottom w:val="single" w:sz="4" w:space="0" w:color="auto"/>
              <w:right w:val="single" w:sz="4" w:space="0" w:color="FFFFFF"/>
            </w:tcBorders>
            <w:shd w:val="clear" w:color="000000" w:fill="203764"/>
            <w:noWrap/>
            <w:vAlign w:val="bottom"/>
            <w:hideMark/>
          </w:tcPr>
          <w:p w14:paraId="74AD4D5F"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Neto</w:t>
            </w:r>
          </w:p>
        </w:tc>
        <w:tc>
          <w:tcPr>
            <w:tcW w:w="206" w:type="pct"/>
            <w:tcBorders>
              <w:top w:val="nil"/>
              <w:left w:val="nil"/>
              <w:bottom w:val="nil"/>
              <w:right w:val="nil"/>
            </w:tcBorders>
            <w:shd w:val="clear" w:color="auto" w:fill="auto"/>
            <w:noWrap/>
            <w:vAlign w:val="bottom"/>
            <w:hideMark/>
          </w:tcPr>
          <w:p w14:paraId="377E327E" w14:textId="77777777" w:rsidR="00B54F4E" w:rsidRPr="00D050B8" w:rsidRDefault="00B54F4E" w:rsidP="006504C4">
            <w:pPr>
              <w:spacing w:before="0" w:after="0"/>
              <w:jc w:val="center"/>
              <w:rPr>
                <w:rFonts w:ascii="Calibri" w:hAnsi="Calibri" w:cs="Calibri"/>
                <w:color w:val="FFFFFF"/>
                <w:sz w:val="12"/>
                <w:szCs w:val="12"/>
                <w:lang w:eastAsia="es-CO"/>
              </w:rPr>
            </w:pPr>
          </w:p>
        </w:tc>
        <w:tc>
          <w:tcPr>
            <w:tcW w:w="206" w:type="pct"/>
            <w:tcBorders>
              <w:top w:val="nil"/>
              <w:left w:val="nil"/>
              <w:bottom w:val="nil"/>
              <w:right w:val="nil"/>
            </w:tcBorders>
            <w:shd w:val="clear" w:color="auto" w:fill="auto"/>
            <w:noWrap/>
            <w:vAlign w:val="bottom"/>
            <w:hideMark/>
          </w:tcPr>
          <w:p w14:paraId="7F63E4B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64A0B4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19EC79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35C5CF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967AA3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8FA50E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5FDB17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08DE10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DFE5F0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2912E39"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6A6F2A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DB9035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DC1B2F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AFB7477"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78B01075" w14:textId="77777777" w:rsidTr="006504C4">
        <w:trPr>
          <w:trHeight w:val="255"/>
        </w:trPr>
        <w:tc>
          <w:tcPr>
            <w:tcW w:w="1253" w:type="pct"/>
            <w:tcBorders>
              <w:top w:val="single" w:sz="4" w:space="0" w:color="auto"/>
              <w:left w:val="single" w:sz="4" w:space="0" w:color="auto"/>
              <w:bottom w:val="single" w:sz="4" w:space="0" w:color="auto"/>
              <w:right w:val="nil"/>
            </w:tcBorders>
            <w:shd w:val="clear" w:color="000000" w:fill="E2EFDA"/>
            <w:noWrap/>
            <w:vAlign w:val="bottom"/>
            <w:hideMark/>
          </w:tcPr>
          <w:p w14:paraId="50334E6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VPN dic 2016 ($USD Millones)</w:t>
            </w:r>
          </w:p>
        </w:tc>
        <w:tc>
          <w:tcPr>
            <w:tcW w:w="253" w:type="pct"/>
            <w:tcBorders>
              <w:top w:val="nil"/>
              <w:left w:val="nil"/>
              <w:bottom w:val="single" w:sz="4" w:space="0" w:color="auto"/>
              <w:right w:val="single" w:sz="4" w:space="0" w:color="auto"/>
            </w:tcBorders>
            <w:shd w:val="clear" w:color="000000" w:fill="E2EFDA"/>
            <w:noWrap/>
            <w:vAlign w:val="bottom"/>
            <w:hideMark/>
          </w:tcPr>
          <w:p w14:paraId="5B530DE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$201</w:t>
            </w:r>
          </w:p>
        </w:tc>
        <w:tc>
          <w:tcPr>
            <w:tcW w:w="203" w:type="pct"/>
            <w:tcBorders>
              <w:top w:val="nil"/>
              <w:left w:val="nil"/>
              <w:bottom w:val="single" w:sz="4" w:space="0" w:color="auto"/>
              <w:right w:val="single" w:sz="4" w:space="0" w:color="auto"/>
            </w:tcBorders>
            <w:shd w:val="clear" w:color="000000" w:fill="E2EFDA"/>
            <w:noWrap/>
            <w:vAlign w:val="bottom"/>
            <w:hideMark/>
          </w:tcPr>
          <w:p w14:paraId="1C48F38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$94</w:t>
            </w:r>
          </w:p>
        </w:tc>
        <w:tc>
          <w:tcPr>
            <w:tcW w:w="203" w:type="pct"/>
            <w:tcBorders>
              <w:top w:val="nil"/>
              <w:left w:val="nil"/>
              <w:bottom w:val="single" w:sz="4" w:space="0" w:color="auto"/>
              <w:right w:val="single" w:sz="4" w:space="0" w:color="auto"/>
            </w:tcBorders>
            <w:shd w:val="clear" w:color="000000" w:fill="E2EFDA"/>
            <w:noWrap/>
            <w:vAlign w:val="bottom"/>
            <w:hideMark/>
          </w:tcPr>
          <w:p w14:paraId="35B3DDC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$108</w:t>
            </w:r>
          </w:p>
        </w:tc>
        <w:tc>
          <w:tcPr>
            <w:tcW w:w="206" w:type="pct"/>
            <w:tcBorders>
              <w:top w:val="nil"/>
              <w:left w:val="nil"/>
              <w:bottom w:val="nil"/>
              <w:right w:val="nil"/>
            </w:tcBorders>
            <w:shd w:val="clear" w:color="auto" w:fill="auto"/>
            <w:noWrap/>
            <w:vAlign w:val="bottom"/>
            <w:hideMark/>
          </w:tcPr>
          <w:p w14:paraId="50511E86"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06" w:type="pct"/>
            <w:tcBorders>
              <w:top w:val="nil"/>
              <w:left w:val="nil"/>
              <w:bottom w:val="nil"/>
              <w:right w:val="nil"/>
            </w:tcBorders>
            <w:shd w:val="clear" w:color="auto" w:fill="auto"/>
            <w:noWrap/>
            <w:vAlign w:val="bottom"/>
            <w:hideMark/>
          </w:tcPr>
          <w:p w14:paraId="530CC9B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CA3D69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46D0A0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6272D0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7F62D2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A2EBD9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E2CC2F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6416263"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568612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0650D3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FB9835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AF1C5C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83D3D3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061F2E4" w14:textId="77777777" w:rsidR="00B54F4E" w:rsidRPr="00D050B8" w:rsidRDefault="00B54F4E" w:rsidP="006504C4">
            <w:pPr>
              <w:spacing w:before="0" w:after="0"/>
              <w:jc w:val="left"/>
              <w:rPr>
                <w:rFonts w:ascii="Times New Roman" w:hAnsi="Times New Roman"/>
                <w:sz w:val="12"/>
                <w:szCs w:val="12"/>
                <w:lang w:eastAsia="es-CO"/>
              </w:rPr>
            </w:pPr>
          </w:p>
        </w:tc>
      </w:tr>
    </w:tbl>
    <w:p w14:paraId="15744D9F" w14:textId="77777777" w:rsidR="00B54F4E" w:rsidRDefault="00B54F4E" w:rsidP="00B54F4E">
      <w:pPr>
        <w:spacing w:before="0" w:after="160" w:line="259" w:lineRule="auto"/>
        <w:jc w:val="left"/>
      </w:pPr>
    </w:p>
    <w:p w14:paraId="29D27CA5" w14:textId="77777777" w:rsidR="00B54F4E" w:rsidRDefault="00B54F4E" w:rsidP="00B54F4E">
      <w:pPr>
        <w:spacing w:before="0" w:after="160" w:line="259" w:lineRule="auto"/>
        <w:jc w:val="left"/>
        <w:rPr>
          <w:b/>
        </w:rPr>
      </w:pPr>
      <w:r>
        <w:rPr>
          <w:b/>
        </w:rPr>
        <w:br w:type="page"/>
      </w:r>
    </w:p>
    <w:p w14:paraId="0B047C0B" w14:textId="77777777" w:rsidR="00B54F4E" w:rsidRPr="006C4E72" w:rsidRDefault="00B54F4E" w:rsidP="00B54F4E">
      <w:pPr>
        <w:ind w:left="720"/>
        <w:jc w:val="center"/>
        <w:rPr>
          <w:b/>
        </w:rPr>
      </w:pPr>
      <w:bookmarkStart w:id="158" w:name="_Toc484097073"/>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33</w:t>
      </w:r>
      <w:r w:rsidRPr="008C12BC">
        <w:rPr>
          <w:b/>
        </w:rPr>
        <w:fldChar w:fldCharType="end"/>
      </w:r>
      <w:r>
        <w:rPr>
          <w:b/>
        </w:rPr>
        <w:t xml:space="preserve"> – Proyección de beneficios y costos para las medidas arquitectónicas en edificaciones nuevas (Sector comercial)</w:t>
      </w:r>
      <w:bookmarkEnd w:id="158"/>
    </w:p>
    <w:tbl>
      <w:tblPr>
        <w:tblW w:w="4955" w:type="pct"/>
        <w:tblCellMar>
          <w:left w:w="70" w:type="dxa"/>
          <w:right w:w="70" w:type="dxa"/>
        </w:tblCellMar>
        <w:tblLook w:val="04A0" w:firstRow="1" w:lastRow="0" w:firstColumn="1" w:lastColumn="0" w:noHBand="0" w:noVBand="1"/>
      </w:tblPr>
      <w:tblGrid>
        <w:gridCol w:w="3215"/>
        <w:gridCol w:w="657"/>
        <w:gridCol w:w="524"/>
        <w:gridCol w:w="524"/>
        <w:gridCol w:w="532"/>
        <w:gridCol w:w="536"/>
        <w:gridCol w:w="536"/>
        <w:gridCol w:w="536"/>
        <w:gridCol w:w="475"/>
        <w:gridCol w:w="528"/>
        <w:gridCol w:w="536"/>
        <w:gridCol w:w="536"/>
        <w:gridCol w:w="536"/>
        <w:gridCol w:w="536"/>
        <w:gridCol w:w="536"/>
        <w:gridCol w:w="536"/>
        <w:gridCol w:w="536"/>
        <w:gridCol w:w="536"/>
        <w:gridCol w:w="536"/>
      </w:tblGrid>
      <w:tr w:rsidR="00B54F4E" w:rsidRPr="00D050B8" w14:paraId="4309B6FB" w14:textId="77777777" w:rsidTr="006504C4">
        <w:trPr>
          <w:trHeight w:val="243"/>
        </w:trPr>
        <w:tc>
          <w:tcPr>
            <w:tcW w:w="1237" w:type="pct"/>
            <w:tcBorders>
              <w:top w:val="single" w:sz="4" w:space="0" w:color="000000"/>
              <w:left w:val="nil"/>
              <w:bottom w:val="single" w:sz="4" w:space="0" w:color="000000"/>
              <w:right w:val="nil"/>
            </w:tcBorders>
            <w:shd w:val="clear" w:color="auto" w:fill="auto"/>
            <w:noWrap/>
            <w:vAlign w:val="bottom"/>
            <w:hideMark/>
          </w:tcPr>
          <w:p w14:paraId="46176B04" w14:textId="77777777" w:rsidR="00B54F4E" w:rsidRPr="00D050B8" w:rsidRDefault="00B54F4E" w:rsidP="006504C4">
            <w:pPr>
              <w:spacing w:before="0" w:after="0"/>
              <w:jc w:val="left"/>
              <w:rPr>
                <w:rFonts w:ascii="Calibri" w:hAnsi="Calibri" w:cs="Calibri"/>
                <w:color w:val="000000"/>
                <w:sz w:val="12"/>
                <w:szCs w:val="12"/>
                <w:lang w:eastAsia="es-CO"/>
              </w:rPr>
            </w:pPr>
            <w:r>
              <w:rPr>
                <w:rFonts w:ascii="Calibri" w:hAnsi="Calibri" w:cs="Calibri"/>
                <w:color w:val="000000"/>
                <w:sz w:val="12"/>
                <w:szCs w:val="12"/>
                <w:lang w:eastAsia="es-CO"/>
              </w:rPr>
              <w:t>Consumo promedi</w:t>
            </w:r>
            <w:r w:rsidRPr="00D050B8">
              <w:rPr>
                <w:rFonts w:ascii="Calibri" w:hAnsi="Calibri" w:cs="Calibri"/>
                <w:color w:val="000000"/>
                <w:sz w:val="12"/>
                <w:szCs w:val="12"/>
                <w:lang w:eastAsia="es-CO"/>
              </w:rPr>
              <w:t>o de un comercio GWh/Año</w:t>
            </w:r>
          </w:p>
        </w:tc>
        <w:tc>
          <w:tcPr>
            <w:tcW w:w="253" w:type="pct"/>
            <w:tcBorders>
              <w:top w:val="single" w:sz="4" w:space="0" w:color="000000"/>
              <w:left w:val="nil"/>
              <w:bottom w:val="single" w:sz="4" w:space="0" w:color="000000"/>
              <w:right w:val="nil"/>
            </w:tcBorders>
            <w:shd w:val="clear" w:color="auto" w:fill="auto"/>
            <w:noWrap/>
            <w:vAlign w:val="bottom"/>
            <w:hideMark/>
          </w:tcPr>
          <w:p w14:paraId="0B715B10" w14:textId="77777777" w:rsidR="00B54F4E" w:rsidRPr="00D050B8" w:rsidRDefault="00B54F4E" w:rsidP="006504C4">
            <w:pPr>
              <w:spacing w:before="0" w:after="0"/>
              <w:jc w:val="right"/>
              <w:rPr>
                <w:rFonts w:ascii="Calibri" w:hAnsi="Calibri" w:cs="Calibri"/>
                <w:color w:val="00B050"/>
                <w:sz w:val="12"/>
                <w:szCs w:val="12"/>
                <w:lang w:eastAsia="es-CO"/>
              </w:rPr>
            </w:pPr>
            <w:r w:rsidRPr="00D050B8">
              <w:rPr>
                <w:rFonts w:ascii="Calibri" w:hAnsi="Calibri" w:cs="Calibri"/>
                <w:color w:val="00B050"/>
                <w:sz w:val="12"/>
                <w:szCs w:val="12"/>
                <w:lang w:eastAsia="es-CO"/>
              </w:rPr>
              <w:t>0,0399394</w:t>
            </w:r>
          </w:p>
        </w:tc>
        <w:tc>
          <w:tcPr>
            <w:tcW w:w="205" w:type="pct"/>
            <w:tcBorders>
              <w:top w:val="nil"/>
              <w:left w:val="nil"/>
              <w:bottom w:val="nil"/>
              <w:right w:val="nil"/>
            </w:tcBorders>
            <w:shd w:val="clear" w:color="auto" w:fill="auto"/>
            <w:noWrap/>
            <w:vAlign w:val="bottom"/>
            <w:hideMark/>
          </w:tcPr>
          <w:p w14:paraId="16BF29CA" w14:textId="77777777" w:rsidR="00B54F4E" w:rsidRPr="00D050B8" w:rsidRDefault="00B54F4E" w:rsidP="006504C4">
            <w:pPr>
              <w:spacing w:before="0" w:after="0"/>
              <w:jc w:val="right"/>
              <w:rPr>
                <w:rFonts w:ascii="Calibri" w:hAnsi="Calibri" w:cs="Calibri"/>
                <w:color w:val="00B050"/>
                <w:sz w:val="12"/>
                <w:szCs w:val="12"/>
                <w:lang w:eastAsia="es-CO"/>
              </w:rPr>
            </w:pPr>
          </w:p>
        </w:tc>
        <w:tc>
          <w:tcPr>
            <w:tcW w:w="205" w:type="pct"/>
            <w:tcBorders>
              <w:top w:val="nil"/>
              <w:left w:val="nil"/>
              <w:bottom w:val="nil"/>
              <w:right w:val="nil"/>
            </w:tcBorders>
            <w:shd w:val="clear" w:color="auto" w:fill="auto"/>
            <w:noWrap/>
            <w:vAlign w:val="bottom"/>
            <w:hideMark/>
          </w:tcPr>
          <w:p w14:paraId="3EB2EDF8"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16016C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E57191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E6ACC7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233D3A5"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94B1A9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146D3F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53D7EE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33AEA5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63C035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757DE6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0FB9A5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F5D5F2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C189A6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6E7906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C9C4B82"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46318988" w14:textId="77777777" w:rsidTr="006504C4">
        <w:trPr>
          <w:trHeight w:val="243"/>
        </w:trPr>
        <w:tc>
          <w:tcPr>
            <w:tcW w:w="1237" w:type="pct"/>
            <w:tcBorders>
              <w:top w:val="nil"/>
              <w:left w:val="nil"/>
              <w:bottom w:val="nil"/>
              <w:right w:val="nil"/>
            </w:tcBorders>
            <w:shd w:val="clear" w:color="auto" w:fill="auto"/>
            <w:noWrap/>
            <w:vAlign w:val="bottom"/>
            <w:hideMark/>
          </w:tcPr>
          <w:p w14:paraId="66BDA5A8"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Potencial de ahorro medidas arquitectónicas primera etapa</w:t>
            </w:r>
          </w:p>
        </w:tc>
        <w:tc>
          <w:tcPr>
            <w:tcW w:w="253" w:type="pct"/>
            <w:tcBorders>
              <w:top w:val="nil"/>
              <w:left w:val="nil"/>
              <w:bottom w:val="nil"/>
              <w:right w:val="nil"/>
            </w:tcBorders>
            <w:shd w:val="clear" w:color="auto" w:fill="auto"/>
            <w:noWrap/>
            <w:vAlign w:val="bottom"/>
            <w:hideMark/>
          </w:tcPr>
          <w:p w14:paraId="1488FC25"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15,0%</w:t>
            </w:r>
          </w:p>
        </w:tc>
        <w:tc>
          <w:tcPr>
            <w:tcW w:w="205" w:type="pct"/>
            <w:tcBorders>
              <w:top w:val="nil"/>
              <w:left w:val="nil"/>
              <w:bottom w:val="nil"/>
              <w:right w:val="nil"/>
            </w:tcBorders>
            <w:shd w:val="clear" w:color="auto" w:fill="auto"/>
            <w:noWrap/>
            <w:vAlign w:val="bottom"/>
            <w:hideMark/>
          </w:tcPr>
          <w:p w14:paraId="663DD04F"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5" w:type="pct"/>
            <w:tcBorders>
              <w:top w:val="nil"/>
              <w:left w:val="nil"/>
              <w:bottom w:val="nil"/>
              <w:right w:val="nil"/>
            </w:tcBorders>
            <w:shd w:val="clear" w:color="auto" w:fill="auto"/>
            <w:noWrap/>
            <w:vAlign w:val="bottom"/>
            <w:hideMark/>
          </w:tcPr>
          <w:p w14:paraId="6C6D61BB"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B4B268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D1158D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D8AF7F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7589FB8"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2DF4248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A29D18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1578E9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70533C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DA14B9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FDDB87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7FA458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749605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502F5A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D97CD8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3B4B287"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7822C362" w14:textId="77777777" w:rsidTr="006504C4">
        <w:trPr>
          <w:trHeight w:val="243"/>
        </w:trPr>
        <w:tc>
          <w:tcPr>
            <w:tcW w:w="1237" w:type="pct"/>
            <w:tcBorders>
              <w:top w:val="nil"/>
              <w:left w:val="nil"/>
              <w:bottom w:val="single" w:sz="4" w:space="0" w:color="000000"/>
              <w:right w:val="nil"/>
            </w:tcBorders>
            <w:shd w:val="clear" w:color="auto" w:fill="auto"/>
            <w:noWrap/>
            <w:vAlign w:val="bottom"/>
            <w:hideMark/>
          </w:tcPr>
          <w:p w14:paraId="757611D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Potencial de ahorro medidas arquitectónicas segunda etapa</w:t>
            </w:r>
          </w:p>
        </w:tc>
        <w:tc>
          <w:tcPr>
            <w:tcW w:w="253" w:type="pct"/>
            <w:tcBorders>
              <w:top w:val="nil"/>
              <w:left w:val="nil"/>
              <w:bottom w:val="single" w:sz="4" w:space="0" w:color="000000"/>
              <w:right w:val="nil"/>
            </w:tcBorders>
            <w:shd w:val="clear" w:color="auto" w:fill="auto"/>
            <w:noWrap/>
            <w:vAlign w:val="bottom"/>
            <w:hideMark/>
          </w:tcPr>
          <w:p w14:paraId="4D97C42B"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20,0%</w:t>
            </w:r>
          </w:p>
        </w:tc>
        <w:tc>
          <w:tcPr>
            <w:tcW w:w="205" w:type="pct"/>
            <w:tcBorders>
              <w:top w:val="nil"/>
              <w:left w:val="nil"/>
              <w:bottom w:val="nil"/>
              <w:right w:val="nil"/>
            </w:tcBorders>
            <w:shd w:val="clear" w:color="auto" w:fill="auto"/>
            <w:noWrap/>
            <w:vAlign w:val="bottom"/>
            <w:hideMark/>
          </w:tcPr>
          <w:p w14:paraId="524D75B8"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5" w:type="pct"/>
            <w:tcBorders>
              <w:top w:val="nil"/>
              <w:left w:val="nil"/>
              <w:bottom w:val="nil"/>
              <w:right w:val="nil"/>
            </w:tcBorders>
            <w:shd w:val="clear" w:color="auto" w:fill="auto"/>
            <w:noWrap/>
            <w:vAlign w:val="bottom"/>
            <w:hideMark/>
          </w:tcPr>
          <w:p w14:paraId="00A9F45B"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30FF8B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6C62E8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BF48590"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EB4DF98"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0BF2B4D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910882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A44172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139556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F8D9A78"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66BCFD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110B08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85069C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FF6EF7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F4E02A5"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EC8604A"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4DA7728B" w14:textId="77777777" w:rsidTr="006504C4">
        <w:trPr>
          <w:trHeight w:val="243"/>
        </w:trPr>
        <w:tc>
          <w:tcPr>
            <w:tcW w:w="1237" w:type="pct"/>
            <w:tcBorders>
              <w:top w:val="nil"/>
              <w:left w:val="nil"/>
              <w:bottom w:val="nil"/>
              <w:right w:val="nil"/>
            </w:tcBorders>
            <w:shd w:val="clear" w:color="auto" w:fill="auto"/>
            <w:noWrap/>
            <w:vAlign w:val="bottom"/>
            <w:hideMark/>
          </w:tcPr>
          <w:p w14:paraId="68AE71E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Inicio primera etapa de norma</w:t>
            </w:r>
          </w:p>
        </w:tc>
        <w:tc>
          <w:tcPr>
            <w:tcW w:w="253" w:type="pct"/>
            <w:tcBorders>
              <w:top w:val="nil"/>
              <w:left w:val="nil"/>
              <w:bottom w:val="nil"/>
              <w:right w:val="nil"/>
            </w:tcBorders>
            <w:shd w:val="clear" w:color="auto" w:fill="auto"/>
            <w:noWrap/>
            <w:vAlign w:val="bottom"/>
            <w:hideMark/>
          </w:tcPr>
          <w:p w14:paraId="07546298"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2017</w:t>
            </w:r>
          </w:p>
        </w:tc>
        <w:tc>
          <w:tcPr>
            <w:tcW w:w="205" w:type="pct"/>
            <w:tcBorders>
              <w:top w:val="nil"/>
              <w:left w:val="nil"/>
              <w:bottom w:val="nil"/>
              <w:right w:val="nil"/>
            </w:tcBorders>
            <w:shd w:val="clear" w:color="auto" w:fill="auto"/>
            <w:noWrap/>
            <w:vAlign w:val="bottom"/>
            <w:hideMark/>
          </w:tcPr>
          <w:p w14:paraId="4B57131F"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5" w:type="pct"/>
            <w:tcBorders>
              <w:top w:val="nil"/>
              <w:left w:val="nil"/>
              <w:bottom w:val="nil"/>
              <w:right w:val="nil"/>
            </w:tcBorders>
            <w:shd w:val="clear" w:color="auto" w:fill="auto"/>
            <w:noWrap/>
            <w:vAlign w:val="bottom"/>
            <w:hideMark/>
          </w:tcPr>
          <w:p w14:paraId="6685650D"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68286E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87F1ED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FCE274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2C558E8"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47F0AA2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6BB726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020BF0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34D0858"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D45F68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00F7BB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D0A4A8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ED9696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5AE01F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F8D4CBE"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AC61F30"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618FD108" w14:textId="77777777" w:rsidTr="006504C4">
        <w:trPr>
          <w:trHeight w:val="243"/>
        </w:trPr>
        <w:tc>
          <w:tcPr>
            <w:tcW w:w="1237" w:type="pct"/>
            <w:tcBorders>
              <w:top w:val="nil"/>
              <w:left w:val="nil"/>
              <w:bottom w:val="nil"/>
              <w:right w:val="nil"/>
            </w:tcBorders>
            <w:shd w:val="clear" w:color="auto" w:fill="auto"/>
            <w:noWrap/>
            <w:vAlign w:val="bottom"/>
            <w:hideMark/>
          </w:tcPr>
          <w:p w14:paraId="2BE20CF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Fin primera etapa de norma</w:t>
            </w:r>
          </w:p>
        </w:tc>
        <w:tc>
          <w:tcPr>
            <w:tcW w:w="253" w:type="pct"/>
            <w:tcBorders>
              <w:top w:val="nil"/>
              <w:left w:val="nil"/>
              <w:bottom w:val="nil"/>
              <w:right w:val="nil"/>
            </w:tcBorders>
            <w:shd w:val="clear" w:color="auto" w:fill="auto"/>
            <w:noWrap/>
            <w:vAlign w:val="bottom"/>
            <w:hideMark/>
          </w:tcPr>
          <w:p w14:paraId="1A178093"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2018</w:t>
            </w:r>
          </w:p>
        </w:tc>
        <w:tc>
          <w:tcPr>
            <w:tcW w:w="205" w:type="pct"/>
            <w:tcBorders>
              <w:top w:val="nil"/>
              <w:left w:val="nil"/>
              <w:bottom w:val="nil"/>
              <w:right w:val="nil"/>
            </w:tcBorders>
            <w:shd w:val="clear" w:color="auto" w:fill="auto"/>
            <w:noWrap/>
            <w:vAlign w:val="bottom"/>
            <w:hideMark/>
          </w:tcPr>
          <w:p w14:paraId="12AC4705" w14:textId="77777777" w:rsidR="00B54F4E" w:rsidRPr="00D050B8" w:rsidRDefault="00B54F4E" w:rsidP="006504C4">
            <w:pPr>
              <w:spacing w:before="0" w:after="0"/>
              <w:jc w:val="right"/>
              <w:rPr>
                <w:rFonts w:ascii="Calibri" w:hAnsi="Calibri" w:cs="Calibri"/>
                <w:color w:val="0000FF"/>
                <w:sz w:val="12"/>
                <w:szCs w:val="12"/>
                <w:lang w:eastAsia="es-CO"/>
              </w:rPr>
            </w:pPr>
          </w:p>
        </w:tc>
        <w:tc>
          <w:tcPr>
            <w:tcW w:w="205" w:type="pct"/>
            <w:tcBorders>
              <w:top w:val="nil"/>
              <w:left w:val="nil"/>
              <w:bottom w:val="nil"/>
              <w:right w:val="nil"/>
            </w:tcBorders>
            <w:shd w:val="clear" w:color="auto" w:fill="auto"/>
            <w:noWrap/>
            <w:vAlign w:val="bottom"/>
            <w:hideMark/>
          </w:tcPr>
          <w:p w14:paraId="762D4675"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1F4E6D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B47EAE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10C110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6F67431"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7D4412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4D5898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F0AF27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205807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81D89E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041343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07E252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26377C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CF79CE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24B66C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1B2C081"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5DCB0A07" w14:textId="77777777" w:rsidTr="006504C4">
        <w:trPr>
          <w:trHeight w:val="243"/>
        </w:trPr>
        <w:tc>
          <w:tcPr>
            <w:tcW w:w="1237" w:type="pct"/>
            <w:tcBorders>
              <w:top w:val="nil"/>
              <w:left w:val="nil"/>
              <w:bottom w:val="single" w:sz="4" w:space="0" w:color="000000"/>
              <w:right w:val="nil"/>
            </w:tcBorders>
            <w:shd w:val="clear" w:color="auto" w:fill="auto"/>
            <w:noWrap/>
            <w:vAlign w:val="bottom"/>
            <w:hideMark/>
          </w:tcPr>
          <w:p w14:paraId="65530B4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Inicio segunda etapa de norma</w:t>
            </w:r>
          </w:p>
        </w:tc>
        <w:tc>
          <w:tcPr>
            <w:tcW w:w="253" w:type="pct"/>
            <w:tcBorders>
              <w:top w:val="nil"/>
              <w:left w:val="nil"/>
              <w:bottom w:val="single" w:sz="4" w:space="0" w:color="000000"/>
              <w:right w:val="nil"/>
            </w:tcBorders>
            <w:shd w:val="clear" w:color="auto" w:fill="auto"/>
            <w:noWrap/>
            <w:vAlign w:val="bottom"/>
            <w:hideMark/>
          </w:tcPr>
          <w:p w14:paraId="3DE487C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2019</w:t>
            </w:r>
          </w:p>
        </w:tc>
        <w:tc>
          <w:tcPr>
            <w:tcW w:w="205" w:type="pct"/>
            <w:tcBorders>
              <w:top w:val="nil"/>
              <w:left w:val="nil"/>
              <w:bottom w:val="nil"/>
              <w:right w:val="nil"/>
            </w:tcBorders>
            <w:shd w:val="clear" w:color="auto" w:fill="auto"/>
            <w:noWrap/>
            <w:vAlign w:val="bottom"/>
            <w:hideMark/>
          </w:tcPr>
          <w:p w14:paraId="033A7142"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7417A3C6"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9F2E8F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6E0ADF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47DB85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615A784"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57C8388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72EBC5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6FC08C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DE9BCD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AFD87C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B4F903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65BCE5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B08BDD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966FAA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EABB370"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C0F9B70"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3F03CDE6" w14:textId="77777777" w:rsidTr="006504C4">
        <w:trPr>
          <w:trHeight w:val="243"/>
        </w:trPr>
        <w:tc>
          <w:tcPr>
            <w:tcW w:w="1237" w:type="pct"/>
            <w:tcBorders>
              <w:top w:val="nil"/>
              <w:left w:val="nil"/>
              <w:bottom w:val="nil"/>
              <w:right w:val="nil"/>
            </w:tcBorders>
            <w:shd w:val="clear" w:color="auto" w:fill="auto"/>
            <w:noWrap/>
            <w:vAlign w:val="bottom"/>
            <w:hideMark/>
          </w:tcPr>
          <w:p w14:paraId="514C8F6D"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nil"/>
              <w:left w:val="nil"/>
              <w:bottom w:val="nil"/>
              <w:right w:val="nil"/>
            </w:tcBorders>
            <w:shd w:val="clear" w:color="auto" w:fill="auto"/>
            <w:noWrap/>
            <w:vAlign w:val="bottom"/>
            <w:hideMark/>
          </w:tcPr>
          <w:p w14:paraId="01271D1F"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5494DD8A"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6E03E893"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6FE34D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13E8D4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7BF915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B37DD05"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5926FE6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7F9A8E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FD2763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80D3DC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F08889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56CB54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673A6B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DCF4AE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478DE3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BF12E68"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E8E2A91"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3F8BC57A" w14:textId="77777777" w:rsidTr="006504C4">
        <w:trPr>
          <w:trHeight w:val="243"/>
        </w:trPr>
        <w:tc>
          <w:tcPr>
            <w:tcW w:w="1237" w:type="pct"/>
            <w:tcBorders>
              <w:top w:val="nil"/>
              <w:left w:val="nil"/>
              <w:bottom w:val="nil"/>
              <w:right w:val="nil"/>
            </w:tcBorders>
            <w:shd w:val="clear" w:color="auto" w:fill="auto"/>
            <w:noWrap/>
            <w:vAlign w:val="bottom"/>
            <w:hideMark/>
          </w:tcPr>
          <w:p w14:paraId="0FFEC680"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nil"/>
              <w:left w:val="nil"/>
              <w:bottom w:val="nil"/>
              <w:right w:val="nil"/>
            </w:tcBorders>
            <w:shd w:val="clear" w:color="auto" w:fill="auto"/>
            <w:noWrap/>
            <w:vAlign w:val="bottom"/>
            <w:hideMark/>
          </w:tcPr>
          <w:p w14:paraId="3C11DD17"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145B84DD"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1604CD08"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13A6EF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9BFE960"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268D41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A9CD2B0"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1D4B987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7824974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ECC18F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6E5BE8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6CB06E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5D3A44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353118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4D3ABE0"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7758FB0"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4160836"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1C45DF14"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30853EB8" w14:textId="77777777" w:rsidTr="006504C4">
        <w:trPr>
          <w:trHeight w:val="243"/>
        </w:trPr>
        <w:tc>
          <w:tcPr>
            <w:tcW w:w="1237" w:type="pct"/>
            <w:tcBorders>
              <w:top w:val="nil"/>
              <w:left w:val="nil"/>
              <w:bottom w:val="single" w:sz="4" w:space="0" w:color="auto"/>
              <w:right w:val="nil"/>
            </w:tcBorders>
            <w:shd w:val="clear" w:color="auto" w:fill="auto"/>
            <w:noWrap/>
            <w:vAlign w:val="bottom"/>
            <w:hideMark/>
          </w:tcPr>
          <w:p w14:paraId="7023B089"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$USD</w:t>
            </w:r>
          </w:p>
        </w:tc>
        <w:tc>
          <w:tcPr>
            <w:tcW w:w="253" w:type="pct"/>
            <w:tcBorders>
              <w:top w:val="nil"/>
              <w:left w:val="nil"/>
              <w:bottom w:val="single" w:sz="4" w:space="0" w:color="auto"/>
              <w:right w:val="nil"/>
            </w:tcBorders>
            <w:shd w:val="clear" w:color="auto" w:fill="auto"/>
            <w:noWrap/>
            <w:vAlign w:val="bottom"/>
            <w:hideMark/>
          </w:tcPr>
          <w:p w14:paraId="24386218"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 </w:t>
            </w:r>
          </w:p>
        </w:tc>
        <w:tc>
          <w:tcPr>
            <w:tcW w:w="205" w:type="pct"/>
            <w:tcBorders>
              <w:top w:val="single" w:sz="4" w:space="0" w:color="FFFFFF"/>
              <w:left w:val="nil"/>
              <w:bottom w:val="single" w:sz="4" w:space="0" w:color="auto"/>
              <w:right w:val="single" w:sz="4" w:space="0" w:color="FFFFFF"/>
            </w:tcBorders>
            <w:shd w:val="clear" w:color="000000" w:fill="203764"/>
            <w:noWrap/>
            <w:vAlign w:val="bottom"/>
            <w:hideMark/>
          </w:tcPr>
          <w:p w14:paraId="221802F8"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2014</w:t>
            </w:r>
          </w:p>
        </w:tc>
        <w:tc>
          <w:tcPr>
            <w:tcW w:w="205" w:type="pct"/>
            <w:tcBorders>
              <w:top w:val="single" w:sz="4" w:space="0" w:color="FFFFFF"/>
              <w:left w:val="nil"/>
              <w:bottom w:val="single" w:sz="4" w:space="0" w:color="auto"/>
              <w:right w:val="single" w:sz="4" w:space="0" w:color="FFFFFF"/>
            </w:tcBorders>
            <w:shd w:val="clear" w:color="000000" w:fill="203764"/>
            <w:noWrap/>
            <w:vAlign w:val="bottom"/>
            <w:hideMark/>
          </w:tcPr>
          <w:p w14:paraId="0E36AC2E"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2015</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62780A25"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2016</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322A1871"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2017</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13F86937"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2018</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3BE9255E"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2019</w:t>
            </w:r>
          </w:p>
        </w:tc>
        <w:tc>
          <w:tcPr>
            <w:tcW w:w="183" w:type="pct"/>
            <w:tcBorders>
              <w:top w:val="single" w:sz="4" w:space="0" w:color="FFFFFF"/>
              <w:left w:val="nil"/>
              <w:bottom w:val="single" w:sz="4" w:space="0" w:color="auto"/>
              <w:right w:val="single" w:sz="4" w:space="0" w:color="FFFFFF"/>
            </w:tcBorders>
            <w:shd w:val="clear" w:color="000000" w:fill="203764"/>
            <w:noWrap/>
            <w:vAlign w:val="bottom"/>
            <w:hideMark/>
          </w:tcPr>
          <w:p w14:paraId="7A4B5E70"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2020</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3872DFFB"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2021</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2A076C3D"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2022</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79D021A5"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2023</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40A7ADB4"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2024</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7BBFA87B"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2025</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02AF6B93"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2026</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1EBEA7AB"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2027</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1333069F"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2028</w:t>
            </w:r>
          </w:p>
        </w:tc>
        <w:tc>
          <w:tcPr>
            <w:tcW w:w="209" w:type="pct"/>
            <w:tcBorders>
              <w:top w:val="single" w:sz="4" w:space="0" w:color="FFFFFF"/>
              <w:left w:val="nil"/>
              <w:bottom w:val="single" w:sz="4" w:space="0" w:color="auto"/>
              <w:right w:val="single" w:sz="4" w:space="0" w:color="FFFFFF"/>
            </w:tcBorders>
            <w:shd w:val="clear" w:color="000000" w:fill="203764"/>
            <w:noWrap/>
            <w:vAlign w:val="bottom"/>
            <w:hideMark/>
          </w:tcPr>
          <w:p w14:paraId="2791AE6C"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2029</w:t>
            </w:r>
          </w:p>
        </w:tc>
        <w:tc>
          <w:tcPr>
            <w:tcW w:w="206" w:type="pct"/>
            <w:tcBorders>
              <w:top w:val="single" w:sz="4" w:space="0" w:color="FFFFFF"/>
              <w:left w:val="nil"/>
              <w:bottom w:val="single" w:sz="4" w:space="0" w:color="auto"/>
              <w:right w:val="single" w:sz="4" w:space="0" w:color="FFFFFF"/>
            </w:tcBorders>
            <w:shd w:val="clear" w:color="000000" w:fill="203764"/>
            <w:noWrap/>
            <w:vAlign w:val="bottom"/>
            <w:hideMark/>
          </w:tcPr>
          <w:p w14:paraId="1ADD229A"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2030</w:t>
            </w:r>
          </w:p>
        </w:tc>
      </w:tr>
      <w:tr w:rsidR="00B54F4E" w:rsidRPr="00D050B8" w14:paraId="257BE8D3" w14:textId="77777777" w:rsidTr="006504C4">
        <w:trPr>
          <w:trHeight w:val="243"/>
        </w:trPr>
        <w:tc>
          <w:tcPr>
            <w:tcW w:w="1237" w:type="pct"/>
            <w:tcBorders>
              <w:top w:val="nil"/>
              <w:left w:val="nil"/>
              <w:bottom w:val="nil"/>
              <w:right w:val="nil"/>
            </w:tcBorders>
            <w:shd w:val="clear" w:color="auto" w:fill="auto"/>
            <w:noWrap/>
            <w:vAlign w:val="bottom"/>
            <w:hideMark/>
          </w:tcPr>
          <w:p w14:paraId="02C3EB58" w14:textId="77777777" w:rsidR="00B54F4E" w:rsidRPr="00D050B8" w:rsidRDefault="00B54F4E" w:rsidP="006504C4">
            <w:pPr>
              <w:spacing w:before="0" w:after="0"/>
              <w:jc w:val="left"/>
              <w:rPr>
                <w:rFonts w:ascii="Calibri" w:hAnsi="Calibri" w:cs="Calibri"/>
                <w:color w:val="000000"/>
                <w:sz w:val="12"/>
                <w:szCs w:val="12"/>
                <w:lang w:eastAsia="es-CO"/>
              </w:rPr>
            </w:pPr>
            <w:bookmarkStart w:id="159" w:name="RANGE!B207:T208"/>
            <w:r w:rsidRPr="00D050B8">
              <w:rPr>
                <w:rFonts w:ascii="Calibri" w:hAnsi="Calibri" w:cs="Calibri"/>
                <w:color w:val="000000"/>
                <w:sz w:val="12"/>
                <w:szCs w:val="12"/>
                <w:lang w:eastAsia="es-CO"/>
              </w:rPr>
              <w:t>Consumo comercial GWh/Año</w:t>
            </w:r>
            <w:bookmarkEnd w:id="159"/>
          </w:p>
        </w:tc>
        <w:tc>
          <w:tcPr>
            <w:tcW w:w="253" w:type="pct"/>
            <w:tcBorders>
              <w:top w:val="nil"/>
              <w:left w:val="nil"/>
              <w:bottom w:val="nil"/>
              <w:right w:val="nil"/>
            </w:tcBorders>
            <w:shd w:val="clear" w:color="auto" w:fill="auto"/>
            <w:noWrap/>
            <w:vAlign w:val="bottom"/>
            <w:hideMark/>
          </w:tcPr>
          <w:p w14:paraId="312841EC" w14:textId="77777777" w:rsidR="00B54F4E" w:rsidRPr="00D050B8" w:rsidRDefault="00B54F4E" w:rsidP="006504C4">
            <w:pPr>
              <w:spacing w:before="0" w:after="0"/>
              <w:jc w:val="left"/>
              <w:rPr>
                <w:rFonts w:ascii="Calibri" w:hAnsi="Calibri" w:cs="Calibri"/>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7075C1F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3.372</w:t>
            </w:r>
          </w:p>
        </w:tc>
        <w:tc>
          <w:tcPr>
            <w:tcW w:w="205" w:type="pct"/>
            <w:tcBorders>
              <w:top w:val="nil"/>
              <w:left w:val="nil"/>
              <w:bottom w:val="nil"/>
              <w:right w:val="nil"/>
            </w:tcBorders>
            <w:shd w:val="clear" w:color="auto" w:fill="auto"/>
            <w:noWrap/>
            <w:vAlign w:val="bottom"/>
            <w:hideMark/>
          </w:tcPr>
          <w:p w14:paraId="70A0142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3.646</w:t>
            </w:r>
          </w:p>
        </w:tc>
        <w:tc>
          <w:tcPr>
            <w:tcW w:w="208" w:type="pct"/>
            <w:tcBorders>
              <w:top w:val="nil"/>
              <w:left w:val="nil"/>
              <w:bottom w:val="nil"/>
              <w:right w:val="nil"/>
            </w:tcBorders>
            <w:shd w:val="clear" w:color="auto" w:fill="auto"/>
            <w:noWrap/>
            <w:vAlign w:val="bottom"/>
            <w:hideMark/>
          </w:tcPr>
          <w:p w14:paraId="4831DEC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3.920</w:t>
            </w:r>
          </w:p>
        </w:tc>
        <w:tc>
          <w:tcPr>
            <w:tcW w:w="209" w:type="pct"/>
            <w:tcBorders>
              <w:top w:val="nil"/>
              <w:left w:val="nil"/>
              <w:bottom w:val="nil"/>
              <w:right w:val="nil"/>
            </w:tcBorders>
            <w:shd w:val="clear" w:color="auto" w:fill="auto"/>
            <w:noWrap/>
            <w:vAlign w:val="bottom"/>
            <w:hideMark/>
          </w:tcPr>
          <w:p w14:paraId="3C3C649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4.194</w:t>
            </w:r>
          </w:p>
        </w:tc>
        <w:tc>
          <w:tcPr>
            <w:tcW w:w="209" w:type="pct"/>
            <w:tcBorders>
              <w:top w:val="nil"/>
              <w:left w:val="nil"/>
              <w:bottom w:val="nil"/>
              <w:right w:val="nil"/>
            </w:tcBorders>
            <w:shd w:val="clear" w:color="auto" w:fill="auto"/>
            <w:noWrap/>
            <w:vAlign w:val="bottom"/>
            <w:hideMark/>
          </w:tcPr>
          <w:p w14:paraId="73EAD43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4.468</w:t>
            </w:r>
          </w:p>
        </w:tc>
        <w:tc>
          <w:tcPr>
            <w:tcW w:w="209" w:type="pct"/>
            <w:tcBorders>
              <w:top w:val="nil"/>
              <w:left w:val="nil"/>
              <w:bottom w:val="nil"/>
              <w:right w:val="nil"/>
            </w:tcBorders>
            <w:shd w:val="clear" w:color="auto" w:fill="auto"/>
            <w:noWrap/>
            <w:vAlign w:val="bottom"/>
            <w:hideMark/>
          </w:tcPr>
          <w:p w14:paraId="12DBE4A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4.742</w:t>
            </w:r>
          </w:p>
        </w:tc>
        <w:tc>
          <w:tcPr>
            <w:tcW w:w="183" w:type="pct"/>
            <w:tcBorders>
              <w:top w:val="nil"/>
              <w:left w:val="nil"/>
              <w:bottom w:val="nil"/>
              <w:right w:val="nil"/>
            </w:tcBorders>
            <w:shd w:val="clear" w:color="auto" w:fill="auto"/>
            <w:noWrap/>
            <w:vAlign w:val="bottom"/>
            <w:hideMark/>
          </w:tcPr>
          <w:p w14:paraId="18E0783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5.016</w:t>
            </w:r>
          </w:p>
        </w:tc>
        <w:tc>
          <w:tcPr>
            <w:tcW w:w="206" w:type="pct"/>
            <w:tcBorders>
              <w:top w:val="nil"/>
              <w:left w:val="nil"/>
              <w:bottom w:val="nil"/>
              <w:right w:val="nil"/>
            </w:tcBorders>
            <w:shd w:val="clear" w:color="auto" w:fill="auto"/>
            <w:noWrap/>
            <w:vAlign w:val="bottom"/>
            <w:hideMark/>
          </w:tcPr>
          <w:p w14:paraId="7670DF1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5.306</w:t>
            </w:r>
          </w:p>
        </w:tc>
        <w:tc>
          <w:tcPr>
            <w:tcW w:w="209" w:type="pct"/>
            <w:tcBorders>
              <w:top w:val="nil"/>
              <w:left w:val="nil"/>
              <w:bottom w:val="nil"/>
              <w:right w:val="nil"/>
            </w:tcBorders>
            <w:shd w:val="clear" w:color="auto" w:fill="auto"/>
            <w:noWrap/>
            <w:vAlign w:val="bottom"/>
            <w:hideMark/>
          </w:tcPr>
          <w:p w14:paraId="632BAB5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5.597</w:t>
            </w:r>
          </w:p>
        </w:tc>
        <w:tc>
          <w:tcPr>
            <w:tcW w:w="209" w:type="pct"/>
            <w:tcBorders>
              <w:top w:val="nil"/>
              <w:left w:val="nil"/>
              <w:bottom w:val="nil"/>
              <w:right w:val="nil"/>
            </w:tcBorders>
            <w:shd w:val="clear" w:color="auto" w:fill="auto"/>
            <w:noWrap/>
            <w:vAlign w:val="bottom"/>
            <w:hideMark/>
          </w:tcPr>
          <w:p w14:paraId="1D59A3D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5.888</w:t>
            </w:r>
          </w:p>
        </w:tc>
        <w:tc>
          <w:tcPr>
            <w:tcW w:w="209" w:type="pct"/>
            <w:tcBorders>
              <w:top w:val="nil"/>
              <w:left w:val="nil"/>
              <w:bottom w:val="nil"/>
              <w:right w:val="nil"/>
            </w:tcBorders>
            <w:shd w:val="clear" w:color="auto" w:fill="auto"/>
            <w:noWrap/>
            <w:vAlign w:val="bottom"/>
            <w:hideMark/>
          </w:tcPr>
          <w:p w14:paraId="12EF4A8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6.178</w:t>
            </w:r>
          </w:p>
        </w:tc>
        <w:tc>
          <w:tcPr>
            <w:tcW w:w="209" w:type="pct"/>
            <w:tcBorders>
              <w:top w:val="nil"/>
              <w:left w:val="nil"/>
              <w:bottom w:val="nil"/>
              <w:right w:val="nil"/>
            </w:tcBorders>
            <w:shd w:val="clear" w:color="auto" w:fill="auto"/>
            <w:noWrap/>
            <w:vAlign w:val="bottom"/>
            <w:hideMark/>
          </w:tcPr>
          <w:p w14:paraId="010A9AE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6.760</w:t>
            </w:r>
          </w:p>
        </w:tc>
        <w:tc>
          <w:tcPr>
            <w:tcW w:w="209" w:type="pct"/>
            <w:tcBorders>
              <w:top w:val="nil"/>
              <w:left w:val="nil"/>
              <w:bottom w:val="nil"/>
              <w:right w:val="nil"/>
            </w:tcBorders>
            <w:shd w:val="clear" w:color="auto" w:fill="auto"/>
            <w:noWrap/>
            <w:vAlign w:val="bottom"/>
            <w:hideMark/>
          </w:tcPr>
          <w:p w14:paraId="0EE42C9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7.123</w:t>
            </w:r>
          </w:p>
        </w:tc>
        <w:tc>
          <w:tcPr>
            <w:tcW w:w="209" w:type="pct"/>
            <w:tcBorders>
              <w:top w:val="nil"/>
              <w:left w:val="nil"/>
              <w:bottom w:val="nil"/>
              <w:right w:val="nil"/>
            </w:tcBorders>
            <w:shd w:val="clear" w:color="auto" w:fill="auto"/>
            <w:noWrap/>
            <w:vAlign w:val="bottom"/>
            <w:hideMark/>
          </w:tcPr>
          <w:p w14:paraId="628F4C9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7.485</w:t>
            </w:r>
          </w:p>
        </w:tc>
        <w:tc>
          <w:tcPr>
            <w:tcW w:w="209" w:type="pct"/>
            <w:tcBorders>
              <w:top w:val="nil"/>
              <w:left w:val="nil"/>
              <w:bottom w:val="nil"/>
              <w:right w:val="nil"/>
            </w:tcBorders>
            <w:shd w:val="clear" w:color="auto" w:fill="auto"/>
            <w:noWrap/>
            <w:vAlign w:val="bottom"/>
            <w:hideMark/>
          </w:tcPr>
          <w:p w14:paraId="2E79F08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7.848</w:t>
            </w:r>
          </w:p>
        </w:tc>
        <w:tc>
          <w:tcPr>
            <w:tcW w:w="209" w:type="pct"/>
            <w:tcBorders>
              <w:top w:val="nil"/>
              <w:left w:val="nil"/>
              <w:bottom w:val="nil"/>
              <w:right w:val="nil"/>
            </w:tcBorders>
            <w:shd w:val="clear" w:color="auto" w:fill="auto"/>
            <w:noWrap/>
            <w:vAlign w:val="bottom"/>
            <w:hideMark/>
          </w:tcPr>
          <w:p w14:paraId="170CEE3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8.211</w:t>
            </w:r>
          </w:p>
        </w:tc>
        <w:tc>
          <w:tcPr>
            <w:tcW w:w="206" w:type="pct"/>
            <w:tcBorders>
              <w:top w:val="nil"/>
              <w:left w:val="nil"/>
              <w:bottom w:val="nil"/>
              <w:right w:val="nil"/>
            </w:tcBorders>
            <w:shd w:val="clear" w:color="auto" w:fill="auto"/>
            <w:noWrap/>
            <w:vAlign w:val="bottom"/>
            <w:hideMark/>
          </w:tcPr>
          <w:p w14:paraId="661A996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8.937</w:t>
            </w:r>
          </w:p>
        </w:tc>
      </w:tr>
      <w:tr w:rsidR="00B54F4E" w:rsidRPr="00D050B8" w14:paraId="7B1D5E89" w14:textId="77777777" w:rsidTr="006504C4">
        <w:trPr>
          <w:trHeight w:val="243"/>
        </w:trPr>
        <w:tc>
          <w:tcPr>
            <w:tcW w:w="1237" w:type="pct"/>
            <w:tcBorders>
              <w:top w:val="nil"/>
              <w:left w:val="nil"/>
              <w:bottom w:val="nil"/>
              <w:right w:val="nil"/>
            </w:tcBorders>
            <w:shd w:val="clear" w:color="auto" w:fill="auto"/>
            <w:noWrap/>
            <w:vAlign w:val="bottom"/>
            <w:hideMark/>
          </w:tcPr>
          <w:p w14:paraId="1D9FA96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Número de nuevos usuarios comerciales (incremento anual)</w:t>
            </w:r>
          </w:p>
        </w:tc>
        <w:tc>
          <w:tcPr>
            <w:tcW w:w="253" w:type="pct"/>
            <w:tcBorders>
              <w:top w:val="nil"/>
              <w:left w:val="nil"/>
              <w:bottom w:val="nil"/>
              <w:right w:val="nil"/>
            </w:tcBorders>
            <w:shd w:val="clear" w:color="auto" w:fill="auto"/>
            <w:noWrap/>
            <w:vAlign w:val="bottom"/>
            <w:hideMark/>
          </w:tcPr>
          <w:p w14:paraId="11331B48" w14:textId="77777777" w:rsidR="00B54F4E" w:rsidRPr="00D050B8" w:rsidRDefault="00B54F4E" w:rsidP="006504C4">
            <w:pPr>
              <w:spacing w:before="0" w:after="0"/>
              <w:jc w:val="left"/>
              <w:rPr>
                <w:rFonts w:ascii="Calibri" w:hAnsi="Calibri" w:cs="Calibri"/>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70AA4F7A"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50B7EF9C"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B7009E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439327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6.859</w:t>
            </w:r>
          </w:p>
        </w:tc>
        <w:tc>
          <w:tcPr>
            <w:tcW w:w="209" w:type="pct"/>
            <w:tcBorders>
              <w:top w:val="nil"/>
              <w:left w:val="nil"/>
              <w:bottom w:val="nil"/>
              <w:right w:val="nil"/>
            </w:tcBorders>
            <w:shd w:val="clear" w:color="auto" w:fill="auto"/>
            <w:noWrap/>
            <w:vAlign w:val="bottom"/>
            <w:hideMark/>
          </w:tcPr>
          <w:p w14:paraId="315204F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6.859</w:t>
            </w:r>
          </w:p>
        </w:tc>
        <w:tc>
          <w:tcPr>
            <w:tcW w:w="209" w:type="pct"/>
            <w:tcBorders>
              <w:top w:val="nil"/>
              <w:left w:val="nil"/>
              <w:bottom w:val="nil"/>
              <w:right w:val="nil"/>
            </w:tcBorders>
            <w:shd w:val="clear" w:color="auto" w:fill="auto"/>
            <w:noWrap/>
            <w:vAlign w:val="bottom"/>
            <w:hideMark/>
          </w:tcPr>
          <w:p w14:paraId="3295CD6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6.859</w:t>
            </w:r>
          </w:p>
        </w:tc>
        <w:tc>
          <w:tcPr>
            <w:tcW w:w="183" w:type="pct"/>
            <w:tcBorders>
              <w:top w:val="nil"/>
              <w:left w:val="nil"/>
              <w:bottom w:val="nil"/>
              <w:right w:val="nil"/>
            </w:tcBorders>
            <w:shd w:val="clear" w:color="auto" w:fill="auto"/>
            <w:noWrap/>
            <w:vAlign w:val="bottom"/>
            <w:hideMark/>
          </w:tcPr>
          <w:p w14:paraId="37F6A9F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6.859</w:t>
            </w:r>
          </w:p>
        </w:tc>
        <w:tc>
          <w:tcPr>
            <w:tcW w:w="206" w:type="pct"/>
            <w:tcBorders>
              <w:top w:val="nil"/>
              <w:left w:val="nil"/>
              <w:bottom w:val="nil"/>
              <w:right w:val="nil"/>
            </w:tcBorders>
            <w:shd w:val="clear" w:color="auto" w:fill="auto"/>
            <w:noWrap/>
            <w:vAlign w:val="bottom"/>
            <w:hideMark/>
          </w:tcPr>
          <w:p w14:paraId="0CE21FC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7.278</w:t>
            </w:r>
          </w:p>
        </w:tc>
        <w:tc>
          <w:tcPr>
            <w:tcW w:w="209" w:type="pct"/>
            <w:tcBorders>
              <w:top w:val="nil"/>
              <w:left w:val="nil"/>
              <w:bottom w:val="nil"/>
              <w:right w:val="nil"/>
            </w:tcBorders>
            <w:shd w:val="clear" w:color="auto" w:fill="auto"/>
            <w:noWrap/>
            <w:vAlign w:val="bottom"/>
            <w:hideMark/>
          </w:tcPr>
          <w:p w14:paraId="59E9C2A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7.278</w:t>
            </w:r>
          </w:p>
        </w:tc>
        <w:tc>
          <w:tcPr>
            <w:tcW w:w="209" w:type="pct"/>
            <w:tcBorders>
              <w:top w:val="nil"/>
              <w:left w:val="nil"/>
              <w:bottom w:val="nil"/>
              <w:right w:val="nil"/>
            </w:tcBorders>
            <w:shd w:val="clear" w:color="auto" w:fill="auto"/>
            <w:noWrap/>
            <w:vAlign w:val="bottom"/>
            <w:hideMark/>
          </w:tcPr>
          <w:p w14:paraId="77DC49D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7.278</w:t>
            </w:r>
          </w:p>
        </w:tc>
        <w:tc>
          <w:tcPr>
            <w:tcW w:w="209" w:type="pct"/>
            <w:tcBorders>
              <w:top w:val="nil"/>
              <w:left w:val="nil"/>
              <w:bottom w:val="nil"/>
              <w:right w:val="nil"/>
            </w:tcBorders>
            <w:shd w:val="clear" w:color="auto" w:fill="auto"/>
            <w:noWrap/>
            <w:vAlign w:val="bottom"/>
            <w:hideMark/>
          </w:tcPr>
          <w:p w14:paraId="5909B58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7.278</w:t>
            </w:r>
          </w:p>
        </w:tc>
        <w:tc>
          <w:tcPr>
            <w:tcW w:w="209" w:type="pct"/>
            <w:tcBorders>
              <w:top w:val="nil"/>
              <w:left w:val="nil"/>
              <w:bottom w:val="nil"/>
              <w:right w:val="nil"/>
            </w:tcBorders>
            <w:shd w:val="clear" w:color="auto" w:fill="auto"/>
            <w:noWrap/>
            <w:vAlign w:val="bottom"/>
            <w:hideMark/>
          </w:tcPr>
          <w:p w14:paraId="64855EE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14.555</w:t>
            </w:r>
          </w:p>
        </w:tc>
        <w:tc>
          <w:tcPr>
            <w:tcW w:w="209" w:type="pct"/>
            <w:tcBorders>
              <w:top w:val="nil"/>
              <w:left w:val="nil"/>
              <w:bottom w:val="nil"/>
              <w:right w:val="nil"/>
            </w:tcBorders>
            <w:shd w:val="clear" w:color="auto" w:fill="auto"/>
            <w:noWrap/>
            <w:vAlign w:val="bottom"/>
            <w:hideMark/>
          </w:tcPr>
          <w:p w14:paraId="6B965E2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9.083</w:t>
            </w:r>
          </w:p>
        </w:tc>
        <w:tc>
          <w:tcPr>
            <w:tcW w:w="209" w:type="pct"/>
            <w:tcBorders>
              <w:top w:val="nil"/>
              <w:left w:val="nil"/>
              <w:bottom w:val="nil"/>
              <w:right w:val="nil"/>
            </w:tcBorders>
            <w:shd w:val="clear" w:color="auto" w:fill="auto"/>
            <w:noWrap/>
            <w:vAlign w:val="bottom"/>
            <w:hideMark/>
          </w:tcPr>
          <w:p w14:paraId="02A67AF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9.083</w:t>
            </w:r>
          </w:p>
        </w:tc>
        <w:tc>
          <w:tcPr>
            <w:tcW w:w="209" w:type="pct"/>
            <w:tcBorders>
              <w:top w:val="nil"/>
              <w:left w:val="nil"/>
              <w:bottom w:val="nil"/>
              <w:right w:val="nil"/>
            </w:tcBorders>
            <w:shd w:val="clear" w:color="auto" w:fill="auto"/>
            <w:noWrap/>
            <w:vAlign w:val="bottom"/>
            <w:hideMark/>
          </w:tcPr>
          <w:p w14:paraId="47C7771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9.083</w:t>
            </w:r>
          </w:p>
        </w:tc>
        <w:tc>
          <w:tcPr>
            <w:tcW w:w="209" w:type="pct"/>
            <w:tcBorders>
              <w:top w:val="nil"/>
              <w:left w:val="nil"/>
              <w:bottom w:val="nil"/>
              <w:right w:val="nil"/>
            </w:tcBorders>
            <w:shd w:val="clear" w:color="auto" w:fill="auto"/>
            <w:noWrap/>
            <w:vAlign w:val="bottom"/>
            <w:hideMark/>
          </w:tcPr>
          <w:p w14:paraId="4A30C41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9.083</w:t>
            </w:r>
          </w:p>
        </w:tc>
        <w:tc>
          <w:tcPr>
            <w:tcW w:w="206" w:type="pct"/>
            <w:tcBorders>
              <w:top w:val="nil"/>
              <w:left w:val="nil"/>
              <w:bottom w:val="nil"/>
              <w:right w:val="nil"/>
            </w:tcBorders>
            <w:shd w:val="clear" w:color="auto" w:fill="auto"/>
            <w:noWrap/>
            <w:vAlign w:val="bottom"/>
            <w:hideMark/>
          </w:tcPr>
          <w:p w14:paraId="4BE068B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18.167</w:t>
            </w:r>
          </w:p>
        </w:tc>
      </w:tr>
      <w:tr w:rsidR="00B54F4E" w:rsidRPr="00D050B8" w14:paraId="05998C3E" w14:textId="77777777" w:rsidTr="006504C4">
        <w:trPr>
          <w:trHeight w:val="243"/>
        </w:trPr>
        <w:tc>
          <w:tcPr>
            <w:tcW w:w="1237" w:type="pct"/>
            <w:tcBorders>
              <w:top w:val="nil"/>
              <w:left w:val="nil"/>
              <w:bottom w:val="single" w:sz="4" w:space="0" w:color="000000"/>
              <w:right w:val="nil"/>
            </w:tcBorders>
            <w:shd w:val="clear" w:color="auto" w:fill="auto"/>
            <w:noWrap/>
            <w:vAlign w:val="bottom"/>
            <w:hideMark/>
          </w:tcPr>
          <w:p w14:paraId="30C0A0D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Consumo nuevos usuarios comerciales anual sin EE (GWh/Año)</w:t>
            </w:r>
          </w:p>
        </w:tc>
        <w:tc>
          <w:tcPr>
            <w:tcW w:w="253" w:type="pct"/>
            <w:tcBorders>
              <w:top w:val="nil"/>
              <w:left w:val="nil"/>
              <w:bottom w:val="single" w:sz="4" w:space="0" w:color="000000"/>
              <w:right w:val="nil"/>
            </w:tcBorders>
            <w:shd w:val="clear" w:color="auto" w:fill="auto"/>
            <w:noWrap/>
            <w:vAlign w:val="bottom"/>
            <w:hideMark/>
          </w:tcPr>
          <w:p w14:paraId="68E7F1C2"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000000"/>
              <w:right w:val="nil"/>
            </w:tcBorders>
            <w:shd w:val="clear" w:color="auto" w:fill="auto"/>
            <w:noWrap/>
            <w:vAlign w:val="bottom"/>
            <w:hideMark/>
          </w:tcPr>
          <w:p w14:paraId="2532978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000000"/>
              <w:right w:val="nil"/>
            </w:tcBorders>
            <w:shd w:val="clear" w:color="auto" w:fill="auto"/>
            <w:noWrap/>
            <w:vAlign w:val="bottom"/>
            <w:hideMark/>
          </w:tcPr>
          <w:p w14:paraId="20EB55FB"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8" w:type="pct"/>
            <w:tcBorders>
              <w:top w:val="nil"/>
              <w:left w:val="nil"/>
              <w:bottom w:val="single" w:sz="4" w:space="0" w:color="000000"/>
              <w:right w:val="nil"/>
            </w:tcBorders>
            <w:shd w:val="clear" w:color="auto" w:fill="auto"/>
            <w:noWrap/>
            <w:vAlign w:val="bottom"/>
            <w:hideMark/>
          </w:tcPr>
          <w:p w14:paraId="7F4E4C68"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000000"/>
              <w:right w:val="nil"/>
            </w:tcBorders>
            <w:shd w:val="clear" w:color="auto" w:fill="auto"/>
            <w:noWrap/>
            <w:vAlign w:val="bottom"/>
            <w:hideMark/>
          </w:tcPr>
          <w:p w14:paraId="79D623E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274</w:t>
            </w:r>
          </w:p>
        </w:tc>
        <w:tc>
          <w:tcPr>
            <w:tcW w:w="209" w:type="pct"/>
            <w:tcBorders>
              <w:top w:val="nil"/>
              <w:left w:val="nil"/>
              <w:bottom w:val="single" w:sz="4" w:space="0" w:color="000000"/>
              <w:right w:val="nil"/>
            </w:tcBorders>
            <w:shd w:val="clear" w:color="auto" w:fill="auto"/>
            <w:noWrap/>
            <w:vAlign w:val="bottom"/>
            <w:hideMark/>
          </w:tcPr>
          <w:p w14:paraId="272BFA9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274</w:t>
            </w:r>
          </w:p>
        </w:tc>
        <w:tc>
          <w:tcPr>
            <w:tcW w:w="209" w:type="pct"/>
            <w:tcBorders>
              <w:top w:val="nil"/>
              <w:left w:val="nil"/>
              <w:bottom w:val="single" w:sz="4" w:space="0" w:color="000000"/>
              <w:right w:val="nil"/>
            </w:tcBorders>
            <w:shd w:val="clear" w:color="auto" w:fill="auto"/>
            <w:noWrap/>
            <w:vAlign w:val="bottom"/>
            <w:hideMark/>
          </w:tcPr>
          <w:p w14:paraId="5D39F43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274</w:t>
            </w:r>
          </w:p>
        </w:tc>
        <w:tc>
          <w:tcPr>
            <w:tcW w:w="183" w:type="pct"/>
            <w:tcBorders>
              <w:top w:val="nil"/>
              <w:left w:val="nil"/>
              <w:bottom w:val="single" w:sz="4" w:space="0" w:color="000000"/>
              <w:right w:val="nil"/>
            </w:tcBorders>
            <w:shd w:val="clear" w:color="auto" w:fill="auto"/>
            <w:noWrap/>
            <w:vAlign w:val="bottom"/>
            <w:hideMark/>
          </w:tcPr>
          <w:p w14:paraId="135B792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274</w:t>
            </w:r>
          </w:p>
        </w:tc>
        <w:tc>
          <w:tcPr>
            <w:tcW w:w="206" w:type="pct"/>
            <w:tcBorders>
              <w:top w:val="nil"/>
              <w:left w:val="nil"/>
              <w:bottom w:val="single" w:sz="4" w:space="0" w:color="000000"/>
              <w:right w:val="nil"/>
            </w:tcBorders>
            <w:shd w:val="clear" w:color="auto" w:fill="auto"/>
            <w:noWrap/>
            <w:vAlign w:val="bottom"/>
            <w:hideMark/>
          </w:tcPr>
          <w:p w14:paraId="3744122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291</w:t>
            </w:r>
          </w:p>
        </w:tc>
        <w:tc>
          <w:tcPr>
            <w:tcW w:w="209" w:type="pct"/>
            <w:tcBorders>
              <w:top w:val="nil"/>
              <w:left w:val="nil"/>
              <w:bottom w:val="single" w:sz="4" w:space="0" w:color="000000"/>
              <w:right w:val="nil"/>
            </w:tcBorders>
            <w:shd w:val="clear" w:color="auto" w:fill="auto"/>
            <w:noWrap/>
            <w:vAlign w:val="bottom"/>
            <w:hideMark/>
          </w:tcPr>
          <w:p w14:paraId="4979507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291</w:t>
            </w:r>
          </w:p>
        </w:tc>
        <w:tc>
          <w:tcPr>
            <w:tcW w:w="209" w:type="pct"/>
            <w:tcBorders>
              <w:top w:val="nil"/>
              <w:left w:val="nil"/>
              <w:bottom w:val="single" w:sz="4" w:space="0" w:color="000000"/>
              <w:right w:val="nil"/>
            </w:tcBorders>
            <w:shd w:val="clear" w:color="auto" w:fill="auto"/>
            <w:noWrap/>
            <w:vAlign w:val="bottom"/>
            <w:hideMark/>
          </w:tcPr>
          <w:p w14:paraId="4E10A71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291</w:t>
            </w:r>
          </w:p>
        </w:tc>
        <w:tc>
          <w:tcPr>
            <w:tcW w:w="209" w:type="pct"/>
            <w:tcBorders>
              <w:top w:val="nil"/>
              <w:left w:val="nil"/>
              <w:bottom w:val="single" w:sz="4" w:space="0" w:color="000000"/>
              <w:right w:val="nil"/>
            </w:tcBorders>
            <w:shd w:val="clear" w:color="auto" w:fill="auto"/>
            <w:noWrap/>
            <w:vAlign w:val="bottom"/>
            <w:hideMark/>
          </w:tcPr>
          <w:p w14:paraId="6FE7109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291</w:t>
            </w:r>
          </w:p>
        </w:tc>
        <w:tc>
          <w:tcPr>
            <w:tcW w:w="209" w:type="pct"/>
            <w:tcBorders>
              <w:top w:val="nil"/>
              <w:left w:val="nil"/>
              <w:bottom w:val="single" w:sz="4" w:space="0" w:color="000000"/>
              <w:right w:val="nil"/>
            </w:tcBorders>
            <w:shd w:val="clear" w:color="auto" w:fill="auto"/>
            <w:noWrap/>
            <w:vAlign w:val="bottom"/>
            <w:hideMark/>
          </w:tcPr>
          <w:p w14:paraId="0E747EF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581</w:t>
            </w:r>
          </w:p>
        </w:tc>
        <w:tc>
          <w:tcPr>
            <w:tcW w:w="209" w:type="pct"/>
            <w:tcBorders>
              <w:top w:val="nil"/>
              <w:left w:val="nil"/>
              <w:bottom w:val="single" w:sz="4" w:space="0" w:color="000000"/>
              <w:right w:val="nil"/>
            </w:tcBorders>
            <w:shd w:val="clear" w:color="auto" w:fill="auto"/>
            <w:noWrap/>
            <w:vAlign w:val="bottom"/>
            <w:hideMark/>
          </w:tcPr>
          <w:p w14:paraId="2638C62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363</w:t>
            </w:r>
          </w:p>
        </w:tc>
        <w:tc>
          <w:tcPr>
            <w:tcW w:w="209" w:type="pct"/>
            <w:tcBorders>
              <w:top w:val="nil"/>
              <w:left w:val="nil"/>
              <w:bottom w:val="single" w:sz="4" w:space="0" w:color="000000"/>
              <w:right w:val="nil"/>
            </w:tcBorders>
            <w:shd w:val="clear" w:color="auto" w:fill="auto"/>
            <w:noWrap/>
            <w:vAlign w:val="bottom"/>
            <w:hideMark/>
          </w:tcPr>
          <w:p w14:paraId="6B16342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363</w:t>
            </w:r>
          </w:p>
        </w:tc>
        <w:tc>
          <w:tcPr>
            <w:tcW w:w="209" w:type="pct"/>
            <w:tcBorders>
              <w:top w:val="nil"/>
              <w:left w:val="nil"/>
              <w:bottom w:val="single" w:sz="4" w:space="0" w:color="000000"/>
              <w:right w:val="nil"/>
            </w:tcBorders>
            <w:shd w:val="clear" w:color="auto" w:fill="auto"/>
            <w:noWrap/>
            <w:vAlign w:val="bottom"/>
            <w:hideMark/>
          </w:tcPr>
          <w:p w14:paraId="4DDCD87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363</w:t>
            </w:r>
          </w:p>
        </w:tc>
        <w:tc>
          <w:tcPr>
            <w:tcW w:w="209" w:type="pct"/>
            <w:tcBorders>
              <w:top w:val="nil"/>
              <w:left w:val="nil"/>
              <w:bottom w:val="single" w:sz="4" w:space="0" w:color="000000"/>
              <w:right w:val="nil"/>
            </w:tcBorders>
            <w:shd w:val="clear" w:color="auto" w:fill="auto"/>
            <w:noWrap/>
            <w:vAlign w:val="bottom"/>
            <w:hideMark/>
          </w:tcPr>
          <w:p w14:paraId="2C6A6FD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363</w:t>
            </w:r>
          </w:p>
        </w:tc>
        <w:tc>
          <w:tcPr>
            <w:tcW w:w="206" w:type="pct"/>
            <w:tcBorders>
              <w:top w:val="nil"/>
              <w:left w:val="nil"/>
              <w:bottom w:val="single" w:sz="4" w:space="0" w:color="000000"/>
              <w:right w:val="nil"/>
            </w:tcBorders>
            <w:shd w:val="clear" w:color="auto" w:fill="auto"/>
            <w:noWrap/>
            <w:vAlign w:val="bottom"/>
            <w:hideMark/>
          </w:tcPr>
          <w:p w14:paraId="0A51F7B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726</w:t>
            </w:r>
          </w:p>
        </w:tc>
      </w:tr>
      <w:tr w:rsidR="00B54F4E" w:rsidRPr="00D050B8" w14:paraId="643B76B1" w14:textId="77777777" w:rsidTr="006504C4">
        <w:trPr>
          <w:trHeight w:val="243"/>
        </w:trPr>
        <w:tc>
          <w:tcPr>
            <w:tcW w:w="1237" w:type="pct"/>
            <w:tcBorders>
              <w:top w:val="nil"/>
              <w:left w:val="nil"/>
              <w:bottom w:val="nil"/>
              <w:right w:val="nil"/>
            </w:tcBorders>
            <w:shd w:val="clear" w:color="auto" w:fill="auto"/>
            <w:noWrap/>
            <w:vAlign w:val="bottom"/>
            <w:hideMark/>
          </w:tcPr>
          <w:p w14:paraId="6EA5C8B0"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Beneficios</w:t>
            </w:r>
          </w:p>
        </w:tc>
        <w:tc>
          <w:tcPr>
            <w:tcW w:w="253" w:type="pct"/>
            <w:tcBorders>
              <w:top w:val="nil"/>
              <w:left w:val="nil"/>
              <w:bottom w:val="nil"/>
              <w:right w:val="nil"/>
            </w:tcBorders>
            <w:shd w:val="clear" w:color="auto" w:fill="auto"/>
            <w:noWrap/>
            <w:vAlign w:val="bottom"/>
            <w:hideMark/>
          </w:tcPr>
          <w:p w14:paraId="6911018B" w14:textId="77777777" w:rsidR="00B54F4E" w:rsidRPr="00D050B8" w:rsidRDefault="00B54F4E" w:rsidP="006504C4">
            <w:pPr>
              <w:spacing w:before="0" w:after="0"/>
              <w:jc w:val="left"/>
              <w:rPr>
                <w:rFonts w:ascii="Calibri" w:hAnsi="Calibri" w:cs="Calibri"/>
                <w:b/>
                <w:bCs/>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4C752A35"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45E0FEA2"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3955C5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404B7D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40CC5E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9124927"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D8D233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A8D3B8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732044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4DC291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D21EBE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9645A8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9F2DED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55ABA9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4B5E5D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13F238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E43A5C6"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61B11CE5" w14:textId="77777777" w:rsidTr="006504C4">
        <w:trPr>
          <w:trHeight w:val="243"/>
        </w:trPr>
        <w:tc>
          <w:tcPr>
            <w:tcW w:w="1237" w:type="pct"/>
            <w:tcBorders>
              <w:top w:val="nil"/>
              <w:left w:val="nil"/>
              <w:bottom w:val="nil"/>
              <w:right w:val="nil"/>
            </w:tcBorders>
            <w:shd w:val="clear" w:color="auto" w:fill="auto"/>
            <w:noWrap/>
            <w:vAlign w:val="bottom"/>
            <w:hideMark/>
          </w:tcPr>
          <w:p w14:paraId="5845555E"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GWh/año</w:t>
            </w:r>
          </w:p>
        </w:tc>
        <w:tc>
          <w:tcPr>
            <w:tcW w:w="253" w:type="pct"/>
            <w:tcBorders>
              <w:top w:val="nil"/>
              <w:left w:val="nil"/>
              <w:bottom w:val="nil"/>
              <w:right w:val="nil"/>
            </w:tcBorders>
            <w:shd w:val="clear" w:color="auto" w:fill="auto"/>
            <w:noWrap/>
            <w:vAlign w:val="bottom"/>
            <w:hideMark/>
          </w:tcPr>
          <w:p w14:paraId="76E8D4A8"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5D33253E"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0E28B13D"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A24325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9AC5B3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41,09</w:t>
            </w:r>
          </w:p>
        </w:tc>
        <w:tc>
          <w:tcPr>
            <w:tcW w:w="209" w:type="pct"/>
            <w:tcBorders>
              <w:top w:val="nil"/>
              <w:left w:val="nil"/>
              <w:bottom w:val="nil"/>
              <w:right w:val="nil"/>
            </w:tcBorders>
            <w:shd w:val="clear" w:color="auto" w:fill="auto"/>
            <w:noWrap/>
            <w:vAlign w:val="bottom"/>
            <w:hideMark/>
          </w:tcPr>
          <w:p w14:paraId="143459D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82,18</w:t>
            </w:r>
          </w:p>
        </w:tc>
        <w:tc>
          <w:tcPr>
            <w:tcW w:w="209" w:type="pct"/>
            <w:tcBorders>
              <w:top w:val="nil"/>
              <w:left w:val="nil"/>
              <w:bottom w:val="nil"/>
              <w:right w:val="nil"/>
            </w:tcBorders>
            <w:shd w:val="clear" w:color="auto" w:fill="auto"/>
            <w:noWrap/>
            <w:vAlign w:val="bottom"/>
            <w:hideMark/>
          </w:tcPr>
          <w:p w14:paraId="37679FE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136,97</w:t>
            </w:r>
          </w:p>
        </w:tc>
        <w:tc>
          <w:tcPr>
            <w:tcW w:w="183" w:type="pct"/>
            <w:tcBorders>
              <w:top w:val="nil"/>
              <w:left w:val="nil"/>
              <w:bottom w:val="nil"/>
              <w:right w:val="nil"/>
            </w:tcBorders>
            <w:shd w:val="clear" w:color="auto" w:fill="auto"/>
            <w:noWrap/>
            <w:vAlign w:val="bottom"/>
            <w:hideMark/>
          </w:tcPr>
          <w:p w14:paraId="1D6DC14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191,75</w:t>
            </w:r>
          </w:p>
        </w:tc>
        <w:tc>
          <w:tcPr>
            <w:tcW w:w="206" w:type="pct"/>
            <w:tcBorders>
              <w:top w:val="nil"/>
              <w:left w:val="nil"/>
              <w:bottom w:val="nil"/>
              <w:right w:val="nil"/>
            </w:tcBorders>
            <w:shd w:val="clear" w:color="auto" w:fill="auto"/>
            <w:noWrap/>
            <w:vAlign w:val="bottom"/>
            <w:hideMark/>
          </w:tcPr>
          <w:p w14:paraId="169D67C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249,89</w:t>
            </w:r>
          </w:p>
        </w:tc>
        <w:tc>
          <w:tcPr>
            <w:tcW w:w="209" w:type="pct"/>
            <w:tcBorders>
              <w:top w:val="nil"/>
              <w:left w:val="nil"/>
              <w:bottom w:val="nil"/>
              <w:right w:val="nil"/>
            </w:tcBorders>
            <w:shd w:val="clear" w:color="auto" w:fill="auto"/>
            <w:noWrap/>
            <w:vAlign w:val="bottom"/>
            <w:hideMark/>
          </w:tcPr>
          <w:p w14:paraId="2FA3686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308,02</w:t>
            </w:r>
          </w:p>
        </w:tc>
        <w:tc>
          <w:tcPr>
            <w:tcW w:w="209" w:type="pct"/>
            <w:tcBorders>
              <w:top w:val="nil"/>
              <w:left w:val="nil"/>
              <w:bottom w:val="nil"/>
              <w:right w:val="nil"/>
            </w:tcBorders>
            <w:shd w:val="clear" w:color="auto" w:fill="auto"/>
            <w:noWrap/>
            <w:vAlign w:val="bottom"/>
            <w:hideMark/>
          </w:tcPr>
          <w:p w14:paraId="2AEA18B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366,15</w:t>
            </w:r>
          </w:p>
        </w:tc>
        <w:tc>
          <w:tcPr>
            <w:tcW w:w="209" w:type="pct"/>
            <w:tcBorders>
              <w:top w:val="nil"/>
              <w:left w:val="nil"/>
              <w:bottom w:val="nil"/>
              <w:right w:val="nil"/>
            </w:tcBorders>
            <w:shd w:val="clear" w:color="auto" w:fill="auto"/>
            <w:noWrap/>
            <w:vAlign w:val="bottom"/>
            <w:hideMark/>
          </w:tcPr>
          <w:p w14:paraId="71C29BF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424,29</w:t>
            </w:r>
          </w:p>
        </w:tc>
        <w:tc>
          <w:tcPr>
            <w:tcW w:w="209" w:type="pct"/>
            <w:tcBorders>
              <w:top w:val="nil"/>
              <w:left w:val="nil"/>
              <w:bottom w:val="nil"/>
              <w:right w:val="nil"/>
            </w:tcBorders>
            <w:shd w:val="clear" w:color="auto" w:fill="auto"/>
            <w:noWrap/>
            <w:vAlign w:val="bottom"/>
            <w:hideMark/>
          </w:tcPr>
          <w:p w14:paraId="51E52B4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540,55</w:t>
            </w:r>
          </w:p>
        </w:tc>
        <w:tc>
          <w:tcPr>
            <w:tcW w:w="209" w:type="pct"/>
            <w:tcBorders>
              <w:top w:val="nil"/>
              <w:left w:val="nil"/>
              <w:bottom w:val="nil"/>
              <w:right w:val="nil"/>
            </w:tcBorders>
            <w:shd w:val="clear" w:color="auto" w:fill="auto"/>
            <w:noWrap/>
            <w:vAlign w:val="bottom"/>
            <w:hideMark/>
          </w:tcPr>
          <w:p w14:paraId="5FB9AAE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613,11</w:t>
            </w:r>
          </w:p>
        </w:tc>
        <w:tc>
          <w:tcPr>
            <w:tcW w:w="209" w:type="pct"/>
            <w:tcBorders>
              <w:top w:val="nil"/>
              <w:left w:val="nil"/>
              <w:bottom w:val="nil"/>
              <w:right w:val="nil"/>
            </w:tcBorders>
            <w:shd w:val="clear" w:color="auto" w:fill="auto"/>
            <w:noWrap/>
            <w:vAlign w:val="bottom"/>
            <w:hideMark/>
          </w:tcPr>
          <w:p w14:paraId="70DDC8D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685,67</w:t>
            </w:r>
          </w:p>
        </w:tc>
        <w:tc>
          <w:tcPr>
            <w:tcW w:w="209" w:type="pct"/>
            <w:tcBorders>
              <w:top w:val="nil"/>
              <w:left w:val="nil"/>
              <w:bottom w:val="nil"/>
              <w:right w:val="nil"/>
            </w:tcBorders>
            <w:shd w:val="clear" w:color="auto" w:fill="auto"/>
            <w:noWrap/>
            <w:vAlign w:val="bottom"/>
            <w:hideMark/>
          </w:tcPr>
          <w:p w14:paraId="076EBC0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758,22</w:t>
            </w:r>
          </w:p>
        </w:tc>
        <w:tc>
          <w:tcPr>
            <w:tcW w:w="209" w:type="pct"/>
            <w:tcBorders>
              <w:top w:val="nil"/>
              <w:left w:val="nil"/>
              <w:bottom w:val="nil"/>
              <w:right w:val="nil"/>
            </w:tcBorders>
            <w:shd w:val="clear" w:color="auto" w:fill="auto"/>
            <w:noWrap/>
            <w:vAlign w:val="bottom"/>
            <w:hideMark/>
          </w:tcPr>
          <w:p w14:paraId="3E30C70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830,78</w:t>
            </w:r>
          </w:p>
        </w:tc>
        <w:tc>
          <w:tcPr>
            <w:tcW w:w="206" w:type="pct"/>
            <w:tcBorders>
              <w:top w:val="nil"/>
              <w:left w:val="nil"/>
              <w:bottom w:val="nil"/>
              <w:right w:val="nil"/>
            </w:tcBorders>
            <w:shd w:val="clear" w:color="auto" w:fill="auto"/>
            <w:noWrap/>
            <w:vAlign w:val="bottom"/>
            <w:hideMark/>
          </w:tcPr>
          <w:p w14:paraId="7050AAB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975,89</w:t>
            </w:r>
          </w:p>
        </w:tc>
      </w:tr>
      <w:tr w:rsidR="00B54F4E" w:rsidRPr="00D050B8" w14:paraId="60E3A473" w14:textId="77777777" w:rsidTr="006504C4">
        <w:trPr>
          <w:trHeight w:val="243"/>
        </w:trPr>
        <w:tc>
          <w:tcPr>
            <w:tcW w:w="1237" w:type="pct"/>
            <w:tcBorders>
              <w:top w:val="nil"/>
              <w:left w:val="nil"/>
              <w:bottom w:val="single" w:sz="4" w:space="0" w:color="BFBFBF"/>
              <w:right w:val="nil"/>
            </w:tcBorders>
            <w:shd w:val="clear" w:color="auto" w:fill="auto"/>
            <w:noWrap/>
            <w:vAlign w:val="bottom"/>
            <w:hideMark/>
          </w:tcPr>
          <w:p w14:paraId="62AE59E0"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Emisiones de CO2 evitadas (TonCo2)</w:t>
            </w:r>
          </w:p>
        </w:tc>
        <w:tc>
          <w:tcPr>
            <w:tcW w:w="253" w:type="pct"/>
            <w:tcBorders>
              <w:top w:val="nil"/>
              <w:left w:val="nil"/>
              <w:bottom w:val="single" w:sz="4" w:space="0" w:color="BFBFBF"/>
              <w:right w:val="nil"/>
            </w:tcBorders>
            <w:shd w:val="clear" w:color="auto" w:fill="auto"/>
            <w:noWrap/>
            <w:vAlign w:val="bottom"/>
            <w:hideMark/>
          </w:tcPr>
          <w:p w14:paraId="55BADAA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BFBFBF"/>
              <w:right w:val="nil"/>
            </w:tcBorders>
            <w:shd w:val="clear" w:color="auto" w:fill="auto"/>
            <w:noWrap/>
            <w:vAlign w:val="bottom"/>
            <w:hideMark/>
          </w:tcPr>
          <w:p w14:paraId="7C6381FF"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BFBFBF"/>
              <w:right w:val="nil"/>
            </w:tcBorders>
            <w:shd w:val="clear" w:color="auto" w:fill="auto"/>
            <w:noWrap/>
            <w:vAlign w:val="bottom"/>
            <w:hideMark/>
          </w:tcPr>
          <w:p w14:paraId="107F1677"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8" w:type="pct"/>
            <w:tcBorders>
              <w:top w:val="nil"/>
              <w:left w:val="nil"/>
              <w:bottom w:val="single" w:sz="4" w:space="0" w:color="BFBFBF"/>
              <w:right w:val="nil"/>
            </w:tcBorders>
            <w:shd w:val="clear" w:color="auto" w:fill="auto"/>
            <w:noWrap/>
            <w:vAlign w:val="bottom"/>
            <w:hideMark/>
          </w:tcPr>
          <w:p w14:paraId="768D8C66"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BFBFBF"/>
              <w:right w:val="nil"/>
            </w:tcBorders>
            <w:shd w:val="clear" w:color="auto" w:fill="auto"/>
            <w:noWrap/>
            <w:vAlign w:val="bottom"/>
            <w:hideMark/>
          </w:tcPr>
          <w:p w14:paraId="2F50159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7.858</w:t>
            </w:r>
          </w:p>
        </w:tc>
        <w:tc>
          <w:tcPr>
            <w:tcW w:w="209" w:type="pct"/>
            <w:tcBorders>
              <w:top w:val="nil"/>
              <w:left w:val="nil"/>
              <w:bottom w:val="single" w:sz="4" w:space="0" w:color="BFBFBF"/>
              <w:right w:val="nil"/>
            </w:tcBorders>
            <w:shd w:val="clear" w:color="auto" w:fill="auto"/>
            <w:noWrap/>
            <w:vAlign w:val="bottom"/>
            <w:hideMark/>
          </w:tcPr>
          <w:p w14:paraId="2E5961D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15.716</w:t>
            </w:r>
          </w:p>
        </w:tc>
        <w:tc>
          <w:tcPr>
            <w:tcW w:w="209" w:type="pct"/>
            <w:tcBorders>
              <w:top w:val="nil"/>
              <w:left w:val="nil"/>
              <w:bottom w:val="single" w:sz="4" w:space="0" w:color="BFBFBF"/>
              <w:right w:val="nil"/>
            </w:tcBorders>
            <w:shd w:val="clear" w:color="auto" w:fill="auto"/>
            <w:noWrap/>
            <w:vAlign w:val="bottom"/>
            <w:hideMark/>
          </w:tcPr>
          <w:p w14:paraId="360AD44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26.194</w:t>
            </w:r>
          </w:p>
        </w:tc>
        <w:tc>
          <w:tcPr>
            <w:tcW w:w="183" w:type="pct"/>
            <w:tcBorders>
              <w:top w:val="nil"/>
              <w:left w:val="nil"/>
              <w:bottom w:val="single" w:sz="4" w:space="0" w:color="BFBFBF"/>
              <w:right w:val="nil"/>
            </w:tcBorders>
            <w:shd w:val="clear" w:color="auto" w:fill="auto"/>
            <w:noWrap/>
            <w:vAlign w:val="bottom"/>
            <w:hideMark/>
          </w:tcPr>
          <w:p w14:paraId="587EDF4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36.671</w:t>
            </w:r>
          </w:p>
        </w:tc>
        <w:tc>
          <w:tcPr>
            <w:tcW w:w="206" w:type="pct"/>
            <w:tcBorders>
              <w:top w:val="nil"/>
              <w:left w:val="nil"/>
              <w:bottom w:val="single" w:sz="4" w:space="0" w:color="BFBFBF"/>
              <w:right w:val="nil"/>
            </w:tcBorders>
            <w:shd w:val="clear" w:color="auto" w:fill="auto"/>
            <w:noWrap/>
            <w:vAlign w:val="bottom"/>
            <w:hideMark/>
          </w:tcPr>
          <w:p w14:paraId="164913D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47.789</w:t>
            </w:r>
          </w:p>
        </w:tc>
        <w:tc>
          <w:tcPr>
            <w:tcW w:w="209" w:type="pct"/>
            <w:tcBorders>
              <w:top w:val="nil"/>
              <w:left w:val="nil"/>
              <w:bottom w:val="single" w:sz="4" w:space="0" w:color="BFBFBF"/>
              <w:right w:val="nil"/>
            </w:tcBorders>
            <w:shd w:val="clear" w:color="auto" w:fill="auto"/>
            <w:noWrap/>
            <w:vAlign w:val="bottom"/>
            <w:hideMark/>
          </w:tcPr>
          <w:p w14:paraId="0C8BFA6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58.906</w:t>
            </w:r>
          </w:p>
        </w:tc>
        <w:tc>
          <w:tcPr>
            <w:tcW w:w="209" w:type="pct"/>
            <w:tcBorders>
              <w:top w:val="nil"/>
              <w:left w:val="nil"/>
              <w:bottom w:val="single" w:sz="4" w:space="0" w:color="BFBFBF"/>
              <w:right w:val="nil"/>
            </w:tcBorders>
            <w:shd w:val="clear" w:color="auto" w:fill="auto"/>
            <w:noWrap/>
            <w:vAlign w:val="bottom"/>
            <w:hideMark/>
          </w:tcPr>
          <w:p w14:paraId="7111F13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70.024</w:t>
            </w:r>
          </w:p>
        </w:tc>
        <w:tc>
          <w:tcPr>
            <w:tcW w:w="209" w:type="pct"/>
            <w:tcBorders>
              <w:top w:val="nil"/>
              <w:left w:val="nil"/>
              <w:bottom w:val="single" w:sz="4" w:space="0" w:color="BFBFBF"/>
              <w:right w:val="nil"/>
            </w:tcBorders>
            <w:shd w:val="clear" w:color="auto" w:fill="auto"/>
            <w:noWrap/>
            <w:vAlign w:val="bottom"/>
            <w:hideMark/>
          </w:tcPr>
          <w:p w14:paraId="585FED3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81.141</w:t>
            </w:r>
          </w:p>
        </w:tc>
        <w:tc>
          <w:tcPr>
            <w:tcW w:w="209" w:type="pct"/>
            <w:tcBorders>
              <w:top w:val="nil"/>
              <w:left w:val="nil"/>
              <w:bottom w:val="single" w:sz="4" w:space="0" w:color="BFBFBF"/>
              <w:right w:val="nil"/>
            </w:tcBorders>
            <w:shd w:val="clear" w:color="auto" w:fill="auto"/>
            <w:noWrap/>
            <w:vAlign w:val="bottom"/>
            <w:hideMark/>
          </w:tcPr>
          <w:p w14:paraId="731BA11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103.376</w:t>
            </w:r>
          </w:p>
        </w:tc>
        <w:tc>
          <w:tcPr>
            <w:tcW w:w="209" w:type="pct"/>
            <w:tcBorders>
              <w:top w:val="nil"/>
              <w:left w:val="nil"/>
              <w:bottom w:val="single" w:sz="4" w:space="0" w:color="BFBFBF"/>
              <w:right w:val="nil"/>
            </w:tcBorders>
            <w:shd w:val="clear" w:color="auto" w:fill="auto"/>
            <w:noWrap/>
            <w:vAlign w:val="bottom"/>
            <w:hideMark/>
          </w:tcPr>
          <w:p w14:paraId="0600720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117.252</w:t>
            </w:r>
          </w:p>
        </w:tc>
        <w:tc>
          <w:tcPr>
            <w:tcW w:w="209" w:type="pct"/>
            <w:tcBorders>
              <w:top w:val="nil"/>
              <w:left w:val="nil"/>
              <w:bottom w:val="single" w:sz="4" w:space="0" w:color="BFBFBF"/>
              <w:right w:val="nil"/>
            </w:tcBorders>
            <w:shd w:val="clear" w:color="auto" w:fill="auto"/>
            <w:noWrap/>
            <w:vAlign w:val="bottom"/>
            <w:hideMark/>
          </w:tcPr>
          <w:p w14:paraId="5A22917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131.128</w:t>
            </w:r>
          </w:p>
        </w:tc>
        <w:tc>
          <w:tcPr>
            <w:tcW w:w="209" w:type="pct"/>
            <w:tcBorders>
              <w:top w:val="nil"/>
              <w:left w:val="nil"/>
              <w:bottom w:val="single" w:sz="4" w:space="0" w:color="BFBFBF"/>
              <w:right w:val="nil"/>
            </w:tcBorders>
            <w:shd w:val="clear" w:color="auto" w:fill="auto"/>
            <w:noWrap/>
            <w:vAlign w:val="bottom"/>
            <w:hideMark/>
          </w:tcPr>
          <w:p w14:paraId="7B335AC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145.004</w:t>
            </w:r>
          </w:p>
        </w:tc>
        <w:tc>
          <w:tcPr>
            <w:tcW w:w="209" w:type="pct"/>
            <w:tcBorders>
              <w:top w:val="nil"/>
              <w:left w:val="nil"/>
              <w:bottom w:val="single" w:sz="4" w:space="0" w:color="BFBFBF"/>
              <w:right w:val="nil"/>
            </w:tcBorders>
            <w:shd w:val="clear" w:color="auto" w:fill="auto"/>
            <w:noWrap/>
            <w:vAlign w:val="bottom"/>
            <w:hideMark/>
          </w:tcPr>
          <w:p w14:paraId="7C2F126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158.880</w:t>
            </w:r>
          </w:p>
        </w:tc>
        <w:tc>
          <w:tcPr>
            <w:tcW w:w="206" w:type="pct"/>
            <w:tcBorders>
              <w:top w:val="nil"/>
              <w:left w:val="nil"/>
              <w:bottom w:val="single" w:sz="4" w:space="0" w:color="BFBFBF"/>
              <w:right w:val="nil"/>
            </w:tcBorders>
            <w:shd w:val="clear" w:color="auto" w:fill="auto"/>
            <w:noWrap/>
            <w:vAlign w:val="bottom"/>
            <w:hideMark/>
          </w:tcPr>
          <w:p w14:paraId="34E218F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186.632</w:t>
            </w:r>
          </w:p>
        </w:tc>
      </w:tr>
      <w:tr w:rsidR="00B54F4E" w:rsidRPr="00D050B8" w14:paraId="3FECF62C" w14:textId="77777777" w:rsidTr="006504C4">
        <w:trPr>
          <w:trHeight w:val="243"/>
        </w:trPr>
        <w:tc>
          <w:tcPr>
            <w:tcW w:w="1237" w:type="pct"/>
            <w:tcBorders>
              <w:top w:val="nil"/>
              <w:left w:val="nil"/>
              <w:bottom w:val="nil"/>
              <w:right w:val="nil"/>
            </w:tcBorders>
            <w:shd w:val="clear" w:color="auto" w:fill="auto"/>
            <w:noWrap/>
            <w:vAlign w:val="bottom"/>
            <w:hideMark/>
          </w:tcPr>
          <w:p w14:paraId="1828B3E2"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costo final de energía evitado ($USD Millones)</w:t>
            </w:r>
          </w:p>
        </w:tc>
        <w:tc>
          <w:tcPr>
            <w:tcW w:w="253" w:type="pct"/>
            <w:tcBorders>
              <w:top w:val="nil"/>
              <w:left w:val="nil"/>
              <w:bottom w:val="nil"/>
              <w:right w:val="nil"/>
            </w:tcBorders>
            <w:shd w:val="clear" w:color="auto" w:fill="auto"/>
            <w:noWrap/>
            <w:vAlign w:val="bottom"/>
            <w:hideMark/>
          </w:tcPr>
          <w:p w14:paraId="6C89B25A"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798C0AF2"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0C8CE79E"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49E5C10"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A3E861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5,92</w:t>
            </w:r>
          </w:p>
        </w:tc>
        <w:tc>
          <w:tcPr>
            <w:tcW w:w="209" w:type="pct"/>
            <w:tcBorders>
              <w:top w:val="nil"/>
              <w:left w:val="nil"/>
              <w:bottom w:val="nil"/>
              <w:right w:val="nil"/>
            </w:tcBorders>
            <w:shd w:val="clear" w:color="auto" w:fill="auto"/>
            <w:noWrap/>
            <w:vAlign w:val="bottom"/>
            <w:hideMark/>
          </w:tcPr>
          <w:p w14:paraId="6BABD82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11,83</w:t>
            </w:r>
          </w:p>
        </w:tc>
        <w:tc>
          <w:tcPr>
            <w:tcW w:w="209" w:type="pct"/>
            <w:tcBorders>
              <w:top w:val="nil"/>
              <w:left w:val="nil"/>
              <w:bottom w:val="nil"/>
              <w:right w:val="nil"/>
            </w:tcBorders>
            <w:shd w:val="clear" w:color="auto" w:fill="auto"/>
            <w:noWrap/>
            <w:vAlign w:val="bottom"/>
            <w:hideMark/>
          </w:tcPr>
          <w:p w14:paraId="3A8F62C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19,72</w:t>
            </w:r>
          </w:p>
        </w:tc>
        <w:tc>
          <w:tcPr>
            <w:tcW w:w="183" w:type="pct"/>
            <w:tcBorders>
              <w:top w:val="nil"/>
              <w:left w:val="nil"/>
              <w:bottom w:val="nil"/>
              <w:right w:val="nil"/>
            </w:tcBorders>
            <w:shd w:val="clear" w:color="auto" w:fill="auto"/>
            <w:noWrap/>
            <w:vAlign w:val="bottom"/>
            <w:hideMark/>
          </w:tcPr>
          <w:p w14:paraId="29CD184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27,61</w:t>
            </w:r>
          </w:p>
        </w:tc>
        <w:tc>
          <w:tcPr>
            <w:tcW w:w="206" w:type="pct"/>
            <w:tcBorders>
              <w:top w:val="nil"/>
              <w:left w:val="nil"/>
              <w:bottom w:val="nil"/>
              <w:right w:val="nil"/>
            </w:tcBorders>
            <w:shd w:val="clear" w:color="auto" w:fill="auto"/>
            <w:noWrap/>
            <w:vAlign w:val="bottom"/>
            <w:hideMark/>
          </w:tcPr>
          <w:p w14:paraId="3C29272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35,98</w:t>
            </w:r>
          </w:p>
        </w:tc>
        <w:tc>
          <w:tcPr>
            <w:tcW w:w="209" w:type="pct"/>
            <w:tcBorders>
              <w:top w:val="nil"/>
              <w:left w:val="nil"/>
              <w:bottom w:val="nil"/>
              <w:right w:val="nil"/>
            </w:tcBorders>
            <w:shd w:val="clear" w:color="auto" w:fill="auto"/>
            <w:noWrap/>
            <w:vAlign w:val="bottom"/>
            <w:hideMark/>
          </w:tcPr>
          <w:p w14:paraId="11D0927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44,35</w:t>
            </w:r>
          </w:p>
        </w:tc>
        <w:tc>
          <w:tcPr>
            <w:tcW w:w="209" w:type="pct"/>
            <w:tcBorders>
              <w:top w:val="nil"/>
              <w:left w:val="nil"/>
              <w:bottom w:val="nil"/>
              <w:right w:val="nil"/>
            </w:tcBorders>
            <w:shd w:val="clear" w:color="auto" w:fill="auto"/>
            <w:noWrap/>
            <w:vAlign w:val="bottom"/>
            <w:hideMark/>
          </w:tcPr>
          <w:p w14:paraId="09906E2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52,73</w:t>
            </w:r>
          </w:p>
        </w:tc>
        <w:tc>
          <w:tcPr>
            <w:tcW w:w="209" w:type="pct"/>
            <w:tcBorders>
              <w:top w:val="nil"/>
              <w:left w:val="nil"/>
              <w:bottom w:val="nil"/>
              <w:right w:val="nil"/>
            </w:tcBorders>
            <w:shd w:val="clear" w:color="auto" w:fill="auto"/>
            <w:noWrap/>
            <w:vAlign w:val="bottom"/>
            <w:hideMark/>
          </w:tcPr>
          <w:p w14:paraId="04DF60A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61,10</w:t>
            </w:r>
          </w:p>
        </w:tc>
        <w:tc>
          <w:tcPr>
            <w:tcW w:w="209" w:type="pct"/>
            <w:tcBorders>
              <w:top w:val="nil"/>
              <w:left w:val="nil"/>
              <w:bottom w:val="nil"/>
              <w:right w:val="nil"/>
            </w:tcBorders>
            <w:shd w:val="clear" w:color="auto" w:fill="auto"/>
            <w:noWrap/>
            <w:vAlign w:val="bottom"/>
            <w:hideMark/>
          </w:tcPr>
          <w:p w14:paraId="088AE7B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77,84</w:t>
            </w:r>
          </w:p>
        </w:tc>
        <w:tc>
          <w:tcPr>
            <w:tcW w:w="209" w:type="pct"/>
            <w:tcBorders>
              <w:top w:val="nil"/>
              <w:left w:val="nil"/>
              <w:bottom w:val="nil"/>
              <w:right w:val="nil"/>
            </w:tcBorders>
            <w:shd w:val="clear" w:color="auto" w:fill="auto"/>
            <w:noWrap/>
            <w:vAlign w:val="bottom"/>
            <w:hideMark/>
          </w:tcPr>
          <w:p w14:paraId="53E9230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88,29</w:t>
            </w:r>
          </w:p>
        </w:tc>
        <w:tc>
          <w:tcPr>
            <w:tcW w:w="209" w:type="pct"/>
            <w:tcBorders>
              <w:top w:val="nil"/>
              <w:left w:val="nil"/>
              <w:bottom w:val="nil"/>
              <w:right w:val="nil"/>
            </w:tcBorders>
            <w:shd w:val="clear" w:color="auto" w:fill="auto"/>
            <w:noWrap/>
            <w:vAlign w:val="bottom"/>
            <w:hideMark/>
          </w:tcPr>
          <w:p w14:paraId="31F2074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98,74</w:t>
            </w:r>
          </w:p>
        </w:tc>
        <w:tc>
          <w:tcPr>
            <w:tcW w:w="209" w:type="pct"/>
            <w:tcBorders>
              <w:top w:val="nil"/>
              <w:left w:val="nil"/>
              <w:bottom w:val="nil"/>
              <w:right w:val="nil"/>
            </w:tcBorders>
            <w:shd w:val="clear" w:color="auto" w:fill="auto"/>
            <w:noWrap/>
            <w:vAlign w:val="bottom"/>
            <w:hideMark/>
          </w:tcPr>
          <w:p w14:paraId="2D0D338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109,18</w:t>
            </w:r>
          </w:p>
        </w:tc>
        <w:tc>
          <w:tcPr>
            <w:tcW w:w="209" w:type="pct"/>
            <w:tcBorders>
              <w:top w:val="nil"/>
              <w:left w:val="nil"/>
              <w:bottom w:val="nil"/>
              <w:right w:val="nil"/>
            </w:tcBorders>
            <w:shd w:val="clear" w:color="auto" w:fill="auto"/>
            <w:noWrap/>
            <w:vAlign w:val="bottom"/>
            <w:hideMark/>
          </w:tcPr>
          <w:p w14:paraId="6E7EF05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119,63</w:t>
            </w:r>
          </w:p>
        </w:tc>
        <w:tc>
          <w:tcPr>
            <w:tcW w:w="206" w:type="pct"/>
            <w:tcBorders>
              <w:top w:val="nil"/>
              <w:left w:val="nil"/>
              <w:bottom w:val="nil"/>
              <w:right w:val="nil"/>
            </w:tcBorders>
            <w:shd w:val="clear" w:color="auto" w:fill="auto"/>
            <w:noWrap/>
            <w:vAlign w:val="bottom"/>
            <w:hideMark/>
          </w:tcPr>
          <w:p w14:paraId="16D68D0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140,53</w:t>
            </w:r>
          </w:p>
        </w:tc>
      </w:tr>
      <w:tr w:rsidR="00B54F4E" w:rsidRPr="00D050B8" w14:paraId="0E99C160" w14:textId="77777777" w:rsidTr="006504C4">
        <w:trPr>
          <w:trHeight w:val="243"/>
        </w:trPr>
        <w:tc>
          <w:tcPr>
            <w:tcW w:w="1237" w:type="pct"/>
            <w:tcBorders>
              <w:top w:val="nil"/>
              <w:left w:val="nil"/>
              <w:bottom w:val="nil"/>
              <w:right w:val="nil"/>
            </w:tcBorders>
            <w:shd w:val="clear" w:color="auto" w:fill="auto"/>
            <w:noWrap/>
            <w:vAlign w:val="bottom"/>
            <w:hideMark/>
          </w:tcPr>
          <w:p w14:paraId="00ACCB68"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menores emisiones de CO2 ($USD Millones)</w:t>
            </w:r>
          </w:p>
        </w:tc>
        <w:tc>
          <w:tcPr>
            <w:tcW w:w="253" w:type="pct"/>
            <w:tcBorders>
              <w:top w:val="nil"/>
              <w:left w:val="nil"/>
              <w:bottom w:val="nil"/>
              <w:right w:val="nil"/>
            </w:tcBorders>
            <w:shd w:val="clear" w:color="auto" w:fill="auto"/>
            <w:noWrap/>
            <w:vAlign w:val="bottom"/>
            <w:hideMark/>
          </w:tcPr>
          <w:p w14:paraId="00040AF5"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362518FF"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483CB242"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B8F63B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6F075B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0,05</w:t>
            </w:r>
          </w:p>
        </w:tc>
        <w:tc>
          <w:tcPr>
            <w:tcW w:w="209" w:type="pct"/>
            <w:tcBorders>
              <w:top w:val="nil"/>
              <w:left w:val="nil"/>
              <w:bottom w:val="nil"/>
              <w:right w:val="nil"/>
            </w:tcBorders>
            <w:shd w:val="clear" w:color="auto" w:fill="auto"/>
            <w:noWrap/>
            <w:vAlign w:val="bottom"/>
            <w:hideMark/>
          </w:tcPr>
          <w:p w14:paraId="71E09CF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0,09</w:t>
            </w:r>
          </w:p>
        </w:tc>
        <w:tc>
          <w:tcPr>
            <w:tcW w:w="209" w:type="pct"/>
            <w:tcBorders>
              <w:top w:val="nil"/>
              <w:left w:val="nil"/>
              <w:bottom w:val="nil"/>
              <w:right w:val="nil"/>
            </w:tcBorders>
            <w:shd w:val="clear" w:color="auto" w:fill="auto"/>
            <w:noWrap/>
            <w:vAlign w:val="bottom"/>
            <w:hideMark/>
          </w:tcPr>
          <w:p w14:paraId="50F34F8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0,16</w:t>
            </w:r>
          </w:p>
        </w:tc>
        <w:tc>
          <w:tcPr>
            <w:tcW w:w="183" w:type="pct"/>
            <w:tcBorders>
              <w:top w:val="nil"/>
              <w:left w:val="nil"/>
              <w:bottom w:val="nil"/>
              <w:right w:val="nil"/>
            </w:tcBorders>
            <w:shd w:val="clear" w:color="auto" w:fill="auto"/>
            <w:noWrap/>
            <w:vAlign w:val="bottom"/>
            <w:hideMark/>
          </w:tcPr>
          <w:p w14:paraId="213EE21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0,22</w:t>
            </w:r>
          </w:p>
        </w:tc>
        <w:tc>
          <w:tcPr>
            <w:tcW w:w="206" w:type="pct"/>
            <w:tcBorders>
              <w:top w:val="nil"/>
              <w:left w:val="nil"/>
              <w:bottom w:val="nil"/>
              <w:right w:val="nil"/>
            </w:tcBorders>
            <w:shd w:val="clear" w:color="auto" w:fill="auto"/>
            <w:noWrap/>
            <w:vAlign w:val="bottom"/>
            <w:hideMark/>
          </w:tcPr>
          <w:p w14:paraId="04750D8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0,29</w:t>
            </w:r>
          </w:p>
        </w:tc>
        <w:tc>
          <w:tcPr>
            <w:tcW w:w="209" w:type="pct"/>
            <w:tcBorders>
              <w:top w:val="nil"/>
              <w:left w:val="nil"/>
              <w:bottom w:val="nil"/>
              <w:right w:val="nil"/>
            </w:tcBorders>
            <w:shd w:val="clear" w:color="auto" w:fill="auto"/>
            <w:noWrap/>
            <w:vAlign w:val="bottom"/>
            <w:hideMark/>
          </w:tcPr>
          <w:p w14:paraId="19941D0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0,35</w:t>
            </w:r>
          </w:p>
        </w:tc>
        <w:tc>
          <w:tcPr>
            <w:tcW w:w="209" w:type="pct"/>
            <w:tcBorders>
              <w:top w:val="nil"/>
              <w:left w:val="nil"/>
              <w:bottom w:val="nil"/>
              <w:right w:val="nil"/>
            </w:tcBorders>
            <w:shd w:val="clear" w:color="auto" w:fill="auto"/>
            <w:noWrap/>
            <w:vAlign w:val="bottom"/>
            <w:hideMark/>
          </w:tcPr>
          <w:p w14:paraId="622B59F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0,42</w:t>
            </w:r>
          </w:p>
        </w:tc>
        <w:tc>
          <w:tcPr>
            <w:tcW w:w="209" w:type="pct"/>
            <w:tcBorders>
              <w:top w:val="nil"/>
              <w:left w:val="nil"/>
              <w:bottom w:val="nil"/>
              <w:right w:val="nil"/>
            </w:tcBorders>
            <w:shd w:val="clear" w:color="auto" w:fill="auto"/>
            <w:noWrap/>
            <w:vAlign w:val="bottom"/>
            <w:hideMark/>
          </w:tcPr>
          <w:p w14:paraId="3427DF5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0,49</w:t>
            </w:r>
          </w:p>
        </w:tc>
        <w:tc>
          <w:tcPr>
            <w:tcW w:w="209" w:type="pct"/>
            <w:tcBorders>
              <w:top w:val="nil"/>
              <w:left w:val="nil"/>
              <w:bottom w:val="nil"/>
              <w:right w:val="nil"/>
            </w:tcBorders>
            <w:shd w:val="clear" w:color="auto" w:fill="auto"/>
            <w:noWrap/>
            <w:vAlign w:val="bottom"/>
            <w:hideMark/>
          </w:tcPr>
          <w:p w14:paraId="78B0727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0,62</w:t>
            </w:r>
          </w:p>
        </w:tc>
        <w:tc>
          <w:tcPr>
            <w:tcW w:w="209" w:type="pct"/>
            <w:tcBorders>
              <w:top w:val="nil"/>
              <w:left w:val="nil"/>
              <w:bottom w:val="nil"/>
              <w:right w:val="nil"/>
            </w:tcBorders>
            <w:shd w:val="clear" w:color="auto" w:fill="auto"/>
            <w:noWrap/>
            <w:vAlign w:val="bottom"/>
            <w:hideMark/>
          </w:tcPr>
          <w:p w14:paraId="2424E36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0,70</w:t>
            </w:r>
          </w:p>
        </w:tc>
        <w:tc>
          <w:tcPr>
            <w:tcW w:w="209" w:type="pct"/>
            <w:tcBorders>
              <w:top w:val="nil"/>
              <w:left w:val="nil"/>
              <w:bottom w:val="nil"/>
              <w:right w:val="nil"/>
            </w:tcBorders>
            <w:shd w:val="clear" w:color="auto" w:fill="auto"/>
            <w:noWrap/>
            <w:vAlign w:val="bottom"/>
            <w:hideMark/>
          </w:tcPr>
          <w:p w14:paraId="3633BC1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0,79</w:t>
            </w:r>
          </w:p>
        </w:tc>
        <w:tc>
          <w:tcPr>
            <w:tcW w:w="209" w:type="pct"/>
            <w:tcBorders>
              <w:top w:val="nil"/>
              <w:left w:val="nil"/>
              <w:bottom w:val="nil"/>
              <w:right w:val="nil"/>
            </w:tcBorders>
            <w:shd w:val="clear" w:color="auto" w:fill="auto"/>
            <w:noWrap/>
            <w:vAlign w:val="bottom"/>
            <w:hideMark/>
          </w:tcPr>
          <w:p w14:paraId="79C436A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0,87</w:t>
            </w:r>
          </w:p>
        </w:tc>
        <w:tc>
          <w:tcPr>
            <w:tcW w:w="209" w:type="pct"/>
            <w:tcBorders>
              <w:top w:val="nil"/>
              <w:left w:val="nil"/>
              <w:bottom w:val="nil"/>
              <w:right w:val="nil"/>
            </w:tcBorders>
            <w:shd w:val="clear" w:color="auto" w:fill="auto"/>
            <w:noWrap/>
            <w:vAlign w:val="bottom"/>
            <w:hideMark/>
          </w:tcPr>
          <w:p w14:paraId="7772164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0,95</w:t>
            </w:r>
          </w:p>
        </w:tc>
        <w:tc>
          <w:tcPr>
            <w:tcW w:w="206" w:type="pct"/>
            <w:tcBorders>
              <w:top w:val="nil"/>
              <w:left w:val="nil"/>
              <w:bottom w:val="nil"/>
              <w:right w:val="nil"/>
            </w:tcBorders>
            <w:shd w:val="clear" w:color="auto" w:fill="auto"/>
            <w:noWrap/>
            <w:vAlign w:val="bottom"/>
            <w:hideMark/>
          </w:tcPr>
          <w:p w14:paraId="6ECECCF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1,12</w:t>
            </w:r>
          </w:p>
        </w:tc>
      </w:tr>
      <w:tr w:rsidR="00B54F4E" w:rsidRPr="00D050B8" w14:paraId="33AB5A14" w14:textId="77777777" w:rsidTr="006504C4">
        <w:trPr>
          <w:trHeight w:val="243"/>
        </w:trPr>
        <w:tc>
          <w:tcPr>
            <w:tcW w:w="1237" w:type="pct"/>
            <w:tcBorders>
              <w:top w:val="nil"/>
              <w:left w:val="nil"/>
              <w:bottom w:val="single" w:sz="4" w:space="0" w:color="auto"/>
              <w:right w:val="nil"/>
            </w:tcBorders>
            <w:shd w:val="clear" w:color="auto" w:fill="auto"/>
            <w:noWrap/>
            <w:vAlign w:val="bottom"/>
            <w:hideMark/>
          </w:tcPr>
          <w:p w14:paraId="3B9C48C8"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por planta de generación evitada ($USD Millones)</w:t>
            </w:r>
          </w:p>
        </w:tc>
        <w:tc>
          <w:tcPr>
            <w:tcW w:w="253" w:type="pct"/>
            <w:tcBorders>
              <w:top w:val="nil"/>
              <w:left w:val="nil"/>
              <w:bottom w:val="single" w:sz="4" w:space="0" w:color="auto"/>
              <w:right w:val="nil"/>
            </w:tcBorders>
            <w:shd w:val="clear" w:color="auto" w:fill="auto"/>
            <w:noWrap/>
            <w:vAlign w:val="bottom"/>
            <w:hideMark/>
          </w:tcPr>
          <w:p w14:paraId="75A0F061"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auto"/>
              <w:right w:val="nil"/>
            </w:tcBorders>
            <w:shd w:val="clear" w:color="auto" w:fill="auto"/>
            <w:noWrap/>
            <w:vAlign w:val="bottom"/>
            <w:hideMark/>
          </w:tcPr>
          <w:p w14:paraId="3A329D45"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auto"/>
              <w:right w:val="nil"/>
            </w:tcBorders>
            <w:shd w:val="clear" w:color="auto" w:fill="auto"/>
            <w:noWrap/>
            <w:vAlign w:val="bottom"/>
            <w:hideMark/>
          </w:tcPr>
          <w:p w14:paraId="42C8266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8" w:type="pct"/>
            <w:tcBorders>
              <w:top w:val="nil"/>
              <w:left w:val="nil"/>
              <w:bottom w:val="single" w:sz="4" w:space="0" w:color="auto"/>
              <w:right w:val="nil"/>
            </w:tcBorders>
            <w:shd w:val="clear" w:color="auto" w:fill="auto"/>
            <w:noWrap/>
            <w:vAlign w:val="bottom"/>
            <w:hideMark/>
          </w:tcPr>
          <w:p w14:paraId="1376EC95"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545EC07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520A286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6ABD312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183" w:type="pct"/>
            <w:tcBorders>
              <w:top w:val="nil"/>
              <w:left w:val="nil"/>
              <w:bottom w:val="single" w:sz="4" w:space="0" w:color="auto"/>
              <w:right w:val="nil"/>
            </w:tcBorders>
            <w:shd w:val="clear" w:color="auto" w:fill="auto"/>
            <w:noWrap/>
            <w:vAlign w:val="bottom"/>
            <w:hideMark/>
          </w:tcPr>
          <w:p w14:paraId="7713FD1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372</w:t>
            </w:r>
          </w:p>
        </w:tc>
        <w:tc>
          <w:tcPr>
            <w:tcW w:w="206" w:type="pct"/>
            <w:tcBorders>
              <w:top w:val="nil"/>
              <w:left w:val="nil"/>
              <w:bottom w:val="single" w:sz="4" w:space="0" w:color="auto"/>
              <w:right w:val="nil"/>
            </w:tcBorders>
            <w:shd w:val="clear" w:color="auto" w:fill="auto"/>
            <w:noWrap/>
            <w:vAlign w:val="bottom"/>
            <w:hideMark/>
          </w:tcPr>
          <w:p w14:paraId="54E207B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7E4FE58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5A246BC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4247193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3CA02D9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68022AC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362F4F0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4FF8D29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9" w:type="pct"/>
            <w:tcBorders>
              <w:top w:val="nil"/>
              <w:left w:val="nil"/>
              <w:bottom w:val="single" w:sz="4" w:space="0" w:color="auto"/>
              <w:right w:val="nil"/>
            </w:tcBorders>
            <w:shd w:val="clear" w:color="auto" w:fill="auto"/>
            <w:noWrap/>
            <w:vAlign w:val="bottom"/>
            <w:hideMark/>
          </w:tcPr>
          <w:p w14:paraId="17B379B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6" w:type="pct"/>
            <w:tcBorders>
              <w:top w:val="nil"/>
              <w:left w:val="nil"/>
              <w:bottom w:val="single" w:sz="4" w:space="0" w:color="auto"/>
              <w:right w:val="nil"/>
            </w:tcBorders>
            <w:shd w:val="clear" w:color="auto" w:fill="auto"/>
            <w:noWrap/>
            <w:vAlign w:val="bottom"/>
            <w:hideMark/>
          </w:tcPr>
          <w:p w14:paraId="5B5053C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r>
      <w:tr w:rsidR="00B54F4E" w:rsidRPr="00D050B8" w14:paraId="10DEBD1D" w14:textId="77777777" w:rsidTr="006504C4">
        <w:trPr>
          <w:trHeight w:val="243"/>
        </w:trPr>
        <w:tc>
          <w:tcPr>
            <w:tcW w:w="1237" w:type="pct"/>
            <w:tcBorders>
              <w:top w:val="nil"/>
              <w:left w:val="nil"/>
              <w:bottom w:val="single" w:sz="4" w:space="0" w:color="auto"/>
              <w:right w:val="nil"/>
            </w:tcBorders>
            <w:shd w:val="clear" w:color="auto" w:fill="auto"/>
            <w:noWrap/>
            <w:vAlign w:val="bottom"/>
            <w:hideMark/>
          </w:tcPr>
          <w:p w14:paraId="4FAB881B"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Total Beneficios ($USD Millones)</w:t>
            </w:r>
          </w:p>
        </w:tc>
        <w:tc>
          <w:tcPr>
            <w:tcW w:w="253" w:type="pct"/>
            <w:tcBorders>
              <w:top w:val="nil"/>
              <w:left w:val="nil"/>
              <w:bottom w:val="single" w:sz="4" w:space="0" w:color="auto"/>
              <w:right w:val="nil"/>
            </w:tcBorders>
            <w:shd w:val="clear" w:color="auto" w:fill="auto"/>
            <w:noWrap/>
            <w:vAlign w:val="bottom"/>
            <w:hideMark/>
          </w:tcPr>
          <w:p w14:paraId="029161A8"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auto"/>
              <w:right w:val="nil"/>
            </w:tcBorders>
            <w:shd w:val="clear" w:color="auto" w:fill="auto"/>
            <w:noWrap/>
            <w:vAlign w:val="bottom"/>
            <w:hideMark/>
          </w:tcPr>
          <w:p w14:paraId="1E5C287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auto"/>
              <w:right w:val="nil"/>
            </w:tcBorders>
            <w:shd w:val="clear" w:color="auto" w:fill="auto"/>
            <w:noWrap/>
            <w:vAlign w:val="bottom"/>
            <w:hideMark/>
          </w:tcPr>
          <w:p w14:paraId="50888305"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8" w:type="pct"/>
            <w:tcBorders>
              <w:top w:val="nil"/>
              <w:left w:val="nil"/>
              <w:bottom w:val="single" w:sz="4" w:space="0" w:color="auto"/>
              <w:right w:val="nil"/>
            </w:tcBorders>
            <w:shd w:val="clear" w:color="auto" w:fill="auto"/>
            <w:noWrap/>
            <w:vAlign w:val="bottom"/>
            <w:hideMark/>
          </w:tcPr>
          <w:p w14:paraId="20172CF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3425950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5,96</w:t>
            </w:r>
          </w:p>
        </w:tc>
        <w:tc>
          <w:tcPr>
            <w:tcW w:w="209" w:type="pct"/>
            <w:tcBorders>
              <w:top w:val="nil"/>
              <w:left w:val="nil"/>
              <w:bottom w:val="single" w:sz="4" w:space="0" w:color="auto"/>
              <w:right w:val="nil"/>
            </w:tcBorders>
            <w:shd w:val="clear" w:color="auto" w:fill="auto"/>
            <w:noWrap/>
            <w:vAlign w:val="bottom"/>
            <w:hideMark/>
          </w:tcPr>
          <w:p w14:paraId="20D3842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11,93</w:t>
            </w:r>
          </w:p>
        </w:tc>
        <w:tc>
          <w:tcPr>
            <w:tcW w:w="209" w:type="pct"/>
            <w:tcBorders>
              <w:top w:val="nil"/>
              <w:left w:val="nil"/>
              <w:bottom w:val="single" w:sz="4" w:space="0" w:color="auto"/>
              <w:right w:val="nil"/>
            </w:tcBorders>
            <w:shd w:val="clear" w:color="auto" w:fill="auto"/>
            <w:noWrap/>
            <w:vAlign w:val="bottom"/>
            <w:hideMark/>
          </w:tcPr>
          <w:p w14:paraId="6D8114F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19,88</w:t>
            </w:r>
          </w:p>
        </w:tc>
        <w:tc>
          <w:tcPr>
            <w:tcW w:w="183" w:type="pct"/>
            <w:tcBorders>
              <w:top w:val="nil"/>
              <w:left w:val="nil"/>
              <w:bottom w:val="single" w:sz="4" w:space="0" w:color="auto"/>
              <w:right w:val="nil"/>
            </w:tcBorders>
            <w:shd w:val="clear" w:color="auto" w:fill="auto"/>
            <w:noWrap/>
            <w:vAlign w:val="bottom"/>
            <w:hideMark/>
          </w:tcPr>
          <w:p w14:paraId="0C0D66C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400,26</w:t>
            </w:r>
          </w:p>
        </w:tc>
        <w:tc>
          <w:tcPr>
            <w:tcW w:w="206" w:type="pct"/>
            <w:tcBorders>
              <w:top w:val="nil"/>
              <w:left w:val="nil"/>
              <w:bottom w:val="single" w:sz="4" w:space="0" w:color="auto"/>
              <w:right w:val="nil"/>
            </w:tcBorders>
            <w:shd w:val="clear" w:color="auto" w:fill="auto"/>
            <w:noWrap/>
            <w:vAlign w:val="bottom"/>
            <w:hideMark/>
          </w:tcPr>
          <w:p w14:paraId="792C924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36,27</w:t>
            </w:r>
          </w:p>
        </w:tc>
        <w:tc>
          <w:tcPr>
            <w:tcW w:w="209" w:type="pct"/>
            <w:tcBorders>
              <w:top w:val="nil"/>
              <w:left w:val="nil"/>
              <w:bottom w:val="single" w:sz="4" w:space="0" w:color="auto"/>
              <w:right w:val="nil"/>
            </w:tcBorders>
            <w:shd w:val="clear" w:color="auto" w:fill="auto"/>
            <w:noWrap/>
            <w:vAlign w:val="bottom"/>
            <w:hideMark/>
          </w:tcPr>
          <w:p w14:paraId="3DF440D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44,71</w:t>
            </w:r>
          </w:p>
        </w:tc>
        <w:tc>
          <w:tcPr>
            <w:tcW w:w="209" w:type="pct"/>
            <w:tcBorders>
              <w:top w:val="nil"/>
              <w:left w:val="nil"/>
              <w:bottom w:val="single" w:sz="4" w:space="0" w:color="auto"/>
              <w:right w:val="nil"/>
            </w:tcBorders>
            <w:shd w:val="clear" w:color="auto" w:fill="auto"/>
            <w:noWrap/>
            <w:vAlign w:val="bottom"/>
            <w:hideMark/>
          </w:tcPr>
          <w:p w14:paraId="5E67BDE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53,15</w:t>
            </w:r>
          </w:p>
        </w:tc>
        <w:tc>
          <w:tcPr>
            <w:tcW w:w="209" w:type="pct"/>
            <w:tcBorders>
              <w:top w:val="nil"/>
              <w:left w:val="nil"/>
              <w:bottom w:val="single" w:sz="4" w:space="0" w:color="auto"/>
              <w:right w:val="nil"/>
            </w:tcBorders>
            <w:shd w:val="clear" w:color="auto" w:fill="auto"/>
            <w:noWrap/>
            <w:vAlign w:val="bottom"/>
            <w:hideMark/>
          </w:tcPr>
          <w:p w14:paraId="4CEC822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61,58</w:t>
            </w:r>
          </w:p>
        </w:tc>
        <w:tc>
          <w:tcPr>
            <w:tcW w:w="209" w:type="pct"/>
            <w:tcBorders>
              <w:top w:val="nil"/>
              <w:left w:val="nil"/>
              <w:bottom w:val="single" w:sz="4" w:space="0" w:color="auto"/>
              <w:right w:val="nil"/>
            </w:tcBorders>
            <w:shd w:val="clear" w:color="auto" w:fill="auto"/>
            <w:noWrap/>
            <w:vAlign w:val="bottom"/>
            <w:hideMark/>
          </w:tcPr>
          <w:p w14:paraId="284935E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78,46</w:t>
            </w:r>
          </w:p>
        </w:tc>
        <w:tc>
          <w:tcPr>
            <w:tcW w:w="209" w:type="pct"/>
            <w:tcBorders>
              <w:top w:val="nil"/>
              <w:left w:val="nil"/>
              <w:bottom w:val="single" w:sz="4" w:space="0" w:color="auto"/>
              <w:right w:val="nil"/>
            </w:tcBorders>
            <w:shd w:val="clear" w:color="auto" w:fill="auto"/>
            <w:noWrap/>
            <w:vAlign w:val="bottom"/>
            <w:hideMark/>
          </w:tcPr>
          <w:p w14:paraId="1BA6D4A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88,99</w:t>
            </w:r>
          </w:p>
        </w:tc>
        <w:tc>
          <w:tcPr>
            <w:tcW w:w="209" w:type="pct"/>
            <w:tcBorders>
              <w:top w:val="nil"/>
              <w:left w:val="nil"/>
              <w:bottom w:val="single" w:sz="4" w:space="0" w:color="auto"/>
              <w:right w:val="nil"/>
            </w:tcBorders>
            <w:shd w:val="clear" w:color="auto" w:fill="auto"/>
            <w:noWrap/>
            <w:vAlign w:val="bottom"/>
            <w:hideMark/>
          </w:tcPr>
          <w:p w14:paraId="6A39322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99,52</w:t>
            </w:r>
          </w:p>
        </w:tc>
        <w:tc>
          <w:tcPr>
            <w:tcW w:w="209" w:type="pct"/>
            <w:tcBorders>
              <w:top w:val="nil"/>
              <w:left w:val="nil"/>
              <w:bottom w:val="single" w:sz="4" w:space="0" w:color="auto"/>
              <w:right w:val="nil"/>
            </w:tcBorders>
            <w:shd w:val="clear" w:color="auto" w:fill="auto"/>
            <w:noWrap/>
            <w:vAlign w:val="bottom"/>
            <w:hideMark/>
          </w:tcPr>
          <w:p w14:paraId="2F451AE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110,06</w:t>
            </w:r>
          </w:p>
        </w:tc>
        <w:tc>
          <w:tcPr>
            <w:tcW w:w="209" w:type="pct"/>
            <w:tcBorders>
              <w:top w:val="nil"/>
              <w:left w:val="nil"/>
              <w:bottom w:val="single" w:sz="4" w:space="0" w:color="auto"/>
              <w:right w:val="nil"/>
            </w:tcBorders>
            <w:shd w:val="clear" w:color="auto" w:fill="auto"/>
            <w:noWrap/>
            <w:vAlign w:val="bottom"/>
            <w:hideMark/>
          </w:tcPr>
          <w:p w14:paraId="092677A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120,59</w:t>
            </w:r>
          </w:p>
        </w:tc>
        <w:tc>
          <w:tcPr>
            <w:tcW w:w="206" w:type="pct"/>
            <w:tcBorders>
              <w:top w:val="nil"/>
              <w:left w:val="nil"/>
              <w:bottom w:val="single" w:sz="4" w:space="0" w:color="auto"/>
              <w:right w:val="nil"/>
            </w:tcBorders>
            <w:shd w:val="clear" w:color="auto" w:fill="auto"/>
            <w:noWrap/>
            <w:vAlign w:val="bottom"/>
            <w:hideMark/>
          </w:tcPr>
          <w:p w14:paraId="23C9D43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141,65</w:t>
            </w:r>
          </w:p>
        </w:tc>
      </w:tr>
      <w:tr w:rsidR="00B54F4E" w:rsidRPr="00D050B8" w14:paraId="411C3A5A" w14:textId="77777777" w:rsidTr="006504C4">
        <w:trPr>
          <w:trHeight w:val="243"/>
        </w:trPr>
        <w:tc>
          <w:tcPr>
            <w:tcW w:w="1237" w:type="pct"/>
            <w:tcBorders>
              <w:top w:val="nil"/>
              <w:left w:val="nil"/>
              <w:bottom w:val="nil"/>
              <w:right w:val="nil"/>
            </w:tcBorders>
            <w:shd w:val="clear" w:color="auto" w:fill="auto"/>
            <w:noWrap/>
            <w:vAlign w:val="bottom"/>
            <w:hideMark/>
          </w:tcPr>
          <w:p w14:paraId="4C09BC6E"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Inversión y Costos</w:t>
            </w:r>
          </w:p>
        </w:tc>
        <w:tc>
          <w:tcPr>
            <w:tcW w:w="253" w:type="pct"/>
            <w:tcBorders>
              <w:top w:val="nil"/>
              <w:left w:val="nil"/>
              <w:bottom w:val="nil"/>
              <w:right w:val="nil"/>
            </w:tcBorders>
            <w:shd w:val="clear" w:color="auto" w:fill="auto"/>
            <w:noWrap/>
            <w:vAlign w:val="bottom"/>
            <w:hideMark/>
          </w:tcPr>
          <w:p w14:paraId="2C8E98F6" w14:textId="77777777" w:rsidR="00B54F4E" w:rsidRPr="00D050B8" w:rsidRDefault="00B54F4E" w:rsidP="006504C4">
            <w:pPr>
              <w:spacing w:before="0" w:after="0"/>
              <w:jc w:val="left"/>
              <w:rPr>
                <w:rFonts w:ascii="Calibri" w:hAnsi="Calibri" w:cs="Calibri"/>
                <w:b/>
                <w:bCs/>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758ED667"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03C420BD"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62894C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DDF7C6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1B3DEB8"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C74233F"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2E78D8AB"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D1CD51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6288DD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CD5E53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4C6673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A72575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F8E4EF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178652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2CE241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94BA82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67DBF2F"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302AE8E5" w14:textId="77777777" w:rsidTr="006504C4">
        <w:trPr>
          <w:trHeight w:val="243"/>
        </w:trPr>
        <w:tc>
          <w:tcPr>
            <w:tcW w:w="1237" w:type="pct"/>
            <w:tcBorders>
              <w:top w:val="nil"/>
              <w:left w:val="nil"/>
              <w:bottom w:val="nil"/>
              <w:right w:val="nil"/>
            </w:tcBorders>
            <w:shd w:val="clear" w:color="auto" w:fill="auto"/>
            <w:noWrap/>
            <w:vAlign w:val="bottom"/>
            <w:hideMark/>
          </w:tcPr>
          <w:p w14:paraId="72F76516"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Inversión asociada con medidas arquitectónicas</w:t>
            </w:r>
          </w:p>
        </w:tc>
        <w:tc>
          <w:tcPr>
            <w:tcW w:w="253" w:type="pct"/>
            <w:tcBorders>
              <w:top w:val="nil"/>
              <w:left w:val="nil"/>
              <w:bottom w:val="nil"/>
              <w:right w:val="nil"/>
            </w:tcBorders>
            <w:shd w:val="clear" w:color="auto" w:fill="auto"/>
            <w:noWrap/>
            <w:vAlign w:val="bottom"/>
            <w:hideMark/>
          </w:tcPr>
          <w:p w14:paraId="17EDE765"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p>
        </w:tc>
        <w:tc>
          <w:tcPr>
            <w:tcW w:w="205" w:type="pct"/>
            <w:tcBorders>
              <w:top w:val="nil"/>
              <w:left w:val="nil"/>
              <w:bottom w:val="nil"/>
              <w:right w:val="nil"/>
            </w:tcBorders>
            <w:shd w:val="clear" w:color="auto" w:fill="auto"/>
            <w:noWrap/>
            <w:vAlign w:val="bottom"/>
            <w:hideMark/>
          </w:tcPr>
          <w:p w14:paraId="1CD2BE79"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5BE1E4F3"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419129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0EA5224"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485E0685"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5A2CF52E"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183" w:type="pct"/>
            <w:tcBorders>
              <w:top w:val="nil"/>
              <w:left w:val="nil"/>
              <w:bottom w:val="nil"/>
              <w:right w:val="nil"/>
            </w:tcBorders>
            <w:shd w:val="clear" w:color="auto" w:fill="auto"/>
            <w:noWrap/>
            <w:vAlign w:val="bottom"/>
            <w:hideMark/>
          </w:tcPr>
          <w:p w14:paraId="09C6CFE3"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6" w:type="pct"/>
            <w:tcBorders>
              <w:top w:val="nil"/>
              <w:left w:val="nil"/>
              <w:bottom w:val="nil"/>
              <w:right w:val="nil"/>
            </w:tcBorders>
            <w:shd w:val="clear" w:color="auto" w:fill="auto"/>
            <w:noWrap/>
            <w:vAlign w:val="bottom"/>
            <w:hideMark/>
          </w:tcPr>
          <w:p w14:paraId="2B21F9B4"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517537BF"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18E86D8F"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27BFD241"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04F1D026"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4BCAEEB0"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4333A835"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2FC8E407"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9" w:type="pct"/>
            <w:tcBorders>
              <w:top w:val="nil"/>
              <w:left w:val="nil"/>
              <w:bottom w:val="nil"/>
              <w:right w:val="nil"/>
            </w:tcBorders>
            <w:shd w:val="clear" w:color="auto" w:fill="auto"/>
            <w:noWrap/>
            <w:vAlign w:val="bottom"/>
            <w:hideMark/>
          </w:tcPr>
          <w:p w14:paraId="48E0B42A"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c>
          <w:tcPr>
            <w:tcW w:w="206" w:type="pct"/>
            <w:tcBorders>
              <w:top w:val="nil"/>
              <w:left w:val="nil"/>
              <w:bottom w:val="nil"/>
              <w:right w:val="nil"/>
            </w:tcBorders>
            <w:shd w:val="clear" w:color="auto" w:fill="auto"/>
            <w:noWrap/>
            <w:vAlign w:val="bottom"/>
            <w:hideMark/>
          </w:tcPr>
          <w:p w14:paraId="6F6C7E01" w14:textId="77777777" w:rsidR="00B54F4E" w:rsidRPr="00D050B8" w:rsidRDefault="00B54F4E" w:rsidP="006504C4">
            <w:pPr>
              <w:spacing w:before="0" w:after="0"/>
              <w:jc w:val="right"/>
              <w:rPr>
                <w:rFonts w:ascii="Calibri" w:hAnsi="Calibri" w:cs="Calibri"/>
                <w:color w:val="0000FF"/>
                <w:sz w:val="12"/>
                <w:szCs w:val="12"/>
                <w:lang w:eastAsia="es-CO"/>
              </w:rPr>
            </w:pPr>
            <w:r w:rsidRPr="00D050B8">
              <w:rPr>
                <w:rFonts w:ascii="Calibri" w:hAnsi="Calibri" w:cs="Calibri"/>
                <w:color w:val="0000FF"/>
                <w:sz w:val="12"/>
                <w:szCs w:val="12"/>
                <w:lang w:eastAsia="es-CO"/>
              </w:rPr>
              <w:t>0,0</w:t>
            </w:r>
          </w:p>
        </w:tc>
      </w:tr>
      <w:tr w:rsidR="00B54F4E" w:rsidRPr="00D050B8" w14:paraId="779398C5" w14:textId="77777777" w:rsidTr="006504C4">
        <w:trPr>
          <w:trHeight w:val="243"/>
        </w:trPr>
        <w:tc>
          <w:tcPr>
            <w:tcW w:w="1237" w:type="pct"/>
            <w:tcBorders>
              <w:top w:val="single" w:sz="4" w:space="0" w:color="auto"/>
              <w:left w:val="nil"/>
              <w:bottom w:val="single" w:sz="4" w:space="0" w:color="auto"/>
              <w:right w:val="nil"/>
            </w:tcBorders>
            <w:shd w:val="clear" w:color="auto" w:fill="auto"/>
            <w:noWrap/>
            <w:vAlign w:val="bottom"/>
            <w:hideMark/>
          </w:tcPr>
          <w:p w14:paraId="79356ED5" w14:textId="77777777" w:rsidR="00B54F4E" w:rsidRPr="00D050B8" w:rsidRDefault="00B54F4E" w:rsidP="006504C4">
            <w:pPr>
              <w:spacing w:before="0" w:after="0"/>
              <w:ind w:firstLineChars="100" w:firstLine="12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Total Inversión y Costos ($USD Millones)</w:t>
            </w:r>
          </w:p>
        </w:tc>
        <w:tc>
          <w:tcPr>
            <w:tcW w:w="253" w:type="pct"/>
            <w:tcBorders>
              <w:top w:val="single" w:sz="4" w:space="0" w:color="auto"/>
              <w:left w:val="nil"/>
              <w:bottom w:val="single" w:sz="4" w:space="0" w:color="auto"/>
              <w:right w:val="nil"/>
            </w:tcBorders>
            <w:shd w:val="clear" w:color="auto" w:fill="auto"/>
            <w:noWrap/>
            <w:vAlign w:val="bottom"/>
            <w:hideMark/>
          </w:tcPr>
          <w:p w14:paraId="11E9D2D3"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single" w:sz="4" w:space="0" w:color="auto"/>
              <w:left w:val="nil"/>
              <w:bottom w:val="single" w:sz="4" w:space="0" w:color="auto"/>
              <w:right w:val="nil"/>
            </w:tcBorders>
            <w:shd w:val="clear" w:color="auto" w:fill="auto"/>
            <w:noWrap/>
            <w:vAlign w:val="bottom"/>
            <w:hideMark/>
          </w:tcPr>
          <w:p w14:paraId="52499C6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single" w:sz="4" w:space="0" w:color="auto"/>
              <w:left w:val="nil"/>
              <w:bottom w:val="single" w:sz="4" w:space="0" w:color="auto"/>
              <w:right w:val="nil"/>
            </w:tcBorders>
            <w:shd w:val="clear" w:color="auto" w:fill="auto"/>
            <w:noWrap/>
            <w:vAlign w:val="bottom"/>
            <w:hideMark/>
          </w:tcPr>
          <w:p w14:paraId="6D02EF24"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8" w:type="pct"/>
            <w:tcBorders>
              <w:top w:val="single" w:sz="4" w:space="0" w:color="auto"/>
              <w:left w:val="nil"/>
              <w:bottom w:val="single" w:sz="4" w:space="0" w:color="auto"/>
              <w:right w:val="nil"/>
            </w:tcBorders>
            <w:shd w:val="clear" w:color="auto" w:fill="auto"/>
            <w:noWrap/>
            <w:vAlign w:val="bottom"/>
            <w:hideMark/>
          </w:tcPr>
          <w:p w14:paraId="249D2759"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single" w:sz="4" w:space="0" w:color="auto"/>
              <w:left w:val="nil"/>
              <w:bottom w:val="single" w:sz="4" w:space="0" w:color="auto"/>
              <w:right w:val="nil"/>
            </w:tcBorders>
            <w:shd w:val="clear" w:color="auto" w:fill="auto"/>
            <w:noWrap/>
            <w:vAlign w:val="bottom"/>
            <w:hideMark/>
          </w:tcPr>
          <w:p w14:paraId="3BFB512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336449F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2977311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183" w:type="pct"/>
            <w:tcBorders>
              <w:top w:val="single" w:sz="4" w:space="0" w:color="auto"/>
              <w:left w:val="nil"/>
              <w:bottom w:val="single" w:sz="4" w:space="0" w:color="auto"/>
              <w:right w:val="nil"/>
            </w:tcBorders>
            <w:shd w:val="clear" w:color="auto" w:fill="auto"/>
            <w:noWrap/>
            <w:vAlign w:val="bottom"/>
            <w:hideMark/>
          </w:tcPr>
          <w:p w14:paraId="5CA2684A"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6" w:type="pct"/>
            <w:tcBorders>
              <w:top w:val="single" w:sz="4" w:space="0" w:color="auto"/>
              <w:left w:val="nil"/>
              <w:bottom w:val="single" w:sz="4" w:space="0" w:color="auto"/>
              <w:right w:val="nil"/>
            </w:tcBorders>
            <w:shd w:val="clear" w:color="auto" w:fill="auto"/>
            <w:noWrap/>
            <w:vAlign w:val="bottom"/>
            <w:hideMark/>
          </w:tcPr>
          <w:p w14:paraId="5D87B62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3A64A747"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42721AD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2E7CB85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01B7F23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08D2F17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1F85DD1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6D7E8B3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9" w:type="pct"/>
            <w:tcBorders>
              <w:top w:val="single" w:sz="4" w:space="0" w:color="auto"/>
              <w:left w:val="nil"/>
              <w:bottom w:val="single" w:sz="4" w:space="0" w:color="auto"/>
              <w:right w:val="nil"/>
            </w:tcBorders>
            <w:shd w:val="clear" w:color="auto" w:fill="auto"/>
            <w:noWrap/>
            <w:vAlign w:val="bottom"/>
            <w:hideMark/>
          </w:tcPr>
          <w:p w14:paraId="2AAE9FF8"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c>
          <w:tcPr>
            <w:tcW w:w="206" w:type="pct"/>
            <w:tcBorders>
              <w:top w:val="single" w:sz="4" w:space="0" w:color="auto"/>
              <w:left w:val="nil"/>
              <w:bottom w:val="single" w:sz="4" w:space="0" w:color="auto"/>
              <w:right w:val="nil"/>
            </w:tcBorders>
            <w:shd w:val="clear" w:color="auto" w:fill="auto"/>
            <w:noWrap/>
            <w:vAlign w:val="bottom"/>
            <w:hideMark/>
          </w:tcPr>
          <w:p w14:paraId="083BC22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0,0</w:t>
            </w:r>
          </w:p>
        </w:tc>
      </w:tr>
      <w:tr w:rsidR="00B54F4E" w:rsidRPr="00D050B8" w14:paraId="28D9FED2" w14:textId="77777777" w:rsidTr="006504C4">
        <w:trPr>
          <w:trHeight w:val="243"/>
        </w:trPr>
        <w:tc>
          <w:tcPr>
            <w:tcW w:w="1237" w:type="pct"/>
            <w:tcBorders>
              <w:top w:val="nil"/>
              <w:left w:val="nil"/>
              <w:bottom w:val="single" w:sz="4" w:space="0" w:color="auto"/>
              <w:right w:val="nil"/>
            </w:tcBorders>
            <w:shd w:val="clear" w:color="auto" w:fill="auto"/>
            <w:noWrap/>
            <w:vAlign w:val="bottom"/>
            <w:hideMark/>
          </w:tcPr>
          <w:p w14:paraId="7458B885" w14:textId="77777777" w:rsidR="00B54F4E" w:rsidRPr="00D050B8" w:rsidRDefault="00B54F4E" w:rsidP="006504C4">
            <w:pPr>
              <w:spacing w:before="0" w:after="0"/>
              <w:jc w:val="left"/>
              <w:rPr>
                <w:rFonts w:ascii="Calibri" w:hAnsi="Calibri" w:cs="Calibri"/>
                <w:b/>
                <w:bCs/>
                <w:color w:val="000000"/>
                <w:sz w:val="12"/>
                <w:szCs w:val="12"/>
                <w:lang w:eastAsia="es-CO"/>
              </w:rPr>
            </w:pPr>
            <w:r w:rsidRPr="00D050B8">
              <w:rPr>
                <w:rFonts w:ascii="Calibri" w:hAnsi="Calibri" w:cs="Calibri"/>
                <w:b/>
                <w:bCs/>
                <w:color w:val="000000"/>
                <w:sz w:val="12"/>
                <w:szCs w:val="12"/>
                <w:lang w:eastAsia="es-CO"/>
              </w:rPr>
              <w:t>Flujo Neto</w:t>
            </w:r>
          </w:p>
        </w:tc>
        <w:tc>
          <w:tcPr>
            <w:tcW w:w="253" w:type="pct"/>
            <w:tcBorders>
              <w:top w:val="nil"/>
              <w:left w:val="nil"/>
              <w:bottom w:val="single" w:sz="4" w:space="0" w:color="auto"/>
              <w:right w:val="nil"/>
            </w:tcBorders>
            <w:shd w:val="clear" w:color="auto" w:fill="auto"/>
            <w:noWrap/>
            <w:vAlign w:val="bottom"/>
            <w:hideMark/>
          </w:tcPr>
          <w:p w14:paraId="0AABC95F"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auto"/>
              <w:right w:val="nil"/>
            </w:tcBorders>
            <w:shd w:val="clear" w:color="auto" w:fill="auto"/>
            <w:noWrap/>
            <w:vAlign w:val="bottom"/>
            <w:hideMark/>
          </w:tcPr>
          <w:p w14:paraId="7B58E925"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nil"/>
              <w:left w:val="nil"/>
              <w:bottom w:val="single" w:sz="4" w:space="0" w:color="auto"/>
              <w:right w:val="nil"/>
            </w:tcBorders>
            <w:shd w:val="clear" w:color="auto" w:fill="auto"/>
            <w:noWrap/>
            <w:vAlign w:val="bottom"/>
            <w:hideMark/>
          </w:tcPr>
          <w:p w14:paraId="1CF53405"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8" w:type="pct"/>
            <w:tcBorders>
              <w:top w:val="nil"/>
              <w:left w:val="nil"/>
              <w:bottom w:val="single" w:sz="4" w:space="0" w:color="auto"/>
              <w:right w:val="nil"/>
            </w:tcBorders>
            <w:shd w:val="clear" w:color="auto" w:fill="auto"/>
            <w:noWrap/>
            <w:vAlign w:val="bottom"/>
            <w:hideMark/>
          </w:tcPr>
          <w:p w14:paraId="05D955C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nil"/>
              <w:left w:val="nil"/>
              <w:bottom w:val="single" w:sz="4" w:space="0" w:color="auto"/>
              <w:right w:val="nil"/>
            </w:tcBorders>
            <w:shd w:val="clear" w:color="auto" w:fill="auto"/>
            <w:noWrap/>
            <w:vAlign w:val="bottom"/>
            <w:hideMark/>
          </w:tcPr>
          <w:p w14:paraId="7DBD2C8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6,0</w:t>
            </w:r>
          </w:p>
        </w:tc>
        <w:tc>
          <w:tcPr>
            <w:tcW w:w="209" w:type="pct"/>
            <w:tcBorders>
              <w:top w:val="nil"/>
              <w:left w:val="nil"/>
              <w:bottom w:val="single" w:sz="4" w:space="0" w:color="auto"/>
              <w:right w:val="nil"/>
            </w:tcBorders>
            <w:shd w:val="clear" w:color="auto" w:fill="auto"/>
            <w:noWrap/>
            <w:vAlign w:val="bottom"/>
            <w:hideMark/>
          </w:tcPr>
          <w:p w14:paraId="5D612FF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11,9</w:t>
            </w:r>
          </w:p>
        </w:tc>
        <w:tc>
          <w:tcPr>
            <w:tcW w:w="209" w:type="pct"/>
            <w:tcBorders>
              <w:top w:val="nil"/>
              <w:left w:val="nil"/>
              <w:bottom w:val="single" w:sz="4" w:space="0" w:color="auto"/>
              <w:right w:val="nil"/>
            </w:tcBorders>
            <w:shd w:val="clear" w:color="auto" w:fill="auto"/>
            <w:noWrap/>
            <w:vAlign w:val="bottom"/>
            <w:hideMark/>
          </w:tcPr>
          <w:p w14:paraId="7479441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19,9</w:t>
            </w:r>
          </w:p>
        </w:tc>
        <w:tc>
          <w:tcPr>
            <w:tcW w:w="183" w:type="pct"/>
            <w:tcBorders>
              <w:top w:val="nil"/>
              <w:left w:val="nil"/>
              <w:bottom w:val="single" w:sz="4" w:space="0" w:color="auto"/>
              <w:right w:val="nil"/>
            </w:tcBorders>
            <w:shd w:val="clear" w:color="auto" w:fill="auto"/>
            <w:noWrap/>
            <w:vAlign w:val="bottom"/>
            <w:hideMark/>
          </w:tcPr>
          <w:p w14:paraId="6B35CC6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400,3</w:t>
            </w:r>
          </w:p>
        </w:tc>
        <w:tc>
          <w:tcPr>
            <w:tcW w:w="206" w:type="pct"/>
            <w:tcBorders>
              <w:top w:val="nil"/>
              <w:left w:val="nil"/>
              <w:bottom w:val="single" w:sz="4" w:space="0" w:color="auto"/>
              <w:right w:val="nil"/>
            </w:tcBorders>
            <w:shd w:val="clear" w:color="auto" w:fill="auto"/>
            <w:noWrap/>
            <w:vAlign w:val="bottom"/>
            <w:hideMark/>
          </w:tcPr>
          <w:p w14:paraId="09F0093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36,3</w:t>
            </w:r>
          </w:p>
        </w:tc>
        <w:tc>
          <w:tcPr>
            <w:tcW w:w="209" w:type="pct"/>
            <w:tcBorders>
              <w:top w:val="nil"/>
              <w:left w:val="nil"/>
              <w:bottom w:val="single" w:sz="4" w:space="0" w:color="auto"/>
              <w:right w:val="nil"/>
            </w:tcBorders>
            <w:shd w:val="clear" w:color="auto" w:fill="auto"/>
            <w:noWrap/>
            <w:vAlign w:val="bottom"/>
            <w:hideMark/>
          </w:tcPr>
          <w:p w14:paraId="589DCBC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44,7</w:t>
            </w:r>
          </w:p>
        </w:tc>
        <w:tc>
          <w:tcPr>
            <w:tcW w:w="209" w:type="pct"/>
            <w:tcBorders>
              <w:top w:val="nil"/>
              <w:left w:val="nil"/>
              <w:bottom w:val="single" w:sz="4" w:space="0" w:color="auto"/>
              <w:right w:val="nil"/>
            </w:tcBorders>
            <w:shd w:val="clear" w:color="auto" w:fill="auto"/>
            <w:noWrap/>
            <w:vAlign w:val="bottom"/>
            <w:hideMark/>
          </w:tcPr>
          <w:p w14:paraId="389EB05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53,1</w:t>
            </w:r>
          </w:p>
        </w:tc>
        <w:tc>
          <w:tcPr>
            <w:tcW w:w="209" w:type="pct"/>
            <w:tcBorders>
              <w:top w:val="nil"/>
              <w:left w:val="nil"/>
              <w:bottom w:val="single" w:sz="4" w:space="0" w:color="auto"/>
              <w:right w:val="nil"/>
            </w:tcBorders>
            <w:shd w:val="clear" w:color="auto" w:fill="auto"/>
            <w:noWrap/>
            <w:vAlign w:val="bottom"/>
            <w:hideMark/>
          </w:tcPr>
          <w:p w14:paraId="3ADFAB6F"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61,6</w:t>
            </w:r>
          </w:p>
        </w:tc>
        <w:tc>
          <w:tcPr>
            <w:tcW w:w="209" w:type="pct"/>
            <w:tcBorders>
              <w:top w:val="nil"/>
              <w:left w:val="nil"/>
              <w:bottom w:val="single" w:sz="4" w:space="0" w:color="auto"/>
              <w:right w:val="nil"/>
            </w:tcBorders>
            <w:shd w:val="clear" w:color="auto" w:fill="auto"/>
            <w:noWrap/>
            <w:vAlign w:val="bottom"/>
            <w:hideMark/>
          </w:tcPr>
          <w:p w14:paraId="31C0932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78,5</w:t>
            </w:r>
          </w:p>
        </w:tc>
        <w:tc>
          <w:tcPr>
            <w:tcW w:w="209" w:type="pct"/>
            <w:tcBorders>
              <w:top w:val="nil"/>
              <w:left w:val="nil"/>
              <w:bottom w:val="single" w:sz="4" w:space="0" w:color="auto"/>
              <w:right w:val="nil"/>
            </w:tcBorders>
            <w:shd w:val="clear" w:color="auto" w:fill="auto"/>
            <w:noWrap/>
            <w:vAlign w:val="bottom"/>
            <w:hideMark/>
          </w:tcPr>
          <w:p w14:paraId="43D9D9C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89,0</w:t>
            </w:r>
          </w:p>
        </w:tc>
        <w:tc>
          <w:tcPr>
            <w:tcW w:w="209" w:type="pct"/>
            <w:tcBorders>
              <w:top w:val="nil"/>
              <w:left w:val="nil"/>
              <w:bottom w:val="single" w:sz="4" w:space="0" w:color="auto"/>
              <w:right w:val="nil"/>
            </w:tcBorders>
            <w:shd w:val="clear" w:color="auto" w:fill="auto"/>
            <w:noWrap/>
            <w:vAlign w:val="bottom"/>
            <w:hideMark/>
          </w:tcPr>
          <w:p w14:paraId="1784208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99,5</w:t>
            </w:r>
          </w:p>
        </w:tc>
        <w:tc>
          <w:tcPr>
            <w:tcW w:w="209" w:type="pct"/>
            <w:tcBorders>
              <w:top w:val="nil"/>
              <w:left w:val="nil"/>
              <w:bottom w:val="single" w:sz="4" w:space="0" w:color="auto"/>
              <w:right w:val="nil"/>
            </w:tcBorders>
            <w:shd w:val="clear" w:color="auto" w:fill="auto"/>
            <w:noWrap/>
            <w:vAlign w:val="bottom"/>
            <w:hideMark/>
          </w:tcPr>
          <w:p w14:paraId="42E18DB9"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110,1</w:t>
            </w:r>
          </w:p>
        </w:tc>
        <w:tc>
          <w:tcPr>
            <w:tcW w:w="209" w:type="pct"/>
            <w:tcBorders>
              <w:top w:val="nil"/>
              <w:left w:val="nil"/>
              <w:bottom w:val="single" w:sz="4" w:space="0" w:color="auto"/>
              <w:right w:val="nil"/>
            </w:tcBorders>
            <w:shd w:val="clear" w:color="auto" w:fill="auto"/>
            <w:noWrap/>
            <w:vAlign w:val="bottom"/>
            <w:hideMark/>
          </w:tcPr>
          <w:p w14:paraId="6206DD8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120,6</w:t>
            </w:r>
          </w:p>
        </w:tc>
        <w:tc>
          <w:tcPr>
            <w:tcW w:w="206" w:type="pct"/>
            <w:tcBorders>
              <w:top w:val="nil"/>
              <w:left w:val="nil"/>
              <w:bottom w:val="single" w:sz="4" w:space="0" w:color="auto"/>
              <w:right w:val="nil"/>
            </w:tcBorders>
            <w:shd w:val="clear" w:color="auto" w:fill="auto"/>
            <w:noWrap/>
            <w:vAlign w:val="bottom"/>
            <w:hideMark/>
          </w:tcPr>
          <w:p w14:paraId="3C6C7BE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141,6</w:t>
            </w:r>
          </w:p>
        </w:tc>
      </w:tr>
      <w:tr w:rsidR="00B54F4E" w:rsidRPr="00D050B8" w14:paraId="7EF69A68" w14:textId="77777777" w:rsidTr="006504C4">
        <w:trPr>
          <w:trHeight w:val="243"/>
        </w:trPr>
        <w:tc>
          <w:tcPr>
            <w:tcW w:w="1237" w:type="pct"/>
            <w:tcBorders>
              <w:top w:val="nil"/>
              <w:left w:val="nil"/>
              <w:bottom w:val="nil"/>
              <w:right w:val="nil"/>
            </w:tcBorders>
            <w:shd w:val="clear" w:color="auto" w:fill="auto"/>
            <w:noWrap/>
            <w:vAlign w:val="bottom"/>
            <w:hideMark/>
          </w:tcPr>
          <w:p w14:paraId="4E119714"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53" w:type="pct"/>
            <w:tcBorders>
              <w:top w:val="nil"/>
              <w:left w:val="nil"/>
              <w:bottom w:val="nil"/>
              <w:right w:val="nil"/>
            </w:tcBorders>
            <w:shd w:val="clear" w:color="auto" w:fill="auto"/>
            <w:noWrap/>
            <w:vAlign w:val="bottom"/>
            <w:hideMark/>
          </w:tcPr>
          <w:p w14:paraId="13DDBD79"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3CBA9151"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5C659968"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0BB017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1345ED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128314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DF86230"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6CDBB80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442F063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B0E053B"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3EB8A7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E2ADB0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D2099E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6BD9D1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33F8712"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72D749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5DF71EC"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82217C4"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F606DB4" w14:textId="77777777" w:rsidTr="006504C4">
        <w:trPr>
          <w:trHeight w:val="243"/>
        </w:trPr>
        <w:tc>
          <w:tcPr>
            <w:tcW w:w="1237" w:type="pct"/>
            <w:tcBorders>
              <w:top w:val="single" w:sz="4" w:space="0" w:color="000000"/>
              <w:left w:val="nil"/>
              <w:bottom w:val="single" w:sz="4" w:space="0" w:color="000000"/>
              <w:right w:val="nil"/>
            </w:tcBorders>
            <w:shd w:val="clear" w:color="auto" w:fill="auto"/>
            <w:noWrap/>
            <w:vAlign w:val="bottom"/>
            <w:hideMark/>
          </w:tcPr>
          <w:p w14:paraId="558E90AD"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Ahorro energético de medidas arquitectónicas</w:t>
            </w:r>
          </w:p>
        </w:tc>
        <w:tc>
          <w:tcPr>
            <w:tcW w:w="253" w:type="pct"/>
            <w:tcBorders>
              <w:top w:val="single" w:sz="4" w:space="0" w:color="000000"/>
              <w:left w:val="nil"/>
              <w:bottom w:val="single" w:sz="4" w:space="0" w:color="000000"/>
              <w:right w:val="nil"/>
            </w:tcBorders>
            <w:shd w:val="clear" w:color="auto" w:fill="auto"/>
            <w:noWrap/>
            <w:vAlign w:val="bottom"/>
            <w:hideMark/>
          </w:tcPr>
          <w:p w14:paraId="5951114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single" w:sz="4" w:space="0" w:color="000000"/>
              <w:left w:val="nil"/>
              <w:bottom w:val="single" w:sz="4" w:space="0" w:color="000000"/>
              <w:right w:val="nil"/>
            </w:tcBorders>
            <w:shd w:val="clear" w:color="auto" w:fill="auto"/>
            <w:noWrap/>
            <w:vAlign w:val="bottom"/>
            <w:hideMark/>
          </w:tcPr>
          <w:p w14:paraId="161138EC"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5" w:type="pct"/>
            <w:tcBorders>
              <w:top w:val="single" w:sz="4" w:space="0" w:color="000000"/>
              <w:left w:val="nil"/>
              <w:bottom w:val="single" w:sz="4" w:space="0" w:color="000000"/>
              <w:right w:val="nil"/>
            </w:tcBorders>
            <w:shd w:val="clear" w:color="auto" w:fill="auto"/>
            <w:noWrap/>
            <w:vAlign w:val="bottom"/>
            <w:hideMark/>
          </w:tcPr>
          <w:p w14:paraId="2DC184EF"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8" w:type="pct"/>
            <w:tcBorders>
              <w:top w:val="single" w:sz="4" w:space="0" w:color="000000"/>
              <w:left w:val="nil"/>
              <w:bottom w:val="single" w:sz="4" w:space="0" w:color="000000"/>
              <w:right w:val="nil"/>
            </w:tcBorders>
            <w:shd w:val="clear" w:color="auto" w:fill="auto"/>
            <w:noWrap/>
            <w:vAlign w:val="bottom"/>
            <w:hideMark/>
          </w:tcPr>
          <w:p w14:paraId="74159E70"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 </w:t>
            </w:r>
          </w:p>
        </w:tc>
        <w:tc>
          <w:tcPr>
            <w:tcW w:w="209" w:type="pct"/>
            <w:tcBorders>
              <w:top w:val="single" w:sz="4" w:space="0" w:color="000000"/>
              <w:left w:val="nil"/>
              <w:bottom w:val="single" w:sz="4" w:space="0" w:color="000000"/>
              <w:right w:val="nil"/>
            </w:tcBorders>
            <w:shd w:val="clear" w:color="auto" w:fill="auto"/>
            <w:noWrap/>
            <w:vAlign w:val="bottom"/>
            <w:hideMark/>
          </w:tcPr>
          <w:p w14:paraId="7C6C11D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w:t>
            </w:r>
          </w:p>
        </w:tc>
        <w:tc>
          <w:tcPr>
            <w:tcW w:w="209" w:type="pct"/>
            <w:tcBorders>
              <w:top w:val="single" w:sz="4" w:space="0" w:color="000000"/>
              <w:left w:val="nil"/>
              <w:bottom w:val="single" w:sz="4" w:space="0" w:color="000000"/>
              <w:right w:val="nil"/>
            </w:tcBorders>
            <w:shd w:val="clear" w:color="auto" w:fill="auto"/>
            <w:noWrap/>
            <w:vAlign w:val="bottom"/>
            <w:hideMark/>
          </w:tcPr>
          <w:p w14:paraId="58F464C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1,8%</w:t>
            </w:r>
          </w:p>
        </w:tc>
        <w:tc>
          <w:tcPr>
            <w:tcW w:w="209" w:type="pct"/>
            <w:tcBorders>
              <w:top w:val="single" w:sz="4" w:space="0" w:color="000000"/>
              <w:left w:val="nil"/>
              <w:bottom w:val="single" w:sz="4" w:space="0" w:color="000000"/>
              <w:right w:val="nil"/>
            </w:tcBorders>
            <w:shd w:val="clear" w:color="auto" w:fill="auto"/>
            <w:noWrap/>
            <w:vAlign w:val="bottom"/>
            <w:hideMark/>
          </w:tcPr>
          <w:p w14:paraId="32CA1442"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2,9%</w:t>
            </w:r>
          </w:p>
        </w:tc>
        <w:tc>
          <w:tcPr>
            <w:tcW w:w="183" w:type="pct"/>
            <w:tcBorders>
              <w:top w:val="single" w:sz="4" w:space="0" w:color="000000"/>
              <w:left w:val="nil"/>
              <w:bottom w:val="single" w:sz="4" w:space="0" w:color="000000"/>
              <w:right w:val="nil"/>
            </w:tcBorders>
            <w:shd w:val="clear" w:color="auto" w:fill="auto"/>
            <w:noWrap/>
            <w:vAlign w:val="bottom"/>
            <w:hideMark/>
          </w:tcPr>
          <w:p w14:paraId="0D78012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3,8%</w:t>
            </w:r>
          </w:p>
        </w:tc>
        <w:tc>
          <w:tcPr>
            <w:tcW w:w="206" w:type="pct"/>
            <w:tcBorders>
              <w:top w:val="single" w:sz="4" w:space="0" w:color="000000"/>
              <w:left w:val="nil"/>
              <w:bottom w:val="single" w:sz="4" w:space="0" w:color="000000"/>
              <w:right w:val="nil"/>
            </w:tcBorders>
            <w:shd w:val="clear" w:color="auto" w:fill="auto"/>
            <w:noWrap/>
            <w:vAlign w:val="bottom"/>
            <w:hideMark/>
          </w:tcPr>
          <w:p w14:paraId="4FD0A1C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4,7%</w:t>
            </w:r>
          </w:p>
        </w:tc>
        <w:tc>
          <w:tcPr>
            <w:tcW w:w="209" w:type="pct"/>
            <w:tcBorders>
              <w:top w:val="single" w:sz="4" w:space="0" w:color="000000"/>
              <w:left w:val="nil"/>
              <w:bottom w:val="single" w:sz="4" w:space="0" w:color="000000"/>
              <w:right w:val="nil"/>
            </w:tcBorders>
            <w:shd w:val="clear" w:color="auto" w:fill="auto"/>
            <w:noWrap/>
            <w:vAlign w:val="bottom"/>
            <w:hideMark/>
          </w:tcPr>
          <w:p w14:paraId="11DA8DF5"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5,5%</w:t>
            </w:r>
          </w:p>
        </w:tc>
        <w:tc>
          <w:tcPr>
            <w:tcW w:w="209" w:type="pct"/>
            <w:tcBorders>
              <w:top w:val="single" w:sz="4" w:space="0" w:color="000000"/>
              <w:left w:val="nil"/>
              <w:bottom w:val="single" w:sz="4" w:space="0" w:color="000000"/>
              <w:right w:val="nil"/>
            </w:tcBorders>
            <w:shd w:val="clear" w:color="auto" w:fill="auto"/>
            <w:noWrap/>
            <w:vAlign w:val="bottom"/>
            <w:hideMark/>
          </w:tcPr>
          <w:p w14:paraId="0884BADC"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6,2%</w:t>
            </w:r>
          </w:p>
        </w:tc>
        <w:tc>
          <w:tcPr>
            <w:tcW w:w="209" w:type="pct"/>
            <w:tcBorders>
              <w:top w:val="single" w:sz="4" w:space="0" w:color="000000"/>
              <w:left w:val="nil"/>
              <w:bottom w:val="single" w:sz="4" w:space="0" w:color="000000"/>
              <w:right w:val="nil"/>
            </w:tcBorders>
            <w:shd w:val="clear" w:color="auto" w:fill="auto"/>
            <w:noWrap/>
            <w:vAlign w:val="bottom"/>
            <w:hideMark/>
          </w:tcPr>
          <w:p w14:paraId="67014F01"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6,9%</w:t>
            </w:r>
          </w:p>
        </w:tc>
        <w:tc>
          <w:tcPr>
            <w:tcW w:w="209" w:type="pct"/>
            <w:tcBorders>
              <w:top w:val="single" w:sz="4" w:space="0" w:color="000000"/>
              <w:left w:val="nil"/>
              <w:bottom w:val="single" w:sz="4" w:space="0" w:color="000000"/>
              <w:right w:val="nil"/>
            </w:tcBorders>
            <w:shd w:val="clear" w:color="auto" w:fill="auto"/>
            <w:noWrap/>
            <w:vAlign w:val="bottom"/>
            <w:hideMark/>
          </w:tcPr>
          <w:p w14:paraId="3840C55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8,0%</w:t>
            </w:r>
          </w:p>
        </w:tc>
        <w:tc>
          <w:tcPr>
            <w:tcW w:w="209" w:type="pct"/>
            <w:tcBorders>
              <w:top w:val="single" w:sz="4" w:space="0" w:color="000000"/>
              <w:left w:val="nil"/>
              <w:bottom w:val="single" w:sz="4" w:space="0" w:color="000000"/>
              <w:right w:val="nil"/>
            </w:tcBorders>
            <w:shd w:val="clear" w:color="auto" w:fill="auto"/>
            <w:noWrap/>
            <w:vAlign w:val="bottom"/>
            <w:hideMark/>
          </w:tcPr>
          <w:p w14:paraId="27DF4444"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8,6%</w:t>
            </w:r>
          </w:p>
        </w:tc>
        <w:tc>
          <w:tcPr>
            <w:tcW w:w="209" w:type="pct"/>
            <w:tcBorders>
              <w:top w:val="single" w:sz="4" w:space="0" w:color="000000"/>
              <w:left w:val="nil"/>
              <w:bottom w:val="single" w:sz="4" w:space="0" w:color="000000"/>
              <w:right w:val="nil"/>
            </w:tcBorders>
            <w:shd w:val="clear" w:color="auto" w:fill="auto"/>
            <w:noWrap/>
            <w:vAlign w:val="bottom"/>
            <w:hideMark/>
          </w:tcPr>
          <w:p w14:paraId="3B4ABE3E"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9,2%</w:t>
            </w:r>
          </w:p>
        </w:tc>
        <w:tc>
          <w:tcPr>
            <w:tcW w:w="209" w:type="pct"/>
            <w:tcBorders>
              <w:top w:val="single" w:sz="4" w:space="0" w:color="000000"/>
              <w:left w:val="nil"/>
              <w:bottom w:val="single" w:sz="4" w:space="0" w:color="000000"/>
              <w:right w:val="nil"/>
            </w:tcBorders>
            <w:shd w:val="clear" w:color="auto" w:fill="auto"/>
            <w:noWrap/>
            <w:vAlign w:val="bottom"/>
            <w:hideMark/>
          </w:tcPr>
          <w:p w14:paraId="3D712CB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9,7%</w:t>
            </w:r>
          </w:p>
        </w:tc>
        <w:tc>
          <w:tcPr>
            <w:tcW w:w="209" w:type="pct"/>
            <w:tcBorders>
              <w:top w:val="single" w:sz="4" w:space="0" w:color="000000"/>
              <w:left w:val="nil"/>
              <w:bottom w:val="single" w:sz="4" w:space="0" w:color="000000"/>
              <w:right w:val="nil"/>
            </w:tcBorders>
            <w:shd w:val="clear" w:color="auto" w:fill="auto"/>
            <w:noWrap/>
            <w:vAlign w:val="bottom"/>
            <w:hideMark/>
          </w:tcPr>
          <w:p w14:paraId="39CC1F73"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10,1%</w:t>
            </w:r>
          </w:p>
        </w:tc>
        <w:tc>
          <w:tcPr>
            <w:tcW w:w="206" w:type="pct"/>
            <w:tcBorders>
              <w:top w:val="single" w:sz="4" w:space="0" w:color="000000"/>
              <w:left w:val="nil"/>
              <w:bottom w:val="single" w:sz="4" w:space="0" w:color="000000"/>
              <w:right w:val="nil"/>
            </w:tcBorders>
            <w:shd w:val="clear" w:color="auto" w:fill="auto"/>
            <w:noWrap/>
            <w:vAlign w:val="bottom"/>
            <w:hideMark/>
          </w:tcPr>
          <w:p w14:paraId="66DF4B80"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10,9%</w:t>
            </w:r>
          </w:p>
        </w:tc>
      </w:tr>
      <w:tr w:rsidR="00B54F4E" w:rsidRPr="00D050B8" w14:paraId="3589BBD5" w14:textId="77777777" w:rsidTr="006504C4">
        <w:trPr>
          <w:trHeight w:val="243"/>
        </w:trPr>
        <w:tc>
          <w:tcPr>
            <w:tcW w:w="1237" w:type="pct"/>
            <w:tcBorders>
              <w:top w:val="nil"/>
              <w:left w:val="nil"/>
              <w:bottom w:val="nil"/>
              <w:right w:val="nil"/>
            </w:tcBorders>
            <w:shd w:val="clear" w:color="auto" w:fill="auto"/>
            <w:noWrap/>
            <w:vAlign w:val="bottom"/>
            <w:hideMark/>
          </w:tcPr>
          <w:p w14:paraId="515D6410"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53" w:type="pct"/>
            <w:tcBorders>
              <w:top w:val="nil"/>
              <w:left w:val="nil"/>
              <w:bottom w:val="nil"/>
              <w:right w:val="nil"/>
            </w:tcBorders>
            <w:shd w:val="clear" w:color="auto" w:fill="auto"/>
            <w:noWrap/>
            <w:vAlign w:val="bottom"/>
            <w:hideMark/>
          </w:tcPr>
          <w:p w14:paraId="06D49335"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2420001E" w14:textId="77777777" w:rsidR="00B54F4E" w:rsidRPr="00D050B8" w:rsidRDefault="00B54F4E" w:rsidP="006504C4">
            <w:pPr>
              <w:spacing w:before="0" w:after="0"/>
              <w:jc w:val="left"/>
              <w:rPr>
                <w:rFonts w:ascii="Times New Roman" w:hAnsi="Times New Roman"/>
                <w:sz w:val="12"/>
                <w:szCs w:val="12"/>
                <w:lang w:eastAsia="es-CO"/>
              </w:rPr>
            </w:pPr>
          </w:p>
        </w:tc>
        <w:tc>
          <w:tcPr>
            <w:tcW w:w="205" w:type="pct"/>
            <w:tcBorders>
              <w:top w:val="nil"/>
              <w:left w:val="nil"/>
              <w:bottom w:val="nil"/>
              <w:right w:val="nil"/>
            </w:tcBorders>
            <w:shd w:val="clear" w:color="auto" w:fill="auto"/>
            <w:noWrap/>
            <w:vAlign w:val="bottom"/>
            <w:hideMark/>
          </w:tcPr>
          <w:p w14:paraId="7AB14AA6" w14:textId="77777777" w:rsidR="00B54F4E" w:rsidRPr="00D050B8"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E89B4A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3E3FEF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CB978F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2635647"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47F1CFD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22C0249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049278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17F0C83"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20FD196"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3E832B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DEEA4C4"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733F0E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EAED2D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3DC8AE2"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3EC8B9B9"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40BABCBC" w14:textId="77777777" w:rsidTr="006504C4">
        <w:trPr>
          <w:trHeight w:val="243"/>
        </w:trPr>
        <w:tc>
          <w:tcPr>
            <w:tcW w:w="1237" w:type="pct"/>
            <w:tcBorders>
              <w:top w:val="nil"/>
              <w:left w:val="nil"/>
              <w:bottom w:val="nil"/>
              <w:right w:val="nil"/>
            </w:tcBorders>
            <w:shd w:val="clear" w:color="auto" w:fill="auto"/>
            <w:noWrap/>
            <w:vAlign w:val="bottom"/>
            <w:hideMark/>
          </w:tcPr>
          <w:p w14:paraId="7FF7BB1C" w14:textId="77777777" w:rsidR="00B54F4E" w:rsidRPr="00D050B8" w:rsidRDefault="00B54F4E" w:rsidP="006504C4">
            <w:pPr>
              <w:spacing w:before="0" w:after="0"/>
              <w:jc w:val="left"/>
              <w:rPr>
                <w:rFonts w:ascii="Times New Roman" w:hAnsi="Times New Roman"/>
                <w:sz w:val="12"/>
                <w:szCs w:val="12"/>
                <w:lang w:eastAsia="es-CO"/>
              </w:rPr>
            </w:pPr>
          </w:p>
        </w:tc>
        <w:tc>
          <w:tcPr>
            <w:tcW w:w="253" w:type="pct"/>
            <w:tcBorders>
              <w:top w:val="single" w:sz="4" w:space="0" w:color="FFFFFF"/>
              <w:left w:val="nil"/>
              <w:bottom w:val="single" w:sz="4" w:space="0" w:color="auto"/>
              <w:right w:val="single" w:sz="4" w:space="0" w:color="FFFFFF"/>
            </w:tcBorders>
            <w:shd w:val="clear" w:color="000000" w:fill="203764"/>
            <w:noWrap/>
            <w:vAlign w:val="bottom"/>
            <w:hideMark/>
          </w:tcPr>
          <w:p w14:paraId="5DD20E1E"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Beneficios</w:t>
            </w:r>
          </w:p>
        </w:tc>
        <w:tc>
          <w:tcPr>
            <w:tcW w:w="205" w:type="pct"/>
            <w:tcBorders>
              <w:top w:val="single" w:sz="4" w:space="0" w:color="FFFFFF"/>
              <w:left w:val="nil"/>
              <w:bottom w:val="single" w:sz="4" w:space="0" w:color="auto"/>
              <w:right w:val="single" w:sz="4" w:space="0" w:color="FFFFFF"/>
            </w:tcBorders>
            <w:shd w:val="clear" w:color="000000" w:fill="203764"/>
            <w:noWrap/>
            <w:vAlign w:val="bottom"/>
            <w:hideMark/>
          </w:tcPr>
          <w:p w14:paraId="5E7472EF"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Costos</w:t>
            </w:r>
          </w:p>
        </w:tc>
        <w:tc>
          <w:tcPr>
            <w:tcW w:w="205" w:type="pct"/>
            <w:tcBorders>
              <w:top w:val="single" w:sz="4" w:space="0" w:color="FFFFFF"/>
              <w:left w:val="nil"/>
              <w:bottom w:val="single" w:sz="4" w:space="0" w:color="auto"/>
              <w:right w:val="single" w:sz="4" w:space="0" w:color="FFFFFF"/>
            </w:tcBorders>
            <w:shd w:val="clear" w:color="000000" w:fill="203764"/>
            <w:noWrap/>
            <w:vAlign w:val="bottom"/>
            <w:hideMark/>
          </w:tcPr>
          <w:p w14:paraId="346A1317" w14:textId="77777777" w:rsidR="00B54F4E" w:rsidRPr="00D050B8" w:rsidRDefault="00B54F4E" w:rsidP="006504C4">
            <w:pPr>
              <w:spacing w:before="0" w:after="0"/>
              <w:jc w:val="center"/>
              <w:rPr>
                <w:rFonts w:ascii="Calibri" w:hAnsi="Calibri" w:cs="Calibri"/>
                <w:color w:val="FFFFFF"/>
                <w:sz w:val="12"/>
                <w:szCs w:val="12"/>
                <w:lang w:eastAsia="es-CO"/>
              </w:rPr>
            </w:pPr>
            <w:r w:rsidRPr="00D050B8">
              <w:rPr>
                <w:rFonts w:ascii="Calibri" w:hAnsi="Calibri" w:cs="Calibri"/>
                <w:color w:val="FFFFFF"/>
                <w:sz w:val="12"/>
                <w:szCs w:val="12"/>
                <w:lang w:eastAsia="es-CO"/>
              </w:rPr>
              <w:t>Neto</w:t>
            </w:r>
          </w:p>
        </w:tc>
        <w:tc>
          <w:tcPr>
            <w:tcW w:w="208" w:type="pct"/>
            <w:tcBorders>
              <w:top w:val="nil"/>
              <w:left w:val="nil"/>
              <w:bottom w:val="nil"/>
              <w:right w:val="nil"/>
            </w:tcBorders>
            <w:shd w:val="clear" w:color="auto" w:fill="auto"/>
            <w:noWrap/>
            <w:vAlign w:val="bottom"/>
            <w:hideMark/>
          </w:tcPr>
          <w:p w14:paraId="646B3225" w14:textId="77777777" w:rsidR="00B54F4E" w:rsidRPr="00D050B8" w:rsidRDefault="00B54F4E" w:rsidP="006504C4">
            <w:pPr>
              <w:spacing w:before="0" w:after="0"/>
              <w:jc w:val="center"/>
              <w:rPr>
                <w:rFonts w:ascii="Calibri" w:hAnsi="Calibri" w:cs="Calibri"/>
                <w:color w:val="FFFFFF"/>
                <w:sz w:val="12"/>
                <w:szCs w:val="12"/>
                <w:lang w:eastAsia="es-CO"/>
              </w:rPr>
            </w:pPr>
          </w:p>
        </w:tc>
        <w:tc>
          <w:tcPr>
            <w:tcW w:w="209" w:type="pct"/>
            <w:tcBorders>
              <w:top w:val="nil"/>
              <w:left w:val="nil"/>
              <w:bottom w:val="nil"/>
              <w:right w:val="nil"/>
            </w:tcBorders>
            <w:shd w:val="clear" w:color="auto" w:fill="auto"/>
            <w:noWrap/>
            <w:vAlign w:val="bottom"/>
            <w:hideMark/>
          </w:tcPr>
          <w:p w14:paraId="7F6F98A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73FDEA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84DE8D0"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0FE9514D"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04E0B35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B4DE00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5998128"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5CFCAFF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4F7D87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3394F5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8A56FDC"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DC107B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150D0B1"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6462E366" w14:textId="77777777" w:rsidR="00B54F4E" w:rsidRPr="00D050B8" w:rsidRDefault="00B54F4E" w:rsidP="006504C4">
            <w:pPr>
              <w:spacing w:before="0" w:after="0"/>
              <w:jc w:val="left"/>
              <w:rPr>
                <w:rFonts w:ascii="Times New Roman" w:hAnsi="Times New Roman"/>
                <w:sz w:val="12"/>
                <w:szCs w:val="12"/>
                <w:lang w:eastAsia="es-CO"/>
              </w:rPr>
            </w:pPr>
          </w:p>
        </w:tc>
      </w:tr>
      <w:tr w:rsidR="00B54F4E" w:rsidRPr="00D050B8" w14:paraId="1FCDFF44" w14:textId="77777777" w:rsidTr="006504C4">
        <w:trPr>
          <w:trHeight w:val="243"/>
        </w:trPr>
        <w:tc>
          <w:tcPr>
            <w:tcW w:w="1237" w:type="pct"/>
            <w:tcBorders>
              <w:top w:val="single" w:sz="4" w:space="0" w:color="auto"/>
              <w:left w:val="single" w:sz="4" w:space="0" w:color="auto"/>
              <w:bottom w:val="single" w:sz="4" w:space="0" w:color="auto"/>
              <w:right w:val="nil"/>
            </w:tcBorders>
            <w:shd w:val="clear" w:color="000000" w:fill="E2EFDA"/>
            <w:noWrap/>
            <w:vAlign w:val="bottom"/>
            <w:hideMark/>
          </w:tcPr>
          <w:p w14:paraId="56E75BBA" w14:textId="77777777" w:rsidR="00B54F4E" w:rsidRPr="00D050B8" w:rsidRDefault="00B54F4E" w:rsidP="006504C4">
            <w:pPr>
              <w:spacing w:before="0" w:after="0"/>
              <w:jc w:val="left"/>
              <w:rPr>
                <w:rFonts w:ascii="Calibri" w:hAnsi="Calibri" w:cs="Calibri"/>
                <w:color w:val="000000"/>
                <w:sz w:val="12"/>
                <w:szCs w:val="12"/>
                <w:lang w:eastAsia="es-CO"/>
              </w:rPr>
            </w:pPr>
            <w:r w:rsidRPr="00D050B8">
              <w:rPr>
                <w:rFonts w:ascii="Calibri" w:hAnsi="Calibri" w:cs="Calibri"/>
                <w:color w:val="000000"/>
                <w:sz w:val="12"/>
                <w:szCs w:val="12"/>
                <w:lang w:eastAsia="es-CO"/>
              </w:rPr>
              <w:t>VPN dic 2016 ($USD Millones)</w:t>
            </w:r>
          </w:p>
        </w:tc>
        <w:tc>
          <w:tcPr>
            <w:tcW w:w="253" w:type="pct"/>
            <w:tcBorders>
              <w:top w:val="nil"/>
              <w:left w:val="nil"/>
              <w:bottom w:val="single" w:sz="4" w:space="0" w:color="auto"/>
              <w:right w:val="single" w:sz="4" w:space="0" w:color="auto"/>
            </w:tcBorders>
            <w:shd w:val="clear" w:color="000000" w:fill="E2EFDA"/>
            <w:noWrap/>
            <w:vAlign w:val="bottom"/>
            <w:hideMark/>
          </w:tcPr>
          <w:p w14:paraId="04B6C9D6"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$546</w:t>
            </w:r>
          </w:p>
        </w:tc>
        <w:tc>
          <w:tcPr>
            <w:tcW w:w="205" w:type="pct"/>
            <w:tcBorders>
              <w:top w:val="nil"/>
              <w:left w:val="nil"/>
              <w:bottom w:val="single" w:sz="4" w:space="0" w:color="auto"/>
              <w:right w:val="single" w:sz="4" w:space="0" w:color="auto"/>
            </w:tcBorders>
            <w:shd w:val="clear" w:color="000000" w:fill="E2EFDA"/>
            <w:noWrap/>
            <w:vAlign w:val="bottom"/>
            <w:hideMark/>
          </w:tcPr>
          <w:p w14:paraId="7369D35B"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$0</w:t>
            </w:r>
          </w:p>
        </w:tc>
        <w:tc>
          <w:tcPr>
            <w:tcW w:w="205" w:type="pct"/>
            <w:tcBorders>
              <w:top w:val="nil"/>
              <w:left w:val="nil"/>
              <w:bottom w:val="single" w:sz="4" w:space="0" w:color="auto"/>
              <w:right w:val="single" w:sz="4" w:space="0" w:color="auto"/>
            </w:tcBorders>
            <w:shd w:val="clear" w:color="000000" w:fill="E2EFDA"/>
            <w:noWrap/>
            <w:vAlign w:val="bottom"/>
            <w:hideMark/>
          </w:tcPr>
          <w:p w14:paraId="3DDE483D" w14:textId="77777777" w:rsidR="00B54F4E" w:rsidRPr="00D050B8" w:rsidRDefault="00B54F4E" w:rsidP="006504C4">
            <w:pPr>
              <w:spacing w:before="0" w:after="0"/>
              <w:jc w:val="right"/>
              <w:rPr>
                <w:rFonts w:ascii="Calibri" w:hAnsi="Calibri" w:cs="Calibri"/>
                <w:color w:val="000000"/>
                <w:sz w:val="12"/>
                <w:szCs w:val="12"/>
                <w:lang w:eastAsia="es-CO"/>
              </w:rPr>
            </w:pPr>
            <w:r w:rsidRPr="00D050B8">
              <w:rPr>
                <w:rFonts w:ascii="Calibri" w:hAnsi="Calibri" w:cs="Calibri"/>
                <w:color w:val="000000"/>
                <w:sz w:val="12"/>
                <w:szCs w:val="12"/>
                <w:lang w:eastAsia="es-CO"/>
              </w:rPr>
              <w:t>$546</w:t>
            </w:r>
          </w:p>
        </w:tc>
        <w:tc>
          <w:tcPr>
            <w:tcW w:w="208" w:type="pct"/>
            <w:tcBorders>
              <w:top w:val="nil"/>
              <w:left w:val="nil"/>
              <w:bottom w:val="nil"/>
              <w:right w:val="nil"/>
            </w:tcBorders>
            <w:shd w:val="clear" w:color="auto" w:fill="auto"/>
            <w:noWrap/>
            <w:vAlign w:val="bottom"/>
            <w:hideMark/>
          </w:tcPr>
          <w:p w14:paraId="13862182" w14:textId="77777777" w:rsidR="00B54F4E" w:rsidRPr="00D050B8" w:rsidRDefault="00B54F4E" w:rsidP="006504C4">
            <w:pPr>
              <w:spacing w:before="0" w:after="0"/>
              <w:jc w:val="right"/>
              <w:rPr>
                <w:rFonts w:ascii="Calibri" w:hAnsi="Calibri" w:cs="Calibri"/>
                <w:color w:val="000000"/>
                <w:sz w:val="12"/>
                <w:szCs w:val="12"/>
                <w:lang w:eastAsia="es-CO"/>
              </w:rPr>
            </w:pPr>
          </w:p>
        </w:tc>
        <w:tc>
          <w:tcPr>
            <w:tcW w:w="209" w:type="pct"/>
            <w:tcBorders>
              <w:top w:val="nil"/>
              <w:left w:val="nil"/>
              <w:bottom w:val="nil"/>
              <w:right w:val="nil"/>
            </w:tcBorders>
            <w:shd w:val="clear" w:color="auto" w:fill="auto"/>
            <w:noWrap/>
            <w:vAlign w:val="bottom"/>
            <w:hideMark/>
          </w:tcPr>
          <w:p w14:paraId="1BC0276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5B5916F"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1992D70" w14:textId="77777777" w:rsidR="00B54F4E" w:rsidRPr="00D050B8"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C70DA8F"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07D749E"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77EFB4FA"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41FEC405"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65B2CE8D"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7AAF627"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14B2047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0C624251"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3096E549" w14:textId="77777777" w:rsidR="00B54F4E" w:rsidRPr="00D050B8" w:rsidRDefault="00B54F4E" w:rsidP="006504C4">
            <w:pPr>
              <w:spacing w:before="0" w:after="0"/>
              <w:jc w:val="left"/>
              <w:rPr>
                <w:rFonts w:ascii="Times New Roman" w:hAnsi="Times New Roman"/>
                <w:sz w:val="12"/>
                <w:szCs w:val="12"/>
                <w:lang w:eastAsia="es-CO"/>
              </w:rPr>
            </w:pPr>
          </w:p>
        </w:tc>
        <w:tc>
          <w:tcPr>
            <w:tcW w:w="209" w:type="pct"/>
            <w:tcBorders>
              <w:top w:val="nil"/>
              <w:left w:val="nil"/>
              <w:bottom w:val="nil"/>
              <w:right w:val="nil"/>
            </w:tcBorders>
            <w:shd w:val="clear" w:color="auto" w:fill="auto"/>
            <w:noWrap/>
            <w:vAlign w:val="bottom"/>
            <w:hideMark/>
          </w:tcPr>
          <w:p w14:paraId="27E6DC6A" w14:textId="77777777" w:rsidR="00B54F4E" w:rsidRPr="00D050B8" w:rsidRDefault="00B54F4E" w:rsidP="006504C4">
            <w:pPr>
              <w:spacing w:before="0" w:after="0"/>
              <w:jc w:val="left"/>
              <w:rPr>
                <w:rFonts w:ascii="Times New Roman" w:hAnsi="Times New Roman"/>
                <w:sz w:val="12"/>
                <w:szCs w:val="12"/>
                <w:lang w:eastAsia="es-CO"/>
              </w:rPr>
            </w:pPr>
          </w:p>
        </w:tc>
        <w:tc>
          <w:tcPr>
            <w:tcW w:w="206" w:type="pct"/>
            <w:tcBorders>
              <w:top w:val="nil"/>
              <w:left w:val="nil"/>
              <w:bottom w:val="nil"/>
              <w:right w:val="nil"/>
            </w:tcBorders>
            <w:shd w:val="clear" w:color="auto" w:fill="auto"/>
            <w:noWrap/>
            <w:vAlign w:val="bottom"/>
            <w:hideMark/>
          </w:tcPr>
          <w:p w14:paraId="5EA29F81" w14:textId="77777777" w:rsidR="00B54F4E" w:rsidRPr="00D050B8" w:rsidRDefault="00B54F4E" w:rsidP="006504C4">
            <w:pPr>
              <w:spacing w:before="0" w:after="0"/>
              <w:jc w:val="left"/>
              <w:rPr>
                <w:rFonts w:ascii="Times New Roman" w:hAnsi="Times New Roman"/>
                <w:sz w:val="12"/>
                <w:szCs w:val="12"/>
                <w:lang w:eastAsia="es-CO"/>
              </w:rPr>
            </w:pPr>
          </w:p>
        </w:tc>
      </w:tr>
    </w:tbl>
    <w:p w14:paraId="3CC6A0A8" w14:textId="77777777" w:rsidR="00B54F4E" w:rsidRDefault="00B54F4E" w:rsidP="00B54F4E">
      <w:pPr>
        <w:spacing w:before="0" w:after="160" w:line="259" w:lineRule="auto"/>
        <w:jc w:val="left"/>
      </w:pPr>
      <w:r>
        <w:br w:type="page"/>
      </w:r>
    </w:p>
    <w:p w14:paraId="2B0E156A" w14:textId="77777777" w:rsidR="00B54F4E" w:rsidRPr="006C4E72" w:rsidRDefault="00B54F4E" w:rsidP="00B54F4E">
      <w:pPr>
        <w:ind w:left="720"/>
        <w:jc w:val="center"/>
        <w:rPr>
          <w:b/>
        </w:rPr>
      </w:pPr>
      <w:bookmarkStart w:id="160" w:name="_Toc484097074"/>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34</w:t>
      </w:r>
      <w:r w:rsidRPr="008C12BC">
        <w:rPr>
          <w:b/>
        </w:rPr>
        <w:fldChar w:fldCharType="end"/>
      </w:r>
      <w:r>
        <w:rPr>
          <w:b/>
        </w:rPr>
        <w:t xml:space="preserve"> – Proyección de beneficios y costos para la medida de sustitución de bombillos (Sector Público)</w:t>
      </w:r>
      <w:bookmarkEnd w:id="160"/>
    </w:p>
    <w:tbl>
      <w:tblPr>
        <w:tblW w:w="5072" w:type="pct"/>
        <w:tblCellMar>
          <w:left w:w="70" w:type="dxa"/>
          <w:right w:w="70" w:type="dxa"/>
        </w:tblCellMar>
        <w:tblLook w:val="04A0" w:firstRow="1" w:lastRow="0" w:firstColumn="1" w:lastColumn="0" w:noHBand="0" w:noVBand="1"/>
      </w:tblPr>
      <w:tblGrid>
        <w:gridCol w:w="3305"/>
        <w:gridCol w:w="664"/>
        <w:gridCol w:w="537"/>
        <w:gridCol w:w="538"/>
        <w:gridCol w:w="549"/>
        <w:gridCol w:w="549"/>
        <w:gridCol w:w="549"/>
        <w:gridCol w:w="549"/>
        <w:gridCol w:w="483"/>
        <w:gridCol w:w="538"/>
        <w:gridCol w:w="549"/>
        <w:gridCol w:w="549"/>
        <w:gridCol w:w="549"/>
        <w:gridCol w:w="549"/>
        <w:gridCol w:w="549"/>
        <w:gridCol w:w="549"/>
        <w:gridCol w:w="549"/>
        <w:gridCol w:w="549"/>
        <w:gridCol w:w="538"/>
      </w:tblGrid>
      <w:tr w:rsidR="00B54F4E" w:rsidRPr="00611A94" w14:paraId="2A2C9F6B" w14:textId="77777777" w:rsidTr="006504C4">
        <w:trPr>
          <w:trHeight w:val="255"/>
        </w:trPr>
        <w:tc>
          <w:tcPr>
            <w:tcW w:w="1253" w:type="pct"/>
            <w:tcBorders>
              <w:top w:val="single" w:sz="4" w:space="0" w:color="000000"/>
              <w:left w:val="nil"/>
              <w:bottom w:val="nil"/>
              <w:right w:val="nil"/>
            </w:tcBorders>
            <w:shd w:val="clear" w:color="auto" w:fill="auto"/>
            <w:noWrap/>
            <w:vAlign w:val="bottom"/>
            <w:hideMark/>
          </w:tcPr>
          <w:p w14:paraId="565848D1"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Consumo por bombillo incandescente GWh/Año</w:t>
            </w:r>
          </w:p>
        </w:tc>
        <w:tc>
          <w:tcPr>
            <w:tcW w:w="252" w:type="pct"/>
            <w:tcBorders>
              <w:top w:val="single" w:sz="4" w:space="0" w:color="000000"/>
              <w:left w:val="nil"/>
              <w:bottom w:val="nil"/>
              <w:right w:val="nil"/>
            </w:tcBorders>
            <w:shd w:val="clear" w:color="auto" w:fill="auto"/>
            <w:noWrap/>
            <w:vAlign w:val="bottom"/>
            <w:hideMark/>
          </w:tcPr>
          <w:p w14:paraId="13EE5471" w14:textId="77777777" w:rsidR="00B54F4E" w:rsidRPr="00611A94" w:rsidRDefault="00B54F4E" w:rsidP="006504C4">
            <w:pPr>
              <w:spacing w:before="0" w:after="0"/>
              <w:jc w:val="right"/>
              <w:rPr>
                <w:rFonts w:ascii="Calibri" w:hAnsi="Calibri" w:cs="Calibri"/>
                <w:color w:val="00B050"/>
                <w:sz w:val="12"/>
                <w:szCs w:val="12"/>
                <w:lang w:eastAsia="es-CO"/>
              </w:rPr>
            </w:pPr>
            <w:r w:rsidRPr="00611A94">
              <w:rPr>
                <w:rFonts w:ascii="Calibri" w:hAnsi="Calibri" w:cs="Calibri"/>
                <w:color w:val="00B050"/>
                <w:sz w:val="12"/>
                <w:szCs w:val="12"/>
                <w:lang w:eastAsia="es-CO"/>
              </w:rPr>
              <w:t>0,0003285</w:t>
            </w:r>
          </w:p>
        </w:tc>
        <w:tc>
          <w:tcPr>
            <w:tcW w:w="204" w:type="pct"/>
            <w:tcBorders>
              <w:top w:val="nil"/>
              <w:left w:val="nil"/>
              <w:bottom w:val="nil"/>
              <w:right w:val="nil"/>
            </w:tcBorders>
            <w:shd w:val="clear" w:color="auto" w:fill="auto"/>
            <w:noWrap/>
            <w:vAlign w:val="bottom"/>
            <w:hideMark/>
          </w:tcPr>
          <w:p w14:paraId="392A36B6" w14:textId="77777777" w:rsidR="00B54F4E" w:rsidRPr="00611A94" w:rsidRDefault="00B54F4E" w:rsidP="006504C4">
            <w:pPr>
              <w:spacing w:before="0" w:after="0"/>
              <w:jc w:val="right"/>
              <w:rPr>
                <w:rFonts w:ascii="Calibri" w:hAnsi="Calibri" w:cs="Calibri"/>
                <w:color w:val="00B050"/>
                <w:sz w:val="12"/>
                <w:szCs w:val="12"/>
                <w:lang w:eastAsia="es-CO"/>
              </w:rPr>
            </w:pPr>
          </w:p>
        </w:tc>
        <w:tc>
          <w:tcPr>
            <w:tcW w:w="204" w:type="pct"/>
            <w:tcBorders>
              <w:top w:val="nil"/>
              <w:left w:val="nil"/>
              <w:bottom w:val="nil"/>
              <w:right w:val="nil"/>
            </w:tcBorders>
            <w:shd w:val="clear" w:color="auto" w:fill="auto"/>
            <w:noWrap/>
            <w:vAlign w:val="bottom"/>
            <w:hideMark/>
          </w:tcPr>
          <w:p w14:paraId="2381BEC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380D04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FC2200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553CB9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AB737C7"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71E39CCA"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402E6D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E5FCBA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C14D34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5FA568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FD6967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657451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D0393B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D4600E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19DBE31"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B962595"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36365A2D"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0CECA0FE"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Consumo por bombillo LFC GWh/Año</w:t>
            </w:r>
          </w:p>
        </w:tc>
        <w:tc>
          <w:tcPr>
            <w:tcW w:w="252" w:type="pct"/>
            <w:tcBorders>
              <w:top w:val="nil"/>
              <w:left w:val="nil"/>
              <w:bottom w:val="single" w:sz="4" w:space="0" w:color="000000"/>
              <w:right w:val="nil"/>
            </w:tcBorders>
            <w:shd w:val="clear" w:color="auto" w:fill="auto"/>
            <w:noWrap/>
            <w:vAlign w:val="bottom"/>
            <w:hideMark/>
          </w:tcPr>
          <w:p w14:paraId="6CE8F0EF" w14:textId="77777777" w:rsidR="00B54F4E" w:rsidRPr="00611A94" w:rsidRDefault="00B54F4E" w:rsidP="006504C4">
            <w:pPr>
              <w:spacing w:before="0" w:after="0"/>
              <w:jc w:val="right"/>
              <w:rPr>
                <w:rFonts w:ascii="Calibri" w:hAnsi="Calibri" w:cs="Calibri"/>
                <w:color w:val="00B050"/>
                <w:sz w:val="12"/>
                <w:szCs w:val="12"/>
                <w:lang w:eastAsia="es-CO"/>
              </w:rPr>
            </w:pPr>
            <w:r w:rsidRPr="00611A94">
              <w:rPr>
                <w:rFonts w:ascii="Calibri" w:hAnsi="Calibri" w:cs="Calibri"/>
                <w:color w:val="00B050"/>
                <w:sz w:val="12"/>
                <w:szCs w:val="12"/>
                <w:lang w:eastAsia="es-CO"/>
              </w:rPr>
              <w:t>0,0000657</w:t>
            </w:r>
          </w:p>
        </w:tc>
        <w:tc>
          <w:tcPr>
            <w:tcW w:w="204" w:type="pct"/>
            <w:tcBorders>
              <w:top w:val="nil"/>
              <w:left w:val="nil"/>
              <w:bottom w:val="nil"/>
              <w:right w:val="nil"/>
            </w:tcBorders>
            <w:shd w:val="clear" w:color="auto" w:fill="auto"/>
            <w:noWrap/>
            <w:vAlign w:val="bottom"/>
            <w:hideMark/>
          </w:tcPr>
          <w:p w14:paraId="3F6FF7A9" w14:textId="77777777" w:rsidR="00B54F4E" w:rsidRPr="00611A94" w:rsidRDefault="00B54F4E" w:rsidP="006504C4">
            <w:pPr>
              <w:spacing w:before="0" w:after="0"/>
              <w:jc w:val="right"/>
              <w:rPr>
                <w:rFonts w:ascii="Calibri" w:hAnsi="Calibri" w:cs="Calibri"/>
                <w:color w:val="00B050"/>
                <w:sz w:val="12"/>
                <w:szCs w:val="12"/>
                <w:lang w:eastAsia="es-CO"/>
              </w:rPr>
            </w:pPr>
          </w:p>
        </w:tc>
        <w:tc>
          <w:tcPr>
            <w:tcW w:w="204" w:type="pct"/>
            <w:tcBorders>
              <w:top w:val="nil"/>
              <w:left w:val="nil"/>
              <w:bottom w:val="nil"/>
              <w:right w:val="nil"/>
            </w:tcBorders>
            <w:shd w:val="clear" w:color="auto" w:fill="auto"/>
            <w:noWrap/>
            <w:vAlign w:val="bottom"/>
            <w:hideMark/>
          </w:tcPr>
          <w:p w14:paraId="457CEB8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46491C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139632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19E6DB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5E30FEC"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72E68FEF"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22CB90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8C3F546"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0A5583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23540D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006623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FF36C9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89AB48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20D662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715CE32"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A944C0D"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0FC01B2C" w14:textId="77777777" w:rsidTr="006504C4">
        <w:trPr>
          <w:trHeight w:val="255"/>
        </w:trPr>
        <w:tc>
          <w:tcPr>
            <w:tcW w:w="1253" w:type="pct"/>
            <w:tcBorders>
              <w:top w:val="nil"/>
              <w:left w:val="nil"/>
              <w:bottom w:val="nil"/>
              <w:right w:val="nil"/>
            </w:tcBorders>
            <w:shd w:val="clear" w:color="auto" w:fill="auto"/>
            <w:noWrap/>
            <w:vAlign w:val="bottom"/>
            <w:hideMark/>
          </w:tcPr>
          <w:p w14:paraId="5E2E46D0"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Potencial de ahorro por cambio de bombillo Incande</w:t>
            </w:r>
            <w:r>
              <w:rPr>
                <w:rFonts w:ascii="Calibri" w:hAnsi="Calibri" w:cs="Calibri"/>
                <w:color w:val="000000"/>
                <w:sz w:val="12"/>
                <w:szCs w:val="12"/>
                <w:lang w:eastAsia="es-CO"/>
              </w:rPr>
              <w:t>s</w:t>
            </w:r>
            <w:r w:rsidRPr="00611A94">
              <w:rPr>
                <w:rFonts w:ascii="Calibri" w:hAnsi="Calibri" w:cs="Calibri"/>
                <w:color w:val="000000"/>
                <w:sz w:val="12"/>
                <w:szCs w:val="12"/>
                <w:lang w:eastAsia="es-CO"/>
              </w:rPr>
              <w:t>cente a LFC</w:t>
            </w:r>
          </w:p>
        </w:tc>
        <w:tc>
          <w:tcPr>
            <w:tcW w:w="252" w:type="pct"/>
            <w:tcBorders>
              <w:top w:val="nil"/>
              <w:left w:val="nil"/>
              <w:bottom w:val="nil"/>
              <w:right w:val="nil"/>
            </w:tcBorders>
            <w:shd w:val="clear" w:color="auto" w:fill="auto"/>
            <w:noWrap/>
            <w:vAlign w:val="bottom"/>
            <w:hideMark/>
          </w:tcPr>
          <w:p w14:paraId="305F8AEE"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82,7%</w:t>
            </w:r>
          </w:p>
        </w:tc>
        <w:tc>
          <w:tcPr>
            <w:tcW w:w="204" w:type="pct"/>
            <w:tcBorders>
              <w:top w:val="nil"/>
              <w:left w:val="nil"/>
              <w:bottom w:val="nil"/>
              <w:right w:val="nil"/>
            </w:tcBorders>
            <w:shd w:val="clear" w:color="auto" w:fill="auto"/>
            <w:noWrap/>
            <w:vAlign w:val="bottom"/>
            <w:hideMark/>
          </w:tcPr>
          <w:p w14:paraId="5C619F7B" w14:textId="77777777" w:rsidR="00B54F4E" w:rsidRPr="00611A94" w:rsidRDefault="00B54F4E" w:rsidP="006504C4">
            <w:pPr>
              <w:spacing w:before="0" w:after="0"/>
              <w:jc w:val="right"/>
              <w:rPr>
                <w:rFonts w:ascii="Calibri" w:hAnsi="Calibri" w:cs="Calibri"/>
                <w:color w:val="0000FF"/>
                <w:sz w:val="12"/>
                <w:szCs w:val="12"/>
                <w:lang w:eastAsia="es-CO"/>
              </w:rPr>
            </w:pPr>
          </w:p>
        </w:tc>
        <w:tc>
          <w:tcPr>
            <w:tcW w:w="204" w:type="pct"/>
            <w:tcBorders>
              <w:top w:val="nil"/>
              <w:left w:val="nil"/>
              <w:bottom w:val="nil"/>
              <w:right w:val="nil"/>
            </w:tcBorders>
            <w:shd w:val="clear" w:color="auto" w:fill="auto"/>
            <w:noWrap/>
            <w:vAlign w:val="bottom"/>
            <w:hideMark/>
          </w:tcPr>
          <w:p w14:paraId="2830156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7B2544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F5820A6"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2E97FF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2DFADCD"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0A1B87B7"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D321CD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68A62F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60464C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19B944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893CA5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8C6836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2AC2D2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24C50F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4CABE8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0FB9CEE"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3E60823F"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57DF301D"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Potencial de ahorro por cambio de bombillo LFC a LED</w:t>
            </w:r>
          </w:p>
        </w:tc>
        <w:tc>
          <w:tcPr>
            <w:tcW w:w="252" w:type="pct"/>
            <w:tcBorders>
              <w:top w:val="nil"/>
              <w:left w:val="nil"/>
              <w:bottom w:val="single" w:sz="4" w:space="0" w:color="000000"/>
              <w:right w:val="nil"/>
            </w:tcBorders>
            <w:shd w:val="clear" w:color="auto" w:fill="auto"/>
            <w:noWrap/>
            <w:vAlign w:val="bottom"/>
            <w:hideMark/>
          </w:tcPr>
          <w:p w14:paraId="2845AD2A"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33,3%</w:t>
            </w:r>
          </w:p>
        </w:tc>
        <w:tc>
          <w:tcPr>
            <w:tcW w:w="204" w:type="pct"/>
            <w:tcBorders>
              <w:top w:val="nil"/>
              <w:left w:val="nil"/>
              <w:bottom w:val="nil"/>
              <w:right w:val="nil"/>
            </w:tcBorders>
            <w:shd w:val="clear" w:color="auto" w:fill="auto"/>
            <w:noWrap/>
            <w:vAlign w:val="bottom"/>
            <w:hideMark/>
          </w:tcPr>
          <w:p w14:paraId="1410FBED" w14:textId="77777777" w:rsidR="00B54F4E" w:rsidRPr="00611A94" w:rsidRDefault="00B54F4E" w:rsidP="006504C4">
            <w:pPr>
              <w:spacing w:before="0" w:after="0"/>
              <w:jc w:val="right"/>
              <w:rPr>
                <w:rFonts w:ascii="Calibri" w:hAnsi="Calibri" w:cs="Calibri"/>
                <w:color w:val="0000FF"/>
                <w:sz w:val="12"/>
                <w:szCs w:val="12"/>
                <w:lang w:eastAsia="es-CO"/>
              </w:rPr>
            </w:pPr>
          </w:p>
        </w:tc>
        <w:tc>
          <w:tcPr>
            <w:tcW w:w="204" w:type="pct"/>
            <w:tcBorders>
              <w:top w:val="nil"/>
              <w:left w:val="nil"/>
              <w:bottom w:val="nil"/>
              <w:right w:val="nil"/>
            </w:tcBorders>
            <w:shd w:val="clear" w:color="auto" w:fill="auto"/>
            <w:noWrap/>
            <w:vAlign w:val="bottom"/>
            <w:hideMark/>
          </w:tcPr>
          <w:p w14:paraId="6A9D7A8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67184A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BFBA43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FD76A6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619F9DD"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6D936435"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A7825B0"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E4AA21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038F4F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41A92F3"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A8471B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60B094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070423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DA9D64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78E63F2"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C9D01F2"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7F53F03B"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177182DB"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Costo de un bombillo LED ($USD)</w:t>
            </w:r>
          </w:p>
        </w:tc>
        <w:tc>
          <w:tcPr>
            <w:tcW w:w="252" w:type="pct"/>
            <w:tcBorders>
              <w:top w:val="nil"/>
              <w:left w:val="nil"/>
              <w:bottom w:val="single" w:sz="4" w:space="0" w:color="000000"/>
              <w:right w:val="nil"/>
            </w:tcBorders>
            <w:shd w:val="clear" w:color="auto" w:fill="auto"/>
            <w:noWrap/>
            <w:vAlign w:val="bottom"/>
            <w:hideMark/>
          </w:tcPr>
          <w:p w14:paraId="78B5C879"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25,00</w:t>
            </w:r>
          </w:p>
        </w:tc>
        <w:tc>
          <w:tcPr>
            <w:tcW w:w="204" w:type="pct"/>
            <w:tcBorders>
              <w:top w:val="nil"/>
              <w:left w:val="nil"/>
              <w:bottom w:val="nil"/>
              <w:right w:val="nil"/>
            </w:tcBorders>
            <w:shd w:val="clear" w:color="auto" w:fill="auto"/>
            <w:noWrap/>
            <w:vAlign w:val="bottom"/>
            <w:hideMark/>
          </w:tcPr>
          <w:p w14:paraId="70D8BDA5" w14:textId="77777777" w:rsidR="00B54F4E" w:rsidRPr="00611A94" w:rsidRDefault="00B54F4E" w:rsidP="006504C4">
            <w:pPr>
              <w:spacing w:before="0" w:after="0"/>
              <w:jc w:val="right"/>
              <w:rPr>
                <w:rFonts w:ascii="Calibri" w:hAnsi="Calibri" w:cs="Calibri"/>
                <w:color w:val="0000FF"/>
                <w:sz w:val="12"/>
                <w:szCs w:val="12"/>
                <w:lang w:eastAsia="es-CO"/>
              </w:rPr>
            </w:pPr>
          </w:p>
        </w:tc>
        <w:tc>
          <w:tcPr>
            <w:tcW w:w="204" w:type="pct"/>
            <w:tcBorders>
              <w:top w:val="nil"/>
              <w:left w:val="nil"/>
              <w:bottom w:val="nil"/>
              <w:right w:val="nil"/>
            </w:tcBorders>
            <w:shd w:val="clear" w:color="auto" w:fill="auto"/>
            <w:noWrap/>
            <w:vAlign w:val="bottom"/>
            <w:hideMark/>
          </w:tcPr>
          <w:p w14:paraId="45F04E2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EF3786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D5EC46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7A1C470"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3F9E3CA"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44A493D3"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78C7DE8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6B0582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631AC4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AABD64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D48F0A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2454F13"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7F750E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5E7DFA6"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B7BB773"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4398FF2"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00A501A1" w14:textId="77777777" w:rsidTr="006504C4">
        <w:trPr>
          <w:trHeight w:val="255"/>
        </w:trPr>
        <w:tc>
          <w:tcPr>
            <w:tcW w:w="1253" w:type="pct"/>
            <w:tcBorders>
              <w:top w:val="nil"/>
              <w:left w:val="nil"/>
              <w:bottom w:val="nil"/>
              <w:right w:val="nil"/>
            </w:tcBorders>
            <w:shd w:val="clear" w:color="auto" w:fill="auto"/>
            <w:noWrap/>
            <w:vAlign w:val="bottom"/>
            <w:hideMark/>
          </w:tcPr>
          <w:p w14:paraId="523405E9" w14:textId="77777777" w:rsidR="00B54F4E" w:rsidRPr="00611A94" w:rsidRDefault="00B54F4E" w:rsidP="006504C4">
            <w:pPr>
              <w:spacing w:before="0" w:after="0"/>
              <w:jc w:val="left"/>
              <w:rPr>
                <w:rFonts w:ascii="Times New Roman" w:hAnsi="Times New Roman"/>
                <w:sz w:val="12"/>
                <w:szCs w:val="12"/>
                <w:lang w:eastAsia="es-CO"/>
              </w:rPr>
            </w:pPr>
          </w:p>
        </w:tc>
        <w:tc>
          <w:tcPr>
            <w:tcW w:w="252" w:type="pct"/>
            <w:tcBorders>
              <w:top w:val="nil"/>
              <w:left w:val="nil"/>
              <w:bottom w:val="nil"/>
              <w:right w:val="nil"/>
            </w:tcBorders>
            <w:shd w:val="clear" w:color="auto" w:fill="auto"/>
            <w:noWrap/>
            <w:vAlign w:val="bottom"/>
            <w:hideMark/>
          </w:tcPr>
          <w:p w14:paraId="30D3ACDD"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39B5F5F"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3AA6851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14DC64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FBCB80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5EDF39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4A7918B"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B877496"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690785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F65268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684C89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F10FD5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9D39EF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6863196"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52928C0"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70D1EB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D616CCA"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0D974E56"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3F66B803" w14:textId="77777777" w:rsidTr="006504C4">
        <w:trPr>
          <w:trHeight w:val="255"/>
        </w:trPr>
        <w:tc>
          <w:tcPr>
            <w:tcW w:w="1253" w:type="pct"/>
            <w:tcBorders>
              <w:top w:val="nil"/>
              <w:left w:val="nil"/>
              <w:bottom w:val="nil"/>
              <w:right w:val="nil"/>
            </w:tcBorders>
            <w:shd w:val="clear" w:color="auto" w:fill="auto"/>
            <w:noWrap/>
            <w:vAlign w:val="bottom"/>
            <w:hideMark/>
          </w:tcPr>
          <w:p w14:paraId="553C1C6F" w14:textId="77777777" w:rsidR="00B54F4E" w:rsidRPr="00611A94" w:rsidRDefault="00B54F4E" w:rsidP="006504C4">
            <w:pPr>
              <w:spacing w:before="0" w:after="0"/>
              <w:jc w:val="left"/>
              <w:rPr>
                <w:rFonts w:ascii="Times New Roman" w:hAnsi="Times New Roman"/>
                <w:sz w:val="12"/>
                <w:szCs w:val="12"/>
                <w:lang w:eastAsia="es-CO"/>
              </w:rPr>
            </w:pPr>
          </w:p>
        </w:tc>
        <w:tc>
          <w:tcPr>
            <w:tcW w:w="252" w:type="pct"/>
            <w:tcBorders>
              <w:top w:val="nil"/>
              <w:left w:val="nil"/>
              <w:bottom w:val="nil"/>
              <w:right w:val="nil"/>
            </w:tcBorders>
            <w:shd w:val="clear" w:color="auto" w:fill="auto"/>
            <w:noWrap/>
            <w:vAlign w:val="bottom"/>
            <w:hideMark/>
          </w:tcPr>
          <w:p w14:paraId="7E1BA8D6"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06290F3C"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703A1D1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07A6F8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415007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4C04D3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06031BE"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45612748"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3B2CC62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FBAAD9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7A186F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AC486A8"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06EA07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F0FC3D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AD9B0B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C5CC4C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DF6DD6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229814E7"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6E5E2371"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62AE199D"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$USD</w:t>
            </w:r>
          </w:p>
        </w:tc>
        <w:tc>
          <w:tcPr>
            <w:tcW w:w="252" w:type="pct"/>
            <w:tcBorders>
              <w:top w:val="nil"/>
              <w:left w:val="nil"/>
              <w:bottom w:val="single" w:sz="4" w:space="0" w:color="auto"/>
              <w:right w:val="nil"/>
            </w:tcBorders>
            <w:shd w:val="clear" w:color="auto" w:fill="auto"/>
            <w:noWrap/>
            <w:vAlign w:val="bottom"/>
            <w:hideMark/>
          </w:tcPr>
          <w:p w14:paraId="4C1983A9"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 </w:t>
            </w:r>
          </w:p>
        </w:tc>
        <w:tc>
          <w:tcPr>
            <w:tcW w:w="204" w:type="pct"/>
            <w:tcBorders>
              <w:top w:val="single" w:sz="4" w:space="0" w:color="FFFFFF"/>
              <w:left w:val="nil"/>
              <w:bottom w:val="single" w:sz="4" w:space="0" w:color="auto"/>
              <w:right w:val="single" w:sz="4" w:space="0" w:color="FFFFFF"/>
            </w:tcBorders>
            <w:shd w:val="clear" w:color="000000" w:fill="203764"/>
            <w:noWrap/>
            <w:vAlign w:val="bottom"/>
            <w:hideMark/>
          </w:tcPr>
          <w:p w14:paraId="09DCCC41"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2014</w:t>
            </w:r>
          </w:p>
        </w:tc>
        <w:tc>
          <w:tcPr>
            <w:tcW w:w="204" w:type="pct"/>
            <w:tcBorders>
              <w:top w:val="single" w:sz="4" w:space="0" w:color="FFFFFF"/>
              <w:left w:val="nil"/>
              <w:bottom w:val="single" w:sz="4" w:space="0" w:color="auto"/>
              <w:right w:val="single" w:sz="4" w:space="0" w:color="FFFFFF"/>
            </w:tcBorders>
            <w:shd w:val="clear" w:color="000000" w:fill="203764"/>
            <w:noWrap/>
            <w:vAlign w:val="bottom"/>
            <w:hideMark/>
          </w:tcPr>
          <w:p w14:paraId="769495A1"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2015</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3D3D2E49"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2016</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6F257677"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2017</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0B3EAC2B"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2018</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7E5FA7B0"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2019</w:t>
            </w:r>
          </w:p>
        </w:tc>
        <w:tc>
          <w:tcPr>
            <w:tcW w:w="183" w:type="pct"/>
            <w:tcBorders>
              <w:top w:val="single" w:sz="4" w:space="0" w:color="FFFFFF"/>
              <w:left w:val="nil"/>
              <w:bottom w:val="single" w:sz="4" w:space="0" w:color="auto"/>
              <w:right w:val="single" w:sz="4" w:space="0" w:color="FFFFFF"/>
            </w:tcBorders>
            <w:shd w:val="clear" w:color="000000" w:fill="203764"/>
            <w:noWrap/>
            <w:vAlign w:val="bottom"/>
            <w:hideMark/>
          </w:tcPr>
          <w:p w14:paraId="36B10260"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2020</w:t>
            </w:r>
          </w:p>
        </w:tc>
        <w:tc>
          <w:tcPr>
            <w:tcW w:w="204" w:type="pct"/>
            <w:tcBorders>
              <w:top w:val="single" w:sz="4" w:space="0" w:color="FFFFFF"/>
              <w:left w:val="nil"/>
              <w:bottom w:val="single" w:sz="4" w:space="0" w:color="auto"/>
              <w:right w:val="single" w:sz="4" w:space="0" w:color="FFFFFF"/>
            </w:tcBorders>
            <w:shd w:val="clear" w:color="000000" w:fill="203764"/>
            <w:noWrap/>
            <w:vAlign w:val="bottom"/>
            <w:hideMark/>
          </w:tcPr>
          <w:p w14:paraId="3FB4E508"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2021</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19C33AAD"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2022</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71AEBF5C"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2023</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57F01552"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2024</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306ED005"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2025</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262F1281"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2026</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76E5ABA9"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2027</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63F77990"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2028</w:t>
            </w:r>
          </w:p>
        </w:tc>
        <w:tc>
          <w:tcPr>
            <w:tcW w:w="208" w:type="pct"/>
            <w:tcBorders>
              <w:top w:val="single" w:sz="4" w:space="0" w:color="FFFFFF"/>
              <w:left w:val="nil"/>
              <w:bottom w:val="single" w:sz="4" w:space="0" w:color="auto"/>
              <w:right w:val="single" w:sz="4" w:space="0" w:color="FFFFFF"/>
            </w:tcBorders>
            <w:shd w:val="clear" w:color="000000" w:fill="203764"/>
            <w:noWrap/>
            <w:vAlign w:val="bottom"/>
            <w:hideMark/>
          </w:tcPr>
          <w:p w14:paraId="27FF7D3A"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2029</w:t>
            </w:r>
          </w:p>
        </w:tc>
        <w:tc>
          <w:tcPr>
            <w:tcW w:w="204" w:type="pct"/>
            <w:tcBorders>
              <w:top w:val="single" w:sz="4" w:space="0" w:color="FFFFFF"/>
              <w:left w:val="nil"/>
              <w:bottom w:val="single" w:sz="4" w:space="0" w:color="auto"/>
              <w:right w:val="single" w:sz="4" w:space="0" w:color="FFFFFF"/>
            </w:tcBorders>
            <w:shd w:val="clear" w:color="000000" w:fill="203764"/>
            <w:noWrap/>
            <w:vAlign w:val="bottom"/>
            <w:hideMark/>
          </w:tcPr>
          <w:p w14:paraId="0F73F3D6"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2030</w:t>
            </w:r>
          </w:p>
        </w:tc>
      </w:tr>
      <w:tr w:rsidR="00B54F4E" w:rsidRPr="00611A94" w14:paraId="12394FEB" w14:textId="77777777" w:rsidTr="006504C4">
        <w:trPr>
          <w:trHeight w:val="255"/>
        </w:trPr>
        <w:tc>
          <w:tcPr>
            <w:tcW w:w="1253" w:type="pct"/>
            <w:tcBorders>
              <w:top w:val="nil"/>
              <w:left w:val="nil"/>
              <w:bottom w:val="nil"/>
              <w:right w:val="nil"/>
            </w:tcBorders>
            <w:shd w:val="clear" w:color="auto" w:fill="auto"/>
            <w:noWrap/>
            <w:vAlign w:val="bottom"/>
            <w:hideMark/>
          </w:tcPr>
          <w:p w14:paraId="2C82A9ED" w14:textId="77777777" w:rsidR="00B54F4E" w:rsidRPr="00611A94" w:rsidRDefault="00B54F4E" w:rsidP="006504C4">
            <w:pPr>
              <w:spacing w:before="0" w:after="0"/>
              <w:jc w:val="left"/>
              <w:rPr>
                <w:rFonts w:ascii="Calibri" w:hAnsi="Calibri" w:cs="Calibri"/>
                <w:color w:val="000000"/>
                <w:sz w:val="12"/>
                <w:szCs w:val="12"/>
                <w:lang w:eastAsia="es-CO"/>
              </w:rPr>
            </w:pPr>
            <w:bookmarkStart w:id="161" w:name="RANGE!B244:T246"/>
            <w:r w:rsidRPr="00611A94">
              <w:rPr>
                <w:rFonts w:ascii="Calibri" w:hAnsi="Calibri" w:cs="Calibri"/>
                <w:color w:val="000000"/>
                <w:sz w:val="12"/>
                <w:szCs w:val="12"/>
                <w:lang w:eastAsia="es-CO"/>
              </w:rPr>
              <w:t>Consumo de iluminación sector público GWh/Año</w:t>
            </w:r>
            <w:bookmarkEnd w:id="161"/>
          </w:p>
        </w:tc>
        <w:tc>
          <w:tcPr>
            <w:tcW w:w="252" w:type="pct"/>
            <w:tcBorders>
              <w:top w:val="nil"/>
              <w:left w:val="nil"/>
              <w:bottom w:val="nil"/>
              <w:right w:val="nil"/>
            </w:tcBorders>
            <w:shd w:val="clear" w:color="auto" w:fill="auto"/>
            <w:noWrap/>
            <w:vAlign w:val="bottom"/>
            <w:hideMark/>
          </w:tcPr>
          <w:p w14:paraId="2BBDB6F3" w14:textId="77777777" w:rsidR="00B54F4E" w:rsidRPr="00611A94" w:rsidRDefault="00B54F4E" w:rsidP="006504C4">
            <w:pPr>
              <w:spacing w:before="0" w:after="0"/>
              <w:jc w:val="left"/>
              <w:rPr>
                <w:rFonts w:ascii="Calibri" w:hAnsi="Calibri" w:cs="Calibri"/>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2820578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437</w:t>
            </w:r>
          </w:p>
        </w:tc>
        <w:tc>
          <w:tcPr>
            <w:tcW w:w="204" w:type="pct"/>
            <w:tcBorders>
              <w:top w:val="nil"/>
              <w:left w:val="nil"/>
              <w:bottom w:val="nil"/>
              <w:right w:val="nil"/>
            </w:tcBorders>
            <w:shd w:val="clear" w:color="auto" w:fill="auto"/>
            <w:noWrap/>
            <w:vAlign w:val="bottom"/>
            <w:hideMark/>
          </w:tcPr>
          <w:p w14:paraId="7BCB9CC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443</w:t>
            </w:r>
          </w:p>
        </w:tc>
        <w:tc>
          <w:tcPr>
            <w:tcW w:w="208" w:type="pct"/>
            <w:tcBorders>
              <w:top w:val="nil"/>
              <w:left w:val="nil"/>
              <w:bottom w:val="nil"/>
              <w:right w:val="nil"/>
            </w:tcBorders>
            <w:shd w:val="clear" w:color="auto" w:fill="auto"/>
            <w:noWrap/>
            <w:vAlign w:val="bottom"/>
            <w:hideMark/>
          </w:tcPr>
          <w:p w14:paraId="4D4B69D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449</w:t>
            </w:r>
          </w:p>
        </w:tc>
        <w:tc>
          <w:tcPr>
            <w:tcW w:w="208" w:type="pct"/>
            <w:tcBorders>
              <w:top w:val="nil"/>
              <w:left w:val="nil"/>
              <w:bottom w:val="nil"/>
              <w:right w:val="nil"/>
            </w:tcBorders>
            <w:shd w:val="clear" w:color="auto" w:fill="auto"/>
            <w:noWrap/>
            <w:vAlign w:val="bottom"/>
            <w:hideMark/>
          </w:tcPr>
          <w:p w14:paraId="6128699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455</w:t>
            </w:r>
          </w:p>
        </w:tc>
        <w:tc>
          <w:tcPr>
            <w:tcW w:w="208" w:type="pct"/>
            <w:tcBorders>
              <w:top w:val="nil"/>
              <w:left w:val="nil"/>
              <w:bottom w:val="nil"/>
              <w:right w:val="nil"/>
            </w:tcBorders>
            <w:shd w:val="clear" w:color="auto" w:fill="auto"/>
            <w:noWrap/>
            <w:vAlign w:val="bottom"/>
            <w:hideMark/>
          </w:tcPr>
          <w:p w14:paraId="6667DC2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461</w:t>
            </w:r>
          </w:p>
        </w:tc>
        <w:tc>
          <w:tcPr>
            <w:tcW w:w="208" w:type="pct"/>
            <w:tcBorders>
              <w:top w:val="nil"/>
              <w:left w:val="nil"/>
              <w:bottom w:val="nil"/>
              <w:right w:val="nil"/>
            </w:tcBorders>
            <w:shd w:val="clear" w:color="auto" w:fill="auto"/>
            <w:noWrap/>
            <w:vAlign w:val="bottom"/>
            <w:hideMark/>
          </w:tcPr>
          <w:p w14:paraId="3975F8F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467</w:t>
            </w:r>
          </w:p>
        </w:tc>
        <w:tc>
          <w:tcPr>
            <w:tcW w:w="183" w:type="pct"/>
            <w:tcBorders>
              <w:top w:val="nil"/>
              <w:left w:val="nil"/>
              <w:bottom w:val="nil"/>
              <w:right w:val="nil"/>
            </w:tcBorders>
            <w:shd w:val="clear" w:color="auto" w:fill="auto"/>
            <w:noWrap/>
            <w:vAlign w:val="bottom"/>
            <w:hideMark/>
          </w:tcPr>
          <w:p w14:paraId="7DDD276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473</w:t>
            </w:r>
          </w:p>
        </w:tc>
        <w:tc>
          <w:tcPr>
            <w:tcW w:w="204" w:type="pct"/>
            <w:tcBorders>
              <w:top w:val="nil"/>
              <w:left w:val="nil"/>
              <w:bottom w:val="nil"/>
              <w:right w:val="nil"/>
            </w:tcBorders>
            <w:shd w:val="clear" w:color="auto" w:fill="auto"/>
            <w:noWrap/>
            <w:vAlign w:val="bottom"/>
            <w:hideMark/>
          </w:tcPr>
          <w:p w14:paraId="283D3DB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486</w:t>
            </w:r>
          </w:p>
        </w:tc>
        <w:tc>
          <w:tcPr>
            <w:tcW w:w="208" w:type="pct"/>
            <w:tcBorders>
              <w:top w:val="nil"/>
              <w:left w:val="nil"/>
              <w:bottom w:val="nil"/>
              <w:right w:val="nil"/>
            </w:tcBorders>
            <w:shd w:val="clear" w:color="auto" w:fill="auto"/>
            <w:noWrap/>
            <w:vAlign w:val="bottom"/>
            <w:hideMark/>
          </w:tcPr>
          <w:p w14:paraId="507537D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500</w:t>
            </w:r>
          </w:p>
        </w:tc>
        <w:tc>
          <w:tcPr>
            <w:tcW w:w="208" w:type="pct"/>
            <w:tcBorders>
              <w:top w:val="nil"/>
              <w:left w:val="nil"/>
              <w:bottom w:val="nil"/>
              <w:right w:val="nil"/>
            </w:tcBorders>
            <w:shd w:val="clear" w:color="auto" w:fill="auto"/>
            <w:noWrap/>
            <w:vAlign w:val="bottom"/>
            <w:hideMark/>
          </w:tcPr>
          <w:p w14:paraId="3BED4E2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514</w:t>
            </w:r>
          </w:p>
        </w:tc>
        <w:tc>
          <w:tcPr>
            <w:tcW w:w="208" w:type="pct"/>
            <w:tcBorders>
              <w:top w:val="nil"/>
              <w:left w:val="nil"/>
              <w:bottom w:val="nil"/>
              <w:right w:val="nil"/>
            </w:tcBorders>
            <w:shd w:val="clear" w:color="auto" w:fill="auto"/>
            <w:noWrap/>
            <w:vAlign w:val="bottom"/>
            <w:hideMark/>
          </w:tcPr>
          <w:p w14:paraId="19DC672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527</w:t>
            </w:r>
          </w:p>
        </w:tc>
        <w:tc>
          <w:tcPr>
            <w:tcW w:w="208" w:type="pct"/>
            <w:tcBorders>
              <w:top w:val="nil"/>
              <w:left w:val="nil"/>
              <w:bottom w:val="nil"/>
              <w:right w:val="nil"/>
            </w:tcBorders>
            <w:shd w:val="clear" w:color="auto" w:fill="auto"/>
            <w:noWrap/>
            <w:vAlign w:val="bottom"/>
            <w:hideMark/>
          </w:tcPr>
          <w:p w14:paraId="376EA22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554</w:t>
            </w:r>
          </w:p>
        </w:tc>
        <w:tc>
          <w:tcPr>
            <w:tcW w:w="208" w:type="pct"/>
            <w:tcBorders>
              <w:top w:val="nil"/>
              <w:left w:val="nil"/>
              <w:bottom w:val="nil"/>
              <w:right w:val="nil"/>
            </w:tcBorders>
            <w:shd w:val="clear" w:color="auto" w:fill="auto"/>
            <w:noWrap/>
            <w:vAlign w:val="bottom"/>
            <w:hideMark/>
          </w:tcPr>
          <w:p w14:paraId="2A4FA19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569</w:t>
            </w:r>
          </w:p>
        </w:tc>
        <w:tc>
          <w:tcPr>
            <w:tcW w:w="208" w:type="pct"/>
            <w:tcBorders>
              <w:top w:val="nil"/>
              <w:left w:val="nil"/>
              <w:bottom w:val="nil"/>
              <w:right w:val="nil"/>
            </w:tcBorders>
            <w:shd w:val="clear" w:color="auto" w:fill="auto"/>
            <w:noWrap/>
            <w:vAlign w:val="bottom"/>
            <w:hideMark/>
          </w:tcPr>
          <w:p w14:paraId="4BF6D52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584</w:t>
            </w:r>
          </w:p>
        </w:tc>
        <w:tc>
          <w:tcPr>
            <w:tcW w:w="208" w:type="pct"/>
            <w:tcBorders>
              <w:top w:val="nil"/>
              <w:left w:val="nil"/>
              <w:bottom w:val="nil"/>
              <w:right w:val="nil"/>
            </w:tcBorders>
            <w:shd w:val="clear" w:color="auto" w:fill="auto"/>
            <w:noWrap/>
            <w:vAlign w:val="bottom"/>
            <w:hideMark/>
          </w:tcPr>
          <w:p w14:paraId="575C14F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599</w:t>
            </w:r>
          </w:p>
        </w:tc>
        <w:tc>
          <w:tcPr>
            <w:tcW w:w="208" w:type="pct"/>
            <w:tcBorders>
              <w:top w:val="nil"/>
              <w:left w:val="nil"/>
              <w:bottom w:val="nil"/>
              <w:right w:val="nil"/>
            </w:tcBorders>
            <w:shd w:val="clear" w:color="auto" w:fill="auto"/>
            <w:noWrap/>
            <w:vAlign w:val="bottom"/>
            <w:hideMark/>
          </w:tcPr>
          <w:p w14:paraId="029CC20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613</w:t>
            </w:r>
          </w:p>
        </w:tc>
        <w:tc>
          <w:tcPr>
            <w:tcW w:w="204" w:type="pct"/>
            <w:tcBorders>
              <w:top w:val="nil"/>
              <w:left w:val="nil"/>
              <w:bottom w:val="nil"/>
              <w:right w:val="nil"/>
            </w:tcBorders>
            <w:shd w:val="clear" w:color="auto" w:fill="auto"/>
            <w:noWrap/>
            <w:vAlign w:val="bottom"/>
            <w:hideMark/>
          </w:tcPr>
          <w:p w14:paraId="52CCB49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643</w:t>
            </w:r>
          </w:p>
        </w:tc>
      </w:tr>
      <w:tr w:rsidR="00B54F4E" w:rsidRPr="00611A94" w14:paraId="0C6EC7A6" w14:textId="77777777" w:rsidTr="006504C4">
        <w:trPr>
          <w:trHeight w:val="255"/>
        </w:trPr>
        <w:tc>
          <w:tcPr>
            <w:tcW w:w="1253" w:type="pct"/>
            <w:tcBorders>
              <w:top w:val="nil"/>
              <w:left w:val="nil"/>
              <w:bottom w:val="nil"/>
              <w:right w:val="nil"/>
            </w:tcBorders>
            <w:shd w:val="clear" w:color="auto" w:fill="auto"/>
            <w:noWrap/>
            <w:vAlign w:val="bottom"/>
            <w:hideMark/>
          </w:tcPr>
          <w:p w14:paraId="3BBB97EE"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Número de bombillos incandescente a cambiar (por LED)</w:t>
            </w:r>
          </w:p>
        </w:tc>
        <w:tc>
          <w:tcPr>
            <w:tcW w:w="252" w:type="pct"/>
            <w:tcBorders>
              <w:top w:val="nil"/>
              <w:left w:val="nil"/>
              <w:bottom w:val="nil"/>
              <w:right w:val="nil"/>
            </w:tcBorders>
            <w:shd w:val="clear" w:color="auto" w:fill="auto"/>
            <w:noWrap/>
            <w:vAlign w:val="bottom"/>
            <w:hideMark/>
          </w:tcPr>
          <w:p w14:paraId="26C049B9" w14:textId="77777777" w:rsidR="00B54F4E" w:rsidRPr="00611A94" w:rsidRDefault="00B54F4E" w:rsidP="006504C4">
            <w:pPr>
              <w:spacing w:before="0" w:after="0"/>
              <w:jc w:val="left"/>
              <w:rPr>
                <w:rFonts w:ascii="Calibri" w:hAnsi="Calibri" w:cs="Calibri"/>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39D903E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57718D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50005B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CE7CD49"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10.000</w:t>
            </w:r>
          </w:p>
        </w:tc>
        <w:tc>
          <w:tcPr>
            <w:tcW w:w="208" w:type="pct"/>
            <w:tcBorders>
              <w:top w:val="nil"/>
              <w:left w:val="nil"/>
              <w:bottom w:val="nil"/>
              <w:right w:val="nil"/>
            </w:tcBorders>
            <w:shd w:val="clear" w:color="auto" w:fill="auto"/>
            <w:noWrap/>
            <w:vAlign w:val="bottom"/>
            <w:hideMark/>
          </w:tcPr>
          <w:p w14:paraId="63BB763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29B3BA6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183" w:type="pct"/>
            <w:tcBorders>
              <w:top w:val="nil"/>
              <w:left w:val="nil"/>
              <w:bottom w:val="nil"/>
              <w:right w:val="nil"/>
            </w:tcBorders>
            <w:shd w:val="clear" w:color="auto" w:fill="auto"/>
            <w:noWrap/>
            <w:vAlign w:val="bottom"/>
            <w:hideMark/>
          </w:tcPr>
          <w:p w14:paraId="6F03F79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4" w:type="pct"/>
            <w:tcBorders>
              <w:top w:val="nil"/>
              <w:left w:val="nil"/>
              <w:bottom w:val="nil"/>
              <w:right w:val="nil"/>
            </w:tcBorders>
            <w:shd w:val="clear" w:color="auto" w:fill="auto"/>
            <w:noWrap/>
            <w:vAlign w:val="bottom"/>
            <w:hideMark/>
          </w:tcPr>
          <w:p w14:paraId="063EF9D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39042CD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7038E54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51BFF4C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4C1F8F5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71CA531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79E2A7C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074BFC2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8" w:type="pct"/>
            <w:tcBorders>
              <w:top w:val="nil"/>
              <w:left w:val="nil"/>
              <w:bottom w:val="nil"/>
              <w:right w:val="nil"/>
            </w:tcBorders>
            <w:shd w:val="clear" w:color="auto" w:fill="auto"/>
            <w:noWrap/>
            <w:vAlign w:val="bottom"/>
            <w:hideMark/>
          </w:tcPr>
          <w:p w14:paraId="0914285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c>
          <w:tcPr>
            <w:tcW w:w="204" w:type="pct"/>
            <w:tcBorders>
              <w:top w:val="nil"/>
              <w:left w:val="nil"/>
              <w:bottom w:val="nil"/>
              <w:right w:val="nil"/>
            </w:tcBorders>
            <w:shd w:val="clear" w:color="auto" w:fill="auto"/>
            <w:noWrap/>
            <w:vAlign w:val="bottom"/>
            <w:hideMark/>
          </w:tcPr>
          <w:p w14:paraId="655BC3A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10.000</w:t>
            </w:r>
          </w:p>
        </w:tc>
      </w:tr>
      <w:tr w:rsidR="00B54F4E" w:rsidRPr="00611A94" w14:paraId="304A51AD" w14:textId="77777777" w:rsidTr="006504C4">
        <w:trPr>
          <w:trHeight w:val="255"/>
        </w:trPr>
        <w:tc>
          <w:tcPr>
            <w:tcW w:w="1253" w:type="pct"/>
            <w:tcBorders>
              <w:top w:val="nil"/>
              <w:left w:val="nil"/>
              <w:bottom w:val="single" w:sz="4" w:space="0" w:color="000000"/>
              <w:right w:val="nil"/>
            </w:tcBorders>
            <w:shd w:val="clear" w:color="auto" w:fill="auto"/>
            <w:noWrap/>
            <w:vAlign w:val="bottom"/>
            <w:hideMark/>
          </w:tcPr>
          <w:p w14:paraId="10EDF231"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Número de bombillos LFC a cambiar (por LED)</w:t>
            </w:r>
          </w:p>
        </w:tc>
        <w:tc>
          <w:tcPr>
            <w:tcW w:w="252" w:type="pct"/>
            <w:tcBorders>
              <w:top w:val="nil"/>
              <w:left w:val="nil"/>
              <w:bottom w:val="single" w:sz="4" w:space="0" w:color="000000"/>
              <w:right w:val="nil"/>
            </w:tcBorders>
            <w:shd w:val="clear" w:color="auto" w:fill="auto"/>
            <w:noWrap/>
            <w:vAlign w:val="bottom"/>
            <w:hideMark/>
          </w:tcPr>
          <w:p w14:paraId="1370EED6"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000000"/>
              <w:right w:val="nil"/>
            </w:tcBorders>
            <w:shd w:val="clear" w:color="auto" w:fill="auto"/>
            <w:noWrap/>
            <w:vAlign w:val="bottom"/>
            <w:hideMark/>
          </w:tcPr>
          <w:p w14:paraId="6E874196"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000000"/>
              <w:right w:val="nil"/>
            </w:tcBorders>
            <w:shd w:val="clear" w:color="auto" w:fill="auto"/>
            <w:noWrap/>
            <w:vAlign w:val="bottom"/>
            <w:hideMark/>
          </w:tcPr>
          <w:p w14:paraId="55EBFA06"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000000"/>
              <w:right w:val="nil"/>
            </w:tcBorders>
            <w:shd w:val="clear" w:color="auto" w:fill="auto"/>
            <w:noWrap/>
            <w:vAlign w:val="bottom"/>
            <w:hideMark/>
          </w:tcPr>
          <w:p w14:paraId="58E38C9F"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000000"/>
              <w:right w:val="nil"/>
            </w:tcBorders>
            <w:shd w:val="clear" w:color="auto" w:fill="auto"/>
            <w:noWrap/>
            <w:vAlign w:val="bottom"/>
            <w:hideMark/>
          </w:tcPr>
          <w:p w14:paraId="2C96A4CD"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000000"/>
              <w:right w:val="nil"/>
            </w:tcBorders>
            <w:shd w:val="clear" w:color="auto" w:fill="auto"/>
            <w:noWrap/>
            <w:vAlign w:val="bottom"/>
            <w:hideMark/>
          </w:tcPr>
          <w:p w14:paraId="2A3D1BAC"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000000"/>
              <w:right w:val="nil"/>
            </w:tcBorders>
            <w:shd w:val="clear" w:color="auto" w:fill="auto"/>
            <w:noWrap/>
            <w:vAlign w:val="bottom"/>
            <w:hideMark/>
          </w:tcPr>
          <w:p w14:paraId="055B6F1A"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183" w:type="pct"/>
            <w:tcBorders>
              <w:top w:val="nil"/>
              <w:left w:val="nil"/>
              <w:bottom w:val="single" w:sz="4" w:space="0" w:color="000000"/>
              <w:right w:val="nil"/>
            </w:tcBorders>
            <w:shd w:val="clear" w:color="auto" w:fill="auto"/>
            <w:noWrap/>
            <w:vAlign w:val="bottom"/>
            <w:hideMark/>
          </w:tcPr>
          <w:p w14:paraId="1FC1F537"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35.000</w:t>
            </w:r>
          </w:p>
        </w:tc>
        <w:tc>
          <w:tcPr>
            <w:tcW w:w="204" w:type="pct"/>
            <w:tcBorders>
              <w:top w:val="nil"/>
              <w:left w:val="nil"/>
              <w:bottom w:val="single" w:sz="4" w:space="0" w:color="000000"/>
              <w:right w:val="nil"/>
            </w:tcBorders>
            <w:shd w:val="clear" w:color="auto" w:fill="auto"/>
            <w:noWrap/>
            <w:vAlign w:val="bottom"/>
            <w:hideMark/>
          </w:tcPr>
          <w:p w14:paraId="6EE8FE5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7B734F9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11C2106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5CFD101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735E60A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06AE9F8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742B45E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3B248CE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8" w:type="pct"/>
            <w:tcBorders>
              <w:top w:val="nil"/>
              <w:left w:val="nil"/>
              <w:bottom w:val="single" w:sz="4" w:space="0" w:color="000000"/>
              <w:right w:val="nil"/>
            </w:tcBorders>
            <w:shd w:val="clear" w:color="auto" w:fill="auto"/>
            <w:noWrap/>
            <w:vAlign w:val="bottom"/>
            <w:hideMark/>
          </w:tcPr>
          <w:p w14:paraId="043F1EF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c>
          <w:tcPr>
            <w:tcW w:w="204" w:type="pct"/>
            <w:tcBorders>
              <w:top w:val="nil"/>
              <w:left w:val="nil"/>
              <w:bottom w:val="single" w:sz="4" w:space="0" w:color="000000"/>
              <w:right w:val="nil"/>
            </w:tcBorders>
            <w:shd w:val="clear" w:color="auto" w:fill="auto"/>
            <w:noWrap/>
            <w:vAlign w:val="bottom"/>
            <w:hideMark/>
          </w:tcPr>
          <w:p w14:paraId="0493AC6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35.000</w:t>
            </w:r>
          </w:p>
        </w:tc>
      </w:tr>
      <w:tr w:rsidR="00B54F4E" w:rsidRPr="00611A94" w14:paraId="1FA0D448" w14:textId="77777777" w:rsidTr="006504C4">
        <w:trPr>
          <w:trHeight w:val="255"/>
        </w:trPr>
        <w:tc>
          <w:tcPr>
            <w:tcW w:w="1253" w:type="pct"/>
            <w:tcBorders>
              <w:top w:val="nil"/>
              <w:left w:val="nil"/>
              <w:bottom w:val="nil"/>
              <w:right w:val="nil"/>
            </w:tcBorders>
            <w:shd w:val="clear" w:color="auto" w:fill="auto"/>
            <w:noWrap/>
            <w:vAlign w:val="bottom"/>
            <w:hideMark/>
          </w:tcPr>
          <w:p w14:paraId="2E2C144B"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Beneficios</w:t>
            </w:r>
          </w:p>
        </w:tc>
        <w:tc>
          <w:tcPr>
            <w:tcW w:w="252" w:type="pct"/>
            <w:tcBorders>
              <w:top w:val="nil"/>
              <w:left w:val="nil"/>
              <w:bottom w:val="nil"/>
              <w:right w:val="nil"/>
            </w:tcBorders>
            <w:shd w:val="clear" w:color="auto" w:fill="auto"/>
            <w:noWrap/>
            <w:vAlign w:val="bottom"/>
            <w:hideMark/>
          </w:tcPr>
          <w:p w14:paraId="6C134ECB" w14:textId="77777777" w:rsidR="00B54F4E" w:rsidRPr="00611A94" w:rsidRDefault="00B54F4E" w:rsidP="006504C4">
            <w:pPr>
              <w:spacing w:before="0" w:after="0"/>
              <w:jc w:val="left"/>
              <w:rPr>
                <w:rFonts w:ascii="Calibri" w:hAnsi="Calibri" w:cs="Calibri"/>
                <w:b/>
                <w:bCs/>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3BC2C1E0"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3994793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FFB918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10A60E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635341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21D62CE"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3C642EA3"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6A5DE6B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F69514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660C7B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9DBBCE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DEA037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594C71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7A5F6B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4F5FFD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C652B5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003C2D41"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35F907B9" w14:textId="77777777" w:rsidTr="006504C4">
        <w:trPr>
          <w:trHeight w:val="255"/>
        </w:trPr>
        <w:tc>
          <w:tcPr>
            <w:tcW w:w="1253" w:type="pct"/>
            <w:tcBorders>
              <w:top w:val="nil"/>
              <w:left w:val="nil"/>
              <w:bottom w:val="nil"/>
              <w:right w:val="nil"/>
            </w:tcBorders>
            <w:shd w:val="clear" w:color="auto" w:fill="auto"/>
            <w:noWrap/>
            <w:vAlign w:val="bottom"/>
            <w:hideMark/>
          </w:tcPr>
          <w:p w14:paraId="77FC9470"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GWh/año</w:t>
            </w:r>
          </w:p>
        </w:tc>
        <w:tc>
          <w:tcPr>
            <w:tcW w:w="252" w:type="pct"/>
            <w:tcBorders>
              <w:top w:val="nil"/>
              <w:left w:val="nil"/>
              <w:bottom w:val="nil"/>
              <w:right w:val="nil"/>
            </w:tcBorders>
            <w:shd w:val="clear" w:color="auto" w:fill="auto"/>
            <w:noWrap/>
            <w:vAlign w:val="bottom"/>
            <w:hideMark/>
          </w:tcPr>
          <w:p w14:paraId="2FD78373"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79DAA8DE"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48D418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A180C6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0,00</w:t>
            </w:r>
          </w:p>
        </w:tc>
        <w:tc>
          <w:tcPr>
            <w:tcW w:w="208" w:type="pct"/>
            <w:tcBorders>
              <w:top w:val="nil"/>
              <w:left w:val="nil"/>
              <w:bottom w:val="nil"/>
              <w:right w:val="nil"/>
            </w:tcBorders>
            <w:shd w:val="clear" w:color="auto" w:fill="auto"/>
            <w:noWrap/>
            <w:vAlign w:val="bottom"/>
            <w:hideMark/>
          </w:tcPr>
          <w:p w14:paraId="17A0608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2,72</w:t>
            </w:r>
          </w:p>
        </w:tc>
        <w:tc>
          <w:tcPr>
            <w:tcW w:w="208" w:type="pct"/>
            <w:tcBorders>
              <w:top w:val="nil"/>
              <w:left w:val="nil"/>
              <w:bottom w:val="nil"/>
              <w:right w:val="nil"/>
            </w:tcBorders>
            <w:shd w:val="clear" w:color="auto" w:fill="auto"/>
            <w:noWrap/>
            <w:vAlign w:val="bottom"/>
            <w:hideMark/>
          </w:tcPr>
          <w:p w14:paraId="7EA4BD3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5,43</w:t>
            </w:r>
          </w:p>
        </w:tc>
        <w:tc>
          <w:tcPr>
            <w:tcW w:w="208" w:type="pct"/>
            <w:tcBorders>
              <w:top w:val="nil"/>
              <w:left w:val="nil"/>
              <w:bottom w:val="nil"/>
              <w:right w:val="nil"/>
            </w:tcBorders>
            <w:shd w:val="clear" w:color="auto" w:fill="auto"/>
            <w:noWrap/>
            <w:vAlign w:val="bottom"/>
            <w:hideMark/>
          </w:tcPr>
          <w:p w14:paraId="10FCB9F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8,15</w:t>
            </w:r>
          </w:p>
        </w:tc>
        <w:tc>
          <w:tcPr>
            <w:tcW w:w="183" w:type="pct"/>
            <w:tcBorders>
              <w:top w:val="nil"/>
              <w:left w:val="nil"/>
              <w:bottom w:val="nil"/>
              <w:right w:val="nil"/>
            </w:tcBorders>
            <w:shd w:val="clear" w:color="auto" w:fill="auto"/>
            <w:noWrap/>
            <w:vAlign w:val="bottom"/>
            <w:hideMark/>
          </w:tcPr>
          <w:p w14:paraId="4A76BBF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11,63</w:t>
            </w:r>
          </w:p>
        </w:tc>
        <w:tc>
          <w:tcPr>
            <w:tcW w:w="204" w:type="pct"/>
            <w:tcBorders>
              <w:top w:val="nil"/>
              <w:left w:val="nil"/>
              <w:bottom w:val="nil"/>
              <w:right w:val="nil"/>
            </w:tcBorders>
            <w:shd w:val="clear" w:color="auto" w:fill="auto"/>
            <w:noWrap/>
            <w:vAlign w:val="bottom"/>
            <w:hideMark/>
          </w:tcPr>
          <w:p w14:paraId="4815523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15,11</w:t>
            </w:r>
          </w:p>
        </w:tc>
        <w:tc>
          <w:tcPr>
            <w:tcW w:w="208" w:type="pct"/>
            <w:tcBorders>
              <w:top w:val="nil"/>
              <w:left w:val="nil"/>
              <w:bottom w:val="nil"/>
              <w:right w:val="nil"/>
            </w:tcBorders>
            <w:shd w:val="clear" w:color="auto" w:fill="auto"/>
            <w:noWrap/>
            <w:vAlign w:val="bottom"/>
            <w:hideMark/>
          </w:tcPr>
          <w:p w14:paraId="74FFC1E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18,59</w:t>
            </w:r>
          </w:p>
        </w:tc>
        <w:tc>
          <w:tcPr>
            <w:tcW w:w="208" w:type="pct"/>
            <w:tcBorders>
              <w:top w:val="nil"/>
              <w:left w:val="nil"/>
              <w:bottom w:val="nil"/>
              <w:right w:val="nil"/>
            </w:tcBorders>
            <w:shd w:val="clear" w:color="auto" w:fill="auto"/>
            <w:noWrap/>
            <w:vAlign w:val="bottom"/>
            <w:hideMark/>
          </w:tcPr>
          <w:p w14:paraId="12BE7E0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22,08</w:t>
            </w:r>
          </w:p>
        </w:tc>
        <w:tc>
          <w:tcPr>
            <w:tcW w:w="208" w:type="pct"/>
            <w:tcBorders>
              <w:top w:val="nil"/>
              <w:left w:val="nil"/>
              <w:bottom w:val="nil"/>
              <w:right w:val="nil"/>
            </w:tcBorders>
            <w:shd w:val="clear" w:color="auto" w:fill="auto"/>
            <w:noWrap/>
            <w:vAlign w:val="bottom"/>
            <w:hideMark/>
          </w:tcPr>
          <w:p w14:paraId="30F6AF5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25,56</w:t>
            </w:r>
          </w:p>
        </w:tc>
        <w:tc>
          <w:tcPr>
            <w:tcW w:w="208" w:type="pct"/>
            <w:tcBorders>
              <w:top w:val="nil"/>
              <w:left w:val="nil"/>
              <w:bottom w:val="nil"/>
              <w:right w:val="nil"/>
            </w:tcBorders>
            <w:shd w:val="clear" w:color="auto" w:fill="auto"/>
            <w:noWrap/>
            <w:vAlign w:val="bottom"/>
            <w:hideMark/>
          </w:tcPr>
          <w:p w14:paraId="02B13E5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29,04</w:t>
            </w:r>
          </w:p>
        </w:tc>
        <w:tc>
          <w:tcPr>
            <w:tcW w:w="208" w:type="pct"/>
            <w:tcBorders>
              <w:top w:val="nil"/>
              <w:left w:val="nil"/>
              <w:bottom w:val="nil"/>
              <w:right w:val="nil"/>
            </w:tcBorders>
            <w:shd w:val="clear" w:color="auto" w:fill="auto"/>
            <w:noWrap/>
            <w:vAlign w:val="bottom"/>
            <w:hideMark/>
          </w:tcPr>
          <w:p w14:paraId="64B0C5F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32,52</w:t>
            </w:r>
          </w:p>
        </w:tc>
        <w:tc>
          <w:tcPr>
            <w:tcW w:w="208" w:type="pct"/>
            <w:tcBorders>
              <w:top w:val="nil"/>
              <w:left w:val="nil"/>
              <w:bottom w:val="nil"/>
              <w:right w:val="nil"/>
            </w:tcBorders>
            <w:shd w:val="clear" w:color="auto" w:fill="auto"/>
            <w:noWrap/>
            <w:vAlign w:val="bottom"/>
            <w:hideMark/>
          </w:tcPr>
          <w:p w14:paraId="6CA6E64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36,00</w:t>
            </w:r>
          </w:p>
        </w:tc>
        <w:tc>
          <w:tcPr>
            <w:tcW w:w="208" w:type="pct"/>
            <w:tcBorders>
              <w:top w:val="nil"/>
              <w:left w:val="nil"/>
              <w:bottom w:val="nil"/>
              <w:right w:val="nil"/>
            </w:tcBorders>
            <w:shd w:val="clear" w:color="auto" w:fill="auto"/>
            <w:noWrap/>
            <w:vAlign w:val="bottom"/>
            <w:hideMark/>
          </w:tcPr>
          <w:p w14:paraId="59DD0AF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39,49</w:t>
            </w:r>
          </w:p>
        </w:tc>
        <w:tc>
          <w:tcPr>
            <w:tcW w:w="208" w:type="pct"/>
            <w:tcBorders>
              <w:top w:val="nil"/>
              <w:left w:val="nil"/>
              <w:bottom w:val="nil"/>
              <w:right w:val="nil"/>
            </w:tcBorders>
            <w:shd w:val="clear" w:color="auto" w:fill="auto"/>
            <w:noWrap/>
            <w:vAlign w:val="bottom"/>
            <w:hideMark/>
          </w:tcPr>
          <w:p w14:paraId="0FFA38D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42,97</w:t>
            </w:r>
          </w:p>
        </w:tc>
        <w:tc>
          <w:tcPr>
            <w:tcW w:w="204" w:type="pct"/>
            <w:tcBorders>
              <w:top w:val="nil"/>
              <w:left w:val="nil"/>
              <w:bottom w:val="nil"/>
              <w:right w:val="nil"/>
            </w:tcBorders>
            <w:shd w:val="clear" w:color="auto" w:fill="auto"/>
            <w:noWrap/>
            <w:vAlign w:val="bottom"/>
            <w:hideMark/>
          </w:tcPr>
          <w:p w14:paraId="0D634FC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46,45</w:t>
            </w:r>
          </w:p>
        </w:tc>
      </w:tr>
      <w:tr w:rsidR="00B54F4E" w:rsidRPr="00611A94" w14:paraId="33D6EDB9" w14:textId="77777777" w:rsidTr="006504C4">
        <w:trPr>
          <w:trHeight w:val="255"/>
        </w:trPr>
        <w:tc>
          <w:tcPr>
            <w:tcW w:w="1253" w:type="pct"/>
            <w:tcBorders>
              <w:top w:val="nil"/>
              <w:left w:val="nil"/>
              <w:bottom w:val="single" w:sz="4" w:space="0" w:color="BFBFBF"/>
              <w:right w:val="nil"/>
            </w:tcBorders>
            <w:shd w:val="clear" w:color="auto" w:fill="auto"/>
            <w:noWrap/>
            <w:vAlign w:val="bottom"/>
            <w:hideMark/>
          </w:tcPr>
          <w:p w14:paraId="2DAA0A0B"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Emisiones de CO2 evitadas (TonCo2)</w:t>
            </w:r>
          </w:p>
        </w:tc>
        <w:tc>
          <w:tcPr>
            <w:tcW w:w="252" w:type="pct"/>
            <w:tcBorders>
              <w:top w:val="nil"/>
              <w:left w:val="nil"/>
              <w:bottom w:val="single" w:sz="4" w:space="0" w:color="BFBFBF"/>
              <w:right w:val="nil"/>
            </w:tcBorders>
            <w:shd w:val="clear" w:color="auto" w:fill="auto"/>
            <w:noWrap/>
            <w:vAlign w:val="bottom"/>
            <w:hideMark/>
          </w:tcPr>
          <w:p w14:paraId="6F50068F"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BFBFBF"/>
              <w:right w:val="nil"/>
            </w:tcBorders>
            <w:shd w:val="clear" w:color="auto" w:fill="auto"/>
            <w:noWrap/>
            <w:vAlign w:val="bottom"/>
            <w:hideMark/>
          </w:tcPr>
          <w:p w14:paraId="6C188F7C"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BFBFBF"/>
              <w:right w:val="nil"/>
            </w:tcBorders>
            <w:shd w:val="clear" w:color="auto" w:fill="auto"/>
            <w:noWrap/>
            <w:vAlign w:val="bottom"/>
            <w:hideMark/>
          </w:tcPr>
          <w:p w14:paraId="05458BDA"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BFBFBF"/>
              <w:right w:val="nil"/>
            </w:tcBorders>
            <w:shd w:val="clear" w:color="auto" w:fill="auto"/>
            <w:noWrap/>
            <w:vAlign w:val="bottom"/>
            <w:hideMark/>
          </w:tcPr>
          <w:p w14:paraId="5812CAC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BFBFBF"/>
              <w:right w:val="nil"/>
            </w:tcBorders>
            <w:shd w:val="clear" w:color="auto" w:fill="auto"/>
            <w:noWrap/>
            <w:vAlign w:val="bottom"/>
            <w:hideMark/>
          </w:tcPr>
          <w:p w14:paraId="63FA81B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519</w:t>
            </w:r>
          </w:p>
        </w:tc>
        <w:tc>
          <w:tcPr>
            <w:tcW w:w="208" w:type="pct"/>
            <w:tcBorders>
              <w:top w:val="nil"/>
              <w:left w:val="nil"/>
              <w:bottom w:val="single" w:sz="4" w:space="0" w:color="BFBFBF"/>
              <w:right w:val="nil"/>
            </w:tcBorders>
            <w:shd w:val="clear" w:color="auto" w:fill="auto"/>
            <w:noWrap/>
            <w:vAlign w:val="bottom"/>
            <w:hideMark/>
          </w:tcPr>
          <w:p w14:paraId="1C50587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1.039</w:t>
            </w:r>
          </w:p>
        </w:tc>
        <w:tc>
          <w:tcPr>
            <w:tcW w:w="208" w:type="pct"/>
            <w:tcBorders>
              <w:top w:val="nil"/>
              <w:left w:val="nil"/>
              <w:bottom w:val="single" w:sz="4" w:space="0" w:color="BFBFBF"/>
              <w:right w:val="nil"/>
            </w:tcBorders>
            <w:shd w:val="clear" w:color="auto" w:fill="auto"/>
            <w:noWrap/>
            <w:vAlign w:val="bottom"/>
            <w:hideMark/>
          </w:tcPr>
          <w:p w14:paraId="515EFCD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1.558</w:t>
            </w:r>
          </w:p>
        </w:tc>
        <w:tc>
          <w:tcPr>
            <w:tcW w:w="183" w:type="pct"/>
            <w:tcBorders>
              <w:top w:val="nil"/>
              <w:left w:val="nil"/>
              <w:bottom w:val="single" w:sz="4" w:space="0" w:color="BFBFBF"/>
              <w:right w:val="nil"/>
            </w:tcBorders>
            <w:shd w:val="clear" w:color="auto" w:fill="auto"/>
            <w:noWrap/>
            <w:vAlign w:val="bottom"/>
            <w:hideMark/>
          </w:tcPr>
          <w:p w14:paraId="44177B2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2.224</w:t>
            </w:r>
          </w:p>
        </w:tc>
        <w:tc>
          <w:tcPr>
            <w:tcW w:w="204" w:type="pct"/>
            <w:tcBorders>
              <w:top w:val="nil"/>
              <w:left w:val="nil"/>
              <w:bottom w:val="single" w:sz="4" w:space="0" w:color="BFBFBF"/>
              <w:right w:val="nil"/>
            </w:tcBorders>
            <w:shd w:val="clear" w:color="auto" w:fill="auto"/>
            <w:noWrap/>
            <w:vAlign w:val="bottom"/>
            <w:hideMark/>
          </w:tcPr>
          <w:p w14:paraId="53DBA0D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2.890</w:t>
            </w:r>
          </w:p>
        </w:tc>
        <w:tc>
          <w:tcPr>
            <w:tcW w:w="208" w:type="pct"/>
            <w:tcBorders>
              <w:top w:val="nil"/>
              <w:left w:val="nil"/>
              <w:bottom w:val="single" w:sz="4" w:space="0" w:color="BFBFBF"/>
              <w:right w:val="nil"/>
            </w:tcBorders>
            <w:shd w:val="clear" w:color="auto" w:fill="auto"/>
            <w:noWrap/>
            <w:vAlign w:val="bottom"/>
            <w:hideMark/>
          </w:tcPr>
          <w:p w14:paraId="2BB5471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3.556</w:t>
            </w:r>
          </w:p>
        </w:tc>
        <w:tc>
          <w:tcPr>
            <w:tcW w:w="208" w:type="pct"/>
            <w:tcBorders>
              <w:top w:val="nil"/>
              <w:left w:val="nil"/>
              <w:bottom w:val="single" w:sz="4" w:space="0" w:color="BFBFBF"/>
              <w:right w:val="nil"/>
            </w:tcBorders>
            <w:shd w:val="clear" w:color="auto" w:fill="auto"/>
            <w:noWrap/>
            <w:vAlign w:val="bottom"/>
            <w:hideMark/>
          </w:tcPr>
          <w:p w14:paraId="647637E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4.222</w:t>
            </w:r>
          </w:p>
        </w:tc>
        <w:tc>
          <w:tcPr>
            <w:tcW w:w="208" w:type="pct"/>
            <w:tcBorders>
              <w:top w:val="nil"/>
              <w:left w:val="nil"/>
              <w:bottom w:val="single" w:sz="4" w:space="0" w:color="BFBFBF"/>
              <w:right w:val="nil"/>
            </w:tcBorders>
            <w:shd w:val="clear" w:color="auto" w:fill="auto"/>
            <w:noWrap/>
            <w:vAlign w:val="bottom"/>
            <w:hideMark/>
          </w:tcPr>
          <w:p w14:paraId="264B188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4.888</w:t>
            </w:r>
          </w:p>
        </w:tc>
        <w:tc>
          <w:tcPr>
            <w:tcW w:w="208" w:type="pct"/>
            <w:tcBorders>
              <w:top w:val="nil"/>
              <w:left w:val="nil"/>
              <w:bottom w:val="single" w:sz="4" w:space="0" w:color="BFBFBF"/>
              <w:right w:val="nil"/>
            </w:tcBorders>
            <w:shd w:val="clear" w:color="auto" w:fill="auto"/>
            <w:noWrap/>
            <w:vAlign w:val="bottom"/>
            <w:hideMark/>
          </w:tcPr>
          <w:p w14:paraId="29F969D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5.554</w:t>
            </w:r>
          </w:p>
        </w:tc>
        <w:tc>
          <w:tcPr>
            <w:tcW w:w="208" w:type="pct"/>
            <w:tcBorders>
              <w:top w:val="nil"/>
              <w:left w:val="nil"/>
              <w:bottom w:val="single" w:sz="4" w:space="0" w:color="BFBFBF"/>
              <w:right w:val="nil"/>
            </w:tcBorders>
            <w:shd w:val="clear" w:color="auto" w:fill="auto"/>
            <w:noWrap/>
            <w:vAlign w:val="bottom"/>
            <w:hideMark/>
          </w:tcPr>
          <w:p w14:paraId="605EDCD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6.219</w:t>
            </w:r>
          </w:p>
        </w:tc>
        <w:tc>
          <w:tcPr>
            <w:tcW w:w="208" w:type="pct"/>
            <w:tcBorders>
              <w:top w:val="nil"/>
              <w:left w:val="nil"/>
              <w:bottom w:val="single" w:sz="4" w:space="0" w:color="BFBFBF"/>
              <w:right w:val="nil"/>
            </w:tcBorders>
            <w:shd w:val="clear" w:color="auto" w:fill="auto"/>
            <w:noWrap/>
            <w:vAlign w:val="bottom"/>
            <w:hideMark/>
          </w:tcPr>
          <w:p w14:paraId="324AD54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6.885</w:t>
            </w:r>
          </w:p>
        </w:tc>
        <w:tc>
          <w:tcPr>
            <w:tcW w:w="208" w:type="pct"/>
            <w:tcBorders>
              <w:top w:val="nil"/>
              <w:left w:val="nil"/>
              <w:bottom w:val="single" w:sz="4" w:space="0" w:color="BFBFBF"/>
              <w:right w:val="nil"/>
            </w:tcBorders>
            <w:shd w:val="clear" w:color="auto" w:fill="auto"/>
            <w:noWrap/>
            <w:vAlign w:val="bottom"/>
            <w:hideMark/>
          </w:tcPr>
          <w:p w14:paraId="7BE424C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7.551</w:t>
            </w:r>
          </w:p>
        </w:tc>
        <w:tc>
          <w:tcPr>
            <w:tcW w:w="208" w:type="pct"/>
            <w:tcBorders>
              <w:top w:val="nil"/>
              <w:left w:val="nil"/>
              <w:bottom w:val="single" w:sz="4" w:space="0" w:color="BFBFBF"/>
              <w:right w:val="nil"/>
            </w:tcBorders>
            <w:shd w:val="clear" w:color="auto" w:fill="auto"/>
            <w:noWrap/>
            <w:vAlign w:val="bottom"/>
            <w:hideMark/>
          </w:tcPr>
          <w:p w14:paraId="7A64FF4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8.217</w:t>
            </w:r>
          </w:p>
        </w:tc>
        <w:tc>
          <w:tcPr>
            <w:tcW w:w="204" w:type="pct"/>
            <w:tcBorders>
              <w:top w:val="nil"/>
              <w:left w:val="nil"/>
              <w:bottom w:val="single" w:sz="4" w:space="0" w:color="BFBFBF"/>
              <w:right w:val="nil"/>
            </w:tcBorders>
            <w:shd w:val="clear" w:color="auto" w:fill="auto"/>
            <w:noWrap/>
            <w:vAlign w:val="bottom"/>
            <w:hideMark/>
          </w:tcPr>
          <w:p w14:paraId="0FA1236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8.883</w:t>
            </w:r>
          </w:p>
        </w:tc>
      </w:tr>
      <w:tr w:rsidR="00B54F4E" w:rsidRPr="00611A94" w14:paraId="7D32FEE5" w14:textId="77777777" w:rsidTr="006504C4">
        <w:trPr>
          <w:trHeight w:val="255"/>
        </w:trPr>
        <w:tc>
          <w:tcPr>
            <w:tcW w:w="1253" w:type="pct"/>
            <w:tcBorders>
              <w:top w:val="nil"/>
              <w:left w:val="nil"/>
              <w:bottom w:val="nil"/>
              <w:right w:val="nil"/>
            </w:tcBorders>
            <w:shd w:val="clear" w:color="auto" w:fill="auto"/>
            <w:noWrap/>
            <w:vAlign w:val="bottom"/>
            <w:hideMark/>
          </w:tcPr>
          <w:p w14:paraId="576A8F7F"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por costo final de energía evitado ($USD Millones)</w:t>
            </w:r>
          </w:p>
        </w:tc>
        <w:tc>
          <w:tcPr>
            <w:tcW w:w="252" w:type="pct"/>
            <w:tcBorders>
              <w:top w:val="nil"/>
              <w:left w:val="nil"/>
              <w:bottom w:val="nil"/>
              <w:right w:val="nil"/>
            </w:tcBorders>
            <w:shd w:val="clear" w:color="auto" w:fill="auto"/>
            <w:noWrap/>
            <w:vAlign w:val="bottom"/>
            <w:hideMark/>
          </w:tcPr>
          <w:p w14:paraId="2E0FEB4E"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33C2E5F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6FC9A9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3C310E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0,00</w:t>
            </w:r>
          </w:p>
        </w:tc>
        <w:tc>
          <w:tcPr>
            <w:tcW w:w="208" w:type="pct"/>
            <w:tcBorders>
              <w:top w:val="nil"/>
              <w:left w:val="nil"/>
              <w:bottom w:val="nil"/>
              <w:right w:val="nil"/>
            </w:tcBorders>
            <w:shd w:val="clear" w:color="auto" w:fill="auto"/>
            <w:noWrap/>
            <w:vAlign w:val="bottom"/>
            <w:hideMark/>
          </w:tcPr>
          <w:p w14:paraId="5D6C78C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0,39</w:t>
            </w:r>
          </w:p>
        </w:tc>
        <w:tc>
          <w:tcPr>
            <w:tcW w:w="208" w:type="pct"/>
            <w:tcBorders>
              <w:top w:val="nil"/>
              <w:left w:val="nil"/>
              <w:bottom w:val="nil"/>
              <w:right w:val="nil"/>
            </w:tcBorders>
            <w:shd w:val="clear" w:color="auto" w:fill="auto"/>
            <w:noWrap/>
            <w:vAlign w:val="bottom"/>
            <w:hideMark/>
          </w:tcPr>
          <w:p w14:paraId="25619A9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0,78</w:t>
            </w:r>
          </w:p>
        </w:tc>
        <w:tc>
          <w:tcPr>
            <w:tcW w:w="208" w:type="pct"/>
            <w:tcBorders>
              <w:top w:val="nil"/>
              <w:left w:val="nil"/>
              <w:bottom w:val="nil"/>
              <w:right w:val="nil"/>
            </w:tcBorders>
            <w:shd w:val="clear" w:color="auto" w:fill="auto"/>
            <w:noWrap/>
            <w:vAlign w:val="bottom"/>
            <w:hideMark/>
          </w:tcPr>
          <w:p w14:paraId="2C73A2B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1,17</w:t>
            </w:r>
          </w:p>
        </w:tc>
        <w:tc>
          <w:tcPr>
            <w:tcW w:w="183" w:type="pct"/>
            <w:tcBorders>
              <w:top w:val="nil"/>
              <w:left w:val="nil"/>
              <w:bottom w:val="nil"/>
              <w:right w:val="nil"/>
            </w:tcBorders>
            <w:shd w:val="clear" w:color="auto" w:fill="auto"/>
            <w:noWrap/>
            <w:vAlign w:val="bottom"/>
            <w:hideMark/>
          </w:tcPr>
          <w:p w14:paraId="6B3516F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1,67</w:t>
            </w:r>
          </w:p>
        </w:tc>
        <w:tc>
          <w:tcPr>
            <w:tcW w:w="204" w:type="pct"/>
            <w:tcBorders>
              <w:top w:val="nil"/>
              <w:left w:val="nil"/>
              <w:bottom w:val="nil"/>
              <w:right w:val="nil"/>
            </w:tcBorders>
            <w:shd w:val="clear" w:color="auto" w:fill="auto"/>
            <w:noWrap/>
            <w:vAlign w:val="bottom"/>
            <w:hideMark/>
          </w:tcPr>
          <w:p w14:paraId="6EC0256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2,18</w:t>
            </w:r>
          </w:p>
        </w:tc>
        <w:tc>
          <w:tcPr>
            <w:tcW w:w="208" w:type="pct"/>
            <w:tcBorders>
              <w:top w:val="nil"/>
              <w:left w:val="nil"/>
              <w:bottom w:val="nil"/>
              <w:right w:val="nil"/>
            </w:tcBorders>
            <w:shd w:val="clear" w:color="auto" w:fill="auto"/>
            <w:noWrap/>
            <w:vAlign w:val="bottom"/>
            <w:hideMark/>
          </w:tcPr>
          <w:p w14:paraId="5C67C87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2,68</w:t>
            </w:r>
          </w:p>
        </w:tc>
        <w:tc>
          <w:tcPr>
            <w:tcW w:w="208" w:type="pct"/>
            <w:tcBorders>
              <w:top w:val="nil"/>
              <w:left w:val="nil"/>
              <w:bottom w:val="nil"/>
              <w:right w:val="nil"/>
            </w:tcBorders>
            <w:shd w:val="clear" w:color="auto" w:fill="auto"/>
            <w:noWrap/>
            <w:vAlign w:val="bottom"/>
            <w:hideMark/>
          </w:tcPr>
          <w:p w14:paraId="14836F2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3,18</w:t>
            </w:r>
          </w:p>
        </w:tc>
        <w:tc>
          <w:tcPr>
            <w:tcW w:w="208" w:type="pct"/>
            <w:tcBorders>
              <w:top w:val="nil"/>
              <w:left w:val="nil"/>
              <w:bottom w:val="nil"/>
              <w:right w:val="nil"/>
            </w:tcBorders>
            <w:shd w:val="clear" w:color="auto" w:fill="auto"/>
            <w:noWrap/>
            <w:vAlign w:val="bottom"/>
            <w:hideMark/>
          </w:tcPr>
          <w:p w14:paraId="114BFBC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3,68</w:t>
            </w:r>
          </w:p>
        </w:tc>
        <w:tc>
          <w:tcPr>
            <w:tcW w:w="208" w:type="pct"/>
            <w:tcBorders>
              <w:top w:val="nil"/>
              <w:left w:val="nil"/>
              <w:bottom w:val="nil"/>
              <w:right w:val="nil"/>
            </w:tcBorders>
            <w:shd w:val="clear" w:color="auto" w:fill="auto"/>
            <w:noWrap/>
            <w:vAlign w:val="bottom"/>
            <w:hideMark/>
          </w:tcPr>
          <w:p w14:paraId="2B075F4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4,18</w:t>
            </w:r>
          </w:p>
        </w:tc>
        <w:tc>
          <w:tcPr>
            <w:tcW w:w="208" w:type="pct"/>
            <w:tcBorders>
              <w:top w:val="nil"/>
              <w:left w:val="nil"/>
              <w:bottom w:val="nil"/>
              <w:right w:val="nil"/>
            </w:tcBorders>
            <w:shd w:val="clear" w:color="auto" w:fill="auto"/>
            <w:noWrap/>
            <w:vAlign w:val="bottom"/>
            <w:hideMark/>
          </w:tcPr>
          <w:p w14:paraId="54E014E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4,68</w:t>
            </w:r>
          </w:p>
        </w:tc>
        <w:tc>
          <w:tcPr>
            <w:tcW w:w="208" w:type="pct"/>
            <w:tcBorders>
              <w:top w:val="nil"/>
              <w:left w:val="nil"/>
              <w:bottom w:val="nil"/>
              <w:right w:val="nil"/>
            </w:tcBorders>
            <w:shd w:val="clear" w:color="auto" w:fill="auto"/>
            <w:noWrap/>
            <w:vAlign w:val="bottom"/>
            <w:hideMark/>
          </w:tcPr>
          <w:p w14:paraId="338E5BB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5,18</w:t>
            </w:r>
          </w:p>
        </w:tc>
        <w:tc>
          <w:tcPr>
            <w:tcW w:w="208" w:type="pct"/>
            <w:tcBorders>
              <w:top w:val="nil"/>
              <w:left w:val="nil"/>
              <w:bottom w:val="nil"/>
              <w:right w:val="nil"/>
            </w:tcBorders>
            <w:shd w:val="clear" w:color="auto" w:fill="auto"/>
            <w:noWrap/>
            <w:vAlign w:val="bottom"/>
            <w:hideMark/>
          </w:tcPr>
          <w:p w14:paraId="7760B8F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5,69</w:t>
            </w:r>
          </w:p>
        </w:tc>
        <w:tc>
          <w:tcPr>
            <w:tcW w:w="208" w:type="pct"/>
            <w:tcBorders>
              <w:top w:val="nil"/>
              <w:left w:val="nil"/>
              <w:bottom w:val="nil"/>
              <w:right w:val="nil"/>
            </w:tcBorders>
            <w:shd w:val="clear" w:color="auto" w:fill="auto"/>
            <w:noWrap/>
            <w:vAlign w:val="bottom"/>
            <w:hideMark/>
          </w:tcPr>
          <w:p w14:paraId="54A3EA5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6,19</w:t>
            </w:r>
          </w:p>
        </w:tc>
        <w:tc>
          <w:tcPr>
            <w:tcW w:w="204" w:type="pct"/>
            <w:tcBorders>
              <w:top w:val="nil"/>
              <w:left w:val="nil"/>
              <w:bottom w:val="nil"/>
              <w:right w:val="nil"/>
            </w:tcBorders>
            <w:shd w:val="clear" w:color="auto" w:fill="auto"/>
            <w:noWrap/>
            <w:vAlign w:val="bottom"/>
            <w:hideMark/>
          </w:tcPr>
          <w:p w14:paraId="2F62D28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6,69</w:t>
            </w:r>
          </w:p>
        </w:tc>
      </w:tr>
      <w:tr w:rsidR="00B54F4E" w:rsidRPr="00611A94" w14:paraId="15D74983" w14:textId="77777777" w:rsidTr="006504C4">
        <w:trPr>
          <w:trHeight w:val="255"/>
        </w:trPr>
        <w:tc>
          <w:tcPr>
            <w:tcW w:w="1253" w:type="pct"/>
            <w:tcBorders>
              <w:top w:val="nil"/>
              <w:left w:val="nil"/>
              <w:bottom w:val="nil"/>
              <w:right w:val="nil"/>
            </w:tcBorders>
            <w:shd w:val="clear" w:color="auto" w:fill="auto"/>
            <w:noWrap/>
            <w:vAlign w:val="bottom"/>
            <w:hideMark/>
          </w:tcPr>
          <w:p w14:paraId="28699B71"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por menores emisiones de CO2 ($USD Millones)</w:t>
            </w:r>
          </w:p>
        </w:tc>
        <w:tc>
          <w:tcPr>
            <w:tcW w:w="252" w:type="pct"/>
            <w:tcBorders>
              <w:top w:val="nil"/>
              <w:left w:val="nil"/>
              <w:bottom w:val="nil"/>
              <w:right w:val="nil"/>
            </w:tcBorders>
            <w:shd w:val="clear" w:color="auto" w:fill="auto"/>
            <w:noWrap/>
            <w:vAlign w:val="bottom"/>
            <w:hideMark/>
          </w:tcPr>
          <w:p w14:paraId="767D0874"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35BA322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3226D6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ACC494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0,00</w:t>
            </w:r>
          </w:p>
        </w:tc>
        <w:tc>
          <w:tcPr>
            <w:tcW w:w="208" w:type="pct"/>
            <w:tcBorders>
              <w:top w:val="nil"/>
              <w:left w:val="nil"/>
              <w:bottom w:val="nil"/>
              <w:right w:val="nil"/>
            </w:tcBorders>
            <w:shd w:val="clear" w:color="auto" w:fill="auto"/>
            <w:noWrap/>
            <w:vAlign w:val="bottom"/>
            <w:hideMark/>
          </w:tcPr>
          <w:p w14:paraId="2A243DD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0,00</w:t>
            </w:r>
          </w:p>
        </w:tc>
        <w:tc>
          <w:tcPr>
            <w:tcW w:w="208" w:type="pct"/>
            <w:tcBorders>
              <w:top w:val="nil"/>
              <w:left w:val="nil"/>
              <w:bottom w:val="nil"/>
              <w:right w:val="nil"/>
            </w:tcBorders>
            <w:shd w:val="clear" w:color="auto" w:fill="auto"/>
            <w:noWrap/>
            <w:vAlign w:val="bottom"/>
            <w:hideMark/>
          </w:tcPr>
          <w:p w14:paraId="4B64AC5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0,01</w:t>
            </w:r>
          </w:p>
        </w:tc>
        <w:tc>
          <w:tcPr>
            <w:tcW w:w="208" w:type="pct"/>
            <w:tcBorders>
              <w:top w:val="nil"/>
              <w:left w:val="nil"/>
              <w:bottom w:val="nil"/>
              <w:right w:val="nil"/>
            </w:tcBorders>
            <w:shd w:val="clear" w:color="auto" w:fill="auto"/>
            <w:noWrap/>
            <w:vAlign w:val="bottom"/>
            <w:hideMark/>
          </w:tcPr>
          <w:p w14:paraId="7034FDB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0,01</w:t>
            </w:r>
          </w:p>
        </w:tc>
        <w:tc>
          <w:tcPr>
            <w:tcW w:w="183" w:type="pct"/>
            <w:tcBorders>
              <w:top w:val="nil"/>
              <w:left w:val="nil"/>
              <w:bottom w:val="nil"/>
              <w:right w:val="nil"/>
            </w:tcBorders>
            <w:shd w:val="clear" w:color="auto" w:fill="auto"/>
            <w:noWrap/>
            <w:vAlign w:val="bottom"/>
            <w:hideMark/>
          </w:tcPr>
          <w:p w14:paraId="3BF558F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0,01</w:t>
            </w:r>
          </w:p>
        </w:tc>
        <w:tc>
          <w:tcPr>
            <w:tcW w:w="204" w:type="pct"/>
            <w:tcBorders>
              <w:top w:val="nil"/>
              <w:left w:val="nil"/>
              <w:bottom w:val="nil"/>
              <w:right w:val="nil"/>
            </w:tcBorders>
            <w:shd w:val="clear" w:color="auto" w:fill="auto"/>
            <w:noWrap/>
            <w:vAlign w:val="bottom"/>
            <w:hideMark/>
          </w:tcPr>
          <w:p w14:paraId="4E62409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0,02</w:t>
            </w:r>
          </w:p>
        </w:tc>
        <w:tc>
          <w:tcPr>
            <w:tcW w:w="208" w:type="pct"/>
            <w:tcBorders>
              <w:top w:val="nil"/>
              <w:left w:val="nil"/>
              <w:bottom w:val="nil"/>
              <w:right w:val="nil"/>
            </w:tcBorders>
            <w:shd w:val="clear" w:color="auto" w:fill="auto"/>
            <w:noWrap/>
            <w:vAlign w:val="bottom"/>
            <w:hideMark/>
          </w:tcPr>
          <w:p w14:paraId="2A5594D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0,02</w:t>
            </w:r>
          </w:p>
        </w:tc>
        <w:tc>
          <w:tcPr>
            <w:tcW w:w="208" w:type="pct"/>
            <w:tcBorders>
              <w:top w:val="nil"/>
              <w:left w:val="nil"/>
              <w:bottom w:val="nil"/>
              <w:right w:val="nil"/>
            </w:tcBorders>
            <w:shd w:val="clear" w:color="auto" w:fill="auto"/>
            <w:noWrap/>
            <w:vAlign w:val="bottom"/>
            <w:hideMark/>
          </w:tcPr>
          <w:p w14:paraId="303AB7D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0,03</w:t>
            </w:r>
          </w:p>
        </w:tc>
        <w:tc>
          <w:tcPr>
            <w:tcW w:w="208" w:type="pct"/>
            <w:tcBorders>
              <w:top w:val="nil"/>
              <w:left w:val="nil"/>
              <w:bottom w:val="nil"/>
              <w:right w:val="nil"/>
            </w:tcBorders>
            <w:shd w:val="clear" w:color="auto" w:fill="auto"/>
            <w:noWrap/>
            <w:vAlign w:val="bottom"/>
            <w:hideMark/>
          </w:tcPr>
          <w:p w14:paraId="57ACA45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0,03</w:t>
            </w:r>
          </w:p>
        </w:tc>
        <w:tc>
          <w:tcPr>
            <w:tcW w:w="208" w:type="pct"/>
            <w:tcBorders>
              <w:top w:val="nil"/>
              <w:left w:val="nil"/>
              <w:bottom w:val="nil"/>
              <w:right w:val="nil"/>
            </w:tcBorders>
            <w:shd w:val="clear" w:color="auto" w:fill="auto"/>
            <w:noWrap/>
            <w:vAlign w:val="bottom"/>
            <w:hideMark/>
          </w:tcPr>
          <w:p w14:paraId="1529EF5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0,03</w:t>
            </w:r>
          </w:p>
        </w:tc>
        <w:tc>
          <w:tcPr>
            <w:tcW w:w="208" w:type="pct"/>
            <w:tcBorders>
              <w:top w:val="nil"/>
              <w:left w:val="nil"/>
              <w:bottom w:val="nil"/>
              <w:right w:val="nil"/>
            </w:tcBorders>
            <w:shd w:val="clear" w:color="auto" w:fill="auto"/>
            <w:noWrap/>
            <w:vAlign w:val="bottom"/>
            <w:hideMark/>
          </w:tcPr>
          <w:p w14:paraId="04CF532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0,04</w:t>
            </w:r>
          </w:p>
        </w:tc>
        <w:tc>
          <w:tcPr>
            <w:tcW w:w="208" w:type="pct"/>
            <w:tcBorders>
              <w:top w:val="nil"/>
              <w:left w:val="nil"/>
              <w:bottom w:val="nil"/>
              <w:right w:val="nil"/>
            </w:tcBorders>
            <w:shd w:val="clear" w:color="auto" w:fill="auto"/>
            <w:noWrap/>
            <w:vAlign w:val="bottom"/>
            <w:hideMark/>
          </w:tcPr>
          <w:p w14:paraId="20B6507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0,04</w:t>
            </w:r>
          </w:p>
        </w:tc>
        <w:tc>
          <w:tcPr>
            <w:tcW w:w="208" w:type="pct"/>
            <w:tcBorders>
              <w:top w:val="nil"/>
              <w:left w:val="nil"/>
              <w:bottom w:val="nil"/>
              <w:right w:val="nil"/>
            </w:tcBorders>
            <w:shd w:val="clear" w:color="auto" w:fill="auto"/>
            <w:noWrap/>
            <w:vAlign w:val="bottom"/>
            <w:hideMark/>
          </w:tcPr>
          <w:p w14:paraId="0D38E54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0,05</w:t>
            </w:r>
          </w:p>
        </w:tc>
        <w:tc>
          <w:tcPr>
            <w:tcW w:w="208" w:type="pct"/>
            <w:tcBorders>
              <w:top w:val="nil"/>
              <w:left w:val="nil"/>
              <w:bottom w:val="nil"/>
              <w:right w:val="nil"/>
            </w:tcBorders>
            <w:shd w:val="clear" w:color="auto" w:fill="auto"/>
            <w:noWrap/>
            <w:vAlign w:val="bottom"/>
            <w:hideMark/>
          </w:tcPr>
          <w:p w14:paraId="5ABFBF2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0,05</w:t>
            </w:r>
          </w:p>
        </w:tc>
        <w:tc>
          <w:tcPr>
            <w:tcW w:w="204" w:type="pct"/>
            <w:tcBorders>
              <w:top w:val="nil"/>
              <w:left w:val="nil"/>
              <w:bottom w:val="nil"/>
              <w:right w:val="nil"/>
            </w:tcBorders>
            <w:shd w:val="clear" w:color="auto" w:fill="auto"/>
            <w:noWrap/>
            <w:vAlign w:val="bottom"/>
            <w:hideMark/>
          </w:tcPr>
          <w:p w14:paraId="09156BD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0,05</w:t>
            </w:r>
          </w:p>
        </w:tc>
      </w:tr>
      <w:tr w:rsidR="00B54F4E" w:rsidRPr="00611A94" w14:paraId="0C9B12B4"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7F2BECB8"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por planta de generación evitada ($USD Millones)</w:t>
            </w:r>
          </w:p>
        </w:tc>
        <w:tc>
          <w:tcPr>
            <w:tcW w:w="252" w:type="pct"/>
            <w:tcBorders>
              <w:top w:val="nil"/>
              <w:left w:val="nil"/>
              <w:bottom w:val="single" w:sz="4" w:space="0" w:color="auto"/>
              <w:right w:val="nil"/>
            </w:tcBorders>
            <w:shd w:val="clear" w:color="auto" w:fill="auto"/>
            <w:noWrap/>
            <w:vAlign w:val="bottom"/>
            <w:hideMark/>
          </w:tcPr>
          <w:p w14:paraId="53254FA5"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auto"/>
              <w:right w:val="nil"/>
            </w:tcBorders>
            <w:shd w:val="clear" w:color="auto" w:fill="auto"/>
            <w:noWrap/>
            <w:vAlign w:val="bottom"/>
            <w:hideMark/>
          </w:tcPr>
          <w:p w14:paraId="596D5012"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auto"/>
              <w:right w:val="nil"/>
            </w:tcBorders>
            <w:shd w:val="clear" w:color="auto" w:fill="auto"/>
            <w:noWrap/>
            <w:vAlign w:val="bottom"/>
            <w:hideMark/>
          </w:tcPr>
          <w:p w14:paraId="51A5A84A"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auto"/>
              <w:right w:val="nil"/>
            </w:tcBorders>
            <w:shd w:val="clear" w:color="auto" w:fill="auto"/>
            <w:noWrap/>
            <w:vAlign w:val="bottom"/>
            <w:hideMark/>
          </w:tcPr>
          <w:p w14:paraId="5B36125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446AB6A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4CEDE1B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5CF9C48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183" w:type="pct"/>
            <w:tcBorders>
              <w:top w:val="nil"/>
              <w:left w:val="nil"/>
              <w:bottom w:val="single" w:sz="4" w:space="0" w:color="auto"/>
              <w:right w:val="nil"/>
            </w:tcBorders>
            <w:shd w:val="clear" w:color="auto" w:fill="auto"/>
            <w:noWrap/>
            <w:vAlign w:val="bottom"/>
            <w:hideMark/>
          </w:tcPr>
          <w:p w14:paraId="74F684E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18</w:t>
            </w:r>
          </w:p>
        </w:tc>
        <w:tc>
          <w:tcPr>
            <w:tcW w:w="204" w:type="pct"/>
            <w:tcBorders>
              <w:top w:val="nil"/>
              <w:left w:val="nil"/>
              <w:bottom w:val="single" w:sz="4" w:space="0" w:color="auto"/>
              <w:right w:val="nil"/>
            </w:tcBorders>
            <w:shd w:val="clear" w:color="auto" w:fill="auto"/>
            <w:noWrap/>
            <w:vAlign w:val="bottom"/>
            <w:hideMark/>
          </w:tcPr>
          <w:p w14:paraId="3056764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0004572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418FAF4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404447A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167CD77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4E6299E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37B6995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7326874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8" w:type="pct"/>
            <w:tcBorders>
              <w:top w:val="nil"/>
              <w:left w:val="nil"/>
              <w:bottom w:val="single" w:sz="4" w:space="0" w:color="auto"/>
              <w:right w:val="nil"/>
            </w:tcBorders>
            <w:shd w:val="clear" w:color="auto" w:fill="auto"/>
            <w:noWrap/>
            <w:vAlign w:val="bottom"/>
            <w:hideMark/>
          </w:tcPr>
          <w:p w14:paraId="2821CB9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4" w:type="pct"/>
            <w:tcBorders>
              <w:top w:val="nil"/>
              <w:left w:val="nil"/>
              <w:bottom w:val="single" w:sz="4" w:space="0" w:color="auto"/>
              <w:right w:val="nil"/>
            </w:tcBorders>
            <w:shd w:val="clear" w:color="auto" w:fill="auto"/>
            <w:noWrap/>
            <w:vAlign w:val="bottom"/>
            <w:hideMark/>
          </w:tcPr>
          <w:p w14:paraId="338B933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r>
      <w:tr w:rsidR="00B54F4E" w:rsidRPr="00611A94" w14:paraId="078EA223"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34292A94"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Total Beneficios ($USD Millones)</w:t>
            </w:r>
          </w:p>
        </w:tc>
        <w:tc>
          <w:tcPr>
            <w:tcW w:w="252" w:type="pct"/>
            <w:tcBorders>
              <w:top w:val="nil"/>
              <w:left w:val="nil"/>
              <w:bottom w:val="single" w:sz="4" w:space="0" w:color="auto"/>
              <w:right w:val="nil"/>
            </w:tcBorders>
            <w:shd w:val="clear" w:color="auto" w:fill="auto"/>
            <w:noWrap/>
            <w:vAlign w:val="bottom"/>
            <w:hideMark/>
          </w:tcPr>
          <w:p w14:paraId="2A53498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auto"/>
              <w:right w:val="nil"/>
            </w:tcBorders>
            <w:shd w:val="clear" w:color="auto" w:fill="auto"/>
            <w:noWrap/>
            <w:vAlign w:val="bottom"/>
            <w:hideMark/>
          </w:tcPr>
          <w:p w14:paraId="5838B11C"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auto"/>
              <w:right w:val="nil"/>
            </w:tcBorders>
            <w:shd w:val="clear" w:color="auto" w:fill="auto"/>
            <w:noWrap/>
            <w:vAlign w:val="bottom"/>
            <w:hideMark/>
          </w:tcPr>
          <w:p w14:paraId="11EF5CAF"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auto"/>
              <w:right w:val="nil"/>
            </w:tcBorders>
            <w:shd w:val="clear" w:color="auto" w:fill="auto"/>
            <w:noWrap/>
            <w:vAlign w:val="bottom"/>
            <w:hideMark/>
          </w:tcPr>
          <w:p w14:paraId="26C3736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0,00</w:t>
            </w:r>
          </w:p>
        </w:tc>
        <w:tc>
          <w:tcPr>
            <w:tcW w:w="208" w:type="pct"/>
            <w:tcBorders>
              <w:top w:val="nil"/>
              <w:left w:val="nil"/>
              <w:bottom w:val="single" w:sz="4" w:space="0" w:color="auto"/>
              <w:right w:val="nil"/>
            </w:tcBorders>
            <w:shd w:val="clear" w:color="auto" w:fill="auto"/>
            <w:noWrap/>
            <w:vAlign w:val="bottom"/>
            <w:hideMark/>
          </w:tcPr>
          <w:p w14:paraId="332FEBD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0,39</w:t>
            </w:r>
          </w:p>
        </w:tc>
        <w:tc>
          <w:tcPr>
            <w:tcW w:w="208" w:type="pct"/>
            <w:tcBorders>
              <w:top w:val="nil"/>
              <w:left w:val="nil"/>
              <w:bottom w:val="single" w:sz="4" w:space="0" w:color="auto"/>
              <w:right w:val="nil"/>
            </w:tcBorders>
            <w:shd w:val="clear" w:color="auto" w:fill="auto"/>
            <w:noWrap/>
            <w:vAlign w:val="bottom"/>
            <w:hideMark/>
          </w:tcPr>
          <w:p w14:paraId="5078AA9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0,79</w:t>
            </w:r>
          </w:p>
        </w:tc>
        <w:tc>
          <w:tcPr>
            <w:tcW w:w="208" w:type="pct"/>
            <w:tcBorders>
              <w:top w:val="nil"/>
              <w:left w:val="nil"/>
              <w:bottom w:val="single" w:sz="4" w:space="0" w:color="auto"/>
              <w:right w:val="nil"/>
            </w:tcBorders>
            <w:shd w:val="clear" w:color="auto" w:fill="auto"/>
            <w:noWrap/>
            <w:vAlign w:val="bottom"/>
            <w:hideMark/>
          </w:tcPr>
          <w:p w14:paraId="4035683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1,18</w:t>
            </w:r>
          </w:p>
        </w:tc>
        <w:tc>
          <w:tcPr>
            <w:tcW w:w="183" w:type="pct"/>
            <w:tcBorders>
              <w:top w:val="nil"/>
              <w:left w:val="nil"/>
              <w:bottom w:val="single" w:sz="4" w:space="0" w:color="auto"/>
              <w:right w:val="nil"/>
            </w:tcBorders>
            <w:shd w:val="clear" w:color="auto" w:fill="auto"/>
            <w:noWrap/>
            <w:vAlign w:val="bottom"/>
            <w:hideMark/>
          </w:tcPr>
          <w:p w14:paraId="5BEC5F3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19,41</w:t>
            </w:r>
          </w:p>
        </w:tc>
        <w:tc>
          <w:tcPr>
            <w:tcW w:w="204" w:type="pct"/>
            <w:tcBorders>
              <w:top w:val="nil"/>
              <w:left w:val="nil"/>
              <w:bottom w:val="single" w:sz="4" w:space="0" w:color="auto"/>
              <w:right w:val="nil"/>
            </w:tcBorders>
            <w:shd w:val="clear" w:color="auto" w:fill="auto"/>
            <w:noWrap/>
            <w:vAlign w:val="bottom"/>
            <w:hideMark/>
          </w:tcPr>
          <w:p w14:paraId="160CF11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2,19</w:t>
            </w:r>
          </w:p>
        </w:tc>
        <w:tc>
          <w:tcPr>
            <w:tcW w:w="208" w:type="pct"/>
            <w:tcBorders>
              <w:top w:val="nil"/>
              <w:left w:val="nil"/>
              <w:bottom w:val="single" w:sz="4" w:space="0" w:color="auto"/>
              <w:right w:val="nil"/>
            </w:tcBorders>
            <w:shd w:val="clear" w:color="auto" w:fill="auto"/>
            <w:noWrap/>
            <w:vAlign w:val="bottom"/>
            <w:hideMark/>
          </w:tcPr>
          <w:p w14:paraId="098A80E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2,70</w:t>
            </w:r>
          </w:p>
        </w:tc>
        <w:tc>
          <w:tcPr>
            <w:tcW w:w="208" w:type="pct"/>
            <w:tcBorders>
              <w:top w:val="nil"/>
              <w:left w:val="nil"/>
              <w:bottom w:val="single" w:sz="4" w:space="0" w:color="auto"/>
              <w:right w:val="nil"/>
            </w:tcBorders>
            <w:shd w:val="clear" w:color="auto" w:fill="auto"/>
            <w:noWrap/>
            <w:vAlign w:val="bottom"/>
            <w:hideMark/>
          </w:tcPr>
          <w:p w14:paraId="217F436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3,20</w:t>
            </w:r>
          </w:p>
        </w:tc>
        <w:tc>
          <w:tcPr>
            <w:tcW w:w="208" w:type="pct"/>
            <w:tcBorders>
              <w:top w:val="nil"/>
              <w:left w:val="nil"/>
              <w:bottom w:val="single" w:sz="4" w:space="0" w:color="auto"/>
              <w:right w:val="nil"/>
            </w:tcBorders>
            <w:shd w:val="clear" w:color="auto" w:fill="auto"/>
            <w:noWrap/>
            <w:vAlign w:val="bottom"/>
            <w:hideMark/>
          </w:tcPr>
          <w:p w14:paraId="2A49B67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3,71</w:t>
            </w:r>
          </w:p>
        </w:tc>
        <w:tc>
          <w:tcPr>
            <w:tcW w:w="208" w:type="pct"/>
            <w:tcBorders>
              <w:top w:val="nil"/>
              <w:left w:val="nil"/>
              <w:bottom w:val="single" w:sz="4" w:space="0" w:color="auto"/>
              <w:right w:val="nil"/>
            </w:tcBorders>
            <w:shd w:val="clear" w:color="auto" w:fill="auto"/>
            <w:noWrap/>
            <w:vAlign w:val="bottom"/>
            <w:hideMark/>
          </w:tcPr>
          <w:p w14:paraId="68E8AF5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4,22</w:t>
            </w:r>
          </w:p>
        </w:tc>
        <w:tc>
          <w:tcPr>
            <w:tcW w:w="208" w:type="pct"/>
            <w:tcBorders>
              <w:top w:val="nil"/>
              <w:left w:val="nil"/>
              <w:bottom w:val="single" w:sz="4" w:space="0" w:color="auto"/>
              <w:right w:val="nil"/>
            </w:tcBorders>
            <w:shd w:val="clear" w:color="auto" w:fill="auto"/>
            <w:noWrap/>
            <w:vAlign w:val="bottom"/>
            <w:hideMark/>
          </w:tcPr>
          <w:p w14:paraId="419C8A5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4,72</w:t>
            </w:r>
          </w:p>
        </w:tc>
        <w:tc>
          <w:tcPr>
            <w:tcW w:w="208" w:type="pct"/>
            <w:tcBorders>
              <w:top w:val="nil"/>
              <w:left w:val="nil"/>
              <w:bottom w:val="single" w:sz="4" w:space="0" w:color="auto"/>
              <w:right w:val="nil"/>
            </w:tcBorders>
            <w:shd w:val="clear" w:color="auto" w:fill="auto"/>
            <w:noWrap/>
            <w:vAlign w:val="bottom"/>
            <w:hideMark/>
          </w:tcPr>
          <w:p w14:paraId="2D73A8E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5,23</w:t>
            </w:r>
          </w:p>
        </w:tc>
        <w:tc>
          <w:tcPr>
            <w:tcW w:w="208" w:type="pct"/>
            <w:tcBorders>
              <w:top w:val="nil"/>
              <w:left w:val="nil"/>
              <w:bottom w:val="single" w:sz="4" w:space="0" w:color="auto"/>
              <w:right w:val="nil"/>
            </w:tcBorders>
            <w:shd w:val="clear" w:color="auto" w:fill="auto"/>
            <w:noWrap/>
            <w:vAlign w:val="bottom"/>
            <w:hideMark/>
          </w:tcPr>
          <w:p w14:paraId="4923B7C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5,73</w:t>
            </w:r>
          </w:p>
        </w:tc>
        <w:tc>
          <w:tcPr>
            <w:tcW w:w="208" w:type="pct"/>
            <w:tcBorders>
              <w:top w:val="nil"/>
              <w:left w:val="nil"/>
              <w:bottom w:val="single" w:sz="4" w:space="0" w:color="auto"/>
              <w:right w:val="nil"/>
            </w:tcBorders>
            <w:shd w:val="clear" w:color="auto" w:fill="auto"/>
            <w:noWrap/>
            <w:vAlign w:val="bottom"/>
            <w:hideMark/>
          </w:tcPr>
          <w:p w14:paraId="7A4F266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6,24</w:t>
            </w:r>
          </w:p>
        </w:tc>
        <w:tc>
          <w:tcPr>
            <w:tcW w:w="204" w:type="pct"/>
            <w:tcBorders>
              <w:top w:val="nil"/>
              <w:left w:val="nil"/>
              <w:bottom w:val="single" w:sz="4" w:space="0" w:color="auto"/>
              <w:right w:val="nil"/>
            </w:tcBorders>
            <w:shd w:val="clear" w:color="auto" w:fill="auto"/>
            <w:noWrap/>
            <w:vAlign w:val="bottom"/>
            <w:hideMark/>
          </w:tcPr>
          <w:p w14:paraId="49817C6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6,74</w:t>
            </w:r>
          </w:p>
        </w:tc>
      </w:tr>
      <w:tr w:rsidR="00B54F4E" w:rsidRPr="00611A94" w14:paraId="52810E08" w14:textId="77777777" w:rsidTr="006504C4">
        <w:trPr>
          <w:trHeight w:val="255"/>
        </w:trPr>
        <w:tc>
          <w:tcPr>
            <w:tcW w:w="1253" w:type="pct"/>
            <w:tcBorders>
              <w:top w:val="nil"/>
              <w:left w:val="nil"/>
              <w:bottom w:val="nil"/>
              <w:right w:val="nil"/>
            </w:tcBorders>
            <w:shd w:val="clear" w:color="auto" w:fill="auto"/>
            <w:noWrap/>
            <w:vAlign w:val="bottom"/>
            <w:hideMark/>
          </w:tcPr>
          <w:p w14:paraId="05EED1F7"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Inversión y Costos</w:t>
            </w:r>
          </w:p>
        </w:tc>
        <w:tc>
          <w:tcPr>
            <w:tcW w:w="252" w:type="pct"/>
            <w:tcBorders>
              <w:top w:val="nil"/>
              <w:left w:val="nil"/>
              <w:bottom w:val="nil"/>
              <w:right w:val="nil"/>
            </w:tcBorders>
            <w:shd w:val="clear" w:color="auto" w:fill="auto"/>
            <w:noWrap/>
            <w:vAlign w:val="bottom"/>
            <w:hideMark/>
          </w:tcPr>
          <w:p w14:paraId="35F99B84" w14:textId="77777777" w:rsidR="00B54F4E" w:rsidRPr="00611A94" w:rsidRDefault="00B54F4E" w:rsidP="006504C4">
            <w:pPr>
              <w:spacing w:before="0" w:after="0"/>
              <w:jc w:val="left"/>
              <w:rPr>
                <w:rFonts w:ascii="Calibri" w:hAnsi="Calibri" w:cs="Calibri"/>
                <w:b/>
                <w:bCs/>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43CFE5ED"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9B4A02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171811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A731A2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CBF94E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CC10F82"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657CA5BF"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79EF8113"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437BD4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965EF2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6940C8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8B13F5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2D8556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0515E5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C9CBDC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428EEB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15A5BD1"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60A80CFC" w14:textId="77777777" w:rsidTr="006504C4">
        <w:trPr>
          <w:trHeight w:val="255"/>
        </w:trPr>
        <w:tc>
          <w:tcPr>
            <w:tcW w:w="1253" w:type="pct"/>
            <w:tcBorders>
              <w:top w:val="nil"/>
              <w:left w:val="nil"/>
              <w:bottom w:val="nil"/>
              <w:right w:val="nil"/>
            </w:tcBorders>
            <w:shd w:val="clear" w:color="auto" w:fill="auto"/>
            <w:noWrap/>
            <w:vAlign w:val="bottom"/>
            <w:hideMark/>
          </w:tcPr>
          <w:p w14:paraId="3C043015"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Inversión en bombillos LED ($USD Millones)</w:t>
            </w:r>
          </w:p>
        </w:tc>
        <w:tc>
          <w:tcPr>
            <w:tcW w:w="252" w:type="pct"/>
            <w:tcBorders>
              <w:top w:val="nil"/>
              <w:left w:val="nil"/>
              <w:bottom w:val="nil"/>
              <w:right w:val="nil"/>
            </w:tcBorders>
            <w:shd w:val="clear" w:color="auto" w:fill="auto"/>
            <w:noWrap/>
            <w:vAlign w:val="bottom"/>
            <w:hideMark/>
          </w:tcPr>
          <w:p w14:paraId="07B5740B"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4" w:type="pct"/>
            <w:tcBorders>
              <w:top w:val="nil"/>
              <w:left w:val="nil"/>
              <w:bottom w:val="nil"/>
              <w:right w:val="nil"/>
            </w:tcBorders>
            <w:shd w:val="clear" w:color="auto" w:fill="auto"/>
            <w:noWrap/>
            <w:vAlign w:val="bottom"/>
            <w:hideMark/>
          </w:tcPr>
          <w:p w14:paraId="57317860"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FE3E56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4E5455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08" w:type="pct"/>
            <w:tcBorders>
              <w:top w:val="nil"/>
              <w:left w:val="nil"/>
              <w:bottom w:val="nil"/>
              <w:right w:val="nil"/>
            </w:tcBorders>
            <w:shd w:val="clear" w:color="auto" w:fill="auto"/>
            <w:noWrap/>
            <w:vAlign w:val="bottom"/>
            <w:hideMark/>
          </w:tcPr>
          <w:p w14:paraId="6AA0E92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w:t>
            </w:r>
          </w:p>
        </w:tc>
        <w:tc>
          <w:tcPr>
            <w:tcW w:w="208" w:type="pct"/>
            <w:tcBorders>
              <w:top w:val="nil"/>
              <w:left w:val="nil"/>
              <w:bottom w:val="nil"/>
              <w:right w:val="nil"/>
            </w:tcBorders>
            <w:shd w:val="clear" w:color="auto" w:fill="auto"/>
            <w:noWrap/>
            <w:vAlign w:val="bottom"/>
            <w:hideMark/>
          </w:tcPr>
          <w:p w14:paraId="3A1E386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w:t>
            </w:r>
          </w:p>
        </w:tc>
        <w:tc>
          <w:tcPr>
            <w:tcW w:w="208" w:type="pct"/>
            <w:tcBorders>
              <w:top w:val="nil"/>
              <w:left w:val="nil"/>
              <w:bottom w:val="nil"/>
              <w:right w:val="nil"/>
            </w:tcBorders>
            <w:shd w:val="clear" w:color="auto" w:fill="auto"/>
            <w:noWrap/>
            <w:vAlign w:val="bottom"/>
            <w:hideMark/>
          </w:tcPr>
          <w:p w14:paraId="3466346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w:t>
            </w:r>
          </w:p>
        </w:tc>
        <w:tc>
          <w:tcPr>
            <w:tcW w:w="183" w:type="pct"/>
            <w:tcBorders>
              <w:top w:val="nil"/>
              <w:left w:val="nil"/>
              <w:bottom w:val="nil"/>
              <w:right w:val="nil"/>
            </w:tcBorders>
            <w:shd w:val="clear" w:color="auto" w:fill="auto"/>
            <w:noWrap/>
            <w:vAlign w:val="bottom"/>
            <w:hideMark/>
          </w:tcPr>
          <w:p w14:paraId="4FF48E8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4" w:type="pct"/>
            <w:tcBorders>
              <w:top w:val="nil"/>
              <w:left w:val="nil"/>
              <w:bottom w:val="nil"/>
              <w:right w:val="nil"/>
            </w:tcBorders>
            <w:shd w:val="clear" w:color="auto" w:fill="auto"/>
            <w:noWrap/>
            <w:vAlign w:val="bottom"/>
            <w:hideMark/>
          </w:tcPr>
          <w:p w14:paraId="740DE08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536CBB4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0D59208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2F40D7E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65A8312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00729CC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47F46E0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072EF60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nil"/>
              <w:right w:val="nil"/>
            </w:tcBorders>
            <w:shd w:val="clear" w:color="auto" w:fill="auto"/>
            <w:noWrap/>
            <w:vAlign w:val="bottom"/>
            <w:hideMark/>
          </w:tcPr>
          <w:p w14:paraId="2FA1B29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4" w:type="pct"/>
            <w:tcBorders>
              <w:top w:val="nil"/>
              <w:left w:val="nil"/>
              <w:bottom w:val="nil"/>
              <w:right w:val="nil"/>
            </w:tcBorders>
            <w:shd w:val="clear" w:color="auto" w:fill="auto"/>
            <w:noWrap/>
            <w:vAlign w:val="bottom"/>
            <w:hideMark/>
          </w:tcPr>
          <w:p w14:paraId="694D970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r>
      <w:tr w:rsidR="00B54F4E" w:rsidRPr="00611A94" w14:paraId="473DF3ED" w14:textId="77777777" w:rsidTr="006504C4">
        <w:trPr>
          <w:trHeight w:val="255"/>
        </w:trPr>
        <w:tc>
          <w:tcPr>
            <w:tcW w:w="1253" w:type="pct"/>
            <w:tcBorders>
              <w:top w:val="single" w:sz="4" w:space="0" w:color="auto"/>
              <w:left w:val="nil"/>
              <w:bottom w:val="single" w:sz="4" w:space="0" w:color="auto"/>
              <w:right w:val="nil"/>
            </w:tcBorders>
            <w:shd w:val="clear" w:color="auto" w:fill="auto"/>
            <w:noWrap/>
            <w:vAlign w:val="bottom"/>
            <w:hideMark/>
          </w:tcPr>
          <w:p w14:paraId="2A06FBC9"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Total Inversión y Costos ($USD Millones)</w:t>
            </w:r>
          </w:p>
        </w:tc>
        <w:tc>
          <w:tcPr>
            <w:tcW w:w="252" w:type="pct"/>
            <w:tcBorders>
              <w:top w:val="single" w:sz="4" w:space="0" w:color="auto"/>
              <w:left w:val="nil"/>
              <w:bottom w:val="single" w:sz="4" w:space="0" w:color="auto"/>
              <w:right w:val="nil"/>
            </w:tcBorders>
            <w:shd w:val="clear" w:color="auto" w:fill="auto"/>
            <w:noWrap/>
            <w:vAlign w:val="bottom"/>
            <w:hideMark/>
          </w:tcPr>
          <w:p w14:paraId="68F6187F"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single" w:sz="4" w:space="0" w:color="auto"/>
              <w:left w:val="nil"/>
              <w:bottom w:val="single" w:sz="4" w:space="0" w:color="auto"/>
              <w:right w:val="nil"/>
            </w:tcBorders>
            <w:shd w:val="clear" w:color="auto" w:fill="auto"/>
            <w:noWrap/>
            <w:vAlign w:val="bottom"/>
            <w:hideMark/>
          </w:tcPr>
          <w:p w14:paraId="4416AF1B"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single" w:sz="4" w:space="0" w:color="auto"/>
              <w:left w:val="nil"/>
              <w:bottom w:val="single" w:sz="4" w:space="0" w:color="auto"/>
              <w:right w:val="nil"/>
            </w:tcBorders>
            <w:shd w:val="clear" w:color="auto" w:fill="auto"/>
            <w:noWrap/>
            <w:vAlign w:val="bottom"/>
            <w:hideMark/>
          </w:tcPr>
          <w:p w14:paraId="35487906"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single" w:sz="4" w:space="0" w:color="auto"/>
              <w:left w:val="nil"/>
              <w:bottom w:val="single" w:sz="4" w:space="0" w:color="auto"/>
              <w:right w:val="nil"/>
            </w:tcBorders>
            <w:shd w:val="clear" w:color="auto" w:fill="auto"/>
            <w:noWrap/>
            <w:vAlign w:val="bottom"/>
            <w:hideMark/>
          </w:tcPr>
          <w:p w14:paraId="3857A95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08" w:type="pct"/>
            <w:tcBorders>
              <w:top w:val="single" w:sz="4" w:space="0" w:color="auto"/>
              <w:left w:val="nil"/>
              <w:bottom w:val="single" w:sz="4" w:space="0" w:color="auto"/>
              <w:right w:val="nil"/>
            </w:tcBorders>
            <w:shd w:val="clear" w:color="auto" w:fill="auto"/>
            <w:noWrap/>
            <w:vAlign w:val="bottom"/>
            <w:hideMark/>
          </w:tcPr>
          <w:p w14:paraId="1607E6A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w:t>
            </w:r>
          </w:p>
        </w:tc>
        <w:tc>
          <w:tcPr>
            <w:tcW w:w="208" w:type="pct"/>
            <w:tcBorders>
              <w:top w:val="single" w:sz="4" w:space="0" w:color="auto"/>
              <w:left w:val="nil"/>
              <w:bottom w:val="single" w:sz="4" w:space="0" w:color="auto"/>
              <w:right w:val="nil"/>
            </w:tcBorders>
            <w:shd w:val="clear" w:color="auto" w:fill="auto"/>
            <w:noWrap/>
            <w:vAlign w:val="bottom"/>
            <w:hideMark/>
          </w:tcPr>
          <w:p w14:paraId="4828D7D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w:t>
            </w:r>
          </w:p>
        </w:tc>
        <w:tc>
          <w:tcPr>
            <w:tcW w:w="208" w:type="pct"/>
            <w:tcBorders>
              <w:top w:val="single" w:sz="4" w:space="0" w:color="auto"/>
              <w:left w:val="nil"/>
              <w:bottom w:val="single" w:sz="4" w:space="0" w:color="auto"/>
              <w:right w:val="nil"/>
            </w:tcBorders>
            <w:shd w:val="clear" w:color="auto" w:fill="auto"/>
            <w:noWrap/>
            <w:vAlign w:val="bottom"/>
            <w:hideMark/>
          </w:tcPr>
          <w:p w14:paraId="61EDCD1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0,3</w:t>
            </w:r>
          </w:p>
        </w:tc>
        <w:tc>
          <w:tcPr>
            <w:tcW w:w="183" w:type="pct"/>
            <w:tcBorders>
              <w:top w:val="single" w:sz="4" w:space="0" w:color="auto"/>
              <w:left w:val="nil"/>
              <w:bottom w:val="single" w:sz="4" w:space="0" w:color="auto"/>
              <w:right w:val="nil"/>
            </w:tcBorders>
            <w:shd w:val="clear" w:color="auto" w:fill="auto"/>
            <w:noWrap/>
            <w:vAlign w:val="bottom"/>
            <w:hideMark/>
          </w:tcPr>
          <w:p w14:paraId="7AE0DD3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4" w:type="pct"/>
            <w:tcBorders>
              <w:top w:val="single" w:sz="4" w:space="0" w:color="auto"/>
              <w:left w:val="nil"/>
              <w:bottom w:val="single" w:sz="4" w:space="0" w:color="auto"/>
              <w:right w:val="nil"/>
            </w:tcBorders>
            <w:shd w:val="clear" w:color="auto" w:fill="auto"/>
            <w:noWrap/>
            <w:vAlign w:val="bottom"/>
            <w:hideMark/>
          </w:tcPr>
          <w:p w14:paraId="1F93713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766BADC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1BF6F18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6B9DA00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1911761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4DEC8E9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0727648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0D48DDA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single" w:sz="4" w:space="0" w:color="auto"/>
              <w:left w:val="nil"/>
              <w:bottom w:val="single" w:sz="4" w:space="0" w:color="auto"/>
              <w:right w:val="nil"/>
            </w:tcBorders>
            <w:shd w:val="clear" w:color="auto" w:fill="auto"/>
            <w:noWrap/>
            <w:vAlign w:val="bottom"/>
            <w:hideMark/>
          </w:tcPr>
          <w:p w14:paraId="3F6AEE4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4" w:type="pct"/>
            <w:tcBorders>
              <w:top w:val="single" w:sz="4" w:space="0" w:color="auto"/>
              <w:left w:val="nil"/>
              <w:bottom w:val="single" w:sz="4" w:space="0" w:color="auto"/>
              <w:right w:val="nil"/>
            </w:tcBorders>
            <w:shd w:val="clear" w:color="auto" w:fill="auto"/>
            <w:noWrap/>
            <w:vAlign w:val="bottom"/>
            <w:hideMark/>
          </w:tcPr>
          <w:p w14:paraId="044431F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r>
      <w:tr w:rsidR="00B54F4E" w:rsidRPr="00611A94" w14:paraId="37695E65" w14:textId="77777777" w:rsidTr="006504C4">
        <w:trPr>
          <w:trHeight w:val="255"/>
        </w:trPr>
        <w:tc>
          <w:tcPr>
            <w:tcW w:w="1253" w:type="pct"/>
            <w:tcBorders>
              <w:top w:val="nil"/>
              <w:left w:val="nil"/>
              <w:bottom w:val="single" w:sz="4" w:space="0" w:color="auto"/>
              <w:right w:val="nil"/>
            </w:tcBorders>
            <w:shd w:val="clear" w:color="auto" w:fill="auto"/>
            <w:noWrap/>
            <w:vAlign w:val="bottom"/>
            <w:hideMark/>
          </w:tcPr>
          <w:p w14:paraId="2EC3961A"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Flujo Neto</w:t>
            </w:r>
          </w:p>
        </w:tc>
        <w:tc>
          <w:tcPr>
            <w:tcW w:w="252" w:type="pct"/>
            <w:tcBorders>
              <w:top w:val="nil"/>
              <w:left w:val="nil"/>
              <w:bottom w:val="single" w:sz="4" w:space="0" w:color="auto"/>
              <w:right w:val="nil"/>
            </w:tcBorders>
            <w:shd w:val="clear" w:color="auto" w:fill="auto"/>
            <w:noWrap/>
            <w:vAlign w:val="bottom"/>
            <w:hideMark/>
          </w:tcPr>
          <w:p w14:paraId="2062367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auto"/>
              <w:right w:val="nil"/>
            </w:tcBorders>
            <w:shd w:val="clear" w:color="auto" w:fill="auto"/>
            <w:noWrap/>
            <w:vAlign w:val="bottom"/>
            <w:hideMark/>
          </w:tcPr>
          <w:p w14:paraId="72D056F5"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nil"/>
              <w:left w:val="nil"/>
              <w:bottom w:val="single" w:sz="4" w:space="0" w:color="auto"/>
              <w:right w:val="nil"/>
            </w:tcBorders>
            <w:shd w:val="clear" w:color="auto" w:fill="auto"/>
            <w:noWrap/>
            <w:vAlign w:val="bottom"/>
            <w:hideMark/>
          </w:tcPr>
          <w:p w14:paraId="3DA4EC24"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nil"/>
              <w:left w:val="nil"/>
              <w:bottom w:val="single" w:sz="4" w:space="0" w:color="auto"/>
              <w:right w:val="nil"/>
            </w:tcBorders>
            <w:shd w:val="clear" w:color="auto" w:fill="auto"/>
            <w:noWrap/>
            <w:vAlign w:val="bottom"/>
            <w:hideMark/>
          </w:tcPr>
          <w:p w14:paraId="7B03F3B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08" w:type="pct"/>
            <w:tcBorders>
              <w:top w:val="nil"/>
              <w:left w:val="nil"/>
              <w:bottom w:val="single" w:sz="4" w:space="0" w:color="auto"/>
              <w:right w:val="nil"/>
            </w:tcBorders>
            <w:shd w:val="clear" w:color="auto" w:fill="auto"/>
            <w:noWrap/>
            <w:vAlign w:val="bottom"/>
            <w:hideMark/>
          </w:tcPr>
          <w:p w14:paraId="61A9E77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0,1</w:t>
            </w:r>
          </w:p>
        </w:tc>
        <w:tc>
          <w:tcPr>
            <w:tcW w:w="208" w:type="pct"/>
            <w:tcBorders>
              <w:top w:val="nil"/>
              <w:left w:val="nil"/>
              <w:bottom w:val="single" w:sz="4" w:space="0" w:color="auto"/>
              <w:right w:val="nil"/>
            </w:tcBorders>
            <w:shd w:val="clear" w:color="auto" w:fill="auto"/>
            <w:noWrap/>
            <w:vAlign w:val="bottom"/>
            <w:hideMark/>
          </w:tcPr>
          <w:p w14:paraId="4E21590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0,5</w:t>
            </w:r>
          </w:p>
        </w:tc>
        <w:tc>
          <w:tcPr>
            <w:tcW w:w="208" w:type="pct"/>
            <w:tcBorders>
              <w:top w:val="nil"/>
              <w:left w:val="nil"/>
              <w:bottom w:val="single" w:sz="4" w:space="0" w:color="auto"/>
              <w:right w:val="nil"/>
            </w:tcBorders>
            <w:shd w:val="clear" w:color="auto" w:fill="auto"/>
            <w:noWrap/>
            <w:vAlign w:val="bottom"/>
            <w:hideMark/>
          </w:tcPr>
          <w:p w14:paraId="7061667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0,9</w:t>
            </w:r>
          </w:p>
        </w:tc>
        <w:tc>
          <w:tcPr>
            <w:tcW w:w="183" w:type="pct"/>
            <w:tcBorders>
              <w:top w:val="nil"/>
              <w:left w:val="nil"/>
              <w:bottom w:val="single" w:sz="4" w:space="0" w:color="auto"/>
              <w:right w:val="nil"/>
            </w:tcBorders>
            <w:shd w:val="clear" w:color="auto" w:fill="auto"/>
            <w:noWrap/>
            <w:vAlign w:val="bottom"/>
            <w:hideMark/>
          </w:tcPr>
          <w:p w14:paraId="63A4C5E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18,3</w:t>
            </w:r>
          </w:p>
        </w:tc>
        <w:tc>
          <w:tcPr>
            <w:tcW w:w="204" w:type="pct"/>
            <w:tcBorders>
              <w:top w:val="nil"/>
              <w:left w:val="nil"/>
              <w:bottom w:val="single" w:sz="4" w:space="0" w:color="auto"/>
              <w:right w:val="nil"/>
            </w:tcBorders>
            <w:shd w:val="clear" w:color="auto" w:fill="auto"/>
            <w:noWrap/>
            <w:vAlign w:val="bottom"/>
            <w:hideMark/>
          </w:tcPr>
          <w:p w14:paraId="43495E0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08" w:type="pct"/>
            <w:tcBorders>
              <w:top w:val="nil"/>
              <w:left w:val="nil"/>
              <w:bottom w:val="single" w:sz="4" w:space="0" w:color="auto"/>
              <w:right w:val="nil"/>
            </w:tcBorders>
            <w:shd w:val="clear" w:color="auto" w:fill="auto"/>
            <w:noWrap/>
            <w:vAlign w:val="bottom"/>
            <w:hideMark/>
          </w:tcPr>
          <w:p w14:paraId="70A8F8F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w:t>
            </w:r>
          </w:p>
        </w:tc>
        <w:tc>
          <w:tcPr>
            <w:tcW w:w="208" w:type="pct"/>
            <w:tcBorders>
              <w:top w:val="nil"/>
              <w:left w:val="nil"/>
              <w:bottom w:val="single" w:sz="4" w:space="0" w:color="auto"/>
              <w:right w:val="nil"/>
            </w:tcBorders>
            <w:shd w:val="clear" w:color="auto" w:fill="auto"/>
            <w:noWrap/>
            <w:vAlign w:val="bottom"/>
            <w:hideMark/>
          </w:tcPr>
          <w:p w14:paraId="1D645EC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2,1</w:t>
            </w:r>
          </w:p>
        </w:tc>
        <w:tc>
          <w:tcPr>
            <w:tcW w:w="208" w:type="pct"/>
            <w:tcBorders>
              <w:top w:val="nil"/>
              <w:left w:val="nil"/>
              <w:bottom w:val="single" w:sz="4" w:space="0" w:color="auto"/>
              <w:right w:val="nil"/>
            </w:tcBorders>
            <w:shd w:val="clear" w:color="auto" w:fill="auto"/>
            <w:noWrap/>
            <w:vAlign w:val="bottom"/>
            <w:hideMark/>
          </w:tcPr>
          <w:p w14:paraId="2E947E3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2,6</w:t>
            </w:r>
          </w:p>
        </w:tc>
        <w:tc>
          <w:tcPr>
            <w:tcW w:w="208" w:type="pct"/>
            <w:tcBorders>
              <w:top w:val="nil"/>
              <w:left w:val="nil"/>
              <w:bottom w:val="single" w:sz="4" w:space="0" w:color="auto"/>
              <w:right w:val="nil"/>
            </w:tcBorders>
            <w:shd w:val="clear" w:color="auto" w:fill="auto"/>
            <w:noWrap/>
            <w:vAlign w:val="bottom"/>
            <w:hideMark/>
          </w:tcPr>
          <w:p w14:paraId="11BAC4D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3,1</w:t>
            </w:r>
          </w:p>
        </w:tc>
        <w:tc>
          <w:tcPr>
            <w:tcW w:w="208" w:type="pct"/>
            <w:tcBorders>
              <w:top w:val="nil"/>
              <w:left w:val="nil"/>
              <w:bottom w:val="single" w:sz="4" w:space="0" w:color="auto"/>
              <w:right w:val="nil"/>
            </w:tcBorders>
            <w:shd w:val="clear" w:color="auto" w:fill="auto"/>
            <w:noWrap/>
            <w:vAlign w:val="bottom"/>
            <w:hideMark/>
          </w:tcPr>
          <w:p w14:paraId="451F5E0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3,6</w:t>
            </w:r>
          </w:p>
        </w:tc>
        <w:tc>
          <w:tcPr>
            <w:tcW w:w="208" w:type="pct"/>
            <w:tcBorders>
              <w:top w:val="nil"/>
              <w:left w:val="nil"/>
              <w:bottom w:val="single" w:sz="4" w:space="0" w:color="auto"/>
              <w:right w:val="nil"/>
            </w:tcBorders>
            <w:shd w:val="clear" w:color="auto" w:fill="auto"/>
            <w:noWrap/>
            <w:vAlign w:val="bottom"/>
            <w:hideMark/>
          </w:tcPr>
          <w:p w14:paraId="5F67032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4,1</w:t>
            </w:r>
          </w:p>
        </w:tc>
        <w:tc>
          <w:tcPr>
            <w:tcW w:w="208" w:type="pct"/>
            <w:tcBorders>
              <w:top w:val="nil"/>
              <w:left w:val="nil"/>
              <w:bottom w:val="single" w:sz="4" w:space="0" w:color="auto"/>
              <w:right w:val="nil"/>
            </w:tcBorders>
            <w:shd w:val="clear" w:color="auto" w:fill="auto"/>
            <w:noWrap/>
            <w:vAlign w:val="bottom"/>
            <w:hideMark/>
          </w:tcPr>
          <w:p w14:paraId="0DF14D2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4,6</w:t>
            </w:r>
          </w:p>
        </w:tc>
        <w:tc>
          <w:tcPr>
            <w:tcW w:w="208" w:type="pct"/>
            <w:tcBorders>
              <w:top w:val="nil"/>
              <w:left w:val="nil"/>
              <w:bottom w:val="single" w:sz="4" w:space="0" w:color="auto"/>
              <w:right w:val="nil"/>
            </w:tcBorders>
            <w:shd w:val="clear" w:color="auto" w:fill="auto"/>
            <w:noWrap/>
            <w:vAlign w:val="bottom"/>
            <w:hideMark/>
          </w:tcPr>
          <w:p w14:paraId="7D2ABF4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5,1</w:t>
            </w:r>
          </w:p>
        </w:tc>
        <w:tc>
          <w:tcPr>
            <w:tcW w:w="204" w:type="pct"/>
            <w:tcBorders>
              <w:top w:val="nil"/>
              <w:left w:val="nil"/>
              <w:bottom w:val="single" w:sz="4" w:space="0" w:color="auto"/>
              <w:right w:val="nil"/>
            </w:tcBorders>
            <w:shd w:val="clear" w:color="auto" w:fill="auto"/>
            <w:noWrap/>
            <w:vAlign w:val="bottom"/>
            <w:hideMark/>
          </w:tcPr>
          <w:p w14:paraId="6BF8809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5,6</w:t>
            </w:r>
          </w:p>
        </w:tc>
      </w:tr>
      <w:tr w:rsidR="00B54F4E" w:rsidRPr="00611A94" w14:paraId="65A02E22" w14:textId="77777777" w:rsidTr="006504C4">
        <w:trPr>
          <w:trHeight w:val="255"/>
        </w:trPr>
        <w:tc>
          <w:tcPr>
            <w:tcW w:w="1253" w:type="pct"/>
            <w:tcBorders>
              <w:top w:val="nil"/>
              <w:left w:val="nil"/>
              <w:bottom w:val="nil"/>
              <w:right w:val="nil"/>
            </w:tcBorders>
            <w:shd w:val="clear" w:color="auto" w:fill="auto"/>
            <w:noWrap/>
            <w:vAlign w:val="bottom"/>
            <w:hideMark/>
          </w:tcPr>
          <w:p w14:paraId="60571E2F" w14:textId="77777777" w:rsidR="00B54F4E" w:rsidRPr="00611A94" w:rsidRDefault="00B54F4E" w:rsidP="006504C4">
            <w:pPr>
              <w:spacing w:before="0" w:after="0"/>
              <w:jc w:val="right"/>
              <w:rPr>
                <w:rFonts w:ascii="Calibri" w:hAnsi="Calibri" w:cs="Calibri"/>
                <w:color w:val="000000"/>
                <w:sz w:val="12"/>
                <w:szCs w:val="12"/>
                <w:lang w:eastAsia="es-CO"/>
              </w:rPr>
            </w:pPr>
          </w:p>
        </w:tc>
        <w:tc>
          <w:tcPr>
            <w:tcW w:w="252" w:type="pct"/>
            <w:tcBorders>
              <w:top w:val="nil"/>
              <w:left w:val="nil"/>
              <w:bottom w:val="nil"/>
              <w:right w:val="nil"/>
            </w:tcBorders>
            <w:shd w:val="clear" w:color="auto" w:fill="auto"/>
            <w:noWrap/>
            <w:vAlign w:val="bottom"/>
            <w:hideMark/>
          </w:tcPr>
          <w:p w14:paraId="092DD495"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3E4113FF"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61A8FC7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AEB6C5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4A7A45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E585E9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F30CD06"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7E362BAE"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7F369D8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D45624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9D77CA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7AD6FF0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5032F0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630C87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88810D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6F9FE9D"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FA99AF6"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8AAA59D"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2C6EFE5A" w14:textId="77777777" w:rsidTr="006504C4">
        <w:trPr>
          <w:trHeight w:val="255"/>
        </w:trPr>
        <w:tc>
          <w:tcPr>
            <w:tcW w:w="1253" w:type="pct"/>
            <w:tcBorders>
              <w:top w:val="single" w:sz="4" w:space="0" w:color="000000"/>
              <w:left w:val="nil"/>
              <w:bottom w:val="single" w:sz="4" w:space="0" w:color="000000"/>
              <w:right w:val="nil"/>
            </w:tcBorders>
            <w:shd w:val="clear" w:color="auto" w:fill="auto"/>
            <w:noWrap/>
            <w:vAlign w:val="bottom"/>
            <w:hideMark/>
          </w:tcPr>
          <w:p w14:paraId="4D16ADBC"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energético de iluminación</w:t>
            </w:r>
          </w:p>
        </w:tc>
        <w:tc>
          <w:tcPr>
            <w:tcW w:w="252" w:type="pct"/>
            <w:tcBorders>
              <w:top w:val="single" w:sz="4" w:space="0" w:color="000000"/>
              <w:left w:val="nil"/>
              <w:bottom w:val="single" w:sz="4" w:space="0" w:color="000000"/>
              <w:right w:val="nil"/>
            </w:tcBorders>
            <w:shd w:val="clear" w:color="auto" w:fill="auto"/>
            <w:noWrap/>
            <w:vAlign w:val="bottom"/>
            <w:hideMark/>
          </w:tcPr>
          <w:p w14:paraId="7A13E7E6"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single" w:sz="4" w:space="0" w:color="000000"/>
              <w:left w:val="nil"/>
              <w:bottom w:val="single" w:sz="4" w:space="0" w:color="000000"/>
              <w:right w:val="nil"/>
            </w:tcBorders>
            <w:shd w:val="clear" w:color="auto" w:fill="auto"/>
            <w:noWrap/>
            <w:vAlign w:val="bottom"/>
            <w:hideMark/>
          </w:tcPr>
          <w:p w14:paraId="68B46441"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4" w:type="pct"/>
            <w:tcBorders>
              <w:top w:val="single" w:sz="4" w:space="0" w:color="000000"/>
              <w:left w:val="nil"/>
              <w:bottom w:val="single" w:sz="4" w:space="0" w:color="000000"/>
              <w:right w:val="nil"/>
            </w:tcBorders>
            <w:shd w:val="clear" w:color="auto" w:fill="auto"/>
            <w:noWrap/>
            <w:vAlign w:val="bottom"/>
            <w:hideMark/>
          </w:tcPr>
          <w:p w14:paraId="6B76FBA2"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8" w:type="pct"/>
            <w:tcBorders>
              <w:top w:val="single" w:sz="4" w:space="0" w:color="000000"/>
              <w:left w:val="nil"/>
              <w:bottom w:val="single" w:sz="4" w:space="0" w:color="000000"/>
              <w:right w:val="nil"/>
            </w:tcBorders>
            <w:shd w:val="clear" w:color="auto" w:fill="auto"/>
            <w:noWrap/>
            <w:vAlign w:val="bottom"/>
            <w:hideMark/>
          </w:tcPr>
          <w:p w14:paraId="4EA076E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08" w:type="pct"/>
            <w:tcBorders>
              <w:top w:val="single" w:sz="4" w:space="0" w:color="000000"/>
              <w:left w:val="nil"/>
              <w:bottom w:val="single" w:sz="4" w:space="0" w:color="000000"/>
              <w:right w:val="nil"/>
            </w:tcBorders>
            <w:shd w:val="clear" w:color="auto" w:fill="auto"/>
            <w:noWrap/>
            <w:vAlign w:val="bottom"/>
            <w:hideMark/>
          </w:tcPr>
          <w:p w14:paraId="7CFD677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0,6%</w:t>
            </w:r>
          </w:p>
        </w:tc>
        <w:tc>
          <w:tcPr>
            <w:tcW w:w="208" w:type="pct"/>
            <w:tcBorders>
              <w:top w:val="single" w:sz="4" w:space="0" w:color="000000"/>
              <w:left w:val="nil"/>
              <w:bottom w:val="single" w:sz="4" w:space="0" w:color="000000"/>
              <w:right w:val="nil"/>
            </w:tcBorders>
            <w:shd w:val="clear" w:color="auto" w:fill="auto"/>
            <w:noWrap/>
            <w:vAlign w:val="bottom"/>
            <w:hideMark/>
          </w:tcPr>
          <w:p w14:paraId="2077E06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1,2%</w:t>
            </w:r>
          </w:p>
        </w:tc>
        <w:tc>
          <w:tcPr>
            <w:tcW w:w="208" w:type="pct"/>
            <w:tcBorders>
              <w:top w:val="single" w:sz="4" w:space="0" w:color="000000"/>
              <w:left w:val="nil"/>
              <w:bottom w:val="single" w:sz="4" w:space="0" w:color="000000"/>
              <w:right w:val="nil"/>
            </w:tcBorders>
            <w:shd w:val="clear" w:color="auto" w:fill="auto"/>
            <w:noWrap/>
            <w:vAlign w:val="bottom"/>
            <w:hideMark/>
          </w:tcPr>
          <w:p w14:paraId="31E8C00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w:t>
            </w:r>
          </w:p>
        </w:tc>
        <w:tc>
          <w:tcPr>
            <w:tcW w:w="183" w:type="pct"/>
            <w:tcBorders>
              <w:top w:val="single" w:sz="4" w:space="0" w:color="000000"/>
              <w:left w:val="nil"/>
              <w:bottom w:val="single" w:sz="4" w:space="0" w:color="000000"/>
              <w:right w:val="nil"/>
            </w:tcBorders>
            <w:shd w:val="clear" w:color="auto" w:fill="auto"/>
            <w:noWrap/>
            <w:vAlign w:val="bottom"/>
            <w:hideMark/>
          </w:tcPr>
          <w:p w14:paraId="491BF35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2,5%</w:t>
            </w:r>
          </w:p>
        </w:tc>
        <w:tc>
          <w:tcPr>
            <w:tcW w:w="204" w:type="pct"/>
            <w:tcBorders>
              <w:top w:val="single" w:sz="4" w:space="0" w:color="000000"/>
              <w:left w:val="nil"/>
              <w:bottom w:val="single" w:sz="4" w:space="0" w:color="000000"/>
              <w:right w:val="nil"/>
            </w:tcBorders>
            <w:shd w:val="clear" w:color="auto" w:fill="auto"/>
            <w:noWrap/>
            <w:vAlign w:val="bottom"/>
            <w:hideMark/>
          </w:tcPr>
          <w:p w14:paraId="5052EA7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3,1%</w:t>
            </w:r>
          </w:p>
        </w:tc>
        <w:tc>
          <w:tcPr>
            <w:tcW w:w="208" w:type="pct"/>
            <w:tcBorders>
              <w:top w:val="single" w:sz="4" w:space="0" w:color="000000"/>
              <w:left w:val="nil"/>
              <w:bottom w:val="single" w:sz="4" w:space="0" w:color="000000"/>
              <w:right w:val="nil"/>
            </w:tcBorders>
            <w:shd w:val="clear" w:color="auto" w:fill="auto"/>
            <w:noWrap/>
            <w:vAlign w:val="bottom"/>
            <w:hideMark/>
          </w:tcPr>
          <w:p w14:paraId="17F9578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w:t>
            </w:r>
          </w:p>
        </w:tc>
        <w:tc>
          <w:tcPr>
            <w:tcW w:w="208" w:type="pct"/>
            <w:tcBorders>
              <w:top w:val="single" w:sz="4" w:space="0" w:color="000000"/>
              <w:left w:val="nil"/>
              <w:bottom w:val="single" w:sz="4" w:space="0" w:color="000000"/>
              <w:right w:val="nil"/>
            </w:tcBorders>
            <w:shd w:val="clear" w:color="auto" w:fill="auto"/>
            <w:noWrap/>
            <w:vAlign w:val="bottom"/>
            <w:hideMark/>
          </w:tcPr>
          <w:p w14:paraId="539FCBC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4,3%</w:t>
            </w:r>
          </w:p>
        </w:tc>
        <w:tc>
          <w:tcPr>
            <w:tcW w:w="208" w:type="pct"/>
            <w:tcBorders>
              <w:top w:val="single" w:sz="4" w:space="0" w:color="000000"/>
              <w:left w:val="nil"/>
              <w:bottom w:val="single" w:sz="4" w:space="0" w:color="000000"/>
              <w:right w:val="nil"/>
            </w:tcBorders>
            <w:shd w:val="clear" w:color="auto" w:fill="auto"/>
            <w:noWrap/>
            <w:vAlign w:val="bottom"/>
            <w:hideMark/>
          </w:tcPr>
          <w:p w14:paraId="345892A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4,8%</w:t>
            </w:r>
          </w:p>
        </w:tc>
        <w:tc>
          <w:tcPr>
            <w:tcW w:w="208" w:type="pct"/>
            <w:tcBorders>
              <w:top w:val="single" w:sz="4" w:space="0" w:color="000000"/>
              <w:left w:val="nil"/>
              <w:bottom w:val="single" w:sz="4" w:space="0" w:color="000000"/>
              <w:right w:val="nil"/>
            </w:tcBorders>
            <w:shd w:val="clear" w:color="auto" w:fill="auto"/>
            <w:noWrap/>
            <w:vAlign w:val="bottom"/>
            <w:hideMark/>
          </w:tcPr>
          <w:p w14:paraId="44FF5EA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5,2%</w:t>
            </w:r>
          </w:p>
        </w:tc>
        <w:tc>
          <w:tcPr>
            <w:tcW w:w="208" w:type="pct"/>
            <w:tcBorders>
              <w:top w:val="single" w:sz="4" w:space="0" w:color="000000"/>
              <w:left w:val="nil"/>
              <w:bottom w:val="single" w:sz="4" w:space="0" w:color="000000"/>
              <w:right w:val="nil"/>
            </w:tcBorders>
            <w:shd w:val="clear" w:color="auto" w:fill="auto"/>
            <w:noWrap/>
            <w:vAlign w:val="bottom"/>
            <w:hideMark/>
          </w:tcPr>
          <w:p w14:paraId="13DEC67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5,7%</w:t>
            </w:r>
          </w:p>
        </w:tc>
        <w:tc>
          <w:tcPr>
            <w:tcW w:w="208" w:type="pct"/>
            <w:tcBorders>
              <w:top w:val="single" w:sz="4" w:space="0" w:color="000000"/>
              <w:left w:val="nil"/>
              <w:bottom w:val="single" w:sz="4" w:space="0" w:color="000000"/>
              <w:right w:val="nil"/>
            </w:tcBorders>
            <w:shd w:val="clear" w:color="auto" w:fill="auto"/>
            <w:noWrap/>
            <w:vAlign w:val="bottom"/>
            <w:hideMark/>
          </w:tcPr>
          <w:p w14:paraId="646FC97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6,2%</w:t>
            </w:r>
          </w:p>
        </w:tc>
        <w:tc>
          <w:tcPr>
            <w:tcW w:w="208" w:type="pct"/>
            <w:tcBorders>
              <w:top w:val="single" w:sz="4" w:space="0" w:color="000000"/>
              <w:left w:val="nil"/>
              <w:bottom w:val="single" w:sz="4" w:space="0" w:color="000000"/>
              <w:right w:val="nil"/>
            </w:tcBorders>
            <w:shd w:val="clear" w:color="auto" w:fill="auto"/>
            <w:noWrap/>
            <w:vAlign w:val="bottom"/>
            <w:hideMark/>
          </w:tcPr>
          <w:p w14:paraId="2F90FA6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6,6%</w:t>
            </w:r>
          </w:p>
        </w:tc>
        <w:tc>
          <w:tcPr>
            <w:tcW w:w="208" w:type="pct"/>
            <w:tcBorders>
              <w:top w:val="single" w:sz="4" w:space="0" w:color="000000"/>
              <w:left w:val="nil"/>
              <w:bottom w:val="single" w:sz="4" w:space="0" w:color="000000"/>
              <w:right w:val="nil"/>
            </w:tcBorders>
            <w:shd w:val="clear" w:color="auto" w:fill="auto"/>
            <w:noWrap/>
            <w:vAlign w:val="bottom"/>
            <w:hideMark/>
          </w:tcPr>
          <w:p w14:paraId="67E40EC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7,0%</w:t>
            </w:r>
          </w:p>
        </w:tc>
        <w:tc>
          <w:tcPr>
            <w:tcW w:w="204" w:type="pct"/>
            <w:tcBorders>
              <w:top w:val="single" w:sz="4" w:space="0" w:color="000000"/>
              <w:left w:val="nil"/>
              <w:bottom w:val="single" w:sz="4" w:space="0" w:color="000000"/>
              <w:right w:val="nil"/>
            </w:tcBorders>
            <w:shd w:val="clear" w:color="auto" w:fill="auto"/>
            <w:noWrap/>
            <w:vAlign w:val="bottom"/>
            <w:hideMark/>
          </w:tcPr>
          <w:p w14:paraId="3317A05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7,2%</w:t>
            </w:r>
          </w:p>
        </w:tc>
      </w:tr>
      <w:tr w:rsidR="00B54F4E" w:rsidRPr="00611A94" w14:paraId="0CD37FA4" w14:textId="77777777" w:rsidTr="006504C4">
        <w:trPr>
          <w:trHeight w:val="255"/>
        </w:trPr>
        <w:tc>
          <w:tcPr>
            <w:tcW w:w="1253" w:type="pct"/>
            <w:tcBorders>
              <w:top w:val="nil"/>
              <w:left w:val="nil"/>
              <w:bottom w:val="nil"/>
              <w:right w:val="nil"/>
            </w:tcBorders>
            <w:shd w:val="clear" w:color="auto" w:fill="auto"/>
            <w:noWrap/>
            <w:vAlign w:val="bottom"/>
            <w:hideMark/>
          </w:tcPr>
          <w:p w14:paraId="392086E1" w14:textId="77777777" w:rsidR="00B54F4E" w:rsidRPr="00611A94" w:rsidRDefault="00B54F4E" w:rsidP="006504C4">
            <w:pPr>
              <w:spacing w:before="0" w:after="0"/>
              <w:jc w:val="right"/>
              <w:rPr>
                <w:rFonts w:ascii="Calibri" w:hAnsi="Calibri" w:cs="Calibri"/>
                <w:color w:val="000000"/>
                <w:sz w:val="12"/>
                <w:szCs w:val="12"/>
                <w:lang w:eastAsia="es-CO"/>
              </w:rPr>
            </w:pPr>
          </w:p>
        </w:tc>
        <w:tc>
          <w:tcPr>
            <w:tcW w:w="252" w:type="pct"/>
            <w:tcBorders>
              <w:top w:val="nil"/>
              <w:left w:val="nil"/>
              <w:bottom w:val="nil"/>
              <w:right w:val="nil"/>
            </w:tcBorders>
            <w:shd w:val="clear" w:color="auto" w:fill="auto"/>
            <w:noWrap/>
            <w:vAlign w:val="bottom"/>
            <w:hideMark/>
          </w:tcPr>
          <w:p w14:paraId="2FE34AD1"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3DBA0F0A"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25DFC7A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4FC17E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62DF3E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BF1B4F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12B914DF"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61626303"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67D462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EFA0F40"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A280176"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BCCE55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E86C312"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2F6778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4548F20"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B03759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EC43B0B"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919C627"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33C6906E" w14:textId="77777777" w:rsidTr="006504C4">
        <w:trPr>
          <w:trHeight w:val="255"/>
        </w:trPr>
        <w:tc>
          <w:tcPr>
            <w:tcW w:w="1253" w:type="pct"/>
            <w:tcBorders>
              <w:top w:val="nil"/>
              <w:left w:val="nil"/>
              <w:bottom w:val="nil"/>
              <w:right w:val="nil"/>
            </w:tcBorders>
            <w:shd w:val="clear" w:color="auto" w:fill="auto"/>
            <w:noWrap/>
            <w:vAlign w:val="bottom"/>
            <w:hideMark/>
          </w:tcPr>
          <w:p w14:paraId="28D47645" w14:textId="77777777" w:rsidR="00B54F4E" w:rsidRPr="00611A94" w:rsidRDefault="00B54F4E" w:rsidP="006504C4">
            <w:pPr>
              <w:spacing w:before="0" w:after="0"/>
              <w:jc w:val="left"/>
              <w:rPr>
                <w:rFonts w:ascii="Times New Roman" w:hAnsi="Times New Roman"/>
                <w:sz w:val="12"/>
                <w:szCs w:val="12"/>
                <w:lang w:eastAsia="es-CO"/>
              </w:rPr>
            </w:pPr>
          </w:p>
        </w:tc>
        <w:tc>
          <w:tcPr>
            <w:tcW w:w="252" w:type="pct"/>
            <w:tcBorders>
              <w:top w:val="single" w:sz="4" w:space="0" w:color="FFFFFF"/>
              <w:left w:val="nil"/>
              <w:bottom w:val="single" w:sz="4" w:space="0" w:color="auto"/>
              <w:right w:val="single" w:sz="4" w:space="0" w:color="FFFFFF"/>
            </w:tcBorders>
            <w:shd w:val="clear" w:color="000000" w:fill="203764"/>
            <w:noWrap/>
            <w:vAlign w:val="bottom"/>
            <w:hideMark/>
          </w:tcPr>
          <w:p w14:paraId="79C9F7AD"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Beneficios</w:t>
            </w:r>
          </w:p>
        </w:tc>
        <w:tc>
          <w:tcPr>
            <w:tcW w:w="204" w:type="pct"/>
            <w:tcBorders>
              <w:top w:val="single" w:sz="4" w:space="0" w:color="FFFFFF"/>
              <w:left w:val="nil"/>
              <w:bottom w:val="single" w:sz="4" w:space="0" w:color="auto"/>
              <w:right w:val="single" w:sz="4" w:space="0" w:color="FFFFFF"/>
            </w:tcBorders>
            <w:shd w:val="clear" w:color="000000" w:fill="203764"/>
            <w:noWrap/>
            <w:vAlign w:val="bottom"/>
            <w:hideMark/>
          </w:tcPr>
          <w:p w14:paraId="542F940B"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Costos</w:t>
            </w:r>
          </w:p>
        </w:tc>
        <w:tc>
          <w:tcPr>
            <w:tcW w:w="204" w:type="pct"/>
            <w:tcBorders>
              <w:top w:val="single" w:sz="4" w:space="0" w:color="FFFFFF"/>
              <w:left w:val="nil"/>
              <w:bottom w:val="single" w:sz="4" w:space="0" w:color="auto"/>
              <w:right w:val="single" w:sz="4" w:space="0" w:color="FFFFFF"/>
            </w:tcBorders>
            <w:shd w:val="clear" w:color="000000" w:fill="203764"/>
            <w:noWrap/>
            <w:vAlign w:val="bottom"/>
            <w:hideMark/>
          </w:tcPr>
          <w:p w14:paraId="404F4EED"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Neto</w:t>
            </w:r>
          </w:p>
        </w:tc>
        <w:tc>
          <w:tcPr>
            <w:tcW w:w="208" w:type="pct"/>
            <w:tcBorders>
              <w:top w:val="nil"/>
              <w:left w:val="nil"/>
              <w:bottom w:val="nil"/>
              <w:right w:val="nil"/>
            </w:tcBorders>
            <w:shd w:val="clear" w:color="auto" w:fill="auto"/>
            <w:noWrap/>
            <w:vAlign w:val="bottom"/>
            <w:hideMark/>
          </w:tcPr>
          <w:p w14:paraId="3D93A746" w14:textId="77777777" w:rsidR="00B54F4E" w:rsidRPr="00611A94" w:rsidRDefault="00B54F4E" w:rsidP="006504C4">
            <w:pPr>
              <w:spacing w:before="0" w:after="0"/>
              <w:jc w:val="center"/>
              <w:rPr>
                <w:rFonts w:ascii="Calibri" w:hAnsi="Calibri" w:cs="Calibri"/>
                <w:color w:val="FFFFFF"/>
                <w:sz w:val="12"/>
                <w:szCs w:val="12"/>
                <w:lang w:eastAsia="es-CO"/>
              </w:rPr>
            </w:pPr>
          </w:p>
        </w:tc>
        <w:tc>
          <w:tcPr>
            <w:tcW w:w="208" w:type="pct"/>
            <w:tcBorders>
              <w:top w:val="nil"/>
              <w:left w:val="nil"/>
              <w:bottom w:val="nil"/>
              <w:right w:val="nil"/>
            </w:tcBorders>
            <w:shd w:val="clear" w:color="auto" w:fill="auto"/>
            <w:noWrap/>
            <w:vAlign w:val="bottom"/>
            <w:hideMark/>
          </w:tcPr>
          <w:p w14:paraId="648505B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E391CCA"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0124D05"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69219846"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8DB9F01"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C6FC09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63BD816"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0DDBA87"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6549B48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79F263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0F8AB66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78512E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733985D"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0168FD35"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09063152" w14:textId="77777777" w:rsidTr="006504C4">
        <w:trPr>
          <w:trHeight w:val="255"/>
        </w:trPr>
        <w:tc>
          <w:tcPr>
            <w:tcW w:w="1253" w:type="pct"/>
            <w:tcBorders>
              <w:top w:val="single" w:sz="4" w:space="0" w:color="auto"/>
              <w:left w:val="single" w:sz="4" w:space="0" w:color="auto"/>
              <w:bottom w:val="single" w:sz="4" w:space="0" w:color="auto"/>
              <w:right w:val="nil"/>
            </w:tcBorders>
            <w:shd w:val="clear" w:color="000000" w:fill="E2EFDA"/>
            <w:noWrap/>
            <w:vAlign w:val="bottom"/>
            <w:hideMark/>
          </w:tcPr>
          <w:p w14:paraId="639F8BF3"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VPN dic 2016 ($USD Millones)</w:t>
            </w:r>
          </w:p>
        </w:tc>
        <w:tc>
          <w:tcPr>
            <w:tcW w:w="252" w:type="pct"/>
            <w:tcBorders>
              <w:top w:val="nil"/>
              <w:left w:val="nil"/>
              <w:bottom w:val="single" w:sz="4" w:space="0" w:color="auto"/>
              <w:right w:val="single" w:sz="4" w:space="0" w:color="auto"/>
            </w:tcBorders>
            <w:shd w:val="clear" w:color="000000" w:fill="E2EFDA"/>
            <w:noWrap/>
            <w:vAlign w:val="bottom"/>
            <w:hideMark/>
          </w:tcPr>
          <w:p w14:paraId="7AC8D34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$29</w:t>
            </w:r>
          </w:p>
        </w:tc>
        <w:tc>
          <w:tcPr>
            <w:tcW w:w="204" w:type="pct"/>
            <w:tcBorders>
              <w:top w:val="nil"/>
              <w:left w:val="nil"/>
              <w:bottom w:val="single" w:sz="4" w:space="0" w:color="auto"/>
              <w:right w:val="single" w:sz="4" w:space="0" w:color="auto"/>
            </w:tcBorders>
            <w:shd w:val="clear" w:color="000000" w:fill="E2EFDA"/>
            <w:noWrap/>
            <w:vAlign w:val="bottom"/>
            <w:hideMark/>
          </w:tcPr>
          <w:p w14:paraId="055D9BB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w:t>
            </w:r>
          </w:p>
        </w:tc>
        <w:tc>
          <w:tcPr>
            <w:tcW w:w="204" w:type="pct"/>
            <w:tcBorders>
              <w:top w:val="nil"/>
              <w:left w:val="nil"/>
              <w:bottom w:val="single" w:sz="4" w:space="0" w:color="auto"/>
              <w:right w:val="single" w:sz="4" w:space="0" w:color="auto"/>
            </w:tcBorders>
            <w:shd w:val="clear" w:color="000000" w:fill="E2EFDA"/>
            <w:noWrap/>
            <w:vAlign w:val="bottom"/>
            <w:hideMark/>
          </w:tcPr>
          <w:p w14:paraId="732C78C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$23</w:t>
            </w:r>
          </w:p>
        </w:tc>
        <w:tc>
          <w:tcPr>
            <w:tcW w:w="208" w:type="pct"/>
            <w:tcBorders>
              <w:top w:val="nil"/>
              <w:left w:val="nil"/>
              <w:bottom w:val="nil"/>
              <w:right w:val="nil"/>
            </w:tcBorders>
            <w:shd w:val="clear" w:color="auto" w:fill="auto"/>
            <w:noWrap/>
            <w:vAlign w:val="bottom"/>
            <w:hideMark/>
          </w:tcPr>
          <w:p w14:paraId="0C2333D5" w14:textId="77777777" w:rsidR="00B54F4E" w:rsidRPr="00611A94" w:rsidRDefault="00B54F4E" w:rsidP="006504C4">
            <w:pPr>
              <w:spacing w:before="0" w:after="0"/>
              <w:jc w:val="right"/>
              <w:rPr>
                <w:rFonts w:ascii="Calibri" w:hAnsi="Calibri" w:cs="Calibri"/>
                <w:color w:val="000000"/>
                <w:sz w:val="12"/>
                <w:szCs w:val="12"/>
                <w:lang w:eastAsia="es-CO"/>
              </w:rPr>
            </w:pPr>
          </w:p>
        </w:tc>
        <w:tc>
          <w:tcPr>
            <w:tcW w:w="208" w:type="pct"/>
            <w:tcBorders>
              <w:top w:val="nil"/>
              <w:left w:val="nil"/>
              <w:bottom w:val="nil"/>
              <w:right w:val="nil"/>
            </w:tcBorders>
            <w:shd w:val="clear" w:color="auto" w:fill="auto"/>
            <w:noWrap/>
            <w:vAlign w:val="bottom"/>
            <w:hideMark/>
          </w:tcPr>
          <w:p w14:paraId="3D882076"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A521D8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B442CB2" w14:textId="77777777" w:rsidR="00B54F4E" w:rsidRPr="00611A94" w:rsidRDefault="00B54F4E" w:rsidP="006504C4">
            <w:pPr>
              <w:spacing w:before="0" w:after="0"/>
              <w:jc w:val="left"/>
              <w:rPr>
                <w:rFonts w:ascii="Times New Roman" w:hAnsi="Times New Roman"/>
                <w:sz w:val="12"/>
                <w:szCs w:val="12"/>
                <w:lang w:eastAsia="es-CO"/>
              </w:rPr>
            </w:pPr>
          </w:p>
        </w:tc>
        <w:tc>
          <w:tcPr>
            <w:tcW w:w="183" w:type="pct"/>
            <w:tcBorders>
              <w:top w:val="nil"/>
              <w:left w:val="nil"/>
              <w:bottom w:val="nil"/>
              <w:right w:val="nil"/>
            </w:tcBorders>
            <w:shd w:val="clear" w:color="auto" w:fill="auto"/>
            <w:noWrap/>
            <w:vAlign w:val="bottom"/>
            <w:hideMark/>
          </w:tcPr>
          <w:p w14:paraId="71738247"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7759C0EC"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94B0390"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5DD47F75"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C2A84AB"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63073CE"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4BD77DF4"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2507C47F"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60A0139" w14:textId="77777777" w:rsidR="00B54F4E" w:rsidRPr="00611A94" w:rsidRDefault="00B54F4E" w:rsidP="006504C4">
            <w:pPr>
              <w:spacing w:before="0" w:after="0"/>
              <w:jc w:val="left"/>
              <w:rPr>
                <w:rFonts w:ascii="Times New Roman" w:hAnsi="Times New Roman"/>
                <w:sz w:val="12"/>
                <w:szCs w:val="12"/>
                <w:lang w:eastAsia="es-CO"/>
              </w:rPr>
            </w:pPr>
          </w:p>
        </w:tc>
        <w:tc>
          <w:tcPr>
            <w:tcW w:w="208" w:type="pct"/>
            <w:tcBorders>
              <w:top w:val="nil"/>
              <w:left w:val="nil"/>
              <w:bottom w:val="nil"/>
              <w:right w:val="nil"/>
            </w:tcBorders>
            <w:shd w:val="clear" w:color="auto" w:fill="auto"/>
            <w:noWrap/>
            <w:vAlign w:val="bottom"/>
            <w:hideMark/>
          </w:tcPr>
          <w:p w14:paraId="38DDAD51"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2B4ECC73" w14:textId="77777777" w:rsidR="00B54F4E" w:rsidRPr="00611A94" w:rsidRDefault="00B54F4E" w:rsidP="006504C4">
            <w:pPr>
              <w:spacing w:before="0" w:after="0"/>
              <w:jc w:val="left"/>
              <w:rPr>
                <w:rFonts w:ascii="Times New Roman" w:hAnsi="Times New Roman"/>
                <w:sz w:val="12"/>
                <w:szCs w:val="12"/>
                <w:lang w:eastAsia="es-CO"/>
              </w:rPr>
            </w:pPr>
          </w:p>
        </w:tc>
      </w:tr>
    </w:tbl>
    <w:p w14:paraId="4D9ECC96" w14:textId="77777777" w:rsidR="00B54F4E" w:rsidRDefault="00B54F4E" w:rsidP="00B54F4E">
      <w:pPr>
        <w:spacing w:before="0" w:after="160" w:line="259" w:lineRule="auto"/>
        <w:jc w:val="left"/>
        <w:rPr>
          <w:b/>
        </w:rPr>
      </w:pPr>
      <w:r>
        <w:rPr>
          <w:b/>
        </w:rPr>
        <w:br w:type="page"/>
      </w:r>
    </w:p>
    <w:p w14:paraId="601B805D" w14:textId="77777777" w:rsidR="00B54F4E" w:rsidRPr="006C4E72" w:rsidRDefault="00B54F4E" w:rsidP="00B54F4E">
      <w:pPr>
        <w:ind w:left="720"/>
        <w:jc w:val="center"/>
        <w:rPr>
          <w:b/>
        </w:rPr>
      </w:pPr>
      <w:bookmarkStart w:id="162" w:name="_Toc484097075"/>
      <w:r w:rsidRPr="008C12BC">
        <w:rPr>
          <w:b/>
        </w:rPr>
        <w:lastRenderedPageBreak/>
        <w:t xml:space="preserve">Tabla </w:t>
      </w:r>
      <w:r w:rsidRPr="008C12BC">
        <w:rPr>
          <w:b/>
        </w:rPr>
        <w:fldChar w:fldCharType="begin"/>
      </w:r>
      <w:r w:rsidRPr="008C12BC">
        <w:rPr>
          <w:b/>
        </w:rPr>
        <w:instrText xml:space="preserve"> SEQ Tabla \* ARABIC </w:instrText>
      </w:r>
      <w:r w:rsidRPr="008C12BC">
        <w:rPr>
          <w:b/>
        </w:rPr>
        <w:fldChar w:fldCharType="separate"/>
      </w:r>
      <w:r>
        <w:rPr>
          <w:b/>
          <w:noProof/>
        </w:rPr>
        <w:t>35</w:t>
      </w:r>
      <w:r w:rsidRPr="008C12BC">
        <w:rPr>
          <w:b/>
        </w:rPr>
        <w:fldChar w:fldCharType="end"/>
      </w:r>
      <w:r>
        <w:rPr>
          <w:b/>
        </w:rPr>
        <w:t xml:space="preserve"> – Proyección de beneficios y costos para las medidas arquitectónicas en edificaciones nuevas (Sector Público)</w:t>
      </w:r>
      <w:bookmarkEnd w:id="162"/>
    </w:p>
    <w:tbl>
      <w:tblPr>
        <w:tblW w:w="5122" w:type="pct"/>
        <w:tblCellMar>
          <w:left w:w="70" w:type="dxa"/>
          <w:right w:w="70" w:type="dxa"/>
        </w:tblCellMar>
        <w:tblLook w:val="04A0" w:firstRow="1" w:lastRow="0" w:firstColumn="1" w:lastColumn="0" w:noHBand="0" w:noVBand="1"/>
      </w:tblPr>
      <w:tblGrid>
        <w:gridCol w:w="3254"/>
        <w:gridCol w:w="678"/>
        <w:gridCol w:w="552"/>
        <w:gridCol w:w="552"/>
        <w:gridCol w:w="560"/>
        <w:gridCol w:w="560"/>
        <w:gridCol w:w="559"/>
        <w:gridCol w:w="559"/>
        <w:gridCol w:w="480"/>
        <w:gridCol w:w="559"/>
        <w:gridCol w:w="559"/>
        <w:gridCol w:w="559"/>
        <w:gridCol w:w="559"/>
        <w:gridCol w:w="559"/>
        <w:gridCol w:w="559"/>
        <w:gridCol w:w="559"/>
        <w:gridCol w:w="559"/>
        <w:gridCol w:w="559"/>
        <w:gridCol w:w="536"/>
      </w:tblGrid>
      <w:tr w:rsidR="00B54F4E" w:rsidRPr="00611A94" w14:paraId="719E63D4" w14:textId="77777777" w:rsidTr="006504C4">
        <w:trPr>
          <w:trHeight w:val="254"/>
        </w:trPr>
        <w:tc>
          <w:tcPr>
            <w:tcW w:w="1221" w:type="pct"/>
            <w:tcBorders>
              <w:top w:val="single" w:sz="4" w:space="0" w:color="000000"/>
              <w:left w:val="nil"/>
              <w:bottom w:val="single" w:sz="4" w:space="0" w:color="000000"/>
              <w:right w:val="nil"/>
            </w:tcBorders>
            <w:shd w:val="clear" w:color="auto" w:fill="auto"/>
            <w:noWrap/>
            <w:vAlign w:val="bottom"/>
            <w:hideMark/>
          </w:tcPr>
          <w:p w14:paraId="1A1862E1"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Consumo promedio de un usuario oficial GWh/Año</w:t>
            </w:r>
          </w:p>
        </w:tc>
        <w:tc>
          <w:tcPr>
            <w:tcW w:w="254" w:type="pct"/>
            <w:tcBorders>
              <w:top w:val="single" w:sz="4" w:space="0" w:color="000000"/>
              <w:left w:val="nil"/>
              <w:bottom w:val="single" w:sz="4" w:space="0" w:color="000000"/>
              <w:right w:val="nil"/>
            </w:tcBorders>
            <w:shd w:val="clear" w:color="auto" w:fill="auto"/>
            <w:noWrap/>
            <w:vAlign w:val="bottom"/>
            <w:hideMark/>
          </w:tcPr>
          <w:p w14:paraId="34960537" w14:textId="77777777" w:rsidR="00B54F4E" w:rsidRPr="00611A94" w:rsidRDefault="00B54F4E" w:rsidP="006504C4">
            <w:pPr>
              <w:spacing w:before="0" w:after="0"/>
              <w:jc w:val="right"/>
              <w:rPr>
                <w:rFonts w:ascii="Calibri" w:hAnsi="Calibri" w:cs="Calibri"/>
                <w:color w:val="00B050"/>
                <w:sz w:val="12"/>
                <w:szCs w:val="12"/>
                <w:lang w:eastAsia="es-CO"/>
              </w:rPr>
            </w:pPr>
            <w:r w:rsidRPr="00611A94">
              <w:rPr>
                <w:rFonts w:ascii="Calibri" w:hAnsi="Calibri" w:cs="Calibri"/>
                <w:color w:val="00B050"/>
                <w:sz w:val="12"/>
                <w:szCs w:val="12"/>
                <w:lang w:eastAsia="es-CO"/>
              </w:rPr>
              <w:t>0,1324364</w:t>
            </w:r>
          </w:p>
        </w:tc>
        <w:tc>
          <w:tcPr>
            <w:tcW w:w="207" w:type="pct"/>
            <w:tcBorders>
              <w:top w:val="nil"/>
              <w:left w:val="nil"/>
              <w:bottom w:val="nil"/>
              <w:right w:val="nil"/>
            </w:tcBorders>
            <w:shd w:val="clear" w:color="auto" w:fill="auto"/>
            <w:noWrap/>
            <w:vAlign w:val="bottom"/>
            <w:hideMark/>
          </w:tcPr>
          <w:p w14:paraId="7A52E0A6" w14:textId="77777777" w:rsidR="00B54F4E" w:rsidRPr="00611A94" w:rsidRDefault="00B54F4E" w:rsidP="006504C4">
            <w:pPr>
              <w:spacing w:before="0" w:after="0"/>
              <w:jc w:val="right"/>
              <w:rPr>
                <w:rFonts w:ascii="Calibri" w:hAnsi="Calibri" w:cs="Calibri"/>
                <w:color w:val="00B050"/>
                <w:sz w:val="12"/>
                <w:szCs w:val="12"/>
                <w:lang w:eastAsia="es-CO"/>
              </w:rPr>
            </w:pPr>
          </w:p>
        </w:tc>
        <w:tc>
          <w:tcPr>
            <w:tcW w:w="207" w:type="pct"/>
            <w:tcBorders>
              <w:top w:val="nil"/>
              <w:left w:val="nil"/>
              <w:bottom w:val="nil"/>
              <w:right w:val="nil"/>
            </w:tcBorders>
            <w:shd w:val="clear" w:color="auto" w:fill="auto"/>
            <w:noWrap/>
            <w:vAlign w:val="bottom"/>
            <w:hideMark/>
          </w:tcPr>
          <w:p w14:paraId="5881400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1834DB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54A917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8BB96D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F958AD2"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66FB6B4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64FB6E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B2948A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9D6505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DD41F1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DB9DC9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E509D3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5AD2E3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FD1B92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BBA206F"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E7B0C95"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178CAA31" w14:textId="77777777" w:rsidTr="006504C4">
        <w:trPr>
          <w:trHeight w:val="254"/>
        </w:trPr>
        <w:tc>
          <w:tcPr>
            <w:tcW w:w="1221" w:type="pct"/>
            <w:tcBorders>
              <w:top w:val="nil"/>
              <w:left w:val="nil"/>
              <w:bottom w:val="nil"/>
              <w:right w:val="nil"/>
            </w:tcBorders>
            <w:shd w:val="clear" w:color="auto" w:fill="auto"/>
            <w:noWrap/>
            <w:vAlign w:val="bottom"/>
            <w:hideMark/>
          </w:tcPr>
          <w:p w14:paraId="6468A297"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Potencial de ahorro medidas arquitectónicas primera etapa</w:t>
            </w:r>
          </w:p>
        </w:tc>
        <w:tc>
          <w:tcPr>
            <w:tcW w:w="254" w:type="pct"/>
            <w:tcBorders>
              <w:top w:val="nil"/>
              <w:left w:val="nil"/>
              <w:bottom w:val="nil"/>
              <w:right w:val="nil"/>
            </w:tcBorders>
            <w:shd w:val="clear" w:color="auto" w:fill="auto"/>
            <w:noWrap/>
            <w:vAlign w:val="bottom"/>
            <w:hideMark/>
          </w:tcPr>
          <w:p w14:paraId="1D326E53"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15,0%</w:t>
            </w:r>
          </w:p>
        </w:tc>
        <w:tc>
          <w:tcPr>
            <w:tcW w:w="207" w:type="pct"/>
            <w:tcBorders>
              <w:top w:val="nil"/>
              <w:left w:val="nil"/>
              <w:bottom w:val="nil"/>
              <w:right w:val="nil"/>
            </w:tcBorders>
            <w:shd w:val="clear" w:color="auto" w:fill="auto"/>
            <w:noWrap/>
            <w:vAlign w:val="bottom"/>
            <w:hideMark/>
          </w:tcPr>
          <w:p w14:paraId="32BF161C" w14:textId="77777777" w:rsidR="00B54F4E" w:rsidRPr="00611A94" w:rsidRDefault="00B54F4E" w:rsidP="006504C4">
            <w:pPr>
              <w:spacing w:before="0" w:after="0"/>
              <w:jc w:val="right"/>
              <w:rPr>
                <w:rFonts w:ascii="Calibri" w:hAnsi="Calibri" w:cs="Calibri"/>
                <w:color w:val="0000FF"/>
                <w:sz w:val="12"/>
                <w:szCs w:val="12"/>
                <w:lang w:eastAsia="es-CO"/>
              </w:rPr>
            </w:pPr>
          </w:p>
        </w:tc>
        <w:tc>
          <w:tcPr>
            <w:tcW w:w="207" w:type="pct"/>
            <w:tcBorders>
              <w:top w:val="nil"/>
              <w:left w:val="nil"/>
              <w:bottom w:val="nil"/>
              <w:right w:val="nil"/>
            </w:tcBorders>
            <w:shd w:val="clear" w:color="auto" w:fill="auto"/>
            <w:noWrap/>
            <w:vAlign w:val="bottom"/>
            <w:hideMark/>
          </w:tcPr>
          <w:p w14:paraId="67BFED3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8FD186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09ECA37"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6C077C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0C0A274"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692511B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E25373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4C48A2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2F5E5F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E83499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DAABCB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A166BF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93867C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3F1111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22A2947"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667E54EB"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168B8086" w14:textId="77777777" w:rsidTr="006504C4">
        <w:trPr>
          <w:trHeight w:val="254"/>
        </w:trPr>
        <w:tc>
          <w:tcPr>
            <w:tcW w:w="1221" w:type="pct"/>
            <w:tcBorders>
              <w:top w:val="nil"/>
              <w:left w:val="nil"/>
              <w:bottom w:val="single" w:sz="4" w:space="0" w:color="000000"/>
              <w:right w:val="nil"/>
            </w:tcBorders>
            <w:shd w:val="clear" w:color="auto" w:fill="auto"/>
            <w:noWrap/>
            <w:vAlign w:val="bottom"/>
            <w:hideMark/>
          </w:tcPr>
          <w:p w14:paraId="0A69E615"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Potencial de ahorro medidas arquitectónicas segunda etapa</w:t>
            </w:r>
          </w:p>
        </w:tc>
        <w:tc>
          <w:tcPr>
            <w:tcW w:w="254" w:type="pct"/>
            <w:tcBorders>
              <w:top w:val="nil"/>
              <w:left w:val="nil"/>
              <w:bottom w:val="single" w:sz="4" w:space="0" w:color="000000"/>
              <w:right w:val="nil"/>
            </w:tcBorders>
            <w:shd w:val="clear" w:color="auto" w:fill="auto"/>
            <w:noWrap/>
            <w:vAlign w:val="bottom"/>
            <w:hideMark/>
          </w:tcPr>
          <w:p w14:paraId="1BAC63A9"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20,0%</w:t>
            </w:r>
          </w:p>
        </w:tc>
        <w:tc>
          <w:tcPr>
            <w:tcW w:w="207" w:type="pct"/>
            <w:tcBorders>
              <w:top w:val="nil"/>
              <w:left w:val="nil"/>
              <w:bottom w:val="nil"/>
              <w:right w:val="nil"/>
            </w:tcBorders>
            <w:shd w:val="clear" w:color="auto" w:fill="auto"/>
            <w:noWrap/>
            <w:vAlign w:val="bottom"/>
            <w:hideMark/>
          </w:tcPr>
          <w:p w14:paraId="3F780E6E" w14:textId="77777777" w:rsidR="00B54F4E" w:rsidRPr="00611A94" w:rsidRDefault="00B54F4E" w:rsidP="006504C4">
            <w:pPr>
              <w:spacing w:before="0" w:after="0"/>
              <w:jc w:val="right"/>
              <w:rPr>
                <w:rFonts w:ascii="Calibri" w:hAnsi="Calibri" w:cs="Calibri"/>
                <w:color w:val="0000FF"/>
                <w:sz w:val="12"/>
                <w:szCs w:val="12"/>
                <w:lang w:eastAsia="es-CO"/>
              </w:rPr>
            </w:pPr>
          </w:p>
        </w:tc>
        <w:tc>
          <w:tcPr>
            <w:tcW w:w="207" w:type="pct"/>
            <w:tcBorders>
              <w:top w:val="nil"/>
              <w:left w:val="nil"/>
              <w:bottom w:val="nil"/>
              <w:right w:val="nil"/>
            </w:tcBorders>
            <w:shd w:val="clear" w:color="auto" w:fill="auto"/>
            <w:noWrap/>
            <w:vAlign w:val="bottom"/>
            <w:hideMark/>
          </w:tcPr>
          <w:p w14:paraId="7BCE691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8A2EDC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D89A5E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4AEF70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748568F"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3D2D859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669C87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33B7CC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C2FB7F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DB04894"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EDD402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8F36267"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C12C66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7527E7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2C975CB"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05B89DD4"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6B05E64C" w14:textId="77777777" w:rsidTr="006504C4">
        <w:trPr>
          <w:trHeight w:val="254"/>
        </w:trPr>
        <w:tc>
          <w:tcPr>
            <w:tcW w:w="1221" w:type="pct"/>
            <w:tcBorders>
              <w:top w:val="nil"/>
              <w:left w:val="nil"/>
              <w:bottom w:val="nil"/>
              <w:right w:val="nil"/>
            </w:tcBorders>
            <w:shd w:val="clear" w:color="auto" w:fill="auto"/>
            <w:noWrap/>
            <w:vAlign w:val="bottom"/>
            <w:hideMark/>
          </w:tcPr>
          <w:p w14:paraId="00CE4920"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Inicio primera etapa de norma</w:t>
            </w:r>
          </w:p>
        </w:tc>
        <w:tc>
          <w:tcPr>
            <w:tcW w:w="254" w:type="pct"/>
            <w:tcBorders>
              <w:top w:val="nil"/>
              <w:left w:val="nil"/>
              <w:bottom w:val="nil"/>
              <w:right w:val="nil"/>
            </w:tcBorders>
            <w:shd w:val="clear" w:color="auto" w:fill="auto"/>
            <w:noWrap/>
            <w:vAlign w:val="bottom"/>
            <w:hideMark/>
          </w:tcPr>
          <w:p w14:paraId="04D7FA8D"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2017</w:t>
            </w:r>
          </w:p>
        </w:tc>
        <w:tc>
          <w:tcPr>
            <w:tcW w:w="207" w:type="pct"/>
            <w:tcBorders>
              <w:top w:val="nil"/>
              <w:left w:val="nil"/>
              <w:bottom w:val="nil"/>
              <w:right w:val="nil"/>
            </w:tcBorders>
            <w:shd w:val="clear" w:color="auto" w:fill="auto"/>
            <w:noWrap/>
            <w:vAlign w:val="bottom"/>
            <w:hideMark/>
          </w:tcPr>
          <w:p w14:paraId="6CB3AB9B" w14:textId="77777777" w:rsidR="00B54F4E" w:rsidRPr="00611A94" w:rsidRDefault="00B54F4E" w:rsidP="006504C4">
            <w:pPr>
              <w:spacing w:before="0" w:after="0"/>
              <w:jc w:val="right"/>
              <w:rPr>
                <w:rFonts w:ascii="Calibri" w:hAnsi="Calibri" w:cs="Calibri"/>
                <w:color w:val="0000FF"/>
                <w:sz w:val="12"/>
                <w:szCs w:val="12"/>
                <w:lang w:eastAsia="es-CO"/>
              </w:rPr>
            </w:pPr>
          </w:p>
        </w:tc>
        <w:tc>
          <w:tcPr>
            <w:tcW w:w="207" w:type="pct"/>
            <w:tcBorders>
              <w:top w:val="nil"/>
              <w:left w:val="nil"/>
              <w:bottom w:val="nil"/>
              <w:right w:val="nil"/>
            </w:tcBorders>
            <w:shd w:val="clear" w:color="auto" w:fill="auto"/>
            <w:noWrap/>
            <w:vAlign w:val="bottom"/>
            <w:hideMark/>
          </w:tcPr>
          <w:p w14:paraId="43CB45B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83EBC7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9D147D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CBF0EA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8A1F1F0"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07CB52F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E39975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270538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A422BB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79460C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252775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0B8D01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D13145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000F4B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FBA2FCF"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4C8EBAB"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2CA37F8B" w14:textId="77777777" w:rsidTr="006504C4">
        <w:trPr>
          <w:trHeight w:val="254"/>
        </w:trPr>
        <w:tc>
          <w:tcPr>
            <w:tcW w:w="1221" w:type="pct"/>
            <w:tcBorders>
              <w:top w:val="nil"/>
              <w:left w:val="nil"/>
              <w:bottom w:val="nil"/>
              <w:right w:val="nil"/>
            </w:tcBorders>
            <w:shd w:val="clear" w:color="auto" w:fill="auto"/>
            <w:noWrap/>
            <w:vAlign w:val="bottom"/>
            <w:hideMark/>
          </w:tcPr>
          <w:p w14:paraId="5C60D005"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Fin primera etapa de norma</w:t>
            </w:r>
          </w:p>
        </w:tc>
        <w:tc>
          <w:tcPr>
            <w:tcW w:w="254" w:type="pct"/>
            <w:tcBorders>
              <w:top w:val="nil"/>
              <w:left w:val="nil"/>
              <w:bottom w:val="nil"/>
              <w:right w:val="nil"/>
            </w:tcBorders>
            <w:shd w:val="clear" w:color="auto" w:fill="auto"/>
            <w:noWrap/>
            <w:vAlign w:val="bottom"/>
            <w:hideMark/>
          </w:tcPr>
          <w:p w14:paraId="09192490"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2018</w:t>
            </w:r>
          </w:p>
        </w:tc>
        <w:tc>
          <w:tcPr>
            <w:tcW w:w="207" w:type="pct"/>
            <w:tcBorders>
              <w:top w:val="nil"/>
              <w:left w:val="nil"/>
              <w:bottom w:val="nil"/>
              <w:right w:val="nil"/>
            </w:tcBorders>
            <w:shd w:val="clear" w:color="auto" w:fill="auto"/>
            <w:noWrap/>
            <w:vAlign w:val="bottom"/>
            <w:hideMark/>
          </w:tcPr>
          <w:p w14:paraId="249C6C80" w14:textId="77777777" w:rsidR="00B54F4E" w:rsidRPr="00611A94" w:rsidRDefault="00B54F4E" w:rsidP="006504C4">
            <w:pPr>
              <w:spacing w:before="0" w:after="0"/>
              <w:jc w:val="right"/>
              <w:rPr>
                <w:rFonts w:ascii="Calibri" w:hAnsi="Calibri" w:cs="Calibri"/>
                <w:color w:val="0000FF"/>
                <w:sz w:val="12"/>
                <w:szCs w:val="12"/>
                <w:lang w:eastAsia="es-CO"/>
              </w:rPr>
            </w:pPr>
          </w:p>
        </w:tc>
        <w:tc>
          <w:tcPr>
            <w:tcW w:w="207" w:type="pct"/>
            <w:tcBorders>
              <w:top w:val="nil"/>
              <w:left w:val="nil"/>
              <w:bottom w:val="nil"/>
              <w:right w:val="nil"/>
            </w:tcBorders>
            <w:shd w:val="clear" w:color="auto" w:fill="auto"/>
            <w:noWrap/>
            <w:vAlign w:val="bottom"/>
            <w:hideMark/>
          </w:tcPr>
          <w:p w14:paraId="1FFB293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168FE1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3E8B3C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1451FE7"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3E59AA6"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2A6ABD9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BF7368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5F46EA7"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D45D5A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B236C5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8FF663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90169D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646C58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414DD7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F8180D0"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6379031"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50235B4C" w14:textId="77777777" w:rsidTr="006504C4">
        <w:trPr>
          <w:trHeight w:val="254"/>
        </w:trPr>
        <w:tc>
          <w:tcPr>
            <w:tcW w:w="1221" w:type="pct"/>
            <w:tcBorders>
              <w:top w:val="nil"/>
              <w:left w:val="nil"/>
              <w:bottom w:val="single" w:sz="4" w:space="0" w:color="000000"/>
              <w:right w:val="nil"/>
            </w:tcBorders>
            <w:shd w:val="clear" w:color="auto" w:fill="auto"/>
            <w:noWrap/>
            <w:vAlign w:val="bottom"/>
            <w:hideMark/>
          </w:tcPr>
          <w:p w14:paraId="1760C5E0"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Inicio segunda etapa de norma</w:t>
            </w:r>
          </w:p>
        </w:tc>
        <w:tc>
          <w:tcPr>
            <w:tcW w:w="254" w:type="pct"/>
            <w:tcBorders>
              <w:top w:val="nil"/>
              <w:left w:val="nil"/>
              <w:bottom w:val="single" w:sz="4" w:space="0" w:color="000000"/>
              <w:right w:val="nil"/>
            </w:tcBorders>
            <w:shd w:val="clear" w:color="auto" w:fill="auto"/>
            <w:noWrap/>
            <w:vAlign w:val="bottom"/>
            <w:hideMark/>
          </w:tcPr>
          <w:p w14:paraId="7693D5B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2019</w:t>
            </w:r>
          </w:p>
        </w:tc>
        <w:tc>
          <w:tcPr>
            <w:tcW w:w="207" w:type="pct"/>
            <w:tcBorders>
              <w:top w:val="nil"/>
              <w:left w:val="nil"/>
              <w:bottom w:val="nil"/>
              <w:right w:val="nil"/>
            </w:tcBorders>
            <w:shd w:val="clear" w:color="auto" w:fill="auto"/>
            <w:noWrap/>
            <w:vAlign w:val="bottom"/>
            <w:hideMark/>
          </w:tcPr>
          <w:p w14:paraId="207A1E21" w14:textId="77777777" w:rsidR="00B54F4E" w:rsidRPr="00611A94" w:rsidRDefault="00B54F4E" w:rsidP="006504C4">
            <w:pPr>
              <w:spacing w:before="0" w:after="0"/>
              <w:jc w:val="right"/>
              <w:rPr>
                <w:rFonts w:ascii="Calibri" w:hAnsi="Calibri" w:cs="Calibri"/>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07E2934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A381874"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50EECE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8A4820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A1C8A3A"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73EFA47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B8466E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16D973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4501D1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079911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2C0EC7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E3D40E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EF0323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FC24BE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BE6CF68"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60AFB799"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2CD88A47" w14:textId="77777777" w:rsidTr="006504C4">
        <w:trPr>
          <w:trHeight w:val="254"/>
        </w:trPr>
        <w:tc>
          <w:tcPr>
            <w:tcW w:w="1221" w:type="pct"/>
            <w:tcBorders>
              <w:top w:val="nil"/>
              <w:left w:val="nil"/>
              <w:bottom w:val="nil"/>
              <w:right w:val="nil"/>
            </w:tcBorders>
            <w:shd w:val="clear" w:color="auto" w:fill="auto"/>
            <w:noWrap/>
            <w:vAlign w:val="bottom"/>
            <w:hideMark/>
          </w:tcPr>
          <w:p w14:paraId="77724FF8" w14:textId="77777777" w:rsidR="00B54F4E" w:rsidRPr="00611A94" w:rsidRDefault="00B54F4E" w:rsidP="006504C4">
            <w:pPr>
              <w:spacing w:before="0" w:after="0"/>
              <w:jc w:val="left"/>
              <w:rPr>
                <w:rFonts w:ascii="Calibri" w:hAnsi="Calibri" w:cs="Calibri"/>
                <w:i/>
                <w:iCs/>
                <w:color w:val="000000"/>
                <w:sz w:val="12"/>
                <w:szCs w:val="12"/>
                <w:lang w:eastAsia="es-CO"/>
              </w:rPr>
            </w:pPr>
            <w:r w:rsidRPr="00611A94">
              <w:rPr>
                <w:rFonts w:ascii="Calibri" w:hAnsi="Calibri" w:cs="Calibri"/>
                <w:i/>
                <w:iCs/>
                <w:color w:val="000000"/>
                <w:sz w:val="12"/>
                <w:szCs w:val="12"/>
                <w:lang w:eastAsia="es-CO"/>
              </w:rPr>
              <w:t>Nota: consumo está considerando también alumbrado público</w:t>
            </w:r>
          </w:p>
        </w:tc>
        <w:tc>
          <w:tcPr>
            <w:tcW w:w="254" w:type="pct"/>
            <w:tcBorders>
              <w:top w:val="nil"/>
              <w:left w:val="nil"/>
              <w:bottom w:val="nil"/>
              <w:right w:val="nil"/>
            </w:tcBorders>
            <w:shd w:val="clear" w:color="auto" w:fill="auto"/>
            <w:noWrap/>
            <w:vAlign w:val="bottom"/>
            <w:hideMark/>
          </w:tcPr>
          <w:p w14:paraId="7772C35E" w14:textId="77777777" w:rsidR="00B54F4E" w:rsidRPr="00611A94" w:rsidRDefault="00B54F4E" w:rsidP="006504C4">
            <w:pPr>
              <w:spacing w:before="0" w:after="0"/>
              <w:jc w:val="left"/>
              <w:rPr>
                <w:rFonts w:ascii="Calibri" w:hAnsi="Calibri" w:cs="Calibri"/>
                <w:i/>
                <w:iCs/>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08BDEB1B"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78F12B5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717D1B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7D4322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2955E4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74FC981"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3AF2144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401E83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837B90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CC1994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A2330C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31354A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7A27484"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E5C9F2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251A827"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1ACC0FA"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7B74045E"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06AD939E" w14:textId="77777777" w:rsidTr="006504C4">
        <w:trPr>
          <w:trHeight w:val="254"/>
        </w:trPr>
        <w:tc>
          <w:tcPr>
            <w:tcW w:w="1221" w:type="pct"/>
            <w:tcBorders>
              <w:top w:val="nil"/>
              <w:left w:val="nil"/>
              <w:bottom w:val="nil"/>
              <w:right w:val="nil"/>
            </w:tcBorders>
            <w:shd w:val="clear" w:color="auto" w:fill="auto"/>
            <w:noWrap/>
            <w:vAlign w:val="bottom"/>
            <w:hideMark/>
          </w:tcPr>
          <w:p w14:paraId="0A3D90A6" w14:textId="77777777" w:rsidR="00B54F4E" w:rsidRPr="00611A94" w:rsidRDefault="00B54F4E" w:rsidP="006504C4">
            <w:pPr>
              <w:spacing w:before="0" w:after="0"/>
              <w:jc w:val="left"/>
              <w:rPr>
                <w:rFonts w:ascii="Times New Roman" w:hAnsi="Times New Roman"/>
                <w:sz w:val="12"/>
                <w:szCs w:val="12"/>
                <w:lang w:eastAsia="es-CO"/>
              </w:rPr>
            </w:pPr>
          </w:p>
        </w:tc>
        <w:tc>
          <w:tcPr>
            <w:tcW w:w="254" w:type="pct"/>
            <w:tcBorders>
              <w:top w:val="nil"/>
              <w:left w:val="nil"/>
              <w:bottom w:val="nil"/>
              <w:right w:val="nil"/>
            </w:tcBorders>
            <w:shd w:val="clear" w:color="auto" w:fill="auto"/>
            <w:noWrap/>
            <w:vAlign w:val="bottom"/>
            <w:hideMark/>
          </w:tcPr>
          <w:p w14:paraId="76E2F563"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7BECC2EF"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44FF414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F786E1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A24BA7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E11DA4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DEF52A5"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41426C04"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C36BAC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AA76E2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438D70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39E2F1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6814F6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9CF4E1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0F4EE3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F630CC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5EEA1A8"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EBCA908"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182B3792" w14:textId="77777777" w:rsidTr="006504C4">
        <w:trPr>
          <w:trHeight w:val="254"/>
        </w:trPr>
        <w:tc>
          <w:tcPr>
            <w:tcW w:w="1221" w:type="pct"/>
            <w:tcBorders>
              <w:top w:val="nil"/>
              <w:left w:val="nil"/>
              <w:bottom w:val="single" w:sz="4" w:space="0" w:color="auto"/>
              <w:right w:val="nil"/>
            </w:tcBorders>
            <w:shd w:val="clear" w:color="auto" w:fill="auto"/>
            <w:noWrap/>
            <w:vAlign w:val="bottom"/>
            <w:hideMark/>
          </w:tcPr>
          <w:p w14:paraId="4C04C39A"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$USD</w:t>
            </w:r>
          </w:p>
        </w:tc>
        <w:tc>
          <w:tcPr>
            <w:tcW w:w="254" w:type="pct"/>
            <w:tcBorders>
              <w:top w:val="nil"/>
              <w:left w:val="nil"/>
              <w:bottom w:val="single" w:sz="4" w:space="0" w:color="auto"/>
              <w:right w:val="nil"/>
            </w:tcBorders>
            <w:shd w:val="clear" w:color="auto" w:fill="auto"/>
            <w:noWrap/>
            <w:vAlign w:val="bottom"/>
            <w:hideMark/>
          </w:tcPr>
          <w:p w14:paraId="6DD0D56A"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 </w:t>
            </w:r>
          </w:p>
        </w:tc>
        <w:tc>
          <w:tcPr>
            <w:tcW w:w="207" w:type="pct"/>
            <w:tcBorders>
              <w:top w:val="single" w:sz="4" w:space="0" w:color="FFFFFF"/>
              <w:left w:val="nil"/>
              <w:bottom w:val="single" w:sz="4" w:space="0" w:color="auto"/>
              <w:right w:val="single" w:sz="4" w:space="0" w:color="FFFFFF"/>
            </w:tcBorders>
            <w:shd w:val="clear" w:color="000000" w:fill="203764"/>
            <w:noWrap/>
            <w:vAlign w:val="bottom"/>
            <w:hideMark/>
          </w:tcPr>
          <w:p w14:paraId="7F9847FA"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2014</w:t>
            </w:r>
          </w:p>
        </w:tc>
        <w:tc>
          <w:tcPr>
            <w:tcW w:w="207" w:type="pct"/>
            <w:tcBorders>
              <w:top w:val="single" w:sz="4" w:space="0" w:color="FFFFFF"/>
              <w:left w:val="nil"/>
              <w:bottom w:val="single" w:sz="4" w:space="0" w:color="auto"/>
              <w:right w:val="single" w:sz="4" w:space="0" w:color="FFFFFF"/>
            </w:tcBorders>
            <w:shd w:val="clear" w:color="000000" w:fill="203764"/>
            <w:noWrap/>
            <w:vAlign w:val="bottom"/>
            <w:hideMark/>
          </w:tcPr>
          <w:p w14:paraId="100E476C"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2015</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0ED6A89E"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2016</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5C0F7995"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2017</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58B82E35"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2018</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2CD1825E"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2019</w:t>
            </w:r>
          </w:p>
        </w:tc>
        <w:tc>
          <w:tcPr>
            <w:tcW w:w="180" w:type="pct"/>
            <w:tcBorders>
              <w:top w:val="single" w:sz="4" w:space="0" w:color="FFFFFF"/>
              <w:left w:val="nil"/>
              <w:bottom w:val="single" w:sz="4" w:space="0" w:color="auto"/>
              <w:right w:val="single" w:sz="4" w:space="0" w:color="FFFFFF"/>
            </w:tcBorders>
            <w:shd w:val="clear" w:color="000000" w:fill="203764"/>
            <w:noWrap/>
            <w:vAlign w:val="bottom"/>
            <w:hideMark/>
          </w:tcPr>
          <w:p w14:paraId="7C832530"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2020</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4E36A8DC"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2021</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21F8D4AB"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2022</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6203684E"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2023</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37C55D6A"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2024</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299D869F"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2025</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1B4256CF"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2026</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5B08FCE5"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2027</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02DAB1CA"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2028</w:t>
            </w:r>
          </w:p>
        </w:tc>
        <w:tc>
          <w:tcPr>
            <w:tcW w:w="210" w:type="pct"/>
            <w:tcBorders>
              <w:top w:val="single" w:sz="4" w:space="0" w:color="FFFFFF"/>
              <w:left w:val="nil"/>
              <w:bottom w:val="single" w:sz="4" w:space="0" w:color="auto"/>
              <w:right w:val="single" w:sz="4" w:space="0" w:color="FFFFFF"/>
            </w:tcBorders>
            <w:shd w:val="clear" w:color="000000" w:fill="203764"/>
            <w:noWrap/>
            <w:vAlign w:val="bottom"/>
            <w:hideMark/>
          </w:tcPr>
          <w:p w14:paraId="1AE348A2"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2029</w:t>
            </w:r>
          </w:p>
        </w:tc>
        <w:tc>
          <w:tcPr>
            <w:tcW w:w="204" w:type="pct"/>
            <w:tcBorders>
              <w:top w:val="single" w:sz="4" w:space="0" w:color="FFFFFF"/>
              <w:left w:val="nil"/>
              <w:bottom w:val="single" w:sz="4" w:space="0" w:color="auto"/>
              <w:right w:val="single" w:sz="4" w:space="0" w:color="FFFFFF"/>
            </w:tcBorders>
            <w:shd w:val="clear" w:color="000000" w:fill="203764"/>
            <w:noWrap/>
            <w:vAlign w:val="bottom"/>
            <w:hideMark/>
          </w:tcPr>
          <w:p w14:paraId="1C6635D0"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2030</w:t>
            </w:r>
          </w:p>
        </w:tc>
      </w:tr>
      <w:tr w:rsidR="00B54F4E" w:rsidRPr="00611A94" w14:paraId="63D8C501" w14:textId="77777777" w:rsidTr="006504C4">
        <w:trPr>
          <w:trHeight w:val="254"/>
        </w:trPr>
        <w:tc>
          <w:tcPr>
            <w:tcW w:w="1221" w:type="pct"/>
            <w:tcBorders>
              <w:top w:val="nil"/>
              <w:left w:val="nil"/>
              <w:bottom w:val="nil"/>
              <w:right w:val="nil"/>
            </w:tcBorders>
            <w:shd w:val="clear" w:color="auto" w:fill="auto"/>
            <w:noWrap/>
            <w:vAlign w:val="bottom"/>
            <w:hideMark/>
          </w:tcPr>
          <w:p w14:paraId="4CFF88B2" w14:textId="77777777" w:rsidR="00B54F4E" w:rsidRPr="00611A94" w:rsidRDefault="00B54F4E" w:rsidP="006504C4">
            <w:pPr>
              <w:spacing w:before="0" w:after="0"/>
              <w:jc w:val="left"/>
              <w:rPr>
                <w:rFonts w:ascii="Calibri" w:hAnsi="Calibri" w:cs="Calibri"/>
                <w:color w:val="000000"/>
                <w:sz w:val="12"/>
                <w:szCs w:val="12"/>
                <w:lang w:eastAsia="es-CO"/>
              </w:rPr>
            </w:pPr>
            <w:bookmarkStart w:id="163" w:name="RANGE!B276:T277"/>
            <w:r w:rsidRPr="00611A94">
              <w:rPr>
                <w:rFonts w:ascii="Calibri" w:hAnsi="Calibri" w:cs="Calibri"/>
                <w:color w:val="000000"/>
                <w:sz w:val="12"/>
                <w:szCs w:val="12"/>
                <w:lang w:eastAsia="es-CO"/>
              </w:rPr>
              <w:t>Consumo sector público GWh/Año</w:t>
            </w:r>
            <w:bookmarkEnd w:id="163"/>
          </w:p>
        </w:tc>
        <w:tc>
          <w:tcPr>
            <w:tcW w:w="254" w:type="pct"/>
            <w:tcBorders>
              <w:top w:val="nil"/>
              <w:left w:val="nil"/>
              <w:bottom w:val="nil"/>
              <w:right w:val="nil"/>
            </w:tcBorders>
            <w:shd w:val="clear" w:color="auto" w:fill="auto"/>
            <w:noWrap/>
            <w:vAlign w:val="bottom"/>
            <w:hideMark/>
          </w:tcPr>
          <w:p w14:paraId="022BF866" w14:textId="77777777" w:rsidR="00B54F4E" w:rsidRPr="00611A94" w:rsidRDefault="00B54F4E" w:rsidP="006504C4">
            <w:pPr>
              <w:spacing w:before="0" w:after="0"/>
              <w:jc w:val="left"/>
              <w:rPr>
                <w:rFonts w:ascii="Calibri" w:hAnsi="Calibri" w:cs="Calibri"/>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6BE50B7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1.457</w:t>
            </w:r>
          </w:p>
        </w:tc>
        <w:tc>
          <w:tcPr>
            <w:tcW w:w="207" w:type="pct"/>
            <w:tcBorders>
              <w:top w:val="nil"/>
              <w:left w:val="nil"/>
              <w:bottom w:val="nil"/>
              <w:right w:val="nil"/>
            </w:tcBorders>
            <w:shd w:val="clear" w:color="auto" w:fill="auto"/>
            <w:noWrap/>
            <w:vAlign w:val="bottom"/>
            <w:hideMark/>
          </w:tcPr>
          <w:p w14:paraId="4CF5A6B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1.477</w:t>
            </w:r>
          </w:p>
        </w:tc>
        <w:tc>
          <w:tcPr>
            <w:tcW w:w="210" w:type="pct"/>
            <w:tcBorders>
              <w:top w:val="nil"/>
              <w:left w:val="nil"/>
              <w:bottom w:val="nil"/>
              <w:right w:val="nil"/>
            </w:tcBorders>
            <w:shd w:val="clear" w:color="auto" w:fill="auto"/>
            <w:noWrap/>
            <w:vAlign w:val="bottom"/>
            <w:hideMark/>
          </w:tcPr>
          <w:p w14:paraId="070A1DE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1.497</w:t>
            </w:r>
          </w:p>
        </w:tc>
        <w:tc>
          <w:tcPr>
            <w:tcW w:w="210" w:type="pct"/>
            <w:tcBorders>
              <w:top w:val="nil"/>
              <w:left w:val="nil"/>
              <w:bottom w:val="nil"/>
              <w:right w:val="nil"/>
            </w:tcBorders>
            <w:shd w:val="clear" w:color="auto" w:fill="auto"/>
            <w:noWrap/>
            <w:vAlign w:val="bottom"/>
            <w:hideMark/>
          </w:tcPr>
          <w:p w14:paraId="2A29720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1.517</w:t>
            </w:r>
          </w:p>
        </w:tc>
        <w:tc>
          <w:tcPr>
            <w:tcW w:w="210" w:type="pct"/>
            <w:tcBorders>
              <w:top w:val="nil"/>
              <w:left w:val="nil"/>
              <w:bottom w:val="nil"/>
              <w:right w:val="nil"/>
            </w:tcBorders>
            <w:shd w:val="clear" w:color="auto" w:fill="auto"/>
            <w:noWrap/>
            <w:vAlign w:val="bottom"/>
            <w:hideMark/>
          </w:tcPr>
          <w:p w14:paraId="1307FA8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1.536</w:t>
            </w:r>
          </w:p>
        </w:tc>
        <w:tc>
          <w:tcPr>
            <w:tcW w:w="210" w:type="pct"/>
            <w:tcBorders>
              <w:top w:val="nil"/>
              <w:left w:val="nil"/>
              <w:bottom w:val="nil"/>
              <w:right w:val="nil"/>
            </w:tcBorders>
            <w:shd w:val="clear" w:color="auto" w:fill="auto"/>
            <w:noWrap/>
            <w:vAlign w:val="bottom"/>
            <w:hideMark/>
          </w:tcPr>
          <w:p w14:paraId="3422657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1.556</w:t>
            </w:r>
          </w:p>
        </w:tc>
        <w:tc>
          <w:tcPr>
            <w:tcW w:w="180" w:type="pct"/>
            <w:tcBorders>
              <w:top w:val="nil"/>
              <w:left w:val="nil"/>
              <w:bottom w:val="nil"/>
              <w:right w:val="nil"/>
            </w:tcBorders>
            <w:shd w:val="clear" w:color="auto" w:fill="auto"/>
            <w:noWrap/>
            <w:vAlign w:val="bottom"/>
            <w:hideMark/>
          </w:tcPr>
          <w:p w14:paraId="269BFD1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1.576</w:t>
            </w:r>
          </w:p>
        </w:tc>
        <w:tc>
          <w:tcPr>
            <w:tcW w:w="210" w:type="pct"/>
            <w:tcBorders>
              <w:top w:val="nil"/>
              <w:left w:val="nil"/>
              <w:bottom w:val="nil"/>
              <w:right w:val="nil"/>
            </w:tcBorders>
            <w:shd w:val="clear" w:color="auto" w:fill="auto"/>
            <w:noWrap/>
            <w:vAlign w:val="bottom"/>
            <w:hideMark/>
          </w:tcPr>
          <w:p w14:paraId="494A552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1.621</w:t>
            </w:r>
          </w:p>
        </w:tc>
        <w:tc>
          <w:tcPr>
            <w:tcW w:w="210" w:type="pct"/>
            <w:tcBorders>
              <w:top w:val="nil"/>
              <w:left w:val="nil"/>
              <w:bottom w:val="nil"/>
              <w:right w:val="nil"/>
            </w:tcBorders>
            <w:shd w:val="clear" w:color="auto" w:fill="auto"/>
            <w:noWrap/>
            <w:vAlign w:val="bottom"/>
            <w:hideMark/>
          </w:tcPr>
          <w:p w14:paraId="43B13FD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1.667</w:t>
            </w:r>
          </w:p>
        </w:tc>
        <w:tc>
          <w:tcPr>
            <w:tcW w:w="210" w:type="pct"/>
            <w:tcBorders>
              <w:top w:val="nil"/>
              <w:left w:val="nil"/>
              <w:bottom w:val="nil"/>
              <w:right w:val="nil"/>
            </w:tcBorders>
            <w:shd w:val="clear" w:color="auto" w:fill="auto"/>
            <w:noWrap/>
            <w:vAlign w:val="bottom"/>
            <w:hideMark/>
          </w:tcPr>
          <w:p w14:paraId="01EAD4F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1.712</w:t>
            </w:r>
          </w:p>
        </w:tc>
        <w:tc>
          <w:tcPr>
            <w:tcW w:w="210" w:type="pct"/>
            <w:tcBorders>
              <w:top w:val="nil"/>
              <w:left w:val="nil"/>
              <w:bottom w:val="nil"/>
              <w:right w:val="nil"/>
            </w:tcBorders>
            <w:shd w:val="clear" w:color="auto" w:fill="auto"/>
            <w:noWrap/>
            <w:vAlign w:val="bottom"/>
            <w:hideMark/>
          </w:tcPr>
          <w:p w14:paraId="28F850C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1.757</w:t>
            </w:r>
          </w:p>
        </w:tc>
        <w:tc>
          <w:tcPr>
            <w:tcW w:w="210" w:type="pct"/>
            <w:tcBorders>
              <w:top w:val="nil"/>
              <w:left w:val="nil"/>
              <w:bottom w:val="nil"/>
              <w:right w:val="nil"/>
            </w:tcBorders>
            <w:shd w:val="clear" w:color="auto" w:fill="auto"/>
            <w:noWrap/>
            <w:vAlign w:val="bottom"/>
            <w:hideMark/>
          </w:tcPr>
          <w:p w14:paraId="5940E99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1.847</w:t>
            </w:r>
          </w:p>
        </w:tc>
        <w:tc>
          <w:tcPr>
            <w:tcW w:w="210" w:type="pct"/>
            <w:tcBorders>
              <w:top w:val="nil"/>
              <w:left w:val="nil"/>
              <w:bottom w:val="nil"/>
              <w:right w:val="nil"/>
            </w:tcBorders>
            <w:shd w:val="clear" w:color="auto" w:fill="auto"/>
            <w:noWrap/>
            <w:vAlign w:val="bottom"/>
            <w:hideMark/>
          </w:tcPr>
          <w:p w14:paraId="2A4D64C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1.897</w:t>
            </w:r>
          </w:p>
        </w:tc>
        <w:tc>
          <w:tcPr>
            <w:tcW w:w="210" w:type="pct"/>
            <w:tcBorders>
              <w:top w:val="nil"/>
              <w:left w:val="nil"/>
              <w:bottom w:val="nil"/>
              <w:right w:val="nil"/>
            </w:tcBorders>
            <w:shd w:val="clear" w:color="auto" w:fill="auto"/>
            <w:noWrap/>
            <w:vAlign w:val="bottom"/>
            <w:hideMark/>
          </w:tcPr>
          <w:p w14:paraId="761EE40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1.946</w:t>
            </w:r>
          </w:p>
        </w:tc>
        <w:tc>
          <w:tcPr>
            <w:tcW w:w="210" w:type="pct"/>
            <w:tcBorders>
              <w:top w:val="nil"/>
              <w:left w:val="nil"/>
              <w:bottom w:val="nil"/>
              <w:right w:val="nil"/>
            </w:tcBorders>
            <w:shd w:val="clear" w:color="auto" w:fill="auto"/>
            <w:noWrap/>
            <w:vAlign w:val="bottom"/>
            <w:hideMark/>
          </w:tcPr>
          <w:p w14:paraId="1A1DD46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1.995</w:t>
            </w:r>
          </w:p>
        </w:tc>
        <w:tc>
          <w:tcPr>
            <w:tcW w:w="210" w:type="pct"/>
            <w:tcBorders>
              <w:top w:val="nil"/>
              <w:left w:val="nil"/>
              <w:bottom w:val="nil"/>
              <w:right w:val="nil"/>
            </w:tcBorders>
            <w:shd w:val="clear" w:color="auto" w:fill="auto"/>
            <w:noWrap/>
            <w:vAlign w:val="bottom"/>
            <w:hideMark/>
          </w:tcPr>
          <w:p w14:paraId="056B405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2.045</w:t>
            </w:r>
          </w:p>
        </w:tc>
        <w:tc>
          <w:tcPr>
            <w:tcW w:w="204" w:type="pct"/>
            <w:tcBorders>
              <w:top w:val="nil"/>
              <w:left w:val="nil"/>
              <w:bottom w:val="nil"/>
              <w:right w:val="nil"/>
            </w:tcBorders>
            <w:shd w:val="clear" w:color="auto" w:fill="auto"/>
            <w:noWrap/>
            <w:vAlign w:val="bottom"/>
            <w:hideMark/>
          </w:tcPr>
          <w:p w14:paraId="7E8F8B1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2.144</w:t>
            </w:r>
          </w:p>
        </w:tc>
      </w:tr>
      <w:tr w:rsidR="00B54F4E" w:rsidRPr="00611A94" w14:paraId="3B53CAF5" w14:textId="77777777" w:rsidTr="006504C4">
        <w:trPr>
          <w:trHeight w:val="254"/>
        </w:trPr>
        <w:tc>
          <w:tcPr>
            <w:tcW w:w="1221" w:type="pct"/>
            <w:tcBorders>
              <w:top w:val="nil"/>
              <w:left w:val="nil"/>
              <w:bottom w:val="nil"/>
              <w:right w:val="nil"/>
            </w:tcBorders>
            <w:shd w:val="clear" w:color="auto" w:fill="auto"/>
            <w:noWrap/>
            <w:vAlign w:val="bottom"/>
            <w:hideMark/>
          </w:tcPr>
          <w:p w14:paraId="0E0A9FBE"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Número de nuevos usuarios oficiales (incremento anual)</w:t>
            </w:r>
          </w:p>
        </w:tc>
        <w:tc>
          <w:tcPr>
            <w:tcW w:w="254" w:type="pct"/>
            <w:tcBorders>
              <w:top w:val="nil"/>
              <w:left w:val="nil"/>
              <w:bottom w:val="nil"/>
              <w:right w:val="nil"/>
            </w:tcBorders>
            <w:shd w:val="clear" w:color="auto" w:fill="auto"/>
            <w:noWrap/>
            <w:vAlign w:val="bottom"/>
            <w:hideMark/>
          </w:tcPr>
          <w:p w14:paraId="489EF079" w14:textId="77777777" w:rsidR="00B54F4E" w:rsidRPr="00611A94" w:rsidRDefault="00B54F4E" w:rsidP="006504C4">
            <w:pPr>
              <w:spacing w:before="0" w:after="0"/>
              <w:jc w:val="left"/>
              <w:rPr>
                <w:rFonts w:ascii="Calibri" w:hAnsi="Calibri" w:cs="Calibri"/>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147C317E"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7B8378F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DC3FBB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29D461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289</w:t>
            </w:r>
          </w:p>
        </w:tc>
        <w:tc>
          <w:tcPr>
            <w:tcW w:w="210" w:type="pct"/>
            <w:tcBorders>
              <w:top w:val="nil"/>
              <w:left w:val="nil"/>
              <w:bottom w:val="nil"/>
              <w:right w:val="nil"/>
            </w:tcBorders>
            <w:shd w:val="clear" w:color="auto" w:fill="auto"/>
            <w:noWrap/>
            <w:vAlign w:val="bottom"/>
            <w:hideMark/>
          </w:tcPr>
          <w:p w14:paraId="4695F43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296</w:t>
            </w:r>
          </w:p>
        </w:tc>
        <w:tc>
          <w:tcPr>
            <w:tcW w:w="210" w:type="pct"/>
            <w:tcBorders>
              <w:top w:val="nil"/>
              <w:left w:val="nil"/>
              <w:bottom w:val="nil"/>
              <w:right w:val="nil"/>
            </w:tcBorders>
            <w:shd w:val="clear" w:color="auto" w:fill="auto"/>
            <w:noWrap/>
            <w:vAlign w:val="bottom"/>
            <w:hideMark/>
          </w:tcPr>
          <w:p w14:paraId="01C7778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304</w:t>
            </w:r>
          </w:p>
        </w:tc>
        <w:tc>
          <w:tcPr>
            <w:tcW w:w="180" w:type="pct"/>
            <w:tcBorders>
              <w:top w:val="nil"/>
              <w:left w:val="nil"/>
              <w:bottom w:val="nil"/>
              <w:right w:val="nil"/>
            </w:tcBorders>
            <w:shd w:val="clear" w:color="auto" w:fill="auto"/>
            <w:noWrap/>
            <w:vAlign w:val="bottom"/>
            <w:hideMark/>
          </w:tcPr>
          <w:p w14:paraId="5C40D50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311</w:t>
            </w:r>
          </w:p>
        </w:tc>
        <w:tc>
          <w:tcPr>
            <w:tcW w:w="210" w:type="pct"/>
            <w:tcBorders>
              <w:top w:val="nil"/>
              <w:left w:val="nil"/>
              <w:bottom w:val="nil"/>
              <w:right w:val="nil"/>
            </w:tcBorders>
            <w:shd w:val="clear" w:color="auto" w:fill="auto"/>
            <w:noWrap/>
            <w:vAlign w:val="bottom"/>
            <w:hideMark/>
          </w:tcPr>
          <w:p w14:paraId="3E3836D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319</w:t>
            </w:r>
          </w:p>
        </w:tc>
        <w:tc>
          <w:tcPr>
            <w:tcW w:w="210" w:type="pct"/>
            <w:tcBorders>
              <w:top w:val="nil"/>
              <w:left w:val="nil"/>
              <w:bottom w:val="nil"/>
              <w:right w:val="nil"/>
            </w:tcBorders>
            <w:shd w:val="clear" w:color="auto" w:fill="auto"/>
            <w:noWrap/>
            <w:vAlign w:val="bottom"/>
            <w:hideMark/>
          </w:tcPr>
          <w:p w14:paraId="0D9DD9A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327</w:t>
            </w:r>
          </w:p>
        </w:tc>
        <w:tc>
          <w:tcPr>
            <w:tcW w:w="210" w:type="pct"/>
            <w:tcBorders>
              <w:top w:val="nil"/>
              <w:left w:val="nil"/>
              <w:bottom w:val="nil"/>
              <w:right w:val="nil"/>
            </w:tcBorders>
            <w:shd w:val="clear" w:color="auto" w:fill="auto"/>
            <w:noWrap/>
            <w:vAlign w:val="bottom"/>
            <w:hideMark/>
          </w:tcPr>
          <w:p w14:paraId="7BB306C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335</w:t>
            </w:r>
          </w:p>
        </w:tc>
        <w:tc>
          <w:tcPr>
            <w:tcW w:w="210" w:type="pct"/>
            <w:tcBorders>
              <w:top w:val="nil"/>
              <w:left w:val="nil"/>
              <w:bottom w:val="nil"/>
              <w:right w:val="nil"/>
            </w:tcBorders>
            <w:shd w:val="clear" w:color="auto" w:fill="auto"/>
            <w:noWrap/>
            <w:vAlign w:val="bottom"/>
            <w:hideMark/>
          </w:tcPr>
          <w:p w14:paraId="1E17BB7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343</w:t>
            </w:r>
          </w:p>
        </w:tc>
        <w:tc>
          <w:tcPr>
            <w:tcW w:w="210" w:type="pct"/>
            <w:tcBorders>
              <w:top w:val="nil"/>
              <w:left w:val="nil"/>
              <w:bottom w:val="nil"/>
              <w:right w:val="nil"/>
            </w:tcBorders>
            <w:shd w:val="clear" w:color="auto" w:fill="auto"/>
            <w:noWrap/>
            <w:vAlign w:val="bottom"/>
            <w:hideMark/>
          </w:tcPr>
          <w:p w14:paraId="0F80711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352</w:t>
            </w:r>
          </w:p>
        </w:tc>
        <w:tc>
          <w:tcPr>
            <w:tcW w:w="210" w:type="pct"/>
            <w:tcBorders>
              <w:top w:val="nil"/>
              <w:left w:val="nil"/>
              <w:bottom w:val="nil"/>
              <w:right w:val="nil"/>
            </w:tcBorders>
            <w:shd w:val="clear" w:color="auto" w:fill="auto"/>
            <w:noWrap/>
            <w:vAlign w:val="bottom"/>
            <w:hideMark/>
          </w:tcPr>
          <w:p w14:paraId="4D7E7E0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361</w:t>
            </w:r>
          </w:p>
        </w:tc>
        <w:tc>
          <w:tcPr>
            <w:tcW w:w="210" w:type="pct"/>
            <w:tcBorders>
              <w:top w:val="nil"/>
              <w:left w:val="nil"/>
              <w:bottom w:val="nil"/>
              <w:right w:val="nil"/>
            </w:tcBorders>
            <w:shd w:val="clear" w:color="auto" w:fill="auto"/>
            <w:noWrap/>
            <w:vAlign w:val="bottom"/>
            <w:hideMark/>
          </w:tcPr>
          <w:p w14:paraId="08B5BF1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370</w:t>
            </w:r>
          </w:p>
        </w:tc>
        <w:tc>
          <w:tcPr>
            <w:tcW w:w="210" w:type="pct"/>
            <w:tcBorders>
              <w:top w:val="nil"/>
              <w:left w:val="nil"/>
              <w:bottom w:val="nil"/>
              <w:right w:val="nil"/>
            </w:tcBorders>
            <w:shd w:val="clear" w:color="auto" w:fill="auto"/>
            <w:noWrap/>
            <w:vAlign w:val="bottom"/>
            <w:hideMark/>
          </w:tcPr>
          <w:p w14:paraId="3F719CF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379</w:t>
            </w:r>
          </w:p>
        </w:tc>
        <w:tc>
          <w:tcPr>
            <w:tcW w:w="210" w:type="pct"/>
            <w:tcBorders>
              <w:top w:val="nil"/>
              <w:left w:val="nil"/>
              <w:bottom w:val="nil"/>
              <w:right w:val="nil"/>
            </w:tcBorders>
            <w:shd w:val="clear" w:color="auto" w:fill="auto"/>
            <w:noWrap/>
            <w:vAlign w:val="bottom"/>
            <w:hideMark/>
          </w:tcPr>
          <w:p w14:paraId="049EA87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389</w:t>
            </w:r>
          </w:p>
        </w:tc>
        <w:tc>
          <w:tcPr>
            <w:tcW w:w="204" w:type="pct"/>
            <w:tcBorders>
              <w:top w:val="nil"/>
              <w:left w:val="nil"/>
              <w:bottom w:val="nil"/>
              <w:right w:val="nil"/>
            </w:tcBorders>
            <w:shd w:val="clear" w:color="auto" w:fill="auto"/>
            <w:noWrap/>
            <w:vAlign w:val="bottom"/>
            <w:hideMark/>
          </w:tcPr>
          <w:p w14:paraId="55B27C3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398</w:t>
            </w:r>
          </w:p>
        </w:tc>
      </w:tr>
      <w:tr w:rsidR="00B54F4E" w:rsidRPr="00611A94" w14:paraId="6F651D06" w14:textId="77777777" w:rsidTr="006504C4">
        <w:trPr>
          <w:trHeight w:val="254"/>
        </w:trPr>
        <w:tc>
          <w:tcPr>
            <w:tcW w:w="1221" w:type="pct"/>
            <w:tcBorders>
              <w:top w:val="nil"/>
              <w:left w:val="nil"/>
              <w:bottom w:val="single" w:sz="4" w:space="0" w:color="000000"/>
              <w:right w:val="nil"/>
            </w:tcBorders>
            <w:shd w:val="clear" w:color="auto" w:fill="auto"/>
            <w:noWrap/>
            <w:vAlign w:val="bottom"/>
            <w:hideMark/>
          </w:tcPr>
          <w:p w14:paraId="189DDA5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Consumo nuevos usuarios oficiales anual sin EE (GWh/Año)</w:t>
            </w:r>
          </w:p>
        </w:tc>
        <w:tc>
          <w:tcPr>
            <w:tcW w:w="254" w:type="pct"/>
            <w:tcBorders>
              <w:top w:val="nil"/>
              <w:left w:val="nil"/>
              <w:bottom w:val="single" w:sz="4" w:space="0" w:color="000000"/>
              <w:right w:val="nil"/>
            </w:tcBorders>
            <w:shd w:val="clear" w:color="auto" w:fill="auto"/>
            <w:noWrap/>
            <w:vAlign w:val="bottom"/>
            <w:hideMark/>
          </w:tcPr>
          <w:p w14:paraId="7ACE246D"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000000"/>
              <w:right w:val="nil"/>
            </w:tcBorders>
            <w:shd w:val="clear" w:color="auto" w:fill="auto"/>
            <w:noWrap/>
            <w:vAlign w:val="bottom"/>
            <w:hideMark/>
          </w:tcPr>
          <w:p w14:paraId="51586E3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000000"/>
              <w:right w:val="nil"/>
            </w:tcBorders>
            <w:shd w:val="clear" w:color="auto" w:fill="auto"/>
            <w:noWrap/>
            <w:vAlign w:val="bottom"/>
            <w:hideMark/>
          </w:tcPr>
          <w:p w14:paraId="488947AA"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000000"/>
              <w:right w:val="nil"/>
            </w:tcBorders>
            <w:shd w:val="clear" w:color="auto" w:fill="auto"/>
            <w:noWrap/>
            <w:vAlign w:val="bottom"/>
            <w:hideMark/>
          </w:tcPr>
          <w:p w14:paraId="558F1F1F"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000000"/>
              <w:right w:val="nil"/>
            </w:tcBorders>
            <w:shd w:val="clear" w:color="auto" w:fill="auto"/>
            <w:noWrap/>
            <w:vAlign w:val="bottom"/>
            <w:hideMark/>
          </w:tcPr>
          <w:p w14:paraId="6EA9C45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38</w:t>
            </w:r>
          </w:p>
        </w:tc>
        <w:tc>
          <w:tcPr>
            <w:tcW w:w="210" w:type="pct"/>
            <w:tcBorders>
              <w:top w:val="nil"/>
              <w:left w:val="nil"/>
              <w:bottom w:val="single" w:sz="4" w:space="0" w:color="000000"/>
              <w:right w:val="nil"/>
            </w:tcBorders>
            <w:shd w:val="clear" w:color="auto" w:fill="auto"/>
            <w:noWrap/>
            <w:vAlign w:val="bottom"/>
            <w:hideMark/>
          </w:tcPr>
          <w:p w14:paraId="01DE6D3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12</w:t>
            </w:r>
          </w:p>
        </w:tc>
        <w:tc>
          <w:tcPr>
            <w:tcW w:w="210" w:type="pct"/>
            <w:tcBorders>
              <w:top w:val="nil"/>
              <w:left w:val="nil"/>
              <w:bottom w:val="single" w:sz="4" w:space="0" w:color="000000"/>
              <w:right w:val="nil"/>
            </w:tcBorders>
            <w:shd w:val="clear" w:color="auto" w:fill="auto"/>
            <w:noWrap/>
            <w:vAlign w:val="bottom"/>
            <w:hideMark/>
          </w:tcPr>
          <w:p w14:paraId="4D118E0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12</w:t>
            </w:r>
          </w:p>
        </w:tc>
        <w:tc>
          <w:tcPr>
            <w:tcW w:w="180" w:type="pct"/>
            <w:tcBorders>
              <w:top w:val="nil"/>
              <w:left w:val="nil"/>
              <w:bottom w:val="single" w:sz="4" w:space="0" w:color="000000"/>
              <w:right w:val="nil"/>
            </w:tcBorders>
            <w:shd w:val="clear" w:color="auto" w:fill="auto"/>
            <w:noWrap/>
            <w:vAlign w:val="bottom"/>
            <w:hideMark/>
          </w:tcPr>
          <w:p w14:paraId="3581BC3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12</w:t>
            </w:r>
          </w:p>
        </w:tc>
        <w:tc>
          <w:tcPr>
            <w:tcW w:w="210" w:type="pct"/>
            <w:tcBorders>
              <w:top w:val="nil"/>
              <w:left w:val="nil"/>
              <w:bottom w:val="single" w:sz="4" w:space="0" w:color="000000"/>
              <w:right w:val="nil"/>
            </w:tcBorders>
            <w:shd w:val="clear" w:color="auto" w:fill="auto"/>
            <w:noWrap/>
            <w:vAlign w:val="bottom"/>
            <w:hideMark/>
          </w:tcPr>
          <w:p w14:paraId="4D1D8FF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13</w:t>
            </w:r>
          </w:p>
        </w:tc>
        <w:tc>
          <w:tcPr>
            <w:tcW w:w="210" w:type="pct"/>
            <w:tcBorders>
              <w:top w:val="nil"/>
              <w:left w:val="nil"/>
              <w:bottom w:val="single" w:sz="4" w:space="0" w:color="000000"/>
              <w:right w:val="nil"/>
            </w:tcBorders>
            <w:shd w:val="clear" w:color="auto" w:fill="auto"/>
            <w:noWrap/>
            <w:vAlign w:val="bottom"/>
            <w:hideMark/>
          </w:tcPr>
          <w:p w14:paraId="022A0E9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13</w:t>
            </w:r>
          </w:p>
        </w:tc>
        <w:tc>
          <w:tcPr>
            <w:tcW w:w="210" w:type="pct"/>
            <w:tcBorders>
              <w:top w:val="nil"/>
              <w:left w:val="nil"/>
              <w:bottom w:val="single" w:sz="4" w:space="0" w:color="000000"/>
              <w:right w:val="nil"/>
            </w:tcBorders>
            <w:shd w:val="clear" w:color="auto" w:fill="auto"/>
            <w:noWrap/>
            <w:vAlign w:val="bottom"/>
            <w:hideMark/>
          </w:tcPr>
          <w:p w14:paraId="227D9DD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13</w:t>
            </w:r>
          </w:p>
        </w:tc>
        <w:tc>
          <w:tcPr>
            <w:tcW w:w="210" w:type="pct"/>
            <w:tcBorders>
              <w:top w:val="nil"/>
              <w:left w:val="nil"/>
              <w:bottom w:val="single" w:sz="4" w:space="0" w:color="000000"/>
              <w:right w:val="nil"/>
            </w:tcBorders>
            <w:shd w:val="clear" w:color="auto" w:fill="auto"/>
            <w:noWrap/>
            <w:vAlign w:val="bottom"/>
            <w:hideMark/>
          </w:tcPr>
          <w:p w14:paraId="481D917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w:t>
            </w:r>
          </w:p>
        </w:tc>
        <w:tc>
          <w:tcPr>
            <w:tcW w:w="210" w:type="pct"/>
            <w:tcBorders>
              <w:top w:val="nil"/>
              <w:left w:val="nil"/>
              <w:bottom w:val="single" w:sz="4" w:space="0" w:color="000000"/>
              <w:right w:val="nil"/>
            </w:tcBorders>
            <w:shd w:val="clear" w:color="auto" w:fill="auto"/>
            <w:noWrap/>
            <w:vAlign w:val="bottom"/>
            <w:hideMark/>
          </w:tcPr>
          <w:p w14:paraId="316311F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w:t>
            </w:r>
          </w:p>
        </w:tc>
        <w:tc>
          <w:tcPr>
            <w:tcW w:w="210" w:type="pct"/>
            <w:tcBorders>
              <w:top w:val="nil"/>
              <w:left w:val="nil"/>
              <w:bottom w:val="single" w:sz="4" w:space="0" w:color="000000"/>
              <w:right w:val="nil"/>
            </w:tcBorders>
            <w:shd w:val="clear" w:color="auto" w:fill="auto"/>
            <w:noWrap/>
            <w:vAlign w:val="bottom"/>
            <w:hideMark/>
          </w:tcPr>
          <w:p w14:paraId="40B6363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w:t>
            </w:r>
          </w:p>
        </w:tc>
        <w:tc>
          <w:tcPr>
            <w:tcW w:w="210" w:type="pct"/>
            <w:tcBorders>
              <w:top w:val="nil"/>
              <w:left w:val="nil"/>
              <w:bottom w:val="single" w:sz="4" w:space="0" w:color="000000"/>
              <w:right w:val="nil"/>
            </w:tcBorders>
            <w:shd w:val="clear" w:color="auto" w:fill="auto"/>
            <w:noWrap/>
            <w:vAlign w:val="bottom"/>
            <w:hideMark/>
          </w:tcPr>
          <w:p w14:paraId="294A6F8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w:t>
            </w:r>
          </w:p>
        </w:tc>
        <w:tc>
          <w:tcPr>
            <w:tcW w:w="210" w:type="pct"/>
            <w:tcBorders>
              <w:top w:val="nil"/>
              <w:left w:val="nil"/>
              <w:bottom w:val="single" w:sz="4" w:space="0" w:color="000000"/>
              <w:right w:val="nil"/>
            </w:tcBorders>
            <w:shd w:val="clear" w:color="auto" w:fill="auto"/>
            <w:noWrap/>
            <w:vAlign w:val="bottom"/>
            <w:hideMark/>
          </w:tcPr>
          <w:p w14:paraId="27A5C44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w:t>
            </w:r>
          </w:p>
        </w:tc>
        <w:tc>
          <w:tcPr>
            <w:tcW w:w="210" w:type="pct"/>
            <w:tcBorders>
              <w:top w:val="nil"/>
              <w:left w:val="nil"/>
              <w:bottom w:val="single" w:sz="4" w:space="0" w:color="000000"/>
              <w:right w:val="nil"/>
            </w:tcBorders>
            <w:shd w:val="clear" w:color="auto" w:fill="auto"/>
            <w:noWrap/>
            <w:vAlign w:val="bottom"/>
            <w:hideMark/>
          </w:tcPr>
          <w:p w14:paraId="1D675B5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w:t>
            </w:r>
          </w:p>
        </w:tc>
        <w:tc>
          <w:tcPr>
            <w:tcW w:w="204" w:type="pct"/>
            <w:tcBorders>
              <w:top w:val="nil"/>
              <w:left w:val="nil"/>
              <w:bottom w:val="single" w:sz="4" w:space="0" w:color="000000"/>
              <w:right w:val="nil"/>
            </w:tcBorders>
            <w:shd w:val="clear" w:color="auto" w:fill="auto"/>
            <w:noWrap/>
            <w:vAlign w:val="bottom"/>
            <w:hideMark/>
          </w:tcPr>
          <w:p w14:paraId="2126FA8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w:t>
            </w:r>
          </w:p>
        </w:tc>
      </w:tr>
      <w:tr w:rsidR="00B54F4E" w:rsidRPr="00611A94" w14:paraId="71BBA63F" w14:textId="77777777" w:rsidTr="006504C4">
        <w:trPr>
          <w:trHeight w:val="254"/>
        </w:trPr>
        <w:tc>
          <w:tcPr>
            <w:tcW w:w="1221" w:type="pct"/>
            <w:tcBorders>
              <w:top w:val="nil"/>
              <w:left w:val="nil"/>
              <w:bottom w:val="nil"/>
              <w:right w:val="nil"/>
            </w:tcBorders>
            <w:shd w:val="clear" w:color="auto" w:fill="auto"/>
            <w:noWrap/>
            <w:vAlign w:val="bottom"/>
            <w:hideMark/>
          </w:tcPr>
          <w:p w14:paraId="15175A2E"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Beneficios</w:t>
            </w:r>
          </w:p>
        </w:tc>
        <w:tc>
          <w:tcPr>
            <w:tcW w:w="254" w:type="pct"/>
            <w:tcBorders>
              <w:top w:val="nil"/>
              <w:left w:val="nil"/>
              <w:bottom w:val="nil"/>
              <w:right w:val="nil"/>
            </w:tcBorders>
            <w:shd w:val="clear" w:color="auto" w:fill="auto"/>
            <w:noWrap/>
            <w:vAlign w:val="bottom"/>
            <w:hideMark/>
          </w:tcPr>
          <w:p w14:paraId="3BEB58E0" w14:textId="77777777" w:rsidR="00B54F4E" w:rsidRPr="00611A94" w:rsidRDefault="00B54F4E" w:rsidP="006504C4">
            <w:pPr>
              <w:spacing w:before="0" w:after="0"/>
              <w:jc w:val="left"/>
              <w:rPr>
                <w:rFonts w:ascii="Calibri" w:hAnsi="Calibri" w:cs="Calibri"/>
                <w:b/>
                <w:bCs/>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4EBD4BC3"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4F104F2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FB8964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76A143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B961D1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8E76535"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2022784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56CDCF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C669B4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7606DB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95E5E7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45B22F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75A5EB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0F0507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E4B079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F6E43EE"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5430DDD9"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5B5B4370" w14:textId="77777777" w:rsidTr="006504C4">
        <w:trPr>
          <w:trHeight w:val="254"/>
        </w:trPr>
        <w:tc>
          <w:tcPr>
            <w:tcW w:w="1221" w:type="pct"/>
            <w:tcBorders>
              <w:top w:val="nil"/>
              <w:left w:val="nil"/>
              <w:bottom w:val="nil"/>
              <w:right w:val="nil"/>
            </w:tcBorders>
            <w:shd w:val="clear" w:color="auto" w:fill="auto"/>
            <w:noWrap/>
            <w:vAlign w:val="bottom"/>
            <w:hideMark/>
          </w:tcPr>
          <w:p w14:paraId="46E5A59D"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GWh/año</w:t>
            </w:r>
          </w:p>
        </w:tc>
        <w:tc>
          <w:tcPr>
            <w:tcW w:w="254" w:type="pct"/>
            <w:tcBorders>
              <w:top w:val="nil"/>
              <w:left w:val="nil"/>
              <w:bottom w:val="nil"/>
              <w:right w:val="nil"/>
            </w:tcBorders>
            <w:shd w:val="clear" w:color="auto" w:fill="auto"/>
            <w:noWrap/>
            <w:vAlign w:val="bottom"/>
            <w:hideMark/>
          </w:tcPr>
          <w:p w14:paraId="730F5312"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2DF2CDFB"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56D4D42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DDB97F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C61904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5,74</w:t>
            </w:r>
          </w:p>
        </w:tc>
        <w:tc>
          <w:tcPr>
            <w:tcW w:w="210" w:type="pct"/>
            <w:tcBorders>
              <w:top w:val="nil"/>
              <w:left w:val="nil"/>
              <w:bottom w:val="nil"/>
              <w:right w:val="nil"/>
            </w:tcBorders>
            <w:shd w:val="clear" w:color="auto" w:fill="auto"/>
            <w:noWrap/>
            <w:vAlign w:val="bottom"/>
            <w:hideMark/>
          </w:tcPr>
          <w:p w14:paraId="35E8104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7,51</w:t>
            </w:r>
          </w:p>
        </w:tc>
        <w:tc>
          <w:tcPr>
            <w:tcW w:w="210" w:type="pct"/>
            <w:tcBorders>
              <w:top w:val="nil"/>
              <w:left w:val="nil"/>
              <w:bottom w:val="nil"/>
              <w:right w:val="nil"/>
            </w:tcBorders>
            <w:shd w:val="clear" w:color="auto" w:fill="auto"/>
            <w:noWrap/>
            <w:vAlign w:val="bottom"/>
            <w:hideMark/>
          </w:tcPr>
          <w:p w14:paraId="22C5B85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9,94</w:t>
            </w:r>
          </w:p>
        </w:tc>
        <w:tc>
          <w:tcPr>
            <w:tcW w:w="180" w:type="pct"/>
            <w:tcBorders>
              <w:top w:val="nil"/>
              <w:left w:val="nil"/>
              <w:bottom w:val="nil"/>
              <w:right w:val="nil"/>
            </w:tcBorders>
            <w:shd w:val="clear" w:color="auto" w:fill="auto"/>
            <w:noWrap/>
            <w:vAlign w:val="bottom"/>
            <w:hideMark/>
          </w:tcPr>
          <w:p w14:paraId="163D595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12,42</w:t>
            </w:r>
          </w:p>
        </w:tc>
        <w:tc>
          <w:tcPr>
            <w:tcW w:w="210" w:type="pct"/>
            <w:tcBorders>
              <w:top w:val="nil"/>
              <w:left w:val="nil"/>
              <w:bottom w:val="nil"/>
              <w:right w:val="nil"/>
            </w:tcBorders>
            <w:shd w:val="clear" w:color="auto" w:fill="auto"/>
            <w:noWrap/>
            <w:vAlign w:val="bottom"/>
            <w:hideMark/>
          </w:tcPr>
          <w:p w14:paraId="4A9A1F6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14,97</w:t>
            </w:r>
          </w:p>
        </w:tc>
        <w:tc>
          <w:tcPr>
            <w:tcW w:w="210" w:type="pct"/>
            <w:tcBorders>
              <w:top w:val="nil"/>
              <w:left w:val="nil"/>
              <w:bottom w:val="nil"/>
              <w:right w:val="nil"/>
            </w:tcBorders>
            <w:shd w:val="clear" w:color="auto" w:fill="auto"/>
            <w:noWrap/>
            <w:vAlign w:val="bottom"/>
            <w:hideMark/>
          </w:tcPr>
          <w:p w14:paraId="15B2708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17,58</w:t>
            </w:r>
          </w:p>
        </w:tc>
        <w:tc>
          <w:tcPr>
            <w:tcW w:w="210" w:type="pct"/>
            <w:tcBorders>
              <w:top w:val="nil"/>
              <w:left w:val="nil"/>
              <w:bottom w:val="nil"/>
              <w:right w:val="nil"/>
            </w:tcBorders>
            <w:shd w:val="clear" w:color="auto" w:fill="auto"/>
            <w:noWrap/>
            <w:vAlign w:val="bottom"/>
            <w:hideMark/>
          </w:tcPr>
          <w:p w14:paraId="7992DB6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20,26</w:t>
            </w:r>
          </w:p>
        </w:tc>
        <w:tc>
          <w:tcPr>
            <w:tcW w:w="210" w:type="pct"/>
            <w:tcBorders>
              <w:top w:val="nil"/>
              <w:left w:val="nil"/>
              <w:bottom w:val="nil"/>
              <w:right w:val="nil"/>
            </w:tcBorders>
            <w:shd w:val="clear" w:color="auto" w:fill="auto"/>
            <w:noWrap/>
            <w:vAlign w:val="bottom"/>
            <w:hideMark/>
          </w:tcPr>
          <w:p w14:paraId="11F7F6C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23,00</w:t>
            </w:r>
          </w:p>
        </w:tc>
        <w:tc>
          <w:tcPr>
            <w:tcW w:w="210" w:type="pct"/>
            <w:tcBorders>
              <w:top w:val="nil"/>
              <w:left w:val="nil"/>
              <w:bottom w:val="nil"/>
              <w:right w:val="nil"/>
            </w:tcBorders>
            <w:shd w:val="clear" w:color="auto" w:fill="auto"/>
            <w:noWrap/>
            <w:vAlign w:val="bottom"/>
            <w:hideMark/>
          </w:tcPr>
          <w:p w14:paraId="70C2192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25,81</w:t>
            </w:r>
          </w:p>
        </w:tc>
        <w:tc>
          <w:tcPr>
            <w:tcW w:w="210" w:type="pct"/>
            <w:tcBorders>
              <w:top w:val="nil"/>
              <w:left w:val="nil"/>
              <w:bottom w:val="nil"/>
              <w:right w:val="nil"/>
            </w:tcBorders>
            <w:shd w:val="clear" w:color="auto" w:fill="auto"/>
            <w:noWrap/>
            <w:vAlign w:val="bottom"/>
            <w:hideMark/>
          </w:tcPr>
          <w:p w14:paraId="614C2BE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28,70</w:t>
            </w:r>
          </w:p>
        </w:tc>
        <w:tc>
          <w:tcPr>
            <w:tcW w:w="210" w:type="pct"/>
            <w:tcBorders>
              <w:top w:val="nil"/>
              <w:left w:val="nil"/>
              <w:bottom w:val="nil"/>
              <w:right w:val="nil"/>
            </w:tcBorders>
            <w:shd w:val="clear" w:color="auto" w:fill="auto"/>
            <w:noWrap/>
            <w:vAlign w:val="bottom"/>
            <w:hideMark/>
          </w:tcPr>
          <w:p w14:paraId="423E5B5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31,65</w:t>
            </w:r>
          </w:p>
        </w:tc>
        <w:tc>
          <w:tcPr>
            <w:tcW w:w="210" w:type="pct"/>
            <w:tcBorders>
              <w:top w:val="nil"/>
              <w:left w:val="nil"/>
              <w:bottom w:val="nil"/>
              <w:right w:val="nil"/>
            </w:tcBorders>
            <w:shd w:val="clear" w:color="auto" w:fill="auto"/>
            <w:noWrap/>
            <w:vAlign w:val="bottom"/>
            <w:hideMark/>
          </w:tcPr>
          <w:p w14:paraId="6D4331E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34,68</w:t>
            </w:r>
          </w:p>
        </w:tc>
        <w:tc>
          <w:tcPr>
            <w:tcW w:w="210" w:type="pct"/>
            <w:tcBorders>
              <w:top w:val="nil"/>
              <w:left w:val="nil"/>
              <w:bottom w:val="nil"/>
              <w:right w:val="nil"/>
            </w:tcBorders>
            <w:shd w:val="clear" w:color="auto" w:fill="auto"/>
            <w:noWrap/>
            <w:vAlign w:val="bottom"/>
            <w:hideMark/>
          </w:tcPr>
          <w:p w14:paraId="45DE838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37,78</w:t>
            </w:r>
          </w:p>
        </w:tc>
        <w:tc>
          <w:tcPr>
            <w:tcW w:w="204" w:type="pct"/>
            <w:tcBorders>
              <w:top w:val="nil"/>
              <w:left w:val="nil"/>
              <w:bottom w:val="nil"/>
              <w:right w:val="nil"/>
            </w:tcBorders>
            <w:shd w:val="clear" w:color="auto" w:fill="auto"/>
            <w:noWrap/>
            <w:vAlign w:val="bottom"/>
            <w:hideMark/>
          </w:tcPr>
          <w:p w14:paraId="04696BD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40,96</w:t>
            </w:r>
          </w:p>
        </w:tc>
      </w:tr>
      <w:tr w:rsidR="00B54F4E" w:rsidRPr="00611A94" w14:paraId="4FAFEAC4" w14:textId="77777777" w:rsidTr="006504C4">
        <w:trPr>
          <w:trHeight w:val="254"/>
        </w:trPr>
        <w:tc>
          <w:tcPr>
            <w:tcW w:w="1221" w:type="pct"/>
            <w:tcBorders>
              <w:top w:val="nil"/>
              <w:left w:val="nil"/>
              <w:bottom w:val="single" w:sz="4" w:space="0" w:color="BFBFBF"/>
              <w:right w:val="nil"/>
            </w:tcBorders>
            <w:shd w:val="clear" w:color="auto" w:fill="auto"/>
            <w:noWrap/>
            <w:vAlign w:val="bottom"/>
            <w:hideMark/>
          </w:tcPr>
          <w:p w14:paraId="57371732"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Emisiones de CO2 evitadas (TonCo2)</w:t>
            </w:r>
          </w:p>
        </w:tc>
        <w:tc>
          <w:tcPr>
            <w:tcW w:w="254" w:type="pct"/>
            <w:tcBorders>
              <w:top w:val="nil"/>
              <w:left w:val="nil"/>
              <w:bottom w:val="single" w:sz="4" w:space="0" w:color="BFBFBF"/>
              <w:right w:val="nil"/>
            </w:tcBorders>
            <w:shd w:val="clear" w:color="auto" w:fill="auto"/>
            <w:noWrap/>
            <w:vAlign w:val="bottom"/>
            <w:hideMark/>
          </w:tcPr>
          <w:p w14:paraId="7781CE80"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BFBFBF"/>
              <w:right w:val="nil"/>
            </w:tcBorders>
            <w:shd w:val="clear" w:color="auto" w:fill="auto"/>
            <w:noWrap/>
            <w:vAlign w:val="bottom"/>
            <w:hideMark/>
          </w:tcPr>
          <w:p w14:paraId="49DBEF92"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BFBFBF"/>
              <w:right w:val="nil"/>
            </w:tcBorders>
            <w:shd w:val="clear" w:color="auto" w:fill="auto"/>
            <w:noWrap/>
            <w:vAlign w:val="bottom"/>
            <w:hideMark/>
          </w:tcPr>
          <w:p w14:paraId="1582A39C"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BFBFBF"/>
              <w:right w:val="nil"/>
            </w:tcBorders>
            <w:shd w:val="clear" w:color="auto" w:fill="auto"/>
            <w:noWrap/>
            <w:vAlign w:val="bottom"/>
            <w:hideMark/>
          </w:tcPr>
          <w:p w14:paraId="4FCB5CE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BFBFBF"/>
              <w:right w:val="nil"/>
            </w:tcBorders>
            <w:shd w:val="clear" w:color="auto" w:fill="auto"/>
            <w:noWrap/>
            <w:vAlign w:val="bottom"/>
            <w:hideMark/>
          </w:tcPr>
          <w:p w14:paraId="47B803D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1.098</w:t>
            </w:r>
          </w:p>
        </w:tc>
        <w:tc>
          <w:tcPr>
            <w:tcW w:w="210" w:type="pct"/>
            <w:tcBorders>
              <w:top w:val="nil"/>
              <w:left w:val="nil"/>
              <w:bottom w:val="single" w:sz="4" w:space="0" w:color="BFBFBF"/>
              <w:right w:val="nil"/>
            </w:tcBorders>
            <w:shd w:val="clear" w:color="auto" w:fill="auto"/>
            <w:noWrap/>
            <w:vAlign w:val="bottom"/>
            <w:hideMark/>
          </w:tcPr>
          <w:p w14:paraId="7977A3C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1.437</w:t>
            </w:r>
          </w:p>
        </w:tc>
        <w:tc>
          <w:tcPr>
            <w:tcW w:w="210" w:type="pct"/>
            <w:tcBorders>
              <w:top w:val="nil"/>
              <w:left w:val="nil"/>
              <w:bottom w:val="single" w:sz="4" w:space="0" w:color="BFBFBF"/>
              <w:right w:val="nil"/>
            </w:tcBorders>
            <w:shd w:val="clear" w:color="auto" w:fill="auto"/>
            <w:noWrap/>
            <w:vAlign w:val="bottom"/>
            <w:hideMark/>
          </w:tcPr>
          <w:p w14:paraId="7DD3A36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1.901</w:t>
            </w:r>
          </w:p>
        </w:tc>
        <w:tc>
          <w:tcPr>
            <w:tcW w:w="180" w:type="pct"/>
            <w:tcBorders>
              <w:top w:val="nil"/>
              <w:left w:val="nil"/>
              <w:bottom w:val="single" w:sz="4" w:space="0" w:color="BFBFBF"/>
              <w:right w:val="nil"/>
            </w:tcBorders>
            <w:shd w:val="clear" w:color="auto" w:fill="auto"/>
            <w:noWrap/>
            <w:vAlign w:val="bottom"/>
            <w:hideMark/>
          </w:tcPr>
          <w:p w14:paraId="3B30554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2.376</w:t>
            </w:r>
          </w:p>
        </w:tc>
        <w:tc>
          <w:tcPr>
            <w:tcW w:w="210" w:type="pct"/>
            <w:tcBorders>
              <w:top w:val="nil"/>
              <w:left w:val="nil"/>
              <w:bottom w:val="single" w:sz="4" w:space="0" w:color="BFBFBF"/>
              <w:right w:val="nil"/>
            </w:tcBorders>
            <w:shd w:val="clear" w:color="auto" w:fill="auto"/>
            <w:noWrap/>
            <w:vAlign w:val="bottom"/>
            <w:hideMark/>
          </w:tcPr>
          <w:p w14:paraId="48433FF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2.863</w:t>
            </w:r>
          </w:p>
        </w:tc>
        <w:tc>
          <w:tcPr>
            <w:tcW w:w="210" w:type="pct"/>
            <w:tcBorders>
              <w:top w:val="nil"/>
              <w:left w:val="nil"/>
              <w:bottom w:val="single" w:sz="4" w:space="0" w:color="BFBFBF"/>
              <w:right w:val="nil"/>
            </w:tcBorders>
            <w:shd w:val="clear" w:color="auto" w:fill="auto"/>
            <w:noWrap/>
            <w:vAlign w:val="bottom"/>
            <w:hideMark/>
          </w:tcPr>
          <w:p w14:paraId="56F96D5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3.362</w:t>
            </w:r>
          </w:p>
        </w:tc>
        <w:tc>
          <w:tcPr>
            <w:tcW w:w="210" w:type="pct"/>
            <w:tcBorders>
              <w:top w:val="nil"/>
              <w:left w:val="nil"/>
              <w:bottom w:val="single" w:sz="4" w:space="0" w:color="BFBFBF"/>
              <w:right w:val="nil"/>
            </w:tcBorders>
            <w:shd w:val="clear" w:color="auto" w:fill="auto"/>
            <w:noWrap/>
            <w:vAlign w:val="bottom"/>
            <w:hideMark/>
          </w:tcPr>
          <w:p w14:paraId="39E3E26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3.874</w:t>
            </w:r>
          </w:p>
        </w:tc>
        <w:tc>
          <w:tcPr>
            <w:tcW w:w="210" w:type="pct"/>
            <w:tcBorders>
              <w:top w:val="nil"/>
              <w:left w:val="nil"/>
              <w:bottom w:val="single" w:sz="4" w:space="0" w:color="BFBFBF"/>
              <w:right w:val="nil"/>
            </w:tcBorders>
            <w:shd w:val="clear" w:color="auto" w:fill="auto"/>
            <w:noWrap/>
            <w:vAlign w:val="bottom"/>
            <w:hideMark/>
          </w:tcPr>
          <w:p w14:paraId="7670FCF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4.399</w:t>
            </w:r>
          </w:p>
        </w:tc>
        <w:tc>
          <w:tcPr>
            <w:tcW w:w="210" w:type="pct"/>
            <w:tcBorders>
              <w:top w:val="nil"/>
              <w:left w:val="nil"/>
              <w:bottom w:val="single" w:sz="4" w:space="0" w:color="BFBFBF"/>
              <w:right w:val="nil"/>
            </w:tcBorders>
            <w:shd w:val="clear" w:color="auto" w:fill="auto"/>
            <w:noWrap/>
            <w:vAlign w:val="bottom"/>
            <w:hideMark/>
          </w:tcPr>
          <w:p w14:paraId="67A5FD2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4.937</w:t>
            </w:r>
          </w:p>
        </w:tc>
        <w:tc>
          <w:tcPr>
            <w:tcW w:w="210" w:type="pct"/>
            <w:tcBorders>
              <w:top w:val="nil"/>
              <w:left w:val="nil"/>
              <w:bottom w:val="single" w:sz="4" w:space="0" w:color="BFBFBF"/>
              <w:right w:val="nil"/>
            </w:tcBorders>
            <w:shd w:val="clear" w:color="auto" w:fill="auto"/>
            <w:noWrap/>
            <w:vAlign w:val="bottom"/>
            <w:hideMark/>
          </w:tcPr>
          <w:p w14:paraId="65EE990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5.488</w:t>
            </w:r>
          </w:p>
        </w:tc>
        <w:tc>
          <w:tcPr>
            <w:tcW w:w="210" w:type="pct"/>
            <w:tcBorders>
              <w:top w:val="nil"/>
              <w:left w:val="nil"/>
              <w:bottom w:val="single" w:sz="4" w:space="0" w:color="BFBFBF"/>
              <w:right w:val="nil"/>
            </w:tcBorders>
            <w:shd w:val="clear" w:color="auto" w:fill="auto"/>
            <w:noWrap/>
            <w:vAlign w:val="bottom"/>
            <w:hideMark/>
          </w:tcPr>
          <w:p w14:paraId="0D70F6F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6.053</w:t>
            </w:r>
          </w:p>
        </w:tc>
        <w:tc>
          <w:tcPr>
            <w:tcW w:w="210" w:type="pct"/>
            <w:tcBorders>
              <w:top w:val="nil"/>
              <w:left w:val="nil"/>
              <w:bottom w:val="single" w:sz="4" w:space="0" w:color="BFBFBF"/>
              <w:right w:val="nil"/>
            </w:tcBorders>
            <w:shd w:val="clear" w:color="auto" w:fill="auto"/>
            <w:noWrap/>
            <w:vAlign w:val="bottom"/>
            <w:hideMark/>
          </w:tcPr>
          <w:p w14:paraId="41BFF4C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6.632</w:t>
            </w:r>
          </w:p>
        </w:tc>
        <w:tc>
          <w:tcPr>
            <w:tcW w:w="210" w:type="pct"/>
            <w:tcBorders>
              <w:top w:val="nil"/>
              <w:left w:val="nil"/>
              <w:bottom w:val="single" w:sz="4" w:space="0" w:color="BFBFBF"/>
              <w:right w:val="nil"/>
            </w:tcBorders>
            <w:shd w:val="clear" w:color="auto" w:fill="auto"/>
            <w:noWrap/>
            <w:vAlign w:val="bottom"/>
            <w:hideMark/>
          </w:tcPr>
          <w:p w14:paraId="7C1EE20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7.226</w:t>
            </w:r>
          </w:p>
        </w:tc>
        <w:tc>
          <w:tcPr>
            <w:tcW w:w="204" w:type="pct"/>
            <w:tcBorders>
              <w:top w:val="nil"/>
              <w:left w:val="nil"/>
              <w:bottom w:val="single" w:sz="4" w:space="0" w:color="BFBFBF"/>
              <w:right w:val="nil"/>
            </w:tcBorders>
            <w:shd w:val="clear" w:color="auto" w:fill="auto"/>
            <w:noWrap/>
            <w:vAlign w:val="bottom"/>
            <w:hideMark/>
          </w:tcPr>
          <w:p w14:paraId="47D19E3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7.834</w:t>
            </w:r>
          </w:p>
        </w:tc>
      </w:tr>
      <w:tr w:rsidR="00B54F4E" w:rsidRPr="00611A94" w14:paraId="6F41E48B" w14:textId="77777777" w:rsidTr="006504C4">
        <w:trPr>
          <w:trHeight w:val="254"/>
        </w:trPr>
        <w:tc>
          <w:tcPr>
            <w:tcW w:w="1221" w:type="pct"/>
            <w:tcBorders>
              <w:top w:val="nil"/>
              <w:left w:val="nil"/>
              <w:bottom w:val="nil"/>
              <w:right w:val="nil"/>
            </w:tcBorders>
            <w:shd w:val="clear" w:color="auto" w:fill="auto"/>
            <w:noWrap/>
            <w:vAlign w:val="bottom"/>
            <w:hideMark/>
          </w:tcPr>
          <w:p w14:paraId="2ACE36EC"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por costo final de energía evitado ($USD Millones)</w:t>
            </w:r>
          </w:p>
        </w:tc>
        <w:tc>
          <w:tcPr>
            <w:tcW w:w="254" w:type="pct"/>
            <w:tcBorders>
              <w:top w:val="nil"/>
              <w:left w:val="nil"/>
              <w:bottom w:val="nil"/>
              <w:right w:val="nil"/>
            </w:tcBorders>
            <w:shd w:val="clear" w:color="auto" w:fill="auto"/>
            <w:noWrap/>
            <w:vAlign w:val="bottom"/>
            <w:hideMark/>
          </w:tcPr>
          <w:p w14:paraId="441DCDC8"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466C4786"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4300BFA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EC5AA6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026525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0,83</w:t>
            </w:r>
          </w:p>
        </w:tc>
        <w:tc>
          <w:tcPr>
            <w:tcW w:w="210" w:type="pct"/>
            <w:tcBorders>
              <w:top w:val="nil"/>
              <w:left w:val="nil"/>
              <w:bottom w:val="nil"/>
              <w:right w:val="nil"/>
            </w:tcBorders>
            <w:shd w:val="clear" w:color="auto" w:fill="auto"/>
            <w:noWrap/>
            <w:vAlign w:val="bottom"/>
            <w:hideMark/>
          </w:tcPr>
          <w:p w14:paraId="693173D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1,08</w:t>
            </w:r>
          </w:p>
        </w:tc>
        <w:tc>
          <w:tcPr>
            <w:tcW w:w="210" w:type="pct"/>
            <w:tcBorders>
              <w:top w:val="nil"/>
              <w:left w:val="nil"/>
              <w:bottom w:val="nil"/>
              <w:right w:val="nil"/>
            </w:tcBorders>
            <w:shd w:val="clear" w:color="auto" w:fill="auto"/>
            <w:noWrap/>
            <w:vAlign w:val="bottom"/>
            <w:hideMark/>
          </w:tcPr>
          <w:p w14:paraId="2935438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1,43</w:t>
            </w:r>
          </w:p>
        </w:tc>
        <w:tc>
          <w:tcPr>
            <w:tcW w:w="180" w:type="pct"/>
            <w:tcBorders>
              <w:top w:val="nil"/>
              <w:left w:val="nil"/>
              <w:bottom w:val="nil"/>
              <w:right w:val="nil"/>
            </w:tcBorders>
            <w:shd w:val="clear" w:color="auto" w:fill="auto"/>
            <w:noWrap/>
            <w:vAlign w:val="bottom"/>
            <w:hideMark/>
          </w:tcPr>
          <w:p w14:paraId="7B6CCF7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1,79</w:t>
            </w:r>
          </w:p>
        </w:tc>
        <w:tc>
          <w:tcPr>
            <w:tcW w:w="210" w:type="pct"/>
            <w:tcBorders>
              <w:top w:val="nil"/>
              <w:left w:val="nil"/>
              <w:bottom w:val="nil"/>
              <w:right w:val="nil"/>
            </w:tcBorders>
            <w:shd w:val="clear" w:color="auto" w:fill="auto"/>
            <w:noWrap/>
            <w:vAlign w:val="bottom"/>
            <w:hideMark/>
          </w:tcPr>
          <w:p w14:paraId="185FC2E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2,16</w:t>
            </w:r>
          </w:p>
        </w:tc>
        <w:tc>
          <w:tcPr>
            <w:tcW w:w="210" w:type="pct"/>
            <w:tcBorders>
              <w:top w:val="nil"/>
              <w:left w:val="nil"/>
              <w:bottom w:val="nil"/>
              <w:right w:val="nil"/>
            </w:tcBorders>
            <w:shd w:val="clear" w:color="auto" w:fill="auto"/>
            <w:noWrap/>
            <w:vAlign w:val="bottom"/>
            <w:hideMark/>
          </w:tcPr>
          <w:p w14:paraId="2CC4D41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2,53</w:t>
            </w:r>
          </w:p>
        </w:tc>
        <w:tc>
          <w:tcPr>
            <w:tcW w:w="210" w:type="pct"/>
            <w:tcBorders>
              <w:top w:val="nil"/>
              <w:left w:val="nil"/>
              <w:bottom w:val="nil"/>
              <w:right w:val="nil"/>
            </w:tcBorders>
            <w:shd w:val="clear" w:color="auto" w:fill="auto"/>
            <w:noWrap/>
            <w:vAlign w:val="bottom"/>
            <w:hideMark/>
          </w:tcPr>
          <w:p w14:paraId="1609245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2,92</w:t>
            </w:r>
          </w:p>
        </w:tc>
        <w:tc>
          <w:tcPr>
            <w:tcW w:w="210" w:type="pct"/>
            <w:tcBorders>
              <w:top w:val="nil"/>
              <w:left w:val="nil"/>
              <w:bottom w:val="nil"/>
              <w:right w:val="nil"/>
            </w:tcBorders>
            <w:shd w:val="clear" w:color="auto" w:fill="auto"/>
            <w:noWrap/>
            <w:vAlign w:val="bottom"/>
            <w:hideMark/>
          </w:tcPr>
          <w:p w14:paraId="77C4CB7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3,31</w:t>
            </w:r>
          </w:p>
        </w:tc>
        <w:tc>
          <w:tcPr>
            <w:tcW w:w="210" w:type="pct"/>
            <w:tcBorders>
              <w:top w:val="nil"/>
              <w:left w:val="nil"/>
              <w:bottom w:val="nil"/>
              <w:right w:val="nil"/>
            </w:tcBorders>
            <w:shd w:val="clear" w:color="auto" w:fill="auto"/>
            <w:noWrap/>
            <w:vAlign w:val="bottom"/>
            <w:hideMark/>
          </w:tcPr>
          <w:p w14:paraId="53BF741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3,72</w:t>
            </w:r>
          </w:p>
        </w:tc>
        <w:tc>
          <w:tcPr>
            <w:tcW w:w="210" w:type="pct"/>
            <w:tcBorders>
              <w:top w:val="nil"/>
              <w:left w:val="nil"/>
              <w:bottom w:val="nil"/>
              <w:right w:val="nil"/>
            </w:tcBorders>
            <w:shd w:val="clear" w:color="auto" w:fill="auto"/>
            <w:noWrap/>
            <w:vAlign w:val="bottom"/>
            <w:hideMark/>
          </w:tcPr>
          <w:p w14:paraId="72D595F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4,13</w:t>
            </w:r>
          </w:p>
        </w:tc>
        <w:tc>
          <w:tcPr>
            <w:tcW w:w="210" w:type="pct"/>
            <w:tcBorders>
              <w:top w:val="nil"/>
              <w:left w:val="nil"/>
              <w:bottom w:val="nil"/>
              <w:right w:val="nil"/>
            </w:tcBorders>
            <w:shd w:val="clear" w:color="auto" w:fill="auto"/>
            <w:noWrap/>
            <w:vAlign w:val="bottom"/>
            <w:hideMark/>
          </w:tcPr>
          <w:p w14:paraId="06E6BEA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4,56</w:t>
            </w:r>
          </w:p>
        </w:tc>
        <w:tc>
          <w:tcPr>
            <w:tcW w:w="210" w:type="pct"/>
            <w:tcBorders>
              <w:top w:val="nil"/>
              <w:left w:val="nil"/>
              <w:bottom w:val="nil"/>
              <w:right w:val="nil"/>
            </w:tcBorders>
            <w:shd w:val="clear" w:color="auto" w:fill="auto"/>
            <w:noWrap/>
            <w:vAlign w:val="bottom"/>
            <w:hideMark/>
          </w:tcPr>
          <w:p w14:paraId="5D2D072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4,99</w:t>
            </w:r>
          </w:p>
        </w:tc>
        <w:tc>
          <w:tcPr>
            <w:tcW w:w="210" w:type="pct"/>
            <w:tcBorders>
              <w:top w:val="nil"/>
              <w:left w:val="nil"/>
              <w:bottom w:val="nil"/>
              <w:right w:val="nil"/>
            </w:tcBorders>
            <w:shd w:val="clear" w:color="auto" w:fill="auto"/>
            <w:noWrap/>
            <w:vAlign w:val="bottom"/>
            <w:hideMark/>
          </w:tcPr>
          <w:p w14:paraId="2379228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5,44</w:t>
            </w:r>
          </w:p>
        </w:tc>
        <w:tc>
          <w:tcPr>
            <w:tcW w:w="204" w:type="pct"/>
            <w:tcBorders>
              <w:top w:val="nil"/>
              <w:left w:val="nil"/>
              <w:bottom w:val="nil"/>
              <w:right w:val="nil"/>
            </w:tcBorders>
            <w:shd w:val="clear" w:color="auto" w:fill="auto"/>
            <w:noWrap/>
            <w:vAlign w:val="bottom"/>
            <w:hideMark/>
          </w:tcPr>
          <w:p w14:paraId="792DDB4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5,90</w:t>
            </w:r>
          </w:p>
        </w:tc>
      </w:tr>
      <w:tr w:rsidR="00B54F4E" w:rsidRPr="00611A94" w14:paraId="64765C6E" w14:textId="77777777" w:rsidTr="006504C4">
        <w:trPr>
          <w:trHeight w:val="254"/>
        </w:trPr>
        <w:tc>
          <w:tcPr>
            <w:tcW w:w="1221" w:type="pct"/>
            <w:tcBorders>
              <w:top w:val="nil"/>
              <w:left w:val="nil"/>
              <w:bottom w:val="nil"/>
              <w:right w:val="nil"/>
            </w:tcBorders>
            <w:shd w:val="clear" w:color="auto" w:fill="auto"/>
            <w:noWrap/>
            <w:vAlign w:val="bottom"/>
            <w:hideMark/>
          </w:tcPr>
          <w:p w14:paraId="4DE999B6"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por menores emisiones de CO2 ($USD Millones)</w:t>
            </w:r>
          </w:p>
        </w:tc>
        <w:tc>
          <w:tcPr>
            <w:tcW w:w="254" w:type="pct"/>
            <w:tcBorders>
              <w:top w:val="nil"/>
              <w:left w:val="nil"/>
              <w:bottom w:val="nil"/>
              <w:right w:val="nil"/>
            </w:tcBorders>
            <w:shd w:val="clear" w:color="auto" w:fill="auto"/>
            <w:noWrap/>
            <w:vAlign w:val="bottom"/>
            <w:hideMark/>
          </w:tcPr>
          <w:p w14:paraId="15BAC6A4"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39634E28"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31BA206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C7B1C3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9F728C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0,01</w:t>
            </w:r>
          </w:p>
        </w:tc>
        <w:tc>
          <w:tcPr>
            <w:tcW w:w="210" w:type="pct"/>
            <w:tcBorders>
              <w:top w:val="nil"/>
              <w:left w:val="nil"/>
              <w:bottom w:val="nil"/>
              <w:right w:val="nil"/>
            </w:tcBorders>
            <w:shd w:val="clear" w:color="auto" w:fill="auto"/>
            <w:noWrap/>
            <w:vAlign w:val="bottom"/>
            <w:hideMark/>
          </w:tcPr>
          <w:p w14:paraId="09E515B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0,01</w:t>
            </w:r>
          </w:p>
        </w:tc>
        <w:tc>
          <w:tcPr>
            <w:tcW w:w="210" w:type="pct"/>
            <w:tcBorders>
              <w:top w:val="nil"/>
              <w:left w:val="nil"/>
              <w:bottom w:val="nil"/>
              <w:right w:val="nil"/>
            </w:tcBorders>
            <w:shd w:val="clear" w:color="auto" w:fill="auto"/>
            <w:noWrap/>
            <w:vAlign w:val="bottom"/>
            <w:hideMark/>
          </w:tcPr>
          <w:p w14:paraId="347FE8A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0,01</w:t>
            </w:r>
          </w:p>
        </w:tc>
        <w:tc>
          <w:tcPr>
            <w:tcW w:w="180" w:type="pct"/>
            <w:tcBorders>
              <w:top w:val="nil"/>
              <w:left w:val="nil"/>
              <w:bottom w:val="nil"/>
              <w:right w:val="nil"/>
            </w:tcBorders>
            <w:shd w:val="clear" w:color="auto" w:fill="auto"/>
            <w:noWrap/>
            <w:vAlign w:val="bottom"/>
            <w:hideMark/>
          </w:tcPr>
          <w:p w14:paraId="2A0C0A5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0,01</w:t>
            </w:r>
          </w:p>
        </w:tc>
        <w:tc>
          <w:tcPr>
            <w:tcW w:w="210" w:type="pct"/>
            <w:tcBorders>
              <w:top w:val="nil"/>
              <w:left w:val="nil"/>
              <w:bottom w:val="nil"/>
              <w:right w:val="nil"/>
            </w:tcBorders>
            <w:shd w:val="clear" w:color="auto" w:fill="auto"/>
            <w:noWrap/>
            <w:vAlign w:val="bottom"/>
            <w:hideMark/>
          </w:tcPr>
          <w:p w14:paraId="2AF622C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0,02</w:t>
            </w:r>
          </w:p>
        </w:tc>
        <w:tc>
          <w:tcPr>
            <w:tcW w:w="210" w:type="pct"/>
            <w:tcBorders>
              <w:top w:val="nil"/>
              <w:left w:val="nil"/>
              <w:bottom w:val="nil"/>
              <w:right w:val="nil"/>
            </w:tcBorders>
            <w:shd w:val="clear" w:color="auto" w:fill="auto"/>
            <w:noWrap/>
            <w:vAlign w:val="bottom"/>
            <w:hideMark/>
          </w:tcPr>
          <w:p w14:paraId="3FA1A88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0,02</w:t>
            </w:r>
          </w:p>
        </w:tc>
        <w:tc>
          <w:tcPr>
            <w:tcW w:w="210" w:type="pct"/>
            <w:tcBorders>
              <w:top w:val="nil"/>
              <w:left w:val="nil"/>
              <w:bottom w:val="nil"/>
              <w:right w:val="nil"/>
            </w:tcBorders>
            <w:shd w:val="clear" w:color="auto" w:fill="auto"/>
            <w:noWrap/>
            <w:vAlign w:val="bottom"/>
            <w:hideMark/>
          </w:tcPr>
          <w:p w14:paraId="37CA1FC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0,02</w:t>
            </w:r>
          </w:p>
        </w:tc>
        <w:tc>
          <w:tcPr>
            <w:tcW w:w="210" w:type="pct"/>
            <w:tcBorders>
              <w:top w:val="nil"/>
              <w:left w:val="nil"/>
              <w:bottom w:val="nil"/>
              <w:right w:val="nil"/>
            </w:tcBorders>
            <w:shd w:val="clear" w:color="auto" w:fill="auto"/>
            <w:noWrap/>
            <w:vAlign w:val="bottom"/>
            <w:hideMark/>
          </w:tcPr>
          <w:p w14:paraId="6031D0A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0,03</w:t>
            </w:r>
          </w:p>
        </w:tc>
        <w:tc>
          <w:tcPr>
            <w:tcW w:w="210" w:type="pct"/>
            <w:tcBorders>
              <w:top w:val="nil"/>
              <w:left w:val="nil"/>
              <w:bottom w:val="nil"/>
              <w:right w:val="nil"/>
            </w:tcBorders>
            <w:shd w:val="clear" w:color="auto" w:fill="auto"/>
            <w:noWrap/>
            <w:vAlign w:val="bottom"/>
            <w:hideMark/>
          </w:tcPr>
          <w:p w14:paraId="721DD1A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0,03</w:t>
            </w:r>
          </w:p>
        </w:tc>
        <w:tc>
          <w:tcPr>
            <w:tcW w:w="210" w:type="pct"/>
            <w:tcBorders>
              <w:top w:val="nil"/>
              <w:left w:val="nil"/>
              <w:bottom w:val="nil"/>
              <w:right w:val="nil"/>
            </w:tcBorders>
            <w:shd w:val="clear" w:color="auto" w:fill="auto"/>
            <w:noWrap/>
            <w:vAlign w:val="bottom"/>
            <w:hideMark/>
          </w:tcPr>
          <w:p w14:paraId="7D010F1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0,03</w:t>
            </w:r>
          </w:p>
        </w:tc>
        <w:tc>
          <w:tcPr>
            <w:tcW w:w="210" w:type="pct"/>
            <w:tcBorders>
              <w:top w:val="nil"/>
              <w:left w:val="nil"/>
              <w:bottom w:val="nil"/>
              <w:right w:val="nil"/>
            </w:tcBorders>
            <w:shd w:val="clear" w:color="auto" w:fill="auto"/>
            <w:noWrap/>
            <w:vAlign w:val="bottom"/>
            <w:hideMark/>
          </w:tcPr>
          <w:p w14:paraId="2CABF4E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0,04</w:t>
            </w:r>
          </w:p>
        </w:tc>
        <w:tc>
          <w:tcPr>
            <w:tcW w:w="210" w:type="pct"/>
            <w:tcBorders>
              <w:top w:val="nil"/>
              <w:left w:val="nil"/>
              <w:bottom w:val="nil"/>
              <w:right w:val="nil"/>
            </w:tcBorders>
            <w:shd w:val="clear" w:color="auto" w:fill="auto"/>
            <w:noWrap/>
            <w:vAlign w:val="bottom"/>
            <w:hideMark/>
          </w:tcPr>
          <w:p w14:paraId="5BDE901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0,04</w:t>
            </w:r>
          </w:p>
        </w:tc>
        <w:tc>
          <w:tcPr>
            <w:tcW w:w="210" w:type="pct"/>
            <w:tcBorders>
              <w:top w:val="nil"/>
              <w:left w:val="nil"/>
              <w:bottom w:val="nil"/>
              <w:right w:val="nil"/>
            </w:tcBorders>
            <w:shd w:val="clear" w:color="auto" w:fill="auto"/>
            <w:noWrap/>
            <w:vAlign w:val="bottom"/>
            <w:hideMark/>
          </w:tcPr>
          <w:p w14:paraId="044AA43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0,04</w:t>
            </w:r>
          </w:p>
        </w:tc>
        <w:tc>
          <w:tcPr>
            <w:tcW w:w="204" w:type="pct"/>
            <w:tcBorders>
              <w:top w:val="nil"/>
              <w:left w:val="nil"/>
              <w:bottom w:val="nil"/>
              <w:right w:val="nil"/>
            </w:tcBorders>
            <w:shd w:val="clear" w:color="auto" w:fill="auto"/>
            <w:noWrap/>
            <w:vAlign w:val="bottom"/>
            <w:hideMark/>
          </w:tcPr>
          <w:p w14:paraId="3E8A8E0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0,05</w:t>
            </w:r>
          </w:p>
        </w:tc>
      </w:tr>
      <w:tr w:rsidR="00B54F4E" w:rsidRPr="00611A94" w14:paraId="7386E024" w14:textId="77777777" w:rsidTr="006504C4">
        <w:trPr>
          <w:trHeight w:val="254"/>
        </w:trPr>
        <w:tc>
          <w:tcPr>
            <w:tcW w:w="1221" w:type="pct"/>
            <w:tcBorders>
              <w:top w:val="nil"/>
              <w:left w:val="nil"/>
              <w:bottom w:val="single" w:sz="4" w:space="0" w:color="auto"/>
              <w:right w:val="nil"/>
            </w:tcBorders>
            <w:shd w:val="clear" w:color="auto" w:fill="auto"/>
            <w:noWrap/>
            <w:vAlign w:val="bottom"/>
            <w:hideMark/>
          </w:tcPr>
          <w:p w14:paraId="2BC4DE46"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por planta de generación evitada ($USD Millones)</w:t>
            </w:r>
          </w:p>
        </w:tc>
        <w:tc>
          <w:tcPr>
            <w:tcW w:w="254" w:type="pct"/>
            <w:tcBorders>
              <w:top w:val="nil"/>
              <w:left w:val="nil"/>
              <w:bottom w:val="single" w:sz="4" w:space="0" w:color="auto"/>
              <w:right w:val="nil"/>
            </w:tcBorders>
            <w:shd w:val="clear" w:color="auto" w:fill="auto"/>
            <w:noWrap/>
            <w:vAlign w:val="bottom"/>
            <w:hideMark/>
          </w:tcPr>
          <w:p w14:paraId="3A8FF600"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auto"/>
              <w:right w:val="nil"/>
            </w:tcBorders>
            <w:shd w:val="clear" w:color="auto" w:fill="auto"/>
            <w:noWrap/>
            <w:vAlign w:val="bottom"/>
            <w:hideMark/>
          </w:tcPr>
          <w:p w14:paraId="3FDD3E4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auto"/>
              <w:right w:val="nil"/>
            </w:tcBorders>
            <w:shd w:val="clear" w:color="auto" w:fill="auto"/>
            <w:noWrap/>
            <w:vAlign w:val="bottom"/>
            <w:hideMark/>
          </w:tcPr>
          <w:p w14:paraId="25AB39A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auto"/>
              <w:right w:val="nil"/>
            </w:tcBorders>
            <w:shd w:val="clear" w:color="auto" w:fill="auto"/>
            <w:noWrap/>
            <w:vAlign w:val="bottom"/>
            <w:hideMark/>
          </w:tcPr>
          <w:p w14:paraId="34CFB24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auto"/>
              <w:right w:val="nil"/>
            </w:tcBorders>
            <w:shd w:val="clear" w:color="auto" w:fill="auto"/>
            <w:noWrap/>
            <w:vAlign w:val="bottom"/>
            <w:hideMark/>
          </w:tcPr>
          <w:p w14:paraId="1EF73C3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0DCEBFF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4FA7050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180" w:type="pct"/>
            <w:tcBorders>
              <w:top w:val="nil"/>
              <w:left w:val="nil"/>
              <w:bottom w:val="single" w:sz="4" w:space="0" w:color="auto"/>
              <w:right w:val="nil"/>
            </w:tcBorders>
            <w:shd w:val="clear" w:color="auto" w:fill="auto"/>
            <w:noWrap/>
            <w:vAlign w:val="bottom"/>
            <w:hideMark/>
          </w:tcPr>
          <w:p w14:paraId="5577B98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w:t>
            </w:r>
          </w:p>
        </w:tc>
        <w:tc>
          <w:tcPr>
            <w:tcW w:w="210" w:type="pct"/>
            <w:tcBorders>
              <w:top w:val="nil"/>
              <w:left w:val="nil"/>
              <w:bottom w:val="single" w:sz="4" w:space="0" w:color="auto"/>
              <w:right w:val="nil"/>
            </w:tcBorders>
            <w:shd w:val="clear" w:color="auto" w:fill="auto"/>
            <w:noWrap/>
            <w:vAlign w:val="bottom"/>
            <w:hideMark/>
          </w:tcPr>
          <w:p w14:paraId="6D15326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613C7D4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689DF19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0E4B0D6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704EA59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1433D5B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239AC67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03BD90A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10" w:type="pct"/>
            <w:tcBorders>
              <w:top w:val="nil"/>
              <w:left w:val="nil"/>
              <w:bottom w:val="single" w:sz="4" w:space="0" w:color="auto"/>
              <w:right w:val="nil"/>
            </w:tcBorders>
            <w:shd w:val="clear" w:color="auto" w:fill="auto"/>
            <w:noWrap/>
            <w:vAlign w:val="bottom"/>
            <w:hideMark/>
          </w:tcPr>
          <w:p w14:paraId="1A6388C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4" w:type="pct"/>
            <w:tcBorders>
              <w:top w:val="nil"/>
              <w:left w:val="nil"/>
              <w:bottom w:val="single" w:sz="4" w:space="0" w:color="auto"/>
              <w:right w:val="nil"/>
            </w:tcBorders>
            <w:shd w:val="clear" w:color="auto" w:fill="auto"/>
            <w:noWrap/>
            <w:vAlign w:val="bottom"/>
            <w:hideMark/>
          </w:tcPr>
          <w:p w14:paraId="7782E48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r>
      <w:tr w:rsidR="00B54F4E" w:rsidRPr="00611A94" w14:paraId="1F28784A" w14:textId="77777777" w:rsidTr="006504C4">
        <w:trPr>
          <w:trHeight w:val="254"/>
        </w:trPr>
        <w:tc>
          <w:tcPr>
            <w:tcW w:w="1221" w:type="pct"/>
            <w:tcBorders>
              <w:top w:val="nil"/>
              <w:left w:val="nil"/>
              <w:bottom w:val="single" w:sz="4" w:space="0" w:color="auto"/>
              <w:right w:val="nil"/>
            </w:tcBorders>
            <w:shd w:val="clear" w:color="auto" w:fill="auto"/>
            <w:noWrap/>
            <w:vAlign w:val="bottom"/>
            <w:hideMark/>
          </w:tcPr>
          <w:p w14:paraId="1851CD13"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Total Beneficios ($USD Millones)</w:t>
            </w:r>
          </w:p>
        </w:tc>
        <w:tc>
          <w:tcPr>
            <w:tcW w:w="254" w:type="pct"/>
            <w:tcBorders>
              <w:top w:val="nil"/>
              <w:left w:val="nil"/>
              <w:bottom w:val="single" w:sz="4" w:space="0" w:color="auto"/>
              <w:right w:val="nil"/>
            </w:tcBorders>
            <w:shd w:val="clear" w:color="auto" w:fill="auto"/>
            <w:noWrap/>
            <w:vAlign w:val="bottom"/>
            <w:hideMark/>
          </w:tcPr>
          <w:p w14:paraId="15351F75"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auto"/>
              <w:right w:val="nil"/>
            </w:tcBorders>
            <w:shd w:val="clear" w:color="auto" w:fill="auto"/>
            <w:noWrap/>
            <w:vAlign w:val="bottom"/>
            <w:hideMark/>
          </w:tcPr>
          <w:p w14:paraId="32047EE8"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auto"/>
              <w:right w:val="nil"/>
            </w:tcBorders>
            <w:shd w:val="clear" w:color="auto" w:fill="auto"/>
            <w:noWrap/>
            <w:vAlign w:val="bottom"/>
            <w:hideMark/>
          </w:tcPr>
          <w:p w14:paraId="718554FB"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auto"/>
              <w:right w:val="nil"/>
            </w:tcBorders>
            <w:shd w:val="clear" w:color="auto" w:fill="auto"/>
            <w:noWrap/>
            <w:vAlign w:val="bottom"/>
            <w:hideMark/>
          </w:tcPr>
          <w:p w14:paraId="231A250F"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auto"/>
              <w:right w:val="nil"/>
            </w:tcBorders>
            <w:shd w:val="clear" w:color="auto" w:fill="auto"/>
            <w:noWrap/>
            <w:vAlign w:val="bottom"/>
            <w:hideMark/>
          </w:tcPr>
          <w:p w14:paraId="3D0C7E4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0,83</w:t>
            </w:r>
          </w:p>
        </w:tc>
        <w:tc>
          <w:tcPr>
            <w:tcW w:w="210" w:type="pct"/>
            <w:tcBorders>
              <w:top w:val="nil"/>
              <w:left w:val="nil"/>
              <w:bottom w:val="single" w:sz="4" w:space="0" w:color="auto"/>
              <w:right w:val="nil"/>
            </w:tcBorders>
            <w:shd w:val="clear" w:color="auto" w:fill="auto"/>
            <w:noWrap/>
            <w:vAlign w:val="bottom"/>
            <w:hideMark/>
          </w:tcPr>
          <w:p w14:paraId="23561F4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1,09</w:t>
            </w:r>
          </w:p>
        </w:tc>
        <w:tc>
          <w:tcPr>
            <w:tcW w:w="210" w:type="pct"/>
            <w:tcBorders>
              <w:top w:val="nil"/>
              <w:left w:val="nil"/>
              <w:bottom w:val="single" w:sz="4" w:space="0" w:color="auto"/>
              <w:right w:val="nil"/>
            </w:tcBorders>
            <w:shd w:val="clear" w:color="auto" w:fill="auto"/>
            <w:noWrap/>
            <w:vAlign w:val="bottom"/>
            <w:hideMark/>
          </w:tcPr>
          <w:p w14:paraId="39F9947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1,44</w:t>
            </w:r>
          </w:p>
        </w:tc>
        <w:tc>
          <w:tcPr>
            <w:tcW w:w="180" w:type="pct"/>
            <w:tcBorders>
              <w:top w:val="nil"/>
              <w:left w:val="nil"/>
              <w:bottom w:val="single" w:sz="4" w:space="0" w:color="auto"/>
              <w:right w:val="nil"/>
            </w:tcBorders>
            <w:shd w:val="clear" w:color="auto" w:fill="auto"/>
            <w:noWrap/>
            <w:vAlign w:val="bottom"/>
            <w:hideMark/>
          </w:tcPr>
          <w:p w14:paraId="36C19E9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17,44</w:t>
            </w:r>
          </w:p>
        </w:tc>
        <w:tc>
          <w:tcPr>
            <w:tcW w:w="210" w:type="pct"/>
            <w:tcBorders>
              <w:top w:val="nil"/>
              <w:left w:val="nil"/>
              <w:bottom w:val="single" w:sz="4" w:space="0" w:color="auto"/>
              <w:right w:val="nil"/>
            </w:tcBorders>
            <w:shd w:val="clear" w:color="auto" w:fill="auto"/>
            <w:noWrap/>
            <w:vAlign w:val="bottom"/>
            <w:hideMark/>
          </w:tcPr>
          <w:p w14:paraId="3CEE601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2,17</w:t>
            </w:r>
          </w:p>
        </w:tc>
        <w:tc>
          <w:tcPr>
            <w:tcW w:w="210" w:type="pct"/>
            <w:tcBorders>
              <w:top w:val="nil"/>
              <w:left w:val="nil"/>
              <w:bottom w:val="single" w:sz="4" w:space="0" w:color="auto"/>
              <w:right w:val="nil"/>
            </w:tcBorders>
            <w:shd w:val="clear" w:color="auto" w:fill="auto"/>
            <w:noWrap/>
            <w:vAlign w:val="bottom"/>
            <w:hideMark/>
          </w:tcPr>
          <w:p w14:paraId="1FE8827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2,55</w:t>
            </w:r>
          </w:p>
        </w:tc>
        <w:tc>
          <w:tcPr>
            <w:tcW w:w="210" w:type="pct"/>
            <w:tcBorders>
              <w:top w:val="nil"/>
              <w:left w:val="nil"/>
              <w:bottom w:val="single" w:sz="4" w:space="0" w:color="auto"/>
              <w:right w:val="nil"/>
            </w:tcBorders>
            <w:shd w:val="clear" w:color="auto" w:fill="auto"/>
            <w:noWrap/>
            <w:vAlign w:val="bottom"/>
            <w:hideMark/>
          </w:tcPr>
          <w:p w14:paraId="35E290C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2,94</w:t>
            </w:r>
          </w:p>
        </w:tc>
        <w:tc>
          <w:tcPr>
            <w:tcW w:w="210" w:type="pct"/>
            <w:tcBorders>
              <w:top w:val="nil"/>
              <w:left w:val="nil"/>
              <w:bottom w:val="single" w:sz="4" w:space="0" w:color="auto"/>
              <w:right w:val="nil"/>
            </w:tcBorders>
            <w:shd w:val="clear" w:color="auto" w:fill="auto"/>
            <w:noWrap/>
            <w:vAlign w:val="bottom"/>
            <w:hideMark/>
          </w:tcPr>
          <w:p w14:paraId="4FD847C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3,34</w:t>
            </w:r>
          </w:p>
        </w:tc>
        <w:tc>
          <w:tcPr>
            <w:tcW w:w="210" w:type="pct"/>
            <w:tcBorders>
              <w:top w:val="nil"/>
              <w:left w:val="nil"/>
              <w:bottom w:val="single" w:sz="4" w:space="0" w:color="auto"/>
              <w:right w:val="nil"/>
            </w:tcBorders>
            <w:shd w:val="clear" w:color="auto" w:fill="auto"/>
            <w:noWrap/>
            <w:vAlign w:val="bottom"/>
            <w:hideMark/>
          </w:tcPr>
          <w:p w14:paraId="37468D50"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3,75</w:t>
            </w:r>
          </w:p>
        </w:tc>
        <w:tc>
          <w:tcPr>
            <w:tcW w:w="210" w:type="pct"/>
            <w:tcBorders>
              <w:top w:val="nil"/>
              <w:left w:val="nil"/>
              <w:bottom w:val="single" w:sz="4" w:space="0" w:color="auto"/>
              <w:right w:val="nil"/>
            </w:tcBorders>
            <w:shd w:val="clear" w:color="auto" w:fill="auto"/>
            <w:noWrap/>
            <w:vAlign w:val="bottom"/>
            <w:hideMark/>
          </w:tcPr>
          <w:p w14:paraId="28A7FEBF"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4,17</w:t>
            </w:r>
          </w:p>
        </w:tc>
        <w:tc>
          <w:tcPr>
            <w:tcW w:w="210" w:type="pct"/>
            <w:tcBorders>
              <w:top w:val="nil"/>
              <w:left w:val="nil"/>
              <w:bottom w:val="single" w:sz="4" w:space="0" w:color="auto"/>
              <w:right w:val="nil"/>
            </w:tcBorders>
            <w:shd w:val="clear" w:color="auto" w:fill="auto"/>
            <w:noWrap/>
            <w:vAlign w:val="bottom"/>
            <w:hideMark/>
          </w:tcPr>
          <w:p w14:paraId="4FE4A03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4,59</w:t>
            </w:r>
          </w:p>
        </w:tc>
        <w:tc>
          <w:tcPr>
            <w:tcW w:w="210" w:type="pct"/>
            <w:tcBorders>
              <w:top w:val="nil"/>
              <w:left w:val="nil"/>
              <w:bottom w:val="single" w:sz="4" w:space="0" w:color="auto"/>
              <w:right w:val="nil"/>
            </w:tcBorders>
            <w:shd w:val="clear" w:color="auto" w:fill="auto"/>
            <w:noWrap/>
            <w:vAlign w:val="bottom"/>
            <w:hideMark/>
          </w:tcPr>
          <w:p w14:paraId="10E2DB4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5,03</w:t>
            </w:r>
          </w:p>
        </w:tc>
        <w:tc>
          <w:tcPr>
            <w:tcW w:w="210" w:type="pct"/>
            <w:tcBorders>
              <w:top w:val="nil"/>
              <w:left w:val="nil"/>
              <w:bottom w:val="single" w:sz="4" w:space="0" w:color="auto"/>
              <w:right w:val="nil"/>
            </w:tcBorders>
            <w:shd w:val="clear" w:color="auto" w:fill="auto"/>
            <w:noWrap/>
            <w:vAlign w:val="bottom"/>
            <w:hideMark/>
          </w:tcPr>
          <w:p w14:paraId="6A0344A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5,48</w:t>
            </w:r>
          </w:p>
        </w:tc>
        <w:tc>
          <w:tcPr>
            <w:tcW w:w="204" w:type="pct"/>
            <w:tcBorders>
              <w:top w:val="nil"/>
              <w:left w:val="nil"/>
              <w:bottom w:val="single" w:sz="4" w:space="0" w:color="auto"/>
              <w:right w:val="nil"/>
            </w:tcBorders>
            <w:shd w:val="clear" w:color="auto" w:fill="auto"/>
            <w:noWrap/>
            <w:vAlign w:val="bottom"/>
            <w:hideMark/>
          </w:tcPr>
          <w:p w14:paraId="1A6E93C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5,95</w:t>
            </w:r>
          </w:p>
        </w:tc>
      </w:tr>
      <w:tr w:rsidR="00B54F4E" w:rsidRPr="00611A94" w14:paraId="7F18A57F" w14:textId="77777777" w:rsidTr="006504C4">
        <w:trPr>
          <w:trHeight w:val="254"/>
        </w:trPr>
        <w:tc>
          <w:tcPr>
            <w:tcW w:w="1221" w:type="pct"/>
            <w:tcBorders>
              <w:top w:val="nil"/>
              <w:left w:val="nil"/>
              <w:bottom w:val="nil"/>
              <w:right w:val="nil"/>
            </w:tcBorders>
            <w:shd w:val="clear" w:color="auto" w:fill="auto"/>
            <w:noWrap/>
            <w:vAlign w:val="bottom"/>
            <w:hideMark/>
          </w:tcPr>
          <w:p w14:paraId="6E9B626E"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Inversión y Costos</w:t>
            </w:r>
          </w:p>
        </w:tc>
        <w:tc>
          <w:tcPr>
            <w:tcW w:w="254" w:type="pct"/>
            <w:tcBorders>
              <w:top w:val="nil"/>
              <w:left w:val="nil"/>
              <w:bottom w:val="nil"/>
              <w:right w:val="nil"/>
            </w:tcBorders>
            <w:shd w:val="clear" w:color="auto" w:fill="auto"/>
            <w:noWrap/>
            <w:vAlign w:val="bottom"/>
            <w:hideMark/>
          </w:tcPr>
          <w:p w14:paraId="5A1C14F7" w14:textId="77777777" w:rsidR="00B54F4E" w:rsidRPr="00611A94" w:rsidRDefault="00B54F4E" w:rsidP="006504C4">
            <w:pPr>
              <w:spacing w:before="0" w:after="0"/>
              <w:jc w:val="left"/>
              <w:rPr>
                <w:rFonts w:ascii="Calibri" w:hAnsi="Calibri" w:cs="Calibri"/>
                <w:b/>
                <w:bCs/>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025D1D14"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4931377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029E11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1AC3E4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7DE730E"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BF09D9B"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78DAFBA7"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3F5264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ECA98A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D4F529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71FC0D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835160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79AC6E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7CEA81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E13A8C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33F21D4"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480190B1"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18808108" w14:textId="77777777" w:rsidTr="006504C4">
        <w:trPr>
          <w:trHeight w:val="254"/>
        </w:trPr>
        <w:tc>
          <w:tcPr>
            <w:tcW w:w="1221" w:type="pct"/>
            <w:tcBorders>
              <w:top w:val="nil"/>
              <w:left w:val="nil"/>
              <w:bottom w:val="nil"/>
              <w:right w:val="nil"/>
            </w:tcBorders>
            <w:shd w:val="clear" w:color="auto" w:fill="auto"/>
            <w:noWrap/>
            <w:vAlign w:val="bottom"/>
            <w:hideMark/>
          </w:tcPr>
          <w:p w14:paraId="6F91F91D"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Inversión asociada con medidas arquitectónicas</w:t>
            </w:r>
          </w:p>
        </w:tc>
        <w:tc>
          <w:tcPr>
            <w:tcW w:w="254" w:type="pct"/>
            <w:tcBorders>
              <w:top w:val="nil"/>
              <w:left w:val="nil"/>
              <w:bottom w:val="nil"/>
              <w:right w:val="nil"/>
            </w:tcBorders>
            <w:shd w:val="clear" w:color="auto" w:fill="auto"/>
            <w:noWrap/>
            <w:vAlign w:val="bottom"/>
            <w:hideMark/>
          </w:tcPr>
          <w:p w14:paraId="4E0EB0AA"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p>
        </w:tc>
        <w:tc>
          <w:tcPr>
            <w:tcW w:w="207" w:type="pct"/>
            <w:tcBorders>
              <w:top w:val="nil"/>
              <w:left w:val="nil"/>
              <w:bottom w:val="nil"/>
              <w:right w:val="nil"/>
            </w:tcBorders>
            <w:shd w:val="clear" w:color="auto" w:fill="auto"/>
            <w:noWrap/>
            <w:vAlign w:val="bottom"/>
            <w:hideMark/>
          </w:tcPr>
          <w:p w14:paraId="249C4F96"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1BA6019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A96C38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4D73609"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1F40A8A6"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0E92B6AF"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180" w:type="pct"/>
            <w:tcBorders>
              <w:top w:val="nil"/>
              <w:left w:val="nil"/>
              <w:bottom w:val="nil"/>
              <w:right w:val="nil"/>
            </w:tcBorders>
            <w:shd w:val="clear" w:color="auto" w:fill="auto"/>
            <w:noWrap/>
            <w:vAlign w:val="bottom"/>
            <w:hideMark/>
          </w:tcPr>
          <w:p w14:paraId="2D770AE7"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4AEA03A7"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0E9AFF4E"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6B40FA72"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36D4E093"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1FB8364E"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79080C13"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44C42884"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34533448"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10" w:type="pct"/>
            <w:tcBorders>
              <w:top w:val="nil"/>
              <w:left w:val="nil"/>
              <w:bottom w:val="nil"/>
              <w:right w:val="nil"/>
            </w:tcBorders>
            <w:shd w:val="clear" w:color="auto" w:fill="auto"/>
            <w:noWrap/>
            <w:vAlign w:val="bottom"/>
            <w:hideMark/>
          </w:tcPr>
          <w:p w14:paraId="7709904F"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c>
          <w:tcPr>
            <w:tcW w:w="204" w:type="pct"/>
            <w:tcBorders>
              <w:top w:val="nil"/>
              <w:left w:val="nil"/>
              <w:bottom w:val="nil"/>
              <w:right w:val="nil"/>
            </w:tcBorders>
            <w:shd w:val="clear" w:color="auto" w:fill="auto"/>
            <w:noWrap/>
            <w:vAlign w:val="bottom"/>
            <w:hideMark/>
          </w:tcPr>
          <w:p w14:paraId="44F224F4" w14:textId="77777777" w:rsidR="00B54F4E" w:rsidRPr="00611A94" w:rsidRDefault="00B54F4E" w:rsidP="006504C4">
            <w:pPr>
              <w:spacing w:before="0" w:after="0"/>
              <w:jc w:val="right"/>
              <w:rPr>
                <w:rFonts w:ascii="Calibri" w:hAnsi="Calibri" w:cs="Calibri"/>
                <w:color w:val="0000FF"/>
                <w:sz w:val="12"/>
                <w:szCs w:val="12"/>
                <w:lang w:eastAsia="es-CO"/>
              </w:rPr>
            </w:pPr>
            <w:r w:rsidRPr="00611A94">
              <w:rPr>
                <w:rFonts w:ascii="Calibri" w:hAnsi="Calibri" w:cs="Calibri"/>
                <w:color w:val="0000FF"/>
                <w:sz w:val="12"/>
                <w:szCs w:val="12"/>
                <w:lang w:eastAsia="es-CO"/>
              </w:rPr>
              <w:t>0,0</w:t>
            </w:r>
          </w:p>
        </w:tc>
      </w:tr>
      <w:tr w:rsidR="00B54F4E" w:rsidRPr="00611A94" w14:paraId="52E30F81" w14:textId="77777777" w:rsidTr="006504C4">
        <w:trPr>
          <w:trHeight w:val="254"/>
        </w:trPr>
        <w:tc>
          <w:tcPr>
            <w:tcW w:w="1221" w:type="pct"/>
            <w:tcBorders>
              <w:top w:val="single" w:sz="4" w:space="0" w:color="auto"/>
              <w:left w:val="nil"/>
              <w:bottom w:val="single" w:sz="4" w:space="0" w:color="auto"/>
              <w:right w:val="nil"/>
            </w:tcBorders>
            <w:shd w:val="clear" w:color="auto" w:fill="auto"/>
            <w:noWrap/>
            <w:vAlign w:val="bottom"/>
            <w:hideMark/>
          </w:tcPr>
          <w:p w14:paraId="14E2C1F6" w14:textId="77777777" w:rsidR="00B54F4E" w:rsidRPr="00611A94" w:rsidRDefault="00B54F4E" w:rsidP="006504C4">
            <w:pPr>
              <w:spacing w:before="0" w:after="0"/>
              <w:ind w:firstLineChars="100" w:firstLine="12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Total Inversión y Costos ($USD Millones)</w:t>
            </w:r>
          </w:p>
        </w:tc>
        <w:tc>
          <w:tcPr>
            <w:tcW w:w="254" w:type="pct"/>
            <w:tcBorders>
              <w:top w:val="single" w:sz="4" w:space="0" w:color="auto"/>
              <w:left w:val="nil"/>
              <w:bottom w:val="single" w:sz="4" w:space="0" w:color="auto"/>
              <w:right w:val="nil"/>
            </w:tcBorders>
            <w:shd w:val="clear" w:color="auto" w:fill="auto"/>
            <w:noWrap/>
            <w:vAlign w:val="bottom"/>
            <w:hideMark/>
          </w:tcPr>
          <w:p w14:paraId="5A37BABB"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single" w:sz="4" w:space="0" w:color="auto"/>
              <w:left w:val="nil"/>
              <w:bottom w:val="single" w:sz="4" w:space="0" w:color="auto"/>
              <w:right w:val="nil"/>
            </w:tcBorders>
            <w:shd w:val="clear" w:color="auto" w:fill="auto"/>
            <w:noWrap/>
            <w:vAlign w:val="bottom"/>
            <w:hideMark/>
          </w:tcPr>
          <w:p w14:paraId="270372E6"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single" w:sz="4" w:space="0" w:color="auto"/>
              <w:left w:val="nil"/>
              <w:bottom w:val="single" w:sz="4" w:space="0" w:color="auto"/>
              <w:right w:val="nil"/>
            </w:tcBorders>
            <w:shd w:val="clear" w:color="auto" w:fill="auto"/>
            <w:noWrap/>
            <w:vAlign w:val="bottom"/>
            <w:hideMark/>
          </w:tcPr>
          <w:p w14:paraId="4A5BA8A9"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single" w:sz="4" w:space="0" w:color="auto"/>
              <w:left w:val="nil"/>
              <w:bottom w:val="single" w:sz="4" w:space="0" w:color="auto"/>
              <w:right w:val="nil"/>
            </w:tcBorders>
            <w:shd w:val="clear" w:color="auto" w:fill="auto"/>
            <w:noWrap/>
            <w:vAlign w:val="bottom"/>
            <w:hideMark/>
          </w:tcPr>
          <w:p w14:paraId="396243B2"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single" w:sz="4" w:space="0" w:color="auto"/>
              <w:left w:val="nil"/>
              <w:bottom w:val="single" w:sz="4" w:space="0" w:color="auto"/>
              <w:right w:val="nil"/>
            </w:tcBorders>
            <w:shd w:val="clear" w:color="auto" w:fill="auto"/>
            <w:noWrap/>
            <w:vAlign w:val="bottom"/>
            <w:hideMark/>
          </w:tcPr>
          <w:p w14:paraId="09CBD78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6C1779E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5BAB9CE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180" w:type="pct"/>
            <w:tcBorders>
              <w:top w:val="single" w:sz="4" w:space="0" w:color="auto"/>
              <w:left w:val="nil"/>
              <w:bottom w:val="single" w:sz="4" w:space="0" w:color="auto"/>
              <w:right w:val="nil"/>
            </w:tcBorders>
            <w:shd w:val="clear" w:color="auto" w:fill="auto"/>
            <w:noWrap/>
            <w:vAlign w:val="bottom"/>
            <w:hideMark/>
          </w:tcPr>
          <w:p w14:paraId="61AF46F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1C429E5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42C242C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3189BDB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0C3EF583"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665D5DA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26DDEEC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2B1E742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4A5BD66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10" w:type="pct"/>
            <w:tcBorders>
              <w:top w:val="single" w:sz="4" w:space="0" w:color="auto"/>
              <w:left w:val="nil"/>
              <w:bottom w:val="single" w:sz="4" w:space="0" w:color="auto"/>
              <w:right w:val="nil"/>
            </w:tcBorders>
            <w:shd w:val="clear" w:color="auto" w:fill="auto"/>
            <w:noWrap/>
            <w:vAlign w:val="bottom"/>
            <w:hideMark/>
          </w:tcPr>
          <w:p w14:paraId="403D61D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c>
          <w:tcPr>
            <w:tcW w:w="204" w:type="pct"/>
            <w:tcBorders>
              <w:top w:val="single" w:sz="4" w:space="0" w:color="auto"/>
              <w:left w:val="nil"/>
              <w:bottom w:val="single" w:sz="4" w:space="0" w:color="auto"/>
              <w:right w:val="nil"/>
            </w:tcBorders>
            <w:shd w:val="clear" w:color="auto" w:fill="auto"/>
            <w:noWrap/>
            <w:vAlign w:val="bottom"/>
            <w:hideMark/>
          </w:tcPr>
          <w:p w14:paraId="0DDF844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0,0</w:t>
            </w:r>
          </w:p>
        </w:tc>
      </w:tr>
      <w:tr w:rsidR="00B54F4E" w:rsidRPr="00611A94" w14:paraId="0403A487" w14:textId="77777777" w:rsidTr="006504C4">
        <w:trPr>
          <w:trHeight w:val="254"/>
        </w:trPr>
        <w:tc>
          <w:tcPr>
            <w:tcW w:w="1221" w:type="pct"/>
            <w:tcBorders>
              <w:top w:val="nil"/>
              <w:left w:val="nil"/>
              <w:bottom w:val="single" w:sz="4" w:space="0" w:color="auto"/>
              <w:right w:val="nil"/>
            </w:tcBorders>
            <w:shd w:val="clear" w:color="auto" w:fill="auto"/>
            <w:noWrap/>
            <w:vAlign w:val="bottom"/>
            <w:hideMark/>
          </w:tcPr>
          <w:p w14:paraId="6BD6B508" w14:textId="77777777" w:rsidR="00B54F4E" w:rsidRPr="00611A94" w:rsidRDefault="00B54F4E" w:rsidP="006504C4">
            <w:pPr>
              <w:spacing w:before="0" w:after="0"/>
              <w:jc w:val="left"/>
              <w:rPr>
                <w:rFonts w:ascii="Calibri" w:hAnsi="Calibri" w:cs="Calibri"/>
                <w:b/>
                <w:bCs/>
                <w:color w:val="000000"/>
                <w:sz w:val="12"/>
                <w:szCs w:val="12"/>
                <w:lang w:eastAsia="es-CO"/>
              </w:rPr>
            </w:pPr>
            <w:r w:rsidRPr="00611A94">
              <w:rPr>
                <w:rFonts w:ascii="Calibri" w:hAnsi="Calibri" w:cs="Calibri"/>
                <w:b/>
                <w:bCs/>
                <w:color w:val="000000"/>
                <w:sz w:val="12"/>
                <w:szCs w:val="12"/>
                <w:lang w:eastAsia="es-CO"/>
              </w:rPr>
              <w:t>Flujo Neto</w:t>
            </w:r>
          </w:p>
        </w:tc>
        <w:tc>
          <w:tcPr>
            <w:tcW w:w="254" w:type="pct"/>
            <w:tcBorders>
              <w:top w:val="nil"/>
              <w:left w:val="nil"/>
              <w:bottom w:val="single" w:sz="4" w:space="0" w:color="auto"/>
              <w:right w:val="nil"/>
            </w:tcBorders>
            <w:shd w:val="clear" w:color="auto" w:fill="auto"/>
            <w:noWrap/>
            <w:vAlign w:val="bottom"/>
            <w:hideMark/>
          </w:tcPr>
          <w:p w14:paraId="26EBE6B3"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auto"/>
              <w:right w:val="nil"/>
            </w:tcBorders>
            <w:shd w:val="clear" w:color="auto" w:fill="auto"/>
            <w:noWrap/>
            <w:vAlign w:val="bottom"/>
            <w:hideMark/>
          </w:tcPr>
          <w:p w14:paraId="42FE1EFE"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nil"/>
              <w:left w:val="nil"/>
              <w:bottom w:val="single" w:sz="4" w:space="0" w:color="auto"/>
              <w:right w:val="nil"/>
            </w:tcBorders>
            <w:shd w:val="clear" w:color="auto" w:fill="auto"/>
            <w:noWrap/>
            <w:vAlign w:val="bottom"/>
            <w:hideMark/>
          </w:tcPr>
          <w:p w14:paraId="29F7D86E"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auto"/>
              <w:right w:val="nil"/>
            </w:tcBorders>
            <w:shd w:val="clear" w:color="auto" w:fill="auto"/>
            <w:noWrap/>
            <w:vAlign w:val="bottom"/>
            <w:hideMark/>
          </w:tcPr>
          <w:p w14:paraId="2436CBDB"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nil"/>
              <w:left w:val="nil"/>
              <w:bottom w:val="single" w:sz="4" w:space="0" w:color="auto"/>
              <w:right w:val="nil"/>
            </w:tcBorders>
            <w:shd w:val="clear" w:color="auto" w:fill="auto"/>
            <w:noWrap/>
            <w:vAlign w:val="bottom"/>
            <w:hideMark/>
          </w:tcPr>
          <w:p w14:paraId="6537468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0,8</w:t>
            </w:r>
          </w:p>
        </w:tc>
        <w:tc>
          <w:tcPr>
            <w:tcW w:w="210" w:type="pct"/>
            <w:tcBorders>
              <w:top w:val="nil"/>
              <w:left w:val="nil"/>
              <w:bottom w:val="single" w:sz="4" w:space="0" w:color="auto"/>
              <w:right w:val="nil"/>
            </w:tcBorders>
            <w:shd w:val="clear" w:color="auto" w:fill="auto"/>
            <w:noWrap/>
            <w:vAlign w:val="bottom"/>
            <w:hideMark/>
          </w:tcPr>
          <w:p w14:paraId="1498BAA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10" w:type="pct"/>
            <w:tcBorders>
              <w:top w:val="nil"/>
              <w:left w:val="nil"/>
              <w:bottom w:val="single" w:sz="4" w:space="0" w:color="auto"/>
              <w:right w:val="nil"/>
            </w:tcBorders>
            <w:shd w:val="clear" w:color="auto" w:fill="auto"/>
            <w:noWrap/>
            <w:vAlign w:val="bottom"/>
            <w:hideMark/>
          </w:tcPr>
          <w:p w14:paraId="423E435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w:t>
            </w:r>
          </w:p>
        </w:tc>
        <w:tc>
          <w:tcPr>
            <w:tcW w:w="180" w:type="pct"/>
            <w:tcBorders>
              <w:top w:val="nil"/>
              <w:left w:val="nil"/>
              <w:bottom w:val="single" w:sz="4" w:space="0" w:color="auto"/>
              <w:right w:val="nil"/>
            </w:tcBorders>
            <w:shd w:val="clear" w:color="auto" w:fill="auto"/>
            <w:noWrap/>
            <w:vAlign w:val="bottom"/>
            <w:hideMark/>
          </w:tcPr>
          <w:p w14:paraId="69A9EE7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17,4</w:t>
            </w:r>
          </w:p>
        </w:tc>
        <w:tc>
          <w:tcPr>
            <w:tcW w:w="210" w:type="pct"/>
            <w:tcBorders>
              <w:top w:val="nil"/>
              <w:left w:val="nil"/>
              <w:bottom w:val="single" w:sz="4" w:space="0" w:color="auto"/>
              <w:right w:val="nil"/>
            </w:tcBorders>
            <w:shd w:val="clear" w:color="auto" w:fill="auto"/>
            <w:noWrap/>
            <w:vAlign w:val="bottom"/>
            <w:hideMark/>
          </w:tcPr>
          <w:p w14:paraId="372E3C39"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2,2</w:t>
            </w:r>
          </w:p>
        </w:tc>
        <w:tc>
          <w:tcPr>
            <w:tcW w:w="210" w:type="pct"/>
            <w:tcBorders>
              <w:top w:val="nil"/>
              <w:left w:val="nil"/>
              <w:bottom w:val="single" w:sz="4" w:space="0" w:color="auto"/>
              <w:right w:val="nil"/>
            </w:tcBorders>
            <w:shd w:val="clear" w:color="auto" w:fill="auto"/>
            <w:noWrap/>
            <w:vAlign w:val="bottom"/>
            <w:hideMark/>
          </w:tcPr>
          <w:p w14:paraId="03C92D4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2,6</w:t>
            </w:r>
          </w:p>
        </w:tc>
        <w:tc>
          <w:tcPr>
            <w:tcW w:w="210" w:type="pct"/>
            <w:tcBorders>
              <w:top w:val="nil"/>
              <w:left w:val="nil"/>
              <w:bottom w:val="single" w:sz="4" w:space="0" w:color="auto"/>
              <w:right w:val="nil"/>
            </w:tcBorders>
            <w:shd w:val="clear" w:color="auto" w:fill="auto"/>
            <w:noWrap/>
            <w:vAlign w:val="bottom"/>
            <w:hideMark/>
          </w:tcPr>
          <w:p w14:paraId="57D9C23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2,9</w:t>
            </w:r>
          </w:p>
        </w:tc>
        <w:tc>
          <w:tcPr>
            <w:tcW w:w="210" w:type="pct"/>
            <w:tcBorders>
              <w:top w:val="nil"/>
              <w:left w:val="nil"/>
              <w:bottom w:val="single" w:sz="4" w:space="0" w:color="auto"/>
              <w:right w:val="nil"/>
            </w:tcBorders>
            <w:shd w:val="clear" w:color="auto" w:fill="auto"/>
            <w:noWrap/>
            <w:vAlign w:val="bottom"/>
            <w:hideMark/>
          </w:tcPr>
          <w:p w14:paraId="57FCD39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3,3</w:t>
            </w:r>
          </w:p>
        </w:tc>
        <w:tc>
          <w:tcPr>
            <w:tcW w:w="210" w:type="pct"/>
            <w:tcBorders>
              <w:top w:val="nil"/>
              <w:left w:val="nil"/>
              <w:bottom w:val="single" w:sz="4" w:space="0" w:color="auto"/>
              <w:right w:val="nil"/>
            </w:tcBorders>
            <w:shd w:val="clear" w:color="auto" w:fill="auto"/>
            <w:noWrap/>
            <w:vAlign w:val="bottom"/>
            <w:hideMark/>
          </w:tcPr>
          <w:p w14:paraId="194EC56A"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3,7</w:t>
            </w:r>
          </w:p>
        </w:tc>
        <w:tc>
          <w:tcPr>
            <w:tcW w:w="210" w:type="pct"/>
            <w:tcBorders>
              <w:top w:val="nil"/>
              <w:left w:val="nil"/>
              <w:bottom w:val="single" w:sz="4" w:space="0" w:color="auto"/>
              <w:right w:val="nil"/>
            </w:tcBorders>
            <w:shd w:val="clear" w:color="auto" w:fill="auto"/>
            <w:noWrap/>
            <w:vAlign w:val="bottom"/>
            <w:hideMark/>
          </w:tcPr>
          <w:p w14:paraId="7DF840C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4,2</w:t>
            </w:r>
          </w:p>
        </w:tc>
        <w:tc>
          <w:tcPr>
            <w:tcW w:w="210" w:type="pct"/>
            <w:tcBorders>
              <w:top w:val="nil"/>
              <w:left w:val="nil"/>
              <w:bottom w:val="single" w:sz="4" w:space="0" w:color="auto"/>
              <w:right w:val="nil"/>
            </w:tcBorders>
            <w:shd w:val="clear" w:color="auto" w:fill="auto"/>
            <w:noWrap/>
            <w:vAlign w:val="bottom"/>
            <w:hideMark/>
          </w:tcPr>
          <w:p w14:paraId="37D936B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4,6</w:t>
            </w:r>
          </w:p>
        </w:tc>
        <w:tc>
          <w:tcPr>
            <w:tcW w:w="210" w:type="pct"/>
            <w:tcBorders>
              <w:top w:val="nil"/>
              <w:left w:val="nil"/>
              <w:bottom w:val="single" w:sz="4" w:space="0" w:color="auto"/>
              <w:right w:val="nil"/>
            </w:tcBorders>
            <w:shd w:val="clear" w:color="auto" w:fill="auto"/>
            <w:noWrap/>
            <w:vAlign w:val="bottom"/>
            <w:hideMark/>
          </w:tcPr>
          <w:p w14:paraId="23157F4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5,0</w:t>
            </w:r>
          </w:p>
        </w:tc>
        <w:tc>
          <w:tcPr>
            <w:tcW w:w="210" w:type="pct"/>
            <w:tcBorders>
              <w:top w:val="nil"/>
              <w:left w:val="nil"/>
              <w:bottom w:val="single" w:sz="4" w:space="0" w:color="auto"/>
              <w:right w:val="nil"/>
            </w:tcBorders>
            <w:shd w:val="clear" w:color="auto" w:fill="auto"/>
            <w:noWrap/>
            <w:vAlign w:val="bottom"/>
            <w:hideMark/>
          </w:tcPr>
          <w:p w14:paraId="0AC0640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5,5</w:t>
            </w:r>
          </w:p>
        </w:tc>
        <w:tc>
          <w:tcPr>
            <w:tcW w:w="204" w:type="pct"/>
            <w:tcBorders>
              <w:top w:val="nil"/>
              <w:left w:val="nil"/>
              <w:bottom w:val="single" w:sz="4" w:space="0" w:color="auto"/>
              <w:right w:val="nil"/>
            </w:tcBorders>
            <w:shd w:val="clear" w:color="auto" w:fill="auto"/>
            <w:noWrap/>
            <w:vAlign w:val="bottom"/>
            <w:hideMark/>
          </w:tcPr>
          <w:p w14:paraId="11C9C12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5,9</w:t>
            </w:r>
          </w:p>
        </w:tc>
      </w:tr>
      <w:tr w:rsidR="00B54F4E" w:rsidRPr="00611A94" w14:paraId="20AECC34" w14:textId="77777777" w:rsidTr="006504C4">
        <w:trPr>
          <w:trHeight w:val="254"/>
        </w:trPr>
        <w:tc>
          <w:tcPr>
            <w:tcW w:w="1221" w:type="pct"/>
            <w:tcBorders>
              <w:top w:val="nil"/>
              <w:left w:val="nil"/>
              <w:bottom w:val="nil"/>
              <w:right w:val="nil"/>
            </w:tcBorders>
            <w:shd w:val="clear" w:color="auto" w:fill="auto"/>
            <w:noWrap/>
            <w:vAlign w:val="bottom"/>
            <w:hideMark/>
          </w:tcPr>
          <w:p w14:paraId="1ACB7ABB" w14:textId="77777777" w:rsidR="00B54F4E" w:rsidRPr="00611A94" w:rsidRDefault="00B54F4E" w:rsidP="006504C4">
            <w:pPr>
              <w:spacing w:before="0" w:after="0"/>
              <w:jc w:val="right"/>
              <w:rPr>
                <w:rFonts w:ascii="Calibri" w:hAnsi="Calibri" w:cs="Calibri"/>
                <w:color w:val="000000"/>
                <w:sz w:val="12"/>
                <w:szCs w:val="12"/>
                <w:lang w:eastAsia="es-CO"/>
              </w:rPr>
            </w:pPr>
          </w:p>
        </w:tc>
        <w:tc>
          <w:tcPr>
            <w:tcW w:w="254" w:type="pct"/>
            <w:tcBorders>
              <w:top w:val="nil"/>
              <w:left w:val="nil"/>
              <w:bottom w:val="nil"/>
              <w:right w:val="nil"/>
            </w:tcBorders>
            <w:shd w:val="clear" w:color="auto" w:fill="auto"/>
            <w:noWrap/>
            <w:vAlign w:val="bottom"/>
            <w:hideMark/>
          </w:tcPr>
          <w:p w14:paraId="0B300771"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4C9A33AC"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52BD1B1C"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BC5E1E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17847D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E69C72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B0AAD50"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13A7B71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427F64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C1EC99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429A07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BFDEEE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7C3604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D50378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96F7D2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5202637"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D66F3E8"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01A7E2A7"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738022A4" w14:textId="77777777" w:rsidTr="006504C4">
        <w:trPr>
          <w:trHeight w:val="254"/>
        </w:trPr>
        <w:tc>
          <w:tcPr>
            <w:tcW w:w="1221" w:type="pct"/>
            <w:tcBorders>
              <w:top w:val="single" w:sz="4" w:space="0" w:color="000000"/>
              <w:left w:val="nil"/>
              <w:bottom w:val="single" w:sz="4" w:space="0" w:color="000000"/>
              <w:right w:val="nil"/>
            </w:tcBorders>
            <w:shd w:val="clear" w:color="auto" w:fill="auto"/>
            <w:noWrap/>
            <w:vAlign w:val="bottom"/>
            <w:hideMark/>
          </w:tcPr>
          <w:p w14:paraId="6CDCAED2"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Ahorro energético de medidas arquitectónicas</w:t>
            </w:r>
          </w:p>
        </w:tc>
        <w:tc>
          <w:tcPr>
            <w:tcW w:w="254" w:type="pct"/>
            <w:tcBorders>
              <w:top w:val="single" w:sz="4" w:space="0" w:color="000000"/>
              <w:left w:val="nil"/>
              <w:bottom w:val="single" w:sz="4" w:space="0" w:color="000000"/>
              <w:right w:val="nil"/>
            </w:tcBorders>
            <w:shd w:val="clear" w:color="auto" w:fill="auto"/>
            <w:noWrap/>
            <w:vAlign w:val="bottom"/>
            <w:hideMark/>
          </w:tcPr>
          <w:p w14:paraId="692BA203"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single" w:sz="4" w:space="0" w:color="000000"/>
              <w:left w:val="nil"/>
              <w:bottom w:val="single" w:sz="4" w:space="0" w:color="000000"/>
              <w:right w:val="nil"/>
            </w:tcBorders>
            <w:shd w:val="clear" w:color="auto" w:fill="auto"/>
            <w:noWrap/>
            <w:vAlign w:val="bottom"/>
            <w:hideMark/>
          </w:tcPr>
          <w:p w14:paraId="49F34F17"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07" w:type="pct"/>
            <w:tcBorders>
              <w:top w:val="single" w:sz="4" w:space="0" w:color="000000"/>
              <w:left w:val="nil"/>
              <w:bottom w:val="single" w:sz="4" w:space="0" w:color="000000"/>
              <w:right w:val="nil"/>
            </w:tcBorders>
            <w:shd w:val="clear" w:color="auto" w:fill="auto"/>
            <w:noWrap/>
            <w:vAlign w:val="bottom"/>
            <w:hideMark/>
          </w:tcPr>
          <w:p w14:paraId="162E04D1"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single" w:sz="4" w:space="0" w:color="000000"/>
              <w:left w:val="nil"/>
              <w:bottom w:val="single" w:sz="4" w:space="0" w:color="000000"/>
              <w:right w:val="nil"/>
            </w:tcBorders>
            <w:shd w:val="clear" w:color="auto" w:fill="auto"/>
            <w:noWrap/>
            <w:vAlign w:val="bottom"/>
            <w:hideMark/>
          </w:tcPr>
          <w:p w14:paraId="7E7B8922"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 </w:t>
            </w:r>
          </w:p>
        </w:tc>
        <w:tc>
          <w:tcPr>
            <w:tcW w:w="210" w:type="pct"/>
            <w:tcBorders>
              <w:top w:val="single" w:sz="4" w:space="0" w:color="000000"/>
              <w:left w:val="nil"/>
              <w:bottom w:val="single" w:sz="4" w:space="0" w:color="000000"/>
              <w:right w:val="nil"/>
            </w:tcBorders>
            <w:shd w:val="clear" w:color="auto" w:fill="auto"/>
            <w:noWrap/>
            <w:vAlign w:val="bottom"/>
            <w:hideMark/>
          </w:tcPr>
          <w:p w14:paraId="6448DAEE"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0,4%</w:t>
            </w:r>
          </w:p>
        </w:tc>
        <w:tc>
          <w:tcPr>
            <w:tcW w:w="210" w:type="pct"/>
            <w:tcBorders>
              <w:top w:val="single" w:sz="4" w:space="0" w:color="000000"/>
              <w:left w:val="nil"/>
              <w:bottom w:val="single" w:sz="4" w:space="0" w:color="000000"/>
              <w:right w:val="nil"/>
            </w:tcBorders>
            <w:shd w:val="clear" w:color="auto" w:fill="auto"/>
            <w:noWrap/>
            <w:vAlign w:val="bottom"/>
            <w:hideMark/>
          </w:tcPr>
          <w:p w14:paraId="5A03C6C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0,5%</w:t>
            </w:r>
          </w:p>
        </w:tc>
        <w:tc>
          <w:tcPr>
            <w:tcW w:w="210" w:type="pct"/>
            <w:tcBorders>
              <w:top w:val="single" w:sz="4" w:space="0" w:color="000000"/>
              <w:left w:val="nil"/>
              <w:bottom w:val="single" w:sz="4" w:space="0" w:color="000000"/>
              <w:right w:val="nil"/>
            </w:tcBorders>
            <w:shd w:val="clear" w:color="auto" w:fill="auto"/>
            <w:noWrap/>
            <w:vAlign w:val="bottom"/>
            <w:hideMark/>
          </w:tcPr>
          <w:p w14:paraId="5DEDDD31"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0,6%</w:t>
            </w:r>
          </w:p>
        </w:tc>
        <w:tc>
          <w:tcPr>
            <w:tcW w:w="180" w:type="pct"/>
            <w:tcBorders>
              <w:top w:val="single" w:sz="4" w:space="0" w:color="000000"/>
              <w:left w:val="nil"/>
              <w:bottom w:val="single" w:sz="4" w:space="0" w:color="000000"/>
              <w:right w:val="nil"/>
            </w:tcBorders>
            <w:shd w:val="clear" w:color="auto" w:fill="auto"/>
            <w:noWrap/>
            <w:vAlign w:val="bottom"/>
            <w:hideMark/>
          </w:tcPr>
          <w:p w14:paraId="094B884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0,8%</w:t>
            </w:r>
          </w:p>
        </w:tc>
        <w:tc>
          <w:tcPr>
            <w:tcW w:w="210" w:type="pct"/>
            <w:tcBorders>
              <w:top w:val="single" w:sz="4" w:space="0" w:color="000000"/>
              <w:left w:val="nil"/>
              <w:bottom w:val="single" w:sz="4" w:space="0" w:color="000000"/>
              <w:right w:val="nil"/>
            </w:tcBorders>
            <w:shd w:val="clear" w:color="auto" w:fill="auto"/>
            <w:noWrap/>
            <w:vAlign w:val="bottom"/>
            <w:hideMark/>
          </w:tcPr>
          <w:p w14:paraId="31B7DFB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0,9%</w:t>
            </w:r>
          </w:p>
        </w:tc>
        <w:tc>
          <w:tcPr>
            <w:tcW w:w="210" w:type="pct"/>
            <w:tcBorders>
              <w:top w:val="single" w:sz="4" w:space="0" w:color="000000"/>
              <w:left w:val="nil"/>
              <w:bottom w:val="single" w:sz="4" w:space="0" w:color="000000"/>
              <w:right w:val="nil"/>
            </w:tcBorders>
            <w:shd w:val="clear" w:color="auto" w:fill="auto"/>
            <w:noWrap/>
            <w:vAlign w:val="bottom"/>
            <w:hideMark/>
          </w:tcPr>
          <w:p w14:paraId="760E33BD"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1,1%</w:t>
            </w:r>
          </w:p>
        </w:tc>
        <w:tc>
          <w:tcPr>
            <w:tcW w:w="210" w:type="pct"/>
            <w:tcBorders>
              <w:top w:val="single" w:sz="4" w:space="0" w:color="000000"/>
              <w:left w:val="nil"/>
              <w:bottom w:val="single" w:sz="4" w:space="0" w:color="000000"/>
              <w:right w:val="nil"/>
            </w:tcBorders>
            <w:shd w:val="clear" w:color="auto" w:fill="auto"/>
            <w:noWrap/>
            <w:vAlign w:val="bottom"/>
            <w:hideMark/>
          </w:tcPr>
          <w:p w14:paraId="19E3C5B6"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1,2%</w:t>
            </w:r>
          </w:p>
        </w:tc>
        <w:tc>
          <w:tcPr>
            <w:tcW w:w="210" w:type="pct"/>
            <w:tcBorders>
              <w:top w:val="single" w:sz="4" w:space="0" w:color="000000"/>
              <w:left w:val="nil"/>
              <w:bottom w:val="single" w:sz="4" w:space="0" w:color="000000"/>
              <w:right w:val="nil"/>
            </w:tcBorders>
            <w:shd w:val="clear" w:color="auto" w:fill="auto"/>
            <w:noWrap/>
            <w:vAlign w:val="bottom"/>
            <w:hideMark/>
          </w:tcPr>
          <w:p w14:paraId="522487E5"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1,3%</w:t>
            </w:r>
          </w:p>
        </w:tc>
        <w:tc>
          <w:tcPr>
            <w:tcW w:w="210" w:type="pct"/>
            <w:tcBorders>
              <w:top w:val="single" w:sz="4" w:space="0" w:color="000000"/>
              <w:left w:val="nil"/>
              <w:bottom w:val="single" w:sz="4" w:space="0" w:color="000000"/>
              <w:right w:val="nil"/>
            </w:tcBorders>
            <w:shd w:val="clear" w:color="auto" w:fill="auto"/>
            <w:noWrap/>
            <w:vAlign w:val="bottom"/>
            <w:hideMark/>
          </w:tcPr>
          <w:p w14:paraId="5E7E3F8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1,4%</w:t>
            </w:r>
          </w:p>
        </w:tc>
        <w:tc>
          <w:tcPr>
            <w:tcW w:w="210" w:type="pct"/>
            <w:tcBorders>
              <w:top w:val="single" w:sz="4" w:space="0" w:color="000000"/>
              <w:left w:val="nil"/>
              <w:bottom w:val="single" w:sz="4" w:space="0" w:color="000000"/>
              <w:right w:val="nil"/>
            </w:tcBorders>
            <w:shd w:val="clear" w:color="auto" w:fill="auto"/>
            <w:noWrap/>
            <w:vAlign w:val="bottom"/>
            <w:hideMark/>
          </w:tcPr>
          <w:p w14:paraId="2C58B22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1,5%</w:t>
            </w:r>
          </w:p>
        </w:tc>
        <w:tc>
          <w:tcPr>
            <w:tcW w:w="210" w:type="pct"/>
            <w:tcBorders>
              <w:top w:val="single" w:sz="4" w:space="0" w:color="000000"/>
              <w:left w:val="nil"/>
              <w:bottom w:val="single" w:sz="4" w:space="0" w:color="000000"/>
              <w:right w:val="nil"/>
            </w:tcBorders>
            <w:shd w:val="clear" w:color="auto" w:fill="auto"/>
            <w:noWrap/>
            <w:vAlign w:val="bottom"/>
            <w:hideMark/>
          </w:tcPr>
          <w:p w14:paraId="61B7694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1,6%</w:t>
            </w:r>
          </w:p>
        </w:tc>
        <w:tc>
          <w:tcPr>
            <w:tcW w:w="210" w:type="pct"/>
            <w:tcBorders>
              <w:top w:val="single" w:sz="4" w:space="0" w:color="000000"/>
              <w:left w:val="nil"/>
              <w:bottom w:val="single" w:sz="4" w:space="0" w:color="000000"/>
              <w:right w:val="nil"/>
            </w:tcBorders>
            <w:shd w:val="clear" w:color="auto" w:fill="auto"/>
            <w:noWrap/>
            <w:vAlign w:val="bottom"/>
            <w:hideMark/>
          </w:tcPr>
          <w:p w14:paraId="544E5382"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1,7%</w:t>
            </w:r>
          </w:p>
        </w:tc>
        <w:tc>
          <w:tcPr>
            <w:tcW w:w="210" w:type="pct"/>
            <w:tcBorders>
              <w:top w:val="single" w:sz="4" w:space="0" w:color="000000"/>
              <w:left w:val="nil"/>
              <w:bottom w:val="single" w:sz="4" w:space="0" w:color="000000"/>
              <w:right w:val="nil"/>
            </w:tcBorders>
            <w:shd w:val="clear" w:color="auto" w:fill="auto"/>
            <w:noWrap/>
            <w:vAlign w:val="bottom"/>
            <w:hideMark/>
          </w:tcPr>
          <w:p w14:paraId="5BE67B17"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1,8%</w:t>
            </w:r>
          </w:p>
        </w:tc>
        <w:tc>
          <w:tcPr>
            <w:tcW w:w="204" w:type="pct"/>
            <w:tcBorders>
              <w:top w:val="single" w:sz="4" w:space="0" w:color="000000"/>
              <w:left w:val="nil"/>
              <w:bottom w:val="single" w:sz="4" w:space="0" w:color="000000"/>
              <w:right w:val="nil"/>
            </w:tcBorders>
            <w:shd w:val="clear" w:color="auto" w:fill="auto"/>
            <w:noWrap/>
            <w:vAlign w:val="bottom"/>
            <w:hideMark/>
          </w:tcPr>
          <w:p w14:paraId="340D0B88"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1,9%</w:t>
            </w:r>
          </w:p>
        </w:tc>
      </w:tr>
      <w:tr w:rsidR="00B54F4E" w:rsidRPr="00611A94" w14:paraId="595CBE18" w14:textId="77777777" w:rsidTr="006504C4">
        <w:trPr>
          <w:trHeight w:val="254"/>
        </w:trPr>
        <w:tc>
          <w:tcPr>
            <w:tcW w:w="1221" w:type="pct"/>
            <w:tcBorders>
              <w:top w:val="nil"/>
              <w:left w:val="nil"/>
              <w:bottom w:val="nil"/>
              <w:right w:val="nil"/>
            </w:tcBorders>
            <w:shd w:val="clear" w:color="auto" w:fill="auto"/>
            <w:noWrap/>
            <w:vAlign w:val="bottom"/>
            <w:hideMark/>
          </w:tcPr>
          <w:p w14:paraId="15BDDD4D" w14:textId="77777777" w:rsidR="00B54F4E" w:rsidRPr="00611A94" w:rsidRDefault="00B54F4E" w:rsidP="006504C4">
            <w:pPr>
              <w:spacing w:before="0" w:after="0"/>
              <w:jc w:val="right"/>
              <w:rPr>
                <w:rFonts w:ascii="Calibri" w:hAnsi="Calibri" w:cs="Calibri"/>
                <w:color w:val="000000"/>
                <w:sz w:val="12"/>
                <w:szCs w:val="12"/>
                <w:lang w:eastAsia="es-CO"/>
              </w:rPr>
            </w:pPr>
          </w:p>
        </w:tc>
        <w:tc>
          <w:tcPr>
            <w:tcW w:w="254" w:type="pct"/>
            <w:tcBorders>
              <w:top w:val="nil"/>
              <w:left w:val="nil"/>
              <w:bottom w:val="nil"/>
              <w:right w:val="nil"/>
            </w:tcBorders>
            <w:shd w:val="clear" w:color="auto" w:fill="auto"/>
            <w:noWrap/>
            <w:vAlign w:val="bottom"/>
            <w:hideMark/>
          </w:tcPr>
          <w:p w14:paraId="2FDF7FDB"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2C38C6D5" w14:textId="77777777" w:rsidR="00B54F4E" w:rsidRPr="00611A94" w:rsidRDefault="00B54F4E" w:rsidP="006504C4">
            <w:pPr>
              <w:spacing w:before="0" w:after="0"/>
              <w:jc w:val="left"/>
              <w:rPr>
                <w:rFonts w:ascii="Times New Roman" w:hAnsi="Times New Roman"/>
                <w:sz w:val="12"/>
                <w:szCs w:val="12"/>
                <w:lang w:eastAsia="es-CO"/>
              </w:rPr>
            </w:pPr>
          </w:p>
        </w:tc>
        <w:tc>
          <w:tcPr>
            <w:tcW w:w="207" w:type="pct"/>
            <w:tcBorders>
              <w:top w:val="nil"/>
              <w:left w:val="nil"/>
              <w:bottom w:val="nil"/>
              <w:right w:val="nil"/>
            </w:tcBorders>
            <w:shd w:val="clear" w:color="auto" w:fill="auto"/>
            <w:noWrap/>
            <w:vAlign w:val="bottom"/>
            <w:hideMark/>
          </w:tcPr>
          <w:p w14:paraId="19309DC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922220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D7F4F1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80AE1C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4846BC2"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0726AA8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167ACB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15AD05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3F8437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640471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AF39BD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EAF3FB4"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42BD51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09B11E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80A7B06"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651E602E"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12F756DA" w14:textId="77777777" w:rsidTr="006504C4">
        <w:trPr>
          <w:trHeight w:val="254"/>
        </w:trPr>
        <w:tc>
          <w:tcPr>
            <w:tcW w:w="1221" w:type="pct"/>
            <w:tcBorders>
              <w:top w:val="nil"/>
              <w:left w:val="nil"/>
              <w:bottom w:val="nil"/>
              <w:right w:val="nil"/>
            </w:tcBorders>
            <w:shd w:val="clear" w:color="auto" w:fill="auto"/>
            <w:noWrap/>
            <w:vAlign w:val="bottom"/>
            <w:hideMark/>
          </w:tcPr>
          <w:p w14:paraId="55F58273" w14:textId="77777777" w:rsidR="00B54F4E" w:rsidRPr="00611A94" w:rsidRDefault="00B54F4E" w:rsidP="006504C4">
            <w:pPr>
              <w:spacing w:before="0" w:after="0"/>
              <w:jc w:val="left"/>
              <w:rPr>
                <w:rFonts w:ascii="Times New Roman" w:hAnsi="Times New Roman"/>
                <w:sz w:val="12"/>
                <w:szCs w:val="12"/>
                <w:lang w:eastAsia="es-CO"/>
              </w:rPr>
            </w:pPr>
          </w:p>
        </w:tc>
        <w:tc>
          <w:tcPr>
            <w:tcW w:w="254" w:type="pct"/>
            <w:tcBorders>
              <w:top w:val="single" w:sz="4" w:space="0" w:color="FFFFFF"/>
              <w:left w:val="nil"/>
              <w:bottom w:val="single" w:sz="4" w:space="0" w:color="auto"/>
              <w:right w:val="single" w:sz="4" w:space="0" w:color="FFFFFF"/>
            </w:tcBorders>
            <w:shd w:val="clear" w:color="000000" w:fill="203764"/>
            <w:noWrap/>
            <w:vAlign w:val="bottom"/>
            <w:hideMark/>
          </w:tcPr>
          <w:p w14:paraId="469A468D"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Beneficios</w:t>
            </w:r>
          </w:p>
        </w:tc>
        <w:tc>
          <w:tcPr>
            <w:tcW w:w="207" w:type="pct"/>
            <w:tcBorders>
              <w:top w:val="single" w:sz="4" w:space="0" w:color="FFFFFF"/>
              <w:left w:val="nil"/>
              <w:bottom w:val="single" w:sz="4" w:space="0" w:color="auto"/>
              <w:right w:val="single" w:sz="4" w:space="0" w:color="FFFFFF"/>
            </w:tcBorders>
            <w:shd w:val="clear" w:color="000000" w:fill="203764"/>
            <w:noWrap/>
            <w:vAlign w:val="bottom"/>
            <w:hideMark/>
          </w:tcPr>
          <w:p w14:paraId="279161B8"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Costos</w:t>
            </w:r>
          </w:p>
        </w:tc>
        <w:tc>
          <w:tcPr>
            <w:tcW w:w="207" w:type="pct"/>
            <w:tcBorders>
              <w:top w:val="single" w:sz="4" w:space="0" w:color="FFFFFF"/>
              <w:left w:val="nil"/>
              <w:bottom w:val="single" w:sz="4" w:space="0" w:color="auto"/>
              <w:right w:val="single" w:sz="4" w:space="0" w:color="FFFFFF"/>
            </w:tcBorders>
            <w:shd w:val="clear" w:color="000000" w:fill="203764"/>
            <w:noWrap/>
            <w:vAlign w:val="bottom"/>
            <w:hideMark/>
          </w:tcPr>
          <w:p w14:paraId="0F5EA929" w14:textId="77777777" w:rsidR="00B54F4E" w:rsidRPr="00611A94" w:rsidRDefault="00B54F4E" w:rsidP="006504C4">
            <w:pPr>
              <w:spacing w:before="0" w:after="0"/>
              <w:jc w:val="center"/>
              <w:rPr>
                <w:rFonts w:ascii="Calibri" w:hAnsi="Calibri" w:cs="Calibri"/>
                <w:color w:val="FFFFFF"/>
                <w:sz w:val="12"/>
                <w:szCs w:val="12"/>
                <w:lang w:eastAsia="es-CO"/>
              </w:rPr>
            </w:pPr>
            <w:r w:rsidRPr="00611A94">
              <w:rPr>
                <w:rFonts w:ascii="Calibri" w:hAnsi="Calibri" w:cs="Calibri"/>
                <w:color w:val="FFFFFF"/>
                <w:sz w:val="12"/>
                <w:szCs w:val="12"/>
                <w:lang w:eastAsia="es-CO"/>
              </w:rPr>
              <w:t>Neto</w:t>
            </w:r>
          </w:p>
        </w:tc>
        <w:tc>
          <w:tcPr>
            <w:tcW w:w="210" w:type="pct"/>
            <w:tcBorders>
              <w:top w:val="nil"/>
              <w:left w:val="nil"/>
              <w:bottom w:val="nil"/>
              <w:right w:val="nil"/>
            </w:tcBorders>
            <w:shd w:val="clear" w:color="auto" w:fill="auto"/>
            <w:noWrap/>
            <w:vAlign w:val="bottom"/>
            <w:hideMark/>
          </w:tcPr>
          <w:p w14:paraId="3D8C5127" w14:textId="77777777" w:rsidR="00B54F4E" w:rsidRPr="00611A94" w:rsidRDefault="00B54F4E" w:rsidP="006504C4">
            <w:pPr>
              <w:spacing w:before="0" w:after="0"/>
              <w:jc w:val="center"/>
              <w:rPr>
                <w:rFonts w:ascii="Calibri" w:hAnsi="Calibri" w:cs="Calibri"/>
                <w:color w:val="FFFFFF"/>
                <w:sz w:val="12"/>
                <w:szCs w:val="12"/>
                <w:lang w:eastAsia="es-CO"/>
              </w:rPr>
            </w:pPr>
          </w:p>
        </w:tc>
        <w:tc>
          <w:tcPr>
            <w:tcW w:w="210" w:type="pct"/>
            <w:tcBorders>
              <w:top w:val="nil"/>
              <w:left w:val="nil"/>
              <w:bottom w:val="nil"/>
              <w:right w:val="nil"/>
            </w:tcBorders>
            <w:shd w:val="clear" w:color="auto" w:fill="auto"/>
            <w:noWrap/>
            <w:vAlign w:val="bottom"/>
            <w:hideMark/>
          </w:tcPr>
          <w:p w14:paraId="4B12150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FBE129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9DC5BFD"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65C1BBA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4498941"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4235F4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C0BDAE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DD97FCB"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C0891A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FC84D5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424CF49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1D508FB0"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6A52150"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77FBD3C0" w14:textId="77777777" w:rsidR="00B54F4E" w:rsidRPr="00611A94" w:rsidRDefault="00B54F4E" w:rsidP="006504C4">
            <w:pPr>
              <w:spacing w:before="0" w:after="0"/>
              <w:jc w:val="left"/>
              <w:rPr>
                <w:rFonts w:ascii="Times New Roman" w:hAnsi="Times New Roman"/>
                <w:sz w:val="12"/>
                <w:szCs w:val="12"/>
                <w:lang w:eastAsia="es-CO"/>
              </w:rPr>
            </w:pPr>
          </w:p>
        </w:tc>
      </w:tr>
      <w:tr w:rsidR="00B54F4E" w:rsidRPr="00611A94" w14:paraId="26D8AA23" w14:textId="77777777" w:rsidTr="006504C4">
        <w:trPr>
          <w:trHeight w:val="254"/>
        </w:trPr>
        <w:tc>
          <w:tcPr>
            <w:tcW w:w="1221" w:type="pct"/>
            <w:tcBorders>
              <w:top w:val="single" w:sz="4" w:space="0" w:color="auto"/>
              <w:left w:val="single" w:sz="4" w:space="0" w:color="auto"/>
              <w:bottom w:val="single" w:sz="4" w:space="0" w:color="auto"/>
              <w:right w:val="nil"/>
            </w:tcBorders>
            <w:shd w:val="clear" w:color="000000" w:fill="E2EFDA"/>
            <w:noWrap/>
            <w:vAlign w:val="bottom"/>
            <w:hideMark/>
          </w:tcPr>
          <w:p w14:paraId="35CBA477" w14:textId="77777777" w:rsidR="00B54F4E" w:rsidRPr="00611A94" w:rsidRDefault="00B54F4E" w:rsidP="006504C4">
            <w:pPr>
              <w:spacing w:before="0" w:after="0"/>
              <w:jc w:val="left"/>
              <w:rPr>
                <w:rFonts w:ascii="Calibri" w:hAnsi="Calibri" w:cs="Calibri"/>
                <w:color w:val="000000"/>
                <w:sz w:val="12"/>
                <w:szCs w:val="12"/>
                <w:lang w:eastAsia="es-CO"/>
              </w:rPr>
            </w:pPr>
            <w:r w:rsidRPr="00611A94">
              <w:rPr>
                <w:rFonts w:ascii="Calibri" w:hAnsi="Calibri" w:cs="Calibri"/>
                <w:color w:val="000000"/>
                <w:sz w:val="12"/>
                <w:szCs w:val="12"/>
                <w:lang w:eastAsia="es-CO"/>
              </w:rPr>
              <w:t>VPN dic 2016 ($USD Millones)</w:t>
            </w:r>
          </w:p>
        </w:tc>
        <w:tc>
          <w:tcPr>
            <w:tcW w:w="254" w:type="pct"/>
            <w:tcBorders>
              <w:top w:val="nil"/>
              <w:left w:val="nil"/>
              <w:bottom w:val="single" w:sz="4" w:space="0" w:color="auto"/>
              <w:right w:val="single" w:sz="4" w:space="0" w:color="auto"/>
            </w:tcBorders>
            <w:shd w:val="clear" w:color="000000" w:fill="E2EFDA"/>
            <w:noWrap/>
            <w:vAlign w:val="bottom"/>
            <w:hideMark/>
          </w:tcPr>
          <w:p w14:paraId="607136B4"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$27</w:t>
            </w:r>
          </w:p>
        </w:tc>
        <w:tc>
          <w:tcPr>
            <w:tcW w:w="207" w:type="pct"/>
            <w:tcBorders>
              <w:top w:val="nil"/>
              <w:left w:val="nil"/>
              <w:bottom w:val="single" w:sz="4" w:space="0" w:color="auto"/>
              <w:right w:val="single" w:sz="4" w:space="0" w:color="auto"/>
            </w:tcBorders>
            <w:shd w:val="clear" w:color="000000" w:fill="E2EFDA"/>
            <w:noWrap/>
            <w:vAlign w:val="bottom"/>
            <w:hideMark/>
          </w:tcPr>
          <w:p w14:paraId="724C908C"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$0</w:t>
            </w:r>
          </w:p>
        </w:tc>
        <w:tc>
          <w:tcPr>
            <w:tcW w:w="207" w:type="pct"/>
            <w:tcBorders>
              <w:top w:val="nil"/>
              <w:left w:val="nil"/>
              <w:bottom w:val="single" w:sz="4" w:space="0" w:color="auto"/>
              <w:right w:val="single" w:sz="4" w:space="0" w:color="auto"/>
            </w:tcBorders>
            <w:shd w:val="clear" w:color="000000" w:fill="E2EFDA"/>
            <w:noWrap/>
            <w:vAlign w:val="bottom"/>
            <w:hideMark/>
          </w:tcPr>
          <w:p w14:paraId="7E52400B" w14:textId="77777777" w:rsidR="00B54F4E" w:rsidRPr="00611A94" w:rsidRDefault="00B54F4E" w:rsidP="006504C4">
            <w:pPr>
              <w:spacing w:before="0" w:after="0"/>
              <w:jc w:val="right"/>
              <w:rPr>
                <w:rFonts w:ascii="Calibri" w:hAnsi="Calibri" w:cs="Calibri"/>
                <w:color w:val="000000"/>
                <w:sz w:val="12"/>
                <w:szCs w:val="12"/>
                <w:lang w:eastAsia="es-CO"/>
              </w:rPr>
            </w:pPr>
            <w:r w:rsidRPr="00611A94">
              <w:rPr>
                <w:rFonts w:ascii="Calibri" w:hAnsi="Calibri" w:cs="Calibri"/>
                <w:color w:val="000000"/>
                <w:sz w:val="12"/>
                <w:szCs w:val="12"/>
                <w:lang w:eastAsia="es-CO"/>
              </w:rPr>
              <w:t>$27</w:t>
            </w:r>
          </w:p>
        </w:tc>
        <w:tc>
          <w:tcPr>
            <w:tcW w:w="210" w:type="pct"/>
            <w:tcBorders>
              <w:top w:val="nil"/>
              <w:left w:val="nil"/>
              <w:bottom w:val="nil"/>
              <w:right w:val="nil"/>
            </w:tcBorders>
            <w:shd w:val="clear" w:color="auto" w:fill="auto"/>
            <w:noWrap/>
            <w:vAlign w:val="bottom"/>
            <w:hideMark/>
          </w:tcPr>
          <w:p w14:paraId="346FE97F" w14:textId="77777777" w:rsidR="00B54F4E" w:rsidRPr="00611A94" w:rsidRDefault="00B54F4E" w:rsidP="006504C4">
            <w:pPr>
              <w:spacing w:before="0" w:after="0"/>
              <w:jc w:val="right"/>
              <w:rPr>
                <w:rFonts w:ascii="Calibri" w:hAnsi="Calibri" w:cs="Calibri"/>
                <w:color w:val="000000"/>
                <w:sz w:val="12"/>
                <w:szCs w:val="12"/>
                <w:lang w:eastAsia="es-CO"/>
              </w:rPr>
            </w:pPr>
          </w:p>
        </w:tc>
        <w:tc>
          <w:tcPr>
            <w:tcW w:w="210" w:type="pct"/>
            <w:tcBorders>
              <w:top w:val="nil"/>
              <w:left w:val="nil"/>
              <w:bottom w:val="nil"/>
              <w:right w:val="nil"/>
            </w:tcBorders>
            <w:shd w:val="clear" w:color="auto" w:fill="auto"/>
            <w:noWrap/>
            <w:vAlign w:val="bottom"/>
            <w:hideMark/>
          </w:tcPr>
          <w:p w14:paraId="445D7E95"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1CE04FA"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7A1C568" w14:textId="77777777" w:rsidR="00B54F4E" w:rsidRPr="00611A94" w:rsidRDefault="00B54F4E" w:rsidP="006504C4">
            <w:pPr>
              <w:spacing w:before="0" w:after="0"/>
              <w:jc w:val="left"/>
              <w:rPr>
                <w:rFonts w:ascii="Times New Roman" w:hAnsi="Times New Roman"/>
                <w:sz w:val="12"/>
                <w:szCs w:val="12"/>
                <w:lang w:eastAsia="es-CO"/>
              </w:rPr>
            </w:pPr>
          </w:p>
        </w:tc>
        <w:tc>
          <w:tcPr>
            <w:tcW w:w="180" w:type="pct"/>
            <w:tcBorders>
              <w:top w:val="nil"/>
              <w:left w:val="nil"/>
              <w:bottom w:val="nil"/>
              <w:right w:val="nil"/>
            </w:tcBorders>
            <w:shd w:val="clear" w:color="auto" w:fill="auto"/>
            <w:noWrap/>
            <w:vAlign w:val="bottom"/>
            <w:hideMark/>
          </w:tcPr>
          <w:p w14:paraId="441F17C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77DFDD78"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2403CE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556E4582"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026D7E46"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D91E213"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209AD7E9"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F59CA6D"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62B7AE0F" w14:textId="77777777" w:rsidR="00B54F4E" w:rsidRPr="00611A94" w:rsidRDefault="00B54F4E" w:rsidP="006504C4">
            <w:pPr>
              <w:spacing w:before="0" w:after="0"/>
              <w:jc w:val="left"/>
              <w:rPr>
                <w:rFonts w:ascii="Times New Roman" w:hAnsi="Times New Roman"/>
                <w:sz w:val="12"/>
                <w:szCs w:val="12"/>
                <w:lang w:eastAsia="es-CO"/>
              </w:rPr>
            </w:pPr>
          </w:p>
        </w:tc>
        <w:tc>
          <w:tcPr>
            <w:tcW w:w="210" w:type="pct"/>
            <w:tcBorders>
              <w:top w:val="nil"/>
              <w:left w:val="nil"/>
              <w:bottom w:val="nil"/>
              <w:right w:val="nil"/>
            </w:tcBorders>
            <w:shd w:val="clear" w:color="auto" w:fill="auto"/>
            <w:noWrap/>
            <w:vAlign w:val="bottom"/>
            <w:hideMark/>
          </w:tcPr>
          <w:p w14:paraId="3B9D5608" w14:textId="77777777" w:rsidR="00B54F4E" w:rsidRPr="00611A94" w:rsidRDefault="00B54F4E" w:rsidP="006504C4">
            <w:pPr>
              <w:spacing w:before="0" w:after="0"/>
              <w:jc w:val="left"/>
              <w:rPr>
                <w:rFonts w:ascii="Times New Roman" w:hAnsi="Times New Roman"/>
                <w:sz w:val="12"/>
                <w:szCs w:val="12"/>
                <w:lang w:eastAsia="es-CO"/>
              </w:rPr>
            </w:pPr>
          </w:p>
        </w:tc>
        <w:tc>
          <w:tcPr>
            <w:tcW w:w="204" w:type="pct"/>
            <w:tcBorders>
              <w:top w:val="nil"/>
              <w:left w:val="nil"/>
              <w:bottom w:val="nil"/>
              <w:right w:val="nil"/>
            </w:tcBorders>
            <w:shd w:val="clear" w:color="auto" w:fill="auto"/>
            <w:noWrap/>
            <w:vAlign w:val="bottom"/>
            <w:hideMark/>
          </w:tcPr>
          <w:p w14:paraId="1DFA4FEB" w14:textId="77777777" w:rsidR="00B54F4E" w:rsidRPr="00611A94" w:rsidRDefault="00B54F4E" w:rsidP="006504C4">
            <w:pPr>
              <w:spacing w:before="0" w:after="0"/>
              <w:jc w:val="left"/>
              <w:rPr>
                <w:rFonts w:ascii="Times New Roman" w:hAnsi="Times New Roman"/>
                <w:sz w:val="12"/>
                <w:szCs w:val="12"/>
                <w:lang w:eastAsia="es-CO"/>
              </w:rPr>
            </w:pPr>
          </w:p>
        </w:tc>
      </w:tr>
    </w:tbl>
    <w:p w14:paraId="6103CA4B" w14:textId="77777777" w:rsidR="00B54F4E" w:rsidRDefault="00B54F4E" w:rsidP="00B54F4E">
      <w:pPr>
        <w:spacing w:before="0" w:after="160" w:line="259" w:lineRule="auto"/>
        <w:jc w:val="left"/>
      </w:pPr>
    </w:p>
    <w:p w14:paraId="307CF1FA" w14:textId="4EB5E353" w:rsidR="00AA7DA7" w:rsidRPr="00B54F4E" w:rsidRDefault="00AA7DA7" w:rsidP="00B54F4E"/>
    <w:sectPr w:rsidR="00AA7DA7" w:rsidRPr="00B54F4E" w:rsidSect="001557F3">
      <w:footerReference w:type="default" r:id="rId27"/>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AF15F5" w14:textId="77777777" w:rsidR="007E217D" w:rsidRDefault="007E217D" w:rsidP="002262C8">
      <w:pPr>
        <w:spacing w:before="0" w:after="0"/>
      </w:pPr>
      <w:r>
        <w:separator/>
      </w:r>
    </w:p>
  </w:endnote>
  <w:endnote w:type="continuationSeparator" w:id="0">
    <w:p w14:paraId="7F2E63AD" w14:textId="77777777" w:rsidR="007E217D" w:rsidRDefault="007E217D" w:rsidP="002262C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8685901"/>
      <w:docPartObj>
        <w:docPartGallery w:val="Page Numbers (Bottom of Page)"/>
        <w:docPartUnique/>
      </w:docPartObj>
    </w:sdtPr>
    <w:sdtEndPr/>
    <w:sdtContent>
      <w:p w14:paraId="3B76C7D3" w14:textId="4CA97314" w:rsidR="00B54F4E" w:rsidRDefault="00B54F4E">
        <w:pPr>
          <w:pStyle w:val="Footer"/>
          <w:jc w:val="center"/>
        </w:pPr>
        <w:r>
          <w:fldChar w:fldCharType="begin"/>
        </w:r>
        <w:r>
          <w:instrText>PAGE   \* MERGEFORMAT</w:instrText>
        </w:r>
        <w:r>
          <w:fldChar w:fldCharType="separate"/>
        </w:r>
        <w:r w:rsidR="00487C7A" w:rsidRPr="00487C7A">
          <w:rPr>
            <w:noProof/>
            <w:lang w:val="es-ES"/>
          </w:rPr>
          <w:t>39</w:t>
        </w:r>
        <w:r>
          <w:fldChar w:fldCharType="end"/>
        </w:r>
      </w:p>
    </w:sdtContent>
  </w:sdt>
  <w:p w14:paraId="56DCBC72" w14:textId="77777777" w:rsidR="00B54F4E" w:rsidRDefault="00B54F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0933457"/>
      <w:docPartObj>
        <w:docPartGallery w:val="Page Numbers (Bottom of Page)"/>
        <w:docPartUnique/>
      </w:docPartObj>
    </w:sdtPr>
    <w:sdtEndPr/>
    <w:sdtContent>
      <w:p w14:paraId="2F5F71C6" w14:textId="4A20EBBE" w:rsidR="004A20DA" w:rsidRDefault="004A20DA">
        <w:pPr>
          <w:pStyle w:val="Footer"/>
          <w:jc w:val="center"/>
        </w:pPr>
        <w:r>
          <w:fldChar w:fldCharType="begin"/>
        </w:r>
        <w:r>
          <w:instrText>PAGE   \* MERGEFORMAT</w:instrText>
        </w:r>
        <w:r>
          <w:fldChar w:fldCharType="separate"/>
        </w:r>
        <w:r w:rsidR="00487C7A" w:rsidRPr="00487C7A">
          <w:rPr>
            <w:noProof/>
            <w:lang w:val="es-ES"/>
          </w:rPr>
          <w:t>57</w:t>
        </w:r>
        <w:r>
          <w:fldChar w:fldCharType="end"/>
        </w:r>
      </w:p>
    </w:sdtContent>
  </w:sdt>
  <w:p w14:paraId="7B9C7997" w14:textId="77777777" w:rsidR="004A20DA" w:rsidRDefault="004A20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A466AF" w14:textId="77777777" w:rsidR="007E217D" w:rsidRDefault="007E217D" w:rsidP="002262C8">
      <w:pPr>
        <w:spacing w:before="0" w:after="0"/>
      </w:pPr>
      <w:r>
        <w:separator/>
      </w:r>
    </w:p>
  </w:footnote>
  <w:footnote w:type="continuationSeparator" w:id="0">
    <w:p w14:paraId="32CC946B" w14:textId="77777777" w:rsidR="007E217D" w:rsidRDefault="007E217D" w:rsidP="002262C8">
      <w:pPr>
        <w:spacing w:before="0" w:after="0"/>
      </w:pPr>
      <w:r>
        <w:continuationSeparator/>
      </w:r>
    </w:p>
  </w:footnote>
  <w:footnote w:id="1">
    <w:p w14:paraId="7920046C" w14:textId="77777777" w:rsidR="00B54F4E" w:rsidRPr="00562C33" w:rsidRDefault="00B54F4E" w:rsidP="00B54F4E">
      <w:pPr>
        <w:pStyle w:val="FootnoteText"/>
      </w:pPr>
      <w:r>
        <w:rPr>
          <w:rStyle w:val="FootnoteReference"/>
        </w:rPr>
        <w:footnoteRef/>
      </w:r>
      <w:r w:rsidRPr="00562C33">
        <w:t xml:space="preserve"> </w:t>
      </w:r>
      <w:r>
        <w:t>Como ejemplo de retrasos en la infraestructura de generación se puede mencionar la r</w:t>
      </w:r>
      <w:r w:rsidRPr="00562C33">
        <w:t xml:space="preserve">eciente </w:t>
      </w:r>
      <w:r>
        <w:t>terminación de la concesión originalmente concedida a Odebrecht para la construcción de la hidroeléctrica Chan II, uno de los proyectos de generación más importante en Panamá.</w:t>
      </w:r>
      <w:r w:rsidRPr="00562C33">
        <w:t xml:space="preserve"> </w:t>
      </w:r>
    </w:p>
  </w:footnote>
  <w:footnote w:id="2">
    <w:p w14:paraId="5C56AAC7" w14:textId="77777777" w:rsidR="00B54F4E" w:rsidRPr="00AD3EA0" w:rsidRDefault="00B54F4E" w:rsidP="00B54F4E">
      <w:pPr>
        <w:pStyle w:val="FootnoteText"/>
        <w:jc w:val="both"/>
        <w:rPr>
          <w:rFonts w:ascii="Arial" w:hAnsi="Arial" w:cs="Arial"/>
          <w:lang w:val="en-US"/>
        </w:rPr>
      </w:pPr>
      <w:r w:rsidRPr="00AD3EA0">
        <w:rPr>
          <w:rStyle w:val="FootnoteReference"/>
          <w:rFonts w:ascii="Arial" w:hAnsi="Arial" w:cs="Arial"/>
        </w:rPr>
        <w:footnoteRef/>
      </w:r>
      <w:r w:rsidRPr="00AD3EA0">
        <w:rPr>
          <w:rFonts w:ascii="Arial" w:hAnsi="Arial" w:cs="Arial"/>
          <w:lang w:val="en-US"/>
        </w:rPr>
        <w:t xml:space="preserve"> Guidelines for the Economic Analysis of IDB-funded Projects, June 2012.</w:t>
      </w:r>
      <w:r>
        <w:rPr>
          <w:rFonts w:ascii="Arial" w:hAnsi="Arial" w:cs="Arial"/>
          <w:lang w:val="en-US"/>
        </w:rPr>
        <w:t xml:space="preserve"> “</w:t>
      </w:r>
      <w:r w:rsidRPr="005F1B95">
        <w:rPr>
          <w:rFonts w:ascii="Arial" w:hAnsi="Arial" w:cs="Arial"/>
          <w:i/>
          <w:lang w:val="en-US"/>
        </w:rPr>
        <w:t>The primary objective of conducting an economic analysis is to help design projects that will be effective in promoting development in a country. The usefulness of this exercise is greatest when it is done early in the project cycle and contributes to the decisions about whether and how to proceed with a project. While the outcome of an economic analysis—net present value or economic rate of return for CBA and cost per unit effect for CEA—are important, it is the process of conducting the analysis and the insights that it provides that are most likely to be useful in designing a better project. The value of the Economic Analysis Annex is not just in the details of how the summary measures are calculated, but in the lessons learned in making these calculations.</w:t>
      </w:r>
      <w:r>
        <w:rPr>
          <w:rFonts w:ascii="Arial" w:hAnsi="Arial" w:cs="Arial"/>
          <w:lang w:val="en-US"/>
        </w:rPr>
        <w:t>”</w:t>
      </w:r>
    </w:p>
  </w:footnote>
  <w:footnote w:id="3">
    <w:p w14:paraId="03E284C4" w14:textId="77777777" w:rsidR="00B54F4E" w:rsidRPr="00907AEC" w:rsidRDefault="00B54F4E" w:rsidP="00B54F4E">
      <w:pPr>
        <w:pStyle w:val="FootnoteText"/>
        <w:rPr>
          <w:rFonts w:ascii="Arial" w:hAnsi="Arial" w:cs="Arial"/>
        </w:rPr>
      </w:pPr>
      <w:r w:rsidRPr="00907AEC">
        <w:rPr>
          <w:rStyle w:val="FootnoteReference"/>
          <w:rFonts w:ascii="Arial" w:hAnsi="Arial" w:cs="Arial"/>
        </w:rPr>
        <w:footnoteRef/>
      </w:r>
      <w:r w:rsidRPr="00907AEC">
        <w:rPr>
          <w:rFonts w:ascii="Arial" w:hAnsi="Arial" w:cs="Arial"/>
        </w:rPr>
        <w:t xml:space="preserve"> El Subprograma 1 - Estabilidad Macroeconómica – y el Subprograma 3 - Desarrollo sostenible del sector de agua y saneamiento - no hacen parte del alcance del presente estudio</w:t>
      </w:r>
    </w:p>
  </w:footnote>
  <w:footnote w:id="4">
    <w:p w14:paraId="240BF8F8" w14:textId="77777777" w:rsidR="00B54F4E" w:rsidRPr="00154C29" w:rsidRDefault="00B54F4E" w:rsidP="00B54F4E">
      <w:pPr>
        <w:pStyle w:val="FootnoteText"/>
        <w:rPr>
          <w:rFonts w:ascii="Arial" w:hAnsi="Arial" w:cs="Arial"/>
        </w:rPr>
      </w:pPr>
      <w:r w:rsidRPr="00154C29">
        <w:rPr>
          <w:rStyle w:val="FootnoteReference"/>
          <w:rFonts w:ascii="Arial" w:hAnsi="Arial" w:cs="Arial"/>
        </w:rPr>
        <w:footnoteRef/>
      </w:r>
      <w:r w:rsidRPr="00154C29">
        <w:rPr>
          <w:rFonts w:ascii="Arial" w:hAnsi="Arial" w:cs="Arial"/>
        </w:rPr>
        <w:t xml:space="preserve"> Ley 69 de 2012 y Decreto Ejecutivo 398 de 2013</w:t>
      </w:r>
    </w:p>
  </w:footnote>
  <w:footnote w:id="5">
    <w:p w14:paraId="7A5B0A8C" w14:textId="77777777" w:rsidR="00B54F4E" w:rsidRPr="00154C29" w:rsidRDefault="00B54F4E" w:rsidP="00B54F4E">
      <w:pPr>
        <w:pStyle w:val="FootnoteText"/>
        <w:jc w:val="both"/>
        <w:rPr>
          <w:rFonts w:ascii="Arial" w:hAnsi="Arial" w:cs="Arial"/>
        </w:rPr>
      </w:pPr>
      <w:r w:rsidRPr="00154C29">
        <w:rPr>
          <w:rStyle w:val="FootnoteReference"/>
          <w:rFonts w:ascii="Arial" w:hAnsi="Arial" w:cs="Arial"/>
        </w:rPr>
        <w:footnoteRef/>
      </w:r>
      <w:r w:rsidRPr="00154C29">
        <w:rPr>
          <w:rFonts w:ascii="Arial" w:hAnsi="Arial" w:cs="Arial"/>
        </w:rPr>
        <w:t xml:space="preserve"> Las reglas comerciales del mercado mayoristas se encuentran aprobadas mediante diferentes resoluciones : n° jd-605 de 24 de abril de 1998 la cual ha sido modificada a través de las resoluciones jd-763 de 8 de junio de 1998, jd-3207 de 22 de febrero de 2002, jd-3463 de 21 de agosto de 2002, jd- 4812 de 22 de junio de 2004, jd-5864 de 17 de febrero de 2006, an no. 2821-elec de 29 de julio de 2009, an no. 2969-elec de 23 de septiembre de 2009, an no. 3476-elec de 10 de mayo de 2010, an no. 4581-elec de 11 de julio de 2011, an no. 5061- elec de 11 de enero de 2012, an no. 5329-elec de 15 de mayo de 2012, an no. 5849- lec de 31 de diciembre de 2012, an no. 6007 de 13 de marzo de 2013, an no. 6166-elec de 27 de mayo de 2013, an no. 7477-elec de 19 de junio de 2014, an no. 8451-elec de 13 de abril de 2015 y an no. 10517-elec de 6 de octubre de 2016.</w:t>
      </w:r>
    </w:p>
  </w:footnote>
  <w:footnote w:id="6">
    <w:p w14:paraId="11B08F81" w14:textId="77777777" w:rsidR="00B54F4E" w:rsidRDefault="00B54F4E" w:rsidP="00B54F4E">
      <w:pPr>
        <w:pStyle w:val="FootnoteText"/>
      </w:pPr>
      <w:r w:rsidRPr="0013408B">
        <w:rPr>
          <w:rStyle w:val="FootnoteReference"/>
          <w:rFonts w:ascii="Arial" w:hAnsi="Arial" w:cs="Arial"/>
        </w:rPr>
        <w:footnoteRef/>
      </w:r>
      <w:r w:rsidRPr="0013408B">
        <w:rPr>
          <w:rFonts w:ascii="Arial" w:hAnsi="Arial" w:cs="Arial"/>
        </w:rPr>
        <w:t xml:space="preserve"> </w:t>
      </w:r>
      <w:r>
        <w:rPr>
          <w:rFonts w:ascii="Arial" w:hAnsi="Arial" w:cs="Arial"/>
        </w:rPr>
        <w:t>Para los cálculos se utilizan</w:t>
      </w:r>
      <w:r w:rsidRPr="0013408B">
        <w:rPr>
          <w:rFonts w:ascii="Arial" w:hAnsi="Arial" w:cs="Arial"/>
        </w:rPr>
        <w:t xml:space="preserve"> las simulaciones de despacho elaboradas por ETESA, considerando la proyección de demanda de Panamá y generación del resto de países pertenecientes al MER del cual hace parte Panamá.</w:t>
      </w:r>
      <w:r>
        <w:rPr>
          <w:rFonts w:ascii="Arial" w:hAnsi="Arial" w:cs="Arial"/>
        </w:rPr>
        <w:t xml:space="preserve"> </w:t>
      </w:r>
      <w:r w:rsidRPr="0013408B">
        <w:rPr>
          <w:rFonts w:ascii="Arial" w:hAnsi="Arial" w:cs="Arial"/>
        </w:rPr>
        <w:t xml:space="preserve">El nivel de intercambios es muy bajo (alrededor del 0,4% de la demanda), por lo cual, el estimativo de beneficios, tal como </w:t>
      </w:r>
      <w:r>
        <w:rPr>
          <w:rFonts w:ascii="Arial" w:hAnsi="Arial" w:cs="Arial"/>
        </w:rPr>
        <w:t>se desarrolla</w:t>
      </w:r>
      <w:r w:rsidRPr="0013408B">
        <w:rPr>
          <w:rFonts w:ascii="Arial" w:hAnsi="Arial" w:cs="Arial"/>
        </w:rPr>
        <w:t>, co</w:t>
      </w:r>
      <w:r>
        <w:rPr>
          <w:rFonts w:ascii="Arial" w:hAnsi="Arial" w:cs="Arial"/>
        </w:rPr>
        <w:t>nstituye una buena aproximación, y por lo cual no se considera relevante realizar ajustes relacionados con tales intercambios.</w:t>
      </w:r>
    </w:p>
  </w:footnote>
  <w:footnote w:id="7">
    <w:p w14:paraId="3D7DF80B" w14:textId="77777777" w:rsidR="00B54F4E" w:rsidRPr="00573B16" w:rsidRDefault="00B54F4E" w:rsidP="00B54F4E">
      <w:pPr>
        <w:pStyle w:val="FootnoteText"/>
        <w:jc w:val="both"/>
        <w:rPr>
          <w:rFonts w:ascii="Arial" w:hAnsi="Arial" w:cs="Arial"/>
        </w:rPr>
      </w:pPr>
      <w:r w:rsidRPr="00573B16">
        <w:rPr>
          <w:rStyle w:val="FootnoteReference"/>
          <w:rFonts w:ascii="Arial" w:hAnsi="Arial" w:cs="Arial"/>
        </w:rPr>
        <w:footnoteRef/>
      </w:r>
      <w:r w:rsidRPr="00573B16">
        <w:rPr>
          <w:rFonts w:ascii="Arial" w:hAnsi="Arial" w:cs="Arial"/>
        </w:rPr>
        <w:t xml:space="preserve"> Esta condición se describe en Bergman &amp; Hanley – </w:t>
      </w:r>
      <w:r>
        <w:rPr>
          <w:rFonts w:ascii="Arial" w:hAnsi="Arial" w:cs="Arial"/>
        </w:rPr>
        <w:t>“</w:t>
      </w:r>
      <w:r w:rsidRPr="00F81A32">
        <w:rPr>
          <w:rFonts w:ascii="Arial" w:hAnsi="Arial" w:cs="Arial"/>
          <w:i/>
        </w:rPr>
        <w:t>The costs and benefits of renewable energy in Scotland</w:t>
      </w:r>
      <w:r>
        <w:rPr>
          <w:rFonts w:ascii="Arial" w:hAnsi="Arial" w:cs="Arial"/>
        </w:rPr>
        <w:t>”</w:t>
      </w:r>
      <w:r w:rsidRPr="00573B16">
        <w:rPr>
          <w:rFonts w:ascii="Arial" w:hAnsi="Arial" w:cs="Arial"/>
        </w:rPr>
        <w:t xml:space="preserve"> (2012), en donde se considera que los precios de mercado son una buena aproximación para la estimación de los beneficios y costos.</w:t>
      </w:r>
      <w:r>
        <w:rPr>
          <w:rFonts w:ascii="Arial" w:hAnsi="Arial" w:cs="Arial"/>
        </w:rPr>
        <w:t xml:space="preserve"> Ver sección del citado documento “2.3.2 </w:t>
      </w:r>
      <w:r w:rsidRPr="00F81A32">
        <w:rPr>
          <w:rFonts w:ascii="Arial" w:hAnsi="Arial" w:cs="Arial"/>
          <w:i/>
        </w:rPr>
        <w:t>Market prices versus shadow prices</w:t>
      </w:r>
      <w:r>
        <w:rPr>
          <w:rFonts w:ascii="Arial" w:hAnsi="Arial" w:cs="Arial"/>
        </w:rPr>
        <w:t>”.</w:t>
      </w:r>
    </w:p>
  </w:footnote>
  <w:footnote w:id="8">
    <w:p w14:paraId="24A18FF8" w14:textId="77777777" w:rsidR="00B54F4E" w:rsidRPr="00154C29" w:rsidRDefault="00B54F4E" w:rsidP="00B54F4E">
      <w:pPr>
        <w:pStyle w:val="FootnoteText"/>
        <w:rPr>
          <w:rFonts w:ascii="Arial" w:hAnsi="Arial" w:cs="Arial"/>
        </w:rPr>
      </w:pPr>
      <w:r w:rsidRPr="00154C29">
        <w:rPr>
          <w:rStyle w:val="FootnoteReference"/>
          <w:rFonts w:ascii="Arial" w:hAnsi="Arial" w:cs="Arial"/>
        </w:rPr>
        <w:footnoteRef/>
      </w:r>
      <w:r w:rsidRPr="00154C29">
        <w:rPr>
          <w:rFonts w:ascii="Arial" w:hAnsi="Arial" w:cs="Arial"/>
        </w:rPr>
        <w:t xml:space="preserve"> Información de soporte al modelo del WEO – Investment Costs. http://www.worldenergyoutlook.org/weomodel/investmentcosts/</w:t>
      </w:r>
    </w:p>
  </w:footnote>
  <w:footnote w:id="9">
    <w:p w14:paraId="651CEBFE" w14:textId="77777777" w:rsidR="00B54F4E" w:rsidRPr="009C1DDC" w:rsidRDefault="00B54F4E" w:rsidP="00B54F4E">
      <w:pPr>
        <w:pStyle w:val="FootnoteText"/>
        <w:jc w:val="both"/>
        <w:rPr>
          <w:rFonts w:ascii="Arial" w:hAnsi="Arial" w:cs="Arial"/>
        </w:rPr>
      </w:pPr>
      <w:r w:rsidRPr="009C1DDC">
        <w:rPr>
          <w:rStyle w:val="FootnoteReference"/>
          <w:rFonts w:ascii="Arial" w:hAnsi="Arial" w:cs="Arial"/>
        </w:rPr>
        <w:footnoteRef/>
      </w:r>
      <w:r w:rsidRPr="009C1DDC">
        <w:rPr>
          <w:rFonts w:ascii="Arial" w:hAnsi="Arial" w:cs="Arial"/>
        </w:rPr>
        <w:t xml:space="preserve"> Se reitera nuevamente que el escenario de referencia también considera un crecimiento natural de la participación de las energías renovables en la matriz de generación eléctrica, sin embargo, el escenario renovable considera una mayor penetración de estas tecnologías.</w:t>
      </w:r>
    </w:p>
  </w:footnote>
  <w:footnote w:id="10">
    <w:p w14:paraId="21965361" w14:textId="77777777" w:rsidR="00B54F4E" w:rsidRDefault="00B54F4E" w:rsidP="00B54F4E">
      <w:pPr>
        <w:pStyle w:val="FootnoteText"/>
      </w:pPr>
      <w:r w:rsidRPr="009C1DDC">
        <w:rPr>
          <w:rStyle w:val="FootnoteReference"/>
          <w:rFonts w:ascii="Arial" w:hAnsi="Arial" w:cs="Arial"/>
        </w:rPr>
        <w:footnoteRef/>
      </w:r>
      <w:r w:rsidRPr="009C1DDC">
        <w:rPr>
          <w:rFonts w:ascii="Arial" w:hAnsi="Arial" w:cs="Arial"/>
        </w:rPr>
        <w:t xml:space="preserve"> </w:t>
      </w:r>
      <w:r>
        <w:rPr>
          <w:rFonts w:ascii="Arial" w:hAnsi="Arial" w:cs="Arial"/>
        </w:rPr>
        <w:t>Las inversiones presentadas</w:t>
      </w:r>
      <w:r w:rsidRPr="009C1DDC">
        <w:rPr>
          <w:rFonts w:ascii="Arial" w:hAnsi="Arial" w:cs="Arial"/>
        </w:rPr>
        <w:t xml:space="preserve"> son discontinuas porque representa</w:t>
      </w:r>
      <w:r>
        <w:rPr>
          <w:rFonts w:ascii="Arial" w:hAnsi="Arial" w:cs="Arial"/>
        </w:rPr>
        <w:t>n</w:t>
      </w:r>
      <w:r w:rsidRPr="009C1DDC">
        <w:rPr>
          <w:rFonts w:ascii="Arial" w:hAnsi="Arial" w:cs="Arial"/>
        </w:rPr>
        <w:t xml:space="preserve"> una expansión óptima</w:t>
      </w:r>
      <w:r>
        <w:rPr>
          <w:rFonts w:ascii="Arial" w:hAnsi="Arial" w:cs="Arial"/>
        </w:rPr>
        <w:t>.</w:t>
      </w:r>
    </w:p>
  </w:footnote>
  <w:footnote w:id="11">
    <w:p w14:paraId="1F097D7E" w14:textId="77777777" w:rsidR="00B54F4E" w:rsidRPr="00EF2885" w:rsidRDefault="00B54F4E" w:rsidP="00B54F4E">
      <w:pPr>
        <w:pStyle w:val="FootnoteText"/>
        <w:rPr>
          <w:rFonts w:ascii="Arial" w:hAnsi="Arial" w:cs="Arial"/>
        </w:rPr>
      </w:pPr>
      <w:r w:rsidRPr="00EF2885">
        <w:rPr>
          <w:rStyle w:val="FootnoteReference"/>
          <w:rFonts w:ascii="Arial" w:hAnsi="Arial" w:cs="Arial"/>
        </w:rPr>
        <w:footnoteRef/>
      </w:r>
      <w:r w:rsidRPr="00EF2885">
        <w:rPr>
          <w:rFonts w:ascii="Arial" w:hAnsi="Arial" w:cs="Arial"/>
        </w:rPr>
        <w:t xml:space="preserve"> Información de CRE según </w:t>
      </w:r>
      <w:hyperlink r:id="rId1" w:history="1">
        <w:r w:rsidRPr="00EF2885">
          <w:rPr>
            <w:rStyle w:val="Hyperlink"/>
            <w:rFonts w:ascii="Arial" w:hAnsi="Arial" w:cs="Arial"/>
          </w:rPr>
          <w:t>https://www.investing.com/commodities/carbon-emissions-historical-data</w:t>
        </w:r>
      </w:hyperlink>
      <w:r w:rsidRPr="00EF2885">
        <w:rPr>
          <w:rFonts w:ascii="Arial" w:hAnsi="Arial" w:cs="Arial"/>
        </w:rPr>
        <w:t xml:space="preserve"> y </w:t>
      </w:r>
      <w:hyperlink r:id="rId2" w:history="1">
        <w:r w:rsidRPr="00EF2885">
          <w:rPr>
            <w:rStyle w:val="Hyperlink"/>
            <w:rFonts w:ascii="Arial" w:hAnsi="Arial" w:cs="Arial"/>
          </w:rPr>
          <w:t>https://www.theice.com/products/197/EUA-Futures/data</w:t>
        </w:r>
      </w:hyperlink>
      <w:r w:rsidRPr="00EF2885">
        <w:rPr>
          <w:rFonts w:ascii="Arial" w:hAnsi="Arial" w:cs="Arial"/>
        </w:rPr>
        <w:t>. Tasa de cambio según el Banco Central Europeo.</w:t>
      </w:r>
    </w:p>
  </w:footnote>
  <w:footnote w:id="12">
    <w:p w14:paraId="4A2008AA" w14:textId="77777777" w:rsidR="00B54F4E" w:rsidRDefault="00B54F4E" w:rsidP="00B54F4E">
      <w:pPr>
        <w:pStyle w:val="FootnoteText"/>
      </w:pPr>
      <w:r>
        <w:rPr>
          <w:rStyle w:val="FootnoteReference"/>
        </w:rPr>
        <w:footnoteRef/>
      </w:r>
      <w:r>
        <w:t xml:space="preserve"> Datos del mercado de carbono en California según </w:t>
      </w:r>
      <w:hyperlink r:id="rId3" w:history="1">
        <w:r w:rsidRPr="00DF497D">
          <w:rPr>
            <w:rStyle w:val="Hyperlink"/>
          </w:rPr>
          <w:t>http://calcarbondash.org</w:t>
        </w:r>
      </w:hyperlink>
      <w:r w:rsidRPr="00C8245D">
        <w:t>/</w:t>
      </w:r>
    </w:p>
  </w:footnote>
  <w:footnote w:id="13">
    <w:p w14:paraId="49F93CF2" w14:textId="77777777" w:rsidR="00B54F4E" w:rsidRDefault="00B54F4E" w:rsidP="00B54F4E">
      <w:pPr>
        <w:pStyle w:val="FootnoteText"/>
      </w:pPr>
      <w:r>
        <w:rPr>
          <w:rStyle w:val="FootnoteReference"/>
        </w:rPr>
        <w:footnoteRef/>
      </w:r>
      <w:r>
        <w:t xml:space="preserve"> Esta apreciación resulta de conversaciones realizadas durante la misión del BID para la estructuración del PBP.</w:t>
      </w:r>
    </w:p>
  </w:footnote>
  <w:footnote w:id="14">
    <w:p w14:paraId="79A3EBEC" w14:textId="77777777" w:rsidR="00B54F4E" w:rsidRPr="004F657B" w:rsidRDefault="00B54F4E" w:rsidP="00B54F4E">
      <w:pPr>
        <w:pStyle w:val="FootnoteText"/>
        <w:rPr>
          <w:rFonts w:ascii="Arial" w:hAnsi="Arial" w:cs="Arial"/>
        </w:rPr>
      </w:pPr>
      <w:r w:rsidRPr="004F657B">
        <w:rPr>
          <w:rStyle w:val="FootnoteReference"/>
          <w:rFonts w:ascii="Arial" w:hAnsi="Arial" w:cs="Arial"/>
        </w:rPr>
        <w:footnoteRef/>
      </w:r>
      <w:r w:rsidRPr="004F657B">
        <w:rPr>
          <w:rFonts w:ascii="Arial" w:hAnsi="Arial" w:cs="Arial"/>
        </w:rPr>
        <w:t xml:space="preserve"> Según la caracterización realizada en la Encuesta de Usos Finales de la Energía Eléctrica en el Sector Residencial de la Provincia de Panamá adelantada por la SNE en 2011.</w:t>
      </w:r>
    </w:p>
  </w:footnote>
  <w:footnote w:id="15">
    <w:p w14:paraId="209EBF09" w14:textId="77777777" w:rsidR="00B54F4E" w:rsidRPr="004F657B" w:rsidRDefault="00B54F4E" w:rsidP="00B54F4E">
      <w:pPr>
        <w:pStyle w:val="FootnoteText"/>
        <w:jc w:val="both"/>
        <w:rPr>
          <w:rFonts w:ascii="Arial" w:hAnsi="Arial" w:cs="Arial"/>
        </w:rPr>
      </w:pPr>
      <w:r w:rsidRPr="004F657B">
        <w:rPr>
          <w:rStyle w:val="FootnoteReference"/>
          <w:rFonts w:ascii="Arial" w:hAnsi="Arial" w:cs="Arial"/>
        </w:rPr>
        <w:footnoteRef/>
      </w:r>
      <w:r w:rsidRPr="004F657B">
        <w:rPr>
          <w:rFonts w:ascii="Arial" w:hAnsi="Arial" w:cs="Arial"/>
        </w:rPr>
        <w:t xml:space="preserve"> Adicionalmente, se asume que estas medidas tienen costo cero según los resultados de las </w:t>
      </w:r>
      <w:r w:rsidRPr="004F657B">
        <w:rPr>
          <w:rFonts w:ascii="Arial" w:hAnsi="Arial" w:cs="Arial"/>
          <w:i/>
        </w:rPr>
        <w:t>Guías de Construcción Sostenible para el Ahorro de Energía en Edificaciones (Anexo de la Resolución No.3142 de 2016)</w:t>
      </w:r>
      <w:r w:rsidRPr="004F657B">
        <w:rPr>
          <w:rFonts w:ascii="Arial" w:hAnsi="Arial" w:cs="Arial"/>
        </w:rPr>
        <w:t xml:space="preserve"> en donde las medidas arquitectónicas del sector comercial tienen un incremento de tan solo el 0,3% con respecto a costos actuales. El sector oficial incluso puede presentar disminución en costos de construcción del orden del 5,6%. Se considera que dejar el costo incremental de construcción igual a cero es un supuesto conservador considerando los resultados del documento mencionado.</w:t>
      </w:r>
    </w:p>
  </w:footnote>
  <w:footnote w:id="16">
    <w:p w14:paraId="05139151" w14:textId="77777777" w:rsidR="00B54F4E" w:rsidRDefault="00B54F4E" w:rsidP="00B54F4E">
      <w:pPr>
        <w:pStyle w:val="FootnoteText"/>
      </w:pPr>
      <w:r>
        <w:rPr>
          <w:rStyle w:val="FootnoteReference"/>
        </w:rPr>
        <w:footnoteRef/>
      </w:r>
      <w:r>
        <w:t xml:space="preserve"> Referente medidas de EE estimadas por E&amp;Y en estudio realizado para Colombia.</w:t>
      </w:r>
    </w:p>
  </w:footnote>
  <w:footnote w:id="17">
    <w:p w14:paraId="5ABA8A1F" w14:textId="77777777" w:rsidR="00B54F4E" w:rsidRPr="00262EB3" w:rsidRDefault="00B54F4E" w:rsidP="00B54F4E">
      <w:pPr>
        <w:pStyle w:val="FootnoteText"/>
        <w:jc w:val="both"/>
        <w:rPr>
          <w:rFonts w:ascii="Arial" w:hAnsi="Arial" w:cs="Arial"/>
        </w:rPr>
      </w:pPr>
      <w:r w:rsidRPr="00262EB3">
        <w:rPr>
          <w:rStyle w:val="FootnoteReference"/>
          <w:rFonts w:ascii="Arial" w:hAnsi="Arial" w:cs="Arial"/>
        </w:rPr>
        <w:footnoteRef/>
      </w:r>
      <w:r w:rsidRPr="00262EB3">
        <w:rPr>
          <w:rFonts w:ascii="Arial" w:hAnsi="Arial" w:cs="Arial"/>
        </w:rPr>
        <w:t xml:space="preserve"> Las medidas particulares y su cuantificación son basadas en los parámetros del estudio “Política de Eficiencia Energética para Colombia” realizado por E&amp;Y para el </w:t>
      </w:r>
      <w:r>
        <w:rPr>
          <w:rFonts w:ascii="Arial" w:hAnsi="Arial" w:cs="Arial"/>
        </w:rPr>
        <w:t>MME</w:t>
      </w:r>
      <w:r w:rsidRPr="00262EB3">
        <w:rPr>
          <w:rFonts w:ascii="Arial" w:hAnsi="Arial" w:cs="Arial"/>
        </w:rPr>
        <w:t xml:space="preserve"> en 2015. Existen otras medidas de </w:t>
      </w:r>
      <w:r>
        <w:rPr>
          <w:rFonts w:ascii="Arial" w:hAnsi="Arial" w:cs="Arial"/>
        </w:rPr>
        <w:t>EE</w:t>
      </w:r>
      <w:r w:rsidRPr="00262EB3">
        <w:rPr>
          <w:rFonts w:ascii="Arial" w:hAnsi="Arial" w:cs="Arial"/>
        </w:rPr>
        <w:t xml:space="preserve"> cuantificadas en dicho estudio, sin embargo, para efectos del presente análisis, solo se han seleccionado las que tienen alguna relación con las medidas descritas en el PROURE y con un aporte relevante a la disminución del consumo eléctrico en </w:t>
      </w:r>
      <w:r>
        <w:rPr>
          <w:rFonts w:ascii="Arial" w:hAnsi="Arial" w:cs="Arial"/>
        </w:rPr>
        <w:t>el SIN</w:t>
      </w:r>
      <w:r w:rsidRPr="00262EB3">
        <w:rPr>
          <w:rFonts w:ascii="Arial" w:hAnsi="Arial" w:cs="Arial"/>
        </w:rPr>
        <w:t>.</w:t>
      </w:r>
    </w:p>
  </w:footnote>
  <w:footnote w:id="18">
    <w:p w14:paraId="41519BDB" w14:textId="77777777" w:rsidR="00B54F4E" w:rsidRDefault="00B54F4E" w:rsidP="00B54F4E">
      <w:pPr>
        <w:pStyle w:val="FootnoteText"/>
        <w:jc w:val="both"/>
      </w:pPr>
      <w:r>
        <w:rPr>
          <w:rStyle w:val="FootnoteReference"/>
        </w:rPr>
        <w:footnoteRef/>
      </w:r>
      <w:r>
        <w:t xml:space="preserve"> </w:t>
      </w:r>
      <w:r w:rsidRPr="007E3874">
        <w:t>Tarifa promedio tres empresas distribuidoras para consumos de energía baja tensión simple (BTS2) con consumos entre 300 kWh mes y 750 kWh mes</w:t>
      </w:r>
      <w:r>
        <w:t xml:space="preserve"> para le sector residencial, y t</w:t>
      </w:r>
      <w:r w:rsidRPr="007E3874">
        <w:t>arifa promedio tres empresas distribuidoras para consumos de energía con demanda máxima de 10,000 kWh mes</w:t>
      </w:r>
      <w:r>
        <w:t xml:space="preserve"> para los sectores comercial y público.</w:t>
      </w:r>
    </w:p>
  </w:footnote>
  <w:footnote w:id="19">
    <w:p w14:paraId="72D4FD2B" w14:textId="77777777" w:rsidR="00B54F4E" w:rsidRPr="00D901BC" w:rsidRDefault="00B54F4E" w:rsidP="00B54F4E">
      <w:pPr>
        <w:pStyle w:val="FootnoteText"/>
        <w:jc w:val="both"/>
        <w:rPr>
          <w:rFonts w:ascii="Arial" w:hAnsi="Arial" w:cs="Arial"/>
        </w:rPr>
      </w:pPr>
      <w:r w:rsidRPr="00D901BC">
        <w:rPr>
          <w:rStyle w:val="FootnoteReference"/>
          <w:rFonts w:ascii="Arial" w:hAnsi="Arial" w:cs="Arial"/>
        </w:rPr>
        <w:footnoteRef/>
      </w:r>
      <w:r w:rsidRPr="00D901BC">
        <w:rPr>
          <w:rFonts w:ascii="Arial" w:hAnsi="Arial" w:cs="Arial"/>
        </w:rPr>
        <w:t xml:space="preserve"> Regional Training Seminar for Central America – Presentación Proyecto SIEPAC  - BID Junio de 2013</w:t>
      </w:r>
      <w:r>
        <w:rPr>
          <w:rFonts w:ascii="Arial" w:hAnsi="Arial" w:cs="Arial"/>
        </w:rPr>
        <w:t>. Adicionalmente</w:t>
      </w:r>
      <w:r w:rsidRPr="00D901BC">
        <w:rPr>
          <w:rFonts w:ascii="Arial" w:hAnsi="Arial" w:cs="Arial"/>
        </w:rPr>
        <w:t xml:space="preserve"> presentación CEPAL “El mercado eléctrico regional de los países del istmo centroamericano” de diciembre de 2003.</w:t>
      </w:r>
    </w:p>
  </w:footnote>
  <w:footnote w:id="20">
    <w:p w14:paraId="700147F0" w14:textId="77777777" w:rsidR="00B54F4E" w:rsidRPr="00D901BC" w:rsidRDefault="00B54F4E" w:rsidP="00B54F4E">
      <w:pPr>
        <w:pStyle w:val="FootnoteText"/>
        <w:jc w:val="both"/>
        <w:rPr>
          <w:rFonts w:ascii="Arial" w:hAnsi="Arial" w:cs="Arial"/>
        </w:rPr>
      </w:pPr>
      <w:r w:rsidRPr="00D901BC">
        <w:rPr>
          <w:rStyle w:val="FootnoteReference"/>
          <w:rFonts w:ascii="Arial" w:hAnsi="Arial" w:cs="Arial"/>
        </w:rPr>
        <w:footnoteRef/>
      </w:r>
      <w:r w:rsidRPr="00D901BC">
        <w:rPr>
          <w:rFonts w:ascii="Arial" w:hAnsi="Arial" w:cs="Arial"/>
        </w:rPr>
        <w:t xml:space="preserve"> Esta situación ha podido ser conocida a fondo por el Consultor luego de trabajos realizados en 2015 y 2016 para la CRIE</w:t>
      </w:r>
    </w:p>
  </w:footnote>
  <w:footnote w:id="21">
    <w:p w14:paraId="7C31C2FC" w14:textId="77777777" w:rsidR="00B54F4E" w:rsidRPr="00D901BC" w:rsidRDefault="00B54F4E" w:rsidP="00B54F4E">
      <w:pPr>
        <w:pStyle w:val="FootnoteText"/>
        <w:jc w:val="both"/>
        <w:rPr>
          <w:rFonts w:ascii="Arial" w:hAnsi="Arial" w:cs="Arial"/>
        </w:rPr>
      </w:pPr>
      <w:r w:rsidRPr="00D901BC">
        <w:rPr>
          <w:rStyle w:val="FootnoteReference"/>
          <w:rFonts w:ascii="Arial" w:hAnsi="Arial" w:cs="Arial"/>
        </w:rPr>
        <w:footnoteRef/>
      </w:r>
      <w:r w:rsidRPr="00D901BC">
        <w:rPr>
          <w:rFonts w:ascii="Arial" w:hAnsi="Arial" w:cs="Arial"/>
        </w:rPr>
        <w:t xml:space="preserve"> Refuerzos de Transmisión en el Sistema Eléctrico Centroamericano – Fase 1. Pacific Norwest National Laboratory 2015</w:t>
      </w:r>
    </w:p>
  </w:footnote>
  <w:footnote w:id="22">
    <w:p w14:paraId="1C12470B" w14:textId="77777777" w:rsidR="00B54F4E" w:rsidRPr="00AA62F1" w:rsidRDefault="00B54F4E" w:rsidP="00B54F4E">
      <w:pPr>
        <w:pStyle w:val="FootnoteText"/>
        <w:rPr>
          <w:rFonts w:ascii="Arial" w:hAnsi="Arial" w:cs="Arial"/>
        </w:rPr>
      </w:pPr>
      <w:r w:rsidRPr="00AA62F1">
        <w:rPr>
          <w:rStyle w:val="FootnoteReference"/>
          <w:rFonts w:ascii="Arial" w:hAnsi="Arial" w:cs="Arial"/>
        </w:rPr>
        <w:footnoteRef/>
      </w:r>
      <w:r w:rsidRPr="00AA62F1">
        <w:rPr>
          <w:rFonts w:ascii="Arial" w:hAnsi="Arial" w:cs="Arial"/>
        </w:rPr>
        <w:t xml:space="preserve"> El error de inclusión se refiere al otorgamiento de subsidios a hogares cuya capacidad de pago no lo requieren, o lo requieren en menor proporción de la asignada. El error de exclusión se refiere al caso contrario.</w:t>
      </w:r>
    </w:p>
  </w:footnote>
  <w:footnote w:id="23">
    <w:p w14:paraId="043C3077" w14:textId="77777777" w:rsidR="00B54F4E" w:rsidRDefault="00B54F4E" w:rsidP="00B54F4E">
      <w:pPr>
        <w:pStyle w:val="FootnoteText"/>
      </w:pPr>
      <w:r>
        <w:rPr>
          <w:rStyle w:val="FootnoteReference"/>
        </w:rPr>
        <w:footnoteRef/>
      </w:r>
      <w:r>
        <w:t xml:space="preserve"> BID, Dossier Energético Panamá, 2013.</w:t>
      </w:r>
    </w:p>
  </w:footnote>
  <w:footnote w:id="24">
    <w:p w14:paraId="141BF2F1" w14:textId="77777777" w:rsidR="00B54F4E" w:rsidRPr="00AA62F1" w:rsidRDefault="00B54F4E" w:rsidP="00B54F4E">
      <w:pPr>
        <w:pStyle w:val="FootnoteText"/>
        <w:rPr>
          <w:rFonts w:ascii="Arial" w:hAnsi="Arial" w:cs="Arial"/>
        </w:rPr>
      </w:pPr>
      <w:r w:rsidRPr="00AA62F1">
        <w:rPr>
          <w:rStyle w:val="FootnoteReference"/>
          <w:rFonts w:ascii="Arial" w:hAnsi="Arial" w:cs="Arial"/>
        </w:rPr>
        <w:footnoteRef/>
      </w:r>
      <w:r w:rsidRPr="00AA62F1">
        <w:rPr>
          <w:rFonts w:ascii="Arial" w:hAnsi="Arial" w:cs="Arial"/>
        </w:rPr>
        <w:t xml:space="preserve"> El artículo 114 de la Ley 6/1997 que establece la forma de aplicar subsidios tarifarios, le otorgó al Órgano Ejecutivo la facultad de incluir, en el Presupuesto General del Estado, subsidios tarifarios para el consumo de electricidad, indicando el tipo de servicio subsidiado y los clientes elegibles. El subsidio se aplica como un descuento en el valor de la factura que éstos deban cancelar y no excederá el valor del consumo básico o de subsistencia, definido en el reglamento ni el veinte por ciento del costo del servicio.</w:t>
      </w:r>
    </w:p>
  </w:footnote>
  <w:footnote w:id="25">
    <w:p w14:paraId="0F43B363" w14:textId="77777777" w:rsidR="00B54F4E" w:rsidRPr="00AA62F1" w:rsidRDefault="00B54F4E" w:rsidP="00B54F4E">
      <w:pPr>
        <w:pStyle w:val="FootnoteText"/>
        <w:jc w:val="both"/>
        <w:rPr>
          <w:rFonts w:ascii="Arial" w:hAnsi="Arial" w:cs="Arial"/>
        </w:rPr>
      </w:pPr>
      <w:r w:rsidRPr="00AA62F1">
        <w:rPr>
          <w:rStyle w:val="FootnoteReference"/>
          <w:rFonts w:ascii="Arial" w:hAnsi="Arial" w:cs="Arial"/>
        </w:rPr>
        <w:footnoteRef/>
      </w:r>
      <w:r w:rsidRPr="00AA62F1">
        <w:rPr>
          <w:rFonts w:ascii="Arial" w:hAnsi="Arial" w:cs="Arial"/>
        </w:rPr>
        <w:t xml:space="preserve"> Resolución del Gabinete No. 6 de enero de 2004. El FET debía ser administrado por la empresa estatal de transmisión (ETESA) y sería fiscalizado por el ERSP. Según su diseño, el fondo lograría la estabilidad de las tarifas mediante la fijación de un nivel fijo del precio del petróleo (crudo West Texas Intermediate en $40 en 2004). El precio fijo se usaría para calcular la tarifa “estabilizada” de la electricidad. Cuando el precio del petróleo superara el nivel establecido, el fondo se usaría para transferir a los usuarios finales la diferencia entre la tarifa “estabilizada” y la de mercado. Si, por el contrario, el precio del petróleo se ubicaba por debajo del nivel establecido, se cobrarían las tarifas calculadas a precio “estabilizado” y se transferiría al fondo el dinero producto de la diferencia entre ese precio y la tarifa de mercado. En la práctica, el FET ha funcionado como un subsidio adicional a los usuarios finales que ha sido financiado por el Estado.</w:t>
      </w:r>
    </w:p>
  </w:footnote>
  <w:footnote w:id="26">
    <w:p w14:paraId="33459A68" w14:textId="77777777" w:rsidR="00B54F4E" w:rsidRPr="00AA62F1" w:rsidRDefault="00B54F4E" w:rsidP="00B54F4E">
      <w:pPr>
        <w:pStyle w:val="FootnoteText"/>
        <w:rPr>
          <w:rFonts w:ascii="Arial" w:hAnsi="Arial" w:cs="Arial"/>
        </w:rPr>
      </w:pPr>
      <w:r w:rsidRPr="00AA62F1">
        <w:rPr>
          <w:rStyle w:val="FootnoteReference"/>
          <w:rFonts w:ascii="Arial" w:hAnsi="Arial" w:cs="Arial"/>
        </w:rPr>
        <w:footnoteRef/>
      </w:r>
      <w:r w:rsidRPr="00AA62F1">
        <w:rPr>
          <w:rFonts w:ascii="Arial" w:hAnsi="Arial" w:cs="Arial"/>
        </w:rPr>
        <w:t xml:space="preserve"> ASEP. Informe de subsidios a clientes del sector eléctrico en Panamá a diciembre de 2015. Agosto de 2016.</w:t>
      </w:r>
    </w:p>
  </w:footnote>
  <w:footnote w:id="27">
    <w:p w14:paraId="10415F87" w14:textId="77777777" w:rsidR="00B54F4E" w:rsidRPr="007619D4" w:rsidRDefault="00B54F4E" w:rsidP="00B54F4E">
      <w:pPr>
        <w:pStyle w:val="FootnoteText"/>
        <w:rPr>
          <w:rFonts w:ascii="Arial" w:hAnsi="Arial" w:cs="Arial"/>
        </w:rPr>
      </w:pPr>
      <w:r w:rsidRPr="007619D4">
        <w:rPr>
          <w:rStyle w:val="FootnoteReference"/>
          <w:rFonts w:ascii="Arial" w:hAnsi="Arial" w:cs="Arial"/>
        </w:rPr>
        <w:footnoteRef/>
      </w:r>
      <w:r w:rsidRPr="007619D4">
        <w:rPr>
          <w:rFonts w:ascii="Arial" w:hAnsi="Arial" w:cs="Arial"/>
        </w:rPr>
        <w:t xml:space="preserve"> Desde 2004 hasta 2011 la capacidad instalada de plantas térmicas creció 55,8%, mientras que la de energías renovables creció 12,4%51.</w:t>
      </w:r>
    </w:p>
  </w:footnote>
  <w:footnote w:id="28">
    <w:p w14:paraId="36FA660E" w14:textId="77777777" w:rsidR="00B54F4E" w:rsidRPr="007619D4" w:rsidRDefault="00B54F4E" w:rsidP="00B54F4E">
      <w:pPr>
        <w:pStyle w:val="FootnoteText"/>
        <w:jc w:val="both"/>
        <w:rPr>
          <w:rFonts w:ascii="Arial" w:hAnsi="Arial" w:cs="Arial"/>
        </w:rPr>
      </w:pPr>
      <w:r w:rsidRPr="007619D4">
        <w:rPr>
          <w:rStyle w:val="FootnoteReference"/>
          <w:rFonts w:ascii="Arial" w:hAnsi="Arial" w:cs="Arial"/>
        </w:rPr>
        <w:footnoteRef/>
      </w:r>
      <w:r w:rsidRPr="007619D4">
        <w:rPr>
          <w:rFonts w:ascii="Arial" w:hAnsi="Arial" w:cs="Arial"/>
        </w:rPr>
        <w:t xml:space="preserve"> La Resolución de Gabinete 175 de 2011 también dispuso un incremento semestral del 1,25% de las tarifas respecto a las del primer semestre de 2011, el cual no sería cubierto por el FET. Adicionalmente, se estableció un incremento en la tarifa de los clientes subsidiados (se entiende los jubilados, tercera edad, etc.).</w:t>
      </w:r>
    </w:p>
  </w:footnote>
  <w:footnote w:id="29">
    <w:p w14:paraId="3F2A00C7" w14:textId="77777777" w:rsidR="00B54F4E" w:rsidRPr="007619D4" w:rsidRDefault="00B54F4E" w:rsidP="00B54F4E">
      <w:pPr>
        <w:pStyle w:val="FootnoteText"/>
        <w:rPr>
          <w:rFonts w:ascii="Arial" w:hAnsi="Arial" w:cs="Arial"/>
        </w:rPr>
      </w:pPr>
      <w:r w:rsidRPr="007619D4">
        <w:rPr>
          <w:rStyle w:val="FootnoteReference"/>
          <w:rFonts w:ascii="Arial" w:hAnsi="Arial" w:cs="Arial"/>
        </w:rPr>
        <w:footnoteRef/>
      </w:r>
      <w:r w:rsidRPr="007619D4">
        <w:rPr>
          <w:rFonts w:ascii="Arial" w:hAnsi="Arial" w:cs="Arial"/>
        </w:rPr>
        <w:t xml:space="preserve"> Considerandos de la Resolución de Gabinete No. 2 de enero de 2016.</w:t>
      </w:r>
    </w:p>
  </w:footnote>
  <w:footnote w:id="30">
    <w:p w14:paraId="496C9607" w14:textId="77777777" w:rsidR="00B54F4E" w:rsidRDefault="00B54F4E" w:rsidP="00B54F4E">
      <w:pPr>
        <w:pStyle w:val="FootnoteText"/>
      </w:pPr>
      <w:r>
        <w:rPr>
          <w:rStyle w:val="FootnoteReference"/>
        </w:rPr>
        <w:footnoteRef/>
      </w:r>
      <w:r>
        <w:t xml:space="preserve"> Resoluciones de Gabinete 59 y 60 de junio de 2015.</w:t>
      </w:r>
    </w:p>
  </w:footnote>
  <w:footnote w:id="31">
    <w:p w14:paraId="65C46C2C" w14:textId="77777777" w:rsidR="00B54F4E" w:rsidRPr="00C61C30" w:rsidRDefault="00B54F4E" w:rsidP="00B54F4E">
      <w:pPr>
        <w:pStyle w:val="FootnoteText"/>
        <w:jc w:val="both"/>
        <w:rPr>
          <w:rFonts w:ascii="Arial" w:hAnsi="Arial" w:cs="Arial"/>
        </w:rPr>
      </w:pPr>
      <w:r w:rsidRPr="00C61C30">
        <w:rPr>
          <w:rStyle w:val="FootnoteReference"/>
          <w:rFonts w:ascii="Arial" w:hAnsi="Arial" w:cs="Arial"/>
        </w:rPr>
        <w:footnoteRef/>
      </w:r>
      <w:r w:rsidRPr="00C61C30">
        <w:rPr>
          <w:rFonts w:ascii="Arial" w:hAnsi="Arial" w:cs="Arial"/>
        </w:rPr>
        <w:t xml:space="preserve"> ASEP: Resolución AN No.8301-Elec Panamá, 11 de febrero de 2015 “Por la cual se notifica a la Empresa de Transmisión Eléctrica, S.A. (ETESA) el monto a transferir a favor de Elektra Noreste, S.A., correspondiente al aporte adicional del Fondo de Estabilización Tarifaria para el primer semestre de 2015” y Resolución AN No.8302-Elec Panamá, 11 de febrero de 2015 “Por la cual se notifica a la Empresa de Transmisión Eléctrica, S.A. (ETESA) el monto a transferir a favor de la Empresa de Distribución Eléctrica Metro-Oeste, S.A. y la Empresa de Distribución Eléctrica Chiriquí, S.A., correspondiente al aporte adicional del Fondo de Estabilización Tarifaria para el primer semestre de 2015”</w:t>
      </w:r>
      <w:r>
        <w:rPr>
          <w:rFonts w:ascii="Arial" w:hAnsi="Arial" w:cs="Arial"/>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37DDB"/>
    <w:multiLevelType w:val="hybridMultilevel"/>
    <w:tmpl w:val="12BE752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12626E51"/>
    <w:multiLevelType w:val="hybridMultilevel"/>
    <w:tmpl w:val="ADD42C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 w15:restartNumberingAfterBreak="0">
    <w:nsid w:val="16CC3763"/>
    <w:multiLevelType w:val="hybridMultilevel"/>
    <w:tmpl w:val="044E7792"/>
    <w:lvl w:ilvl="0" w:tplc="37A63232">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3" w15:restartNumberingAfterBreak="0">
    <w:nsid w:val="1ED8008D"/>
    <w:multiLevelType w:val="hybridMultilevel"/>
    <w:tmpl w:val="B2EE0360"/>
    <w:lvl w:ilvl="0" w:tplc="B796AC8A">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22E31C98"/>
    <w:multiLevelType w:val="hybridMultilevel"/>
    <w:tmpl w:val="CE50700A"/>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29A31FDF"/>
    <w:multiLevelType w:val="hybridMultilevel"/>
    <w:tmpl w:val="E7868FB8"/>
    <w:lvl w:ilvl="0" w:tplc="0409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3D7E5383"/>
    <w:multiLevelType w:val="hybridMultilevel"/>
    <w:tmpl w:val="44D03618"/>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7" w15:restartNumberingAfterBreak="0">
    <w:nsid w:val="3E590D03"/>
    <w:multiLevelType w:val="hybridMultilevel"/>
    <w:tmpl w:val="C9E2875C"/>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8" w15:restartNumberingAfterBreak="0">
    <w:nsid w:val="42306CB4"/>
    <w:multiLevelType w:val="multilevel"/>
    <w:tmpl w:val="9878DFA6"/>
    <w:lvl w:ilvl="0">
      <w:start w:val="1"/>
      <w:numFmt w:val="decimal"/>
      <w:pStyle w:val="Ttulo11"/>
      <w:lvlText w:val="%1"/>
      <w:lvlJc w:val="left"/>
      <w:pPr>
        <w:ind w:left="432" w:hanging="432"/>
      </w:pPr>
    </w:lvl>
    <w:lvl w:ilvl="1">
      <w:start w:val="1"/>
      <w:numFmt w:val="decimal"/>
      <w:pStyle w:val="Ttulo31"/>
      <w:lvlText w:val="%1.%2"/>
      <w:lvlJc w:val="left"/>
      <w:pPr>
        <w:ind w:left="576" w:hanging="576"/>
      </w:pPr>
    </w:lvl>
    <w:lvl w:ilvl="2">
      <w:start w:val="1"/>
      <w:numFmt w:val="decimal"/>
      <w:pStyle w:val="Nivel3"/>
      <w:lvlText w:val="%1.%2.%3"/>
      <w:lvlJc w:val="left"/>
      <w:pPr>
        <w:ind w:left="720" w:hanging="720"/>
      </w:pPr>
      <w:rPr>
        <w:rFonts w:ascii="Times New Roman" w:hAnsi="Times New Roman" w:cs="Times New Roman" w:hint="default"/>
      </w:rPr>
    </w:lvl>
    <w:lvl w:ilvl="3">
      <w:start w:val="1"/>
      <w:numFmt w:val="decimal"/>
      <w:pStyle w:val="Ttulo41"/>
      <w:lvlText w:val="%1.%2.%3.%4"/>
      <w:lvlJc w:val="left"/>
      <w:pPr>
        <w:ind w:left="864" w:hanging="864"/>
      </w:pPr>
      <w:rPr>
        <w:rFonts w:ascii="Times New Roman" w:hAnsi="Times New Roman" w:cs="Times New Roman" w:hint="default"/>
      </w:r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9" w15:restartNumberingAfterBreak="0">
    <w:nsid w:val="49C3724A"/>
    <w:multiLevelType w:val="hybridMultilevel"/>
    <w:tmpl w:val="A42CC25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569905A8"/>
    <w:multiLevelType w:val="multilevel"/>
    <w:tmpl w:val="DFA8D0F4"/>
    <w:lvl w:ilvl="0">
      <w:start w:val="1"/>
      <w:numFmt w:val="upperRoman"/>
      <w:lvlRestart w:val="0"/>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296"/>
        </w:tabs>
        <w:ind w:left="1296" w:hanging="1296"/>
      </w:pPr>
      <w:rPr>
        <w:b w:val="0"/>
        <w:i w:val="0"/>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15:restartNumberingAfterBreak="0">
    <w:nsid w:val="747E57EA"/>
    <w:multiLevelType w:val="multilevel"/>
    <w:tmpl w:val="240A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1"/>
  </w:num>
  <w:num w:numId="2">
    <w:abstractNumId w:val="10"/>
  </w:num>
  <w:num w:numId="3">
    <w:abstractNumId w:val="1"/>
  </w:num>
  <w:num w:numId="4">
    <w:abstractNumId w:val="6"/>
  </w:num>
  <w:num w:numId="5">
    <w:abstractNumId w:val="7"/>
  </w:num>
  <w:num w:numId="6">
    <w:abstractNumId w:val="4"/>
  </w:num>
  <w:num w:numId="7">
    <w:abstractNumId w:val="0"/>
  </w:num>
  <w:num w:numId="8">
    <w:abstractNumId w:val="2"/>
  </w:num>
  <w:num w:numId="9">
    <w:abstractNumId w:val="8"/>
  </w:num>
  <w:num w:numId="10">
    <w:abstractNumId w:val="9"/>
  </w:num>
  <w:num w:numId="11">
    <w:abstractNumId w:val="3"/>
  </w:num>
  <w:num w:numId="12">
    <w:abstractNumId w:val="5"/>
  </w:num>
  <w:num w:numId="1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95F"/>
    <w:rsid w:val="00003CE7"/>
    <w:rsid w:val="000165D6"/>
    <w:rsid w:val="0001684F"/>
    <w:rsid w:val="00031DF7"/>
    <w:rsid w:val="000432A0"/>
    <w:rsid w:val="00044954"/>
    <w:rsid w:val="00051968"/>
    <w:rsid w:val="00054892"/>
    <w:rsid w:val="0005756C"/>
    <w:rsid w:val="000621C2"/>
    <w:rsid w:val="000638C8"/>
    <w:rsid w:val="000724E3"/>
    <w:rsid w:val="00073794"/>
    <w:rsid w:val="000737EA"/>
    <w:rsid w:val="000800C4"/>
    <w:rsid w:val="0008155C"/>
    <w:rsid w:val="00093F1F"/>
    <w:rsid w:val="00096002"/>
    <w:rsid w:val="000A188D"/>
    <w:rsid w:val="000A6551"/>
    <w:rsid w:val="000A799F"/>
    <w:rsid w:val="000B23BE"/>
    <w:rsid w:val="000C14B1"/>
    <w:rsid w:val="000C1687"/>
    <w:rsid w:val="000C7F08"/>
    <w:rsid w:val="000D5F69"/>
    <w:rsid w:val="000D749B"/>
    <w:rsid w:val="000E1B67"/>
    <w:rsid w:val="000E2421"/>
    <w:rsid w:val="000E5467"/>
    <w:rsid w:val="000F0BB9"/>
    <w:rsid w:val="000F3AE0"/>
    <w:rsid w:val="000F48D6"/>
    <w:rsid w:val="000F4FD6"/>
    <w:rsid w:val="00103D1A"/>
    <w:rsid w:val="00111040"/>
    <w:rsid w:val="00116A8B"/>
    <w:rsid w:val="0011790D"/>
    <w:rsid w:val="00122764"/>
    <w:rsid w:val="00125885"/>
    <w:rsid w:val="00126FED"/>
    <w:rsid w:val="00131063"/>
    <w:rsid w:val="00132C23"/>
    <w:rsid w:val="00133B29"/>
    <w:rsid w:val="0013442E"/>
    <w:rsid w:val="00135E13"/>
    <w:rsid w:val="00136E3C"/>
    <w:rsid w:val="00136EFD"/>
    <w:rsid w:val="00154C29"/>
    <w:rsid w:val="001557F3"/>
    <w:rsid w:val="001578B0"/>
    <w:rsid w:val="001615CC"/>
    <w:rsid w:val="00164E5E"/>
    <w:rsid w:val="00172C00"/>
    <w:rsid w:val="0019029F"/>
    <w:rsid w:val="001A1257"/>
    <w:rsid w:val="001A31C7"/>
    <w:rsid w:val="001A62F0"/>
    <w:rsid w:val="001B440E"/>
    <w:rsid w:val="001B61E5"/>
    <w:rsid w:val="001B7D6C"/>
    <w:rsid w:val="001C38A4"/>
    <w:rsid w:val="001D2F59"/>
    <w:rsid w:val="001D4D77"/>
    <w:rsid w:val="001E2A67"/>
    <w:rsid w:val="001E61E1"/>
    <w:rsid w:val="001E6F91"/>
    <w:rsid w:val="001F34CB"/>
    <w:rsid w:val="001F514E"/>
    <w:rsid w:val="001F601A"/>
    <w:rsid w:val="001F6C99"/>
    <w:rsid w:val="001F778C"/>
    <w:rsid w:val="00212376"/>
    <w:rsid w:val="00213706"/>
    <w:rsid w:val="00220618"/>
    <w:rsid w:val="00221E4C"/>
    <w:rsid w:val="00222EA6"/>
    <w:rsid w:val="0022309B"/>
    <w:rsid w:val="002262C8"/>
    <w:rsid w:val="00232F89"/>
    <w:rsid w:val="00237B0F"/>
    <w:rsid w:val="00247E6E"/>
    <w:rsid w:val="0025353C"/>
    <w:rsid w:val="002647C4"/>
    <w:rsid w:val="002753C8"/>
    <w:rsid w:val="00277613"/>
    <w:rsid w:val="00277ED1"/>
    <w:rsid w:val="0028356F"/>
    <w:rsid w:val="00284E57"/>
    <w:rsid w:val="00285AAC"/>
    <w:rsid w:val="00290018"/>
    <w:rsid w:val="0029032B"/>
    <w:rsid w:val="00291A57"/>
    <w:rsid w:val="00292E45"/>
    <w:rsid w:val="00297B8D"/>
    <w:rsid w:val="002A0204"/>
    <w:rsid w:val="002A1DC2"/>
    <w:rsid w:val="002B722A"/>
    <w:rsid w:val="002C1910"/>
    <w:rsid w:val="002C3FDD"/>
    <w:rsid w:val="002D20DD"/>
    <w:rsid w:val="002D310C"/>
    <w:rsid w:val="002D7847"/>
    <w:rsid w:val="002E676A"/>
    <w:rsid w:val="002F4337"/>
    <w:rsid w:val="002F4EC0"/>
    <w:rsid w:val="002F5EF8"/>
    <w:rsid w:val="00300E3D"/>
    <w:rsid w:val="00301431"/>
    <w:rsid w:val="00305902"/>
    <w:rsid w:val="00311758"/>
    <w:rsid w:val="00312BD6"/>
    <w:rsid w:val="0032255F"/>
    <w:rsid w:val="003237D4"/>
    <w:rsid w:val="00323AA0"/>
    <w:rsid w:val="003258FD"/>
    <w:rsid w:val="00326EFE"/>
    <w:rsid w:val="00331DC2"/>
    <w:rsid w:val="00331F98"/>
    <w:rsid w:val="0033223F"/>
    <w:rsid w:val="003348A2"/>
    <w:rsid w:val="00340367"/>
    <w:rsid w:val="00350188"/>
    <w:rsid w:val="003503DA"/>
    <w:rsid w:val="00352E05"/>
    <w:rsid w:val="00360D59"/>
    <w:rsid w:val="00366D07"/>
    <w:rsid w:val="00367B52"/>
    <w:rsid w:val="00373088"/>
    <w:rsid w:val="0037790B"/>
    <w:rsid w:val="00380A0E"/>
    <w:rsid w:val="00381AB0"/>
    <w:rsid w:val="00390005"/>
    <w:rsid w:val="00392481"/>
    <w:rsid w:val="00396E81"/>
    <w:rsid w:val="003A58EB"/>
    <w:rsid w:val="003B0862"/>
    <w:rsid w:val="003B63F9"/>
    <w:rsid w:val="003C05B8"/>
    <w:rsid w:val="003C4170"/>
    <w:rsid w:val="003C4555"/>
    <w:rsid w:val="003C659A"/>
    <w:rsid w:val="003D17C2"/>
    <w:rsid w:val="003D4EB1"/>
    <w:rsid w:val="003E4DB0"/>
    <w:rsid w:val="003F11D9"/>
    <w:rsid w:val="003F2C56"/>
    <w:rsid w:val="003F3A64"/>
    <w:rsid w:val="003F5529"/>
    <w:rsid w:val="003F7A01"/>
    <w:rsid w:val="00404DB8"/>
    <w:rsid w:val="0042059F"/>
    <w:rsid w:val="00422BAC"/>
    <w:rsid w:val="00422C62"/>
    <w:rsid w:val="0042513A"/>
    <w:rsid w:val="00426A5A"/>
    <w:rsid w:val="0043077F"/>
    <w:rsid w:val="004470FF"/>
    <w:rsid w:val="004626D3"/>
    <w:rsid w:val="004813CD"/>
    <w:rsid w:val="00481B88"/>
    <w:rsid w:val="00481FB6"/>
    <w:rsid w:val="004862B9"/>
    <w:rsid w:val="004863A2"/>
    <w:rsid w:val="00487C7A"/>
    <w:rsid w:val="004A20DA"/>
    <w:rsid w:val="004A5A0D"/>
    <w:rsid w:val="004A762C"/>
    <w:rsid w:val="004B23A9"/>
    <w:rsid w:val="004B30C1"/>
    <w:rsid w:val="004B60F7"/>
    <w:rsid w:val="004C5659"/>
    <w:rsid w:val="004D0625"/>
    <w:rsid w:val="004D45F4"/>
    <w:rsid w:val="004D52A9"/>
    <w:rsid w:val="004D5DEA"/>
    <w:rsid w:val="004F0AD6"/>
    <w:rsid w:val="004F657B"/>
    <w:rsid w:val="004F68E2"/>
    <w:rsid w:val="005001DD"/>
    <w:rsid w:val="00505D6D"/>
    <w:rsid w:val="00507528"/>
    <w:rsid w:val="0051478E"/>
    <w:rsid w:val="0051645F"/>
    <w:rsid w:val="00517547"/>
    <w:rsid w:val="00520040"/>
    <w:rsid w:val="0052233D"/>
    <w:rsid w:val="005266ED"/>
    <w:rsid w:val="00531483"/>
    <w:rsid w:val="0053226C"/>
    <w:rsid w:val="00532E40"/>
    <w:rsid w:val="005335C2"/>
    <w:rsid w:val="005411E4"/>
    <w:rsid w:val="00552DC6"/>
    <w:rsid w:val="005569DF"/>
    <w:rsid w:val="00562C33"/>
    <w:rsid w:val="00563933"/>
    <w:rsid w:val="0056563C"/>
    <w:rsid w:val="005721BD"/>
    <w:rsid w:val="00580E7E"/>
    <w:rsid w:val="005865FA"/>
    <w:rsid w:val="00587ACE"/>
    <w:rsid w:val="005A6429"/>
    <w:rsid w:val="005B151E"/>
    <w:rsid w:val="005B6092"/>
    <w:rsid w:val="005C03C5"/>
    <w:rsid w:val="005C5B38"/>
    <w:rsid w:val="005C77AE"/>
    <w:rsid w:val="005D0E55"/>
    <w:rsid w:val="005D17AA"/>
    <w:rsid w:val="005D66D4"/>
    <w:rsid w:val="005E0995"/>
    <w:rsid w:val="005F16A5"/>
    <w:rsid w:val="005F30A8"/>
    <w:rsid w:val="00607ED3"/>
    <w:rsid w:val="0061070B"/>
    <w:rsid w:val="00611051"/>
    <w:rsid w:val="0061173F"/>
    <w:rsid w:val="006213B8"/>
    <w:rsid w:val="0062485E"/>
    <w:rsid w:val="0062574D"/>
    <w:rsid w:val="006345D3"/>
    <w:rsid w:val="0064101A"/>
    <w:rsid w:val="0064123A"/>
    <w:rsid w:val="006420E6"/>
    <w:rsid w:val="00647214"/>
    <w:rsid w:val="0065049E"/>
    <w:rsid w:val="00654CB4"/>
    <w:rsid w:val="006601EB"/>
    <w:rsid w:val="0066595F"/>
    <w:rsid w:val="00674C29"/>
    <w:rsid w:val="00682254"/>
    <w:rsid w:val="00684804"/>
    <w:rsid w:val="006A07EF"/>
    <w:rsid w:val="006B0CEC"/>
    <w:rsid w:val="006B456E"/>
    <w:rsid w:val="006B530A"/>
    <w:rsid w:val="006B5C5F"/>
    <w:rsid w:val="006C056A"/>
    <w:rsid w:val="006C0857"/>
    <w:rsid w:val="006C6A06"/>
    <w:rsid w:val="006E23BA"/>
    <w:rsid w:val="006E2834"/>
    <w:rsid w:val="006E2922"/>
    <w:rsid w:val="006F12D1"/>
    <w:rsid w:val="006F2486"/>
    <w:rsid w:val="006F2EF1"/>
    <w:rsid w:val="006F6CAF"/>
    <w:rsid w:val="007011B0"/>
    <w:rsid w:val="007025B2"/>
    <w:rsid w:val="0072369C"/>
    <w:rsid w:val="00723E94"/>
    <w:rsid w:val="00730D4C"/>
    <w:rsid w:val="00743450"/>
    <w:rsid w:val="00745B84"/>
    <w:rsid w:val="00746841"/>
    <w:rsid w:val="00747E87"/>
    <w:rsid w:val="007515D2"/>
    <w:rsid w:val="007619D4"/>
    <w:rsid w:val="00761DC9"/>
    <w:rsid w:val="0076699D"/>
    <w:rsid w:val="00773333"/>
    <w:rsid w:val="007769C6"/>
    <w:rsid w:val="00780E73"/>
    <w:rsid w:val="007816C3"/>
    <w:rsid w:val="007830C1"/>
    <w:rsid w:val="00783E52"/>
    <w:rsid w:val="00785CFF"/>
    <w:rsid w:val="00795F1D"/>
    <w:rsid w:val="007A3577"/>
    <w:rsid w:val="007B4FB8"/>
    <w:rsid w:val="007C2D46"/>
    <w:rsid w:val="007E217D"/>
    <w:rsid w:val="007F0070"/>
    <w:rsid w:val="007F213C"/>
    <w:rsid w:val="007F24F6"/>
    <w:rsid w:val="007F3AB4"/>
    <w:rsid w:val="008020A9"/>
    <w:rsid w:val="008023D8"/>
    <w:rsid w:val="00803B23"/>
    <w:rsid w:val="00805CC4"/>
    <w:rsid w:val="008126C5"/>
    <w:rsid w:val="00812CDF"/>
    <w:rsid w:val="0082377F"/>
    <w:rsid w:val="00824CD8"/>
    <w:rsid w:val="00832045"/>
    <w:rsid w:val="0084591C"/>
    <w:rsid w:val="00845BF0"/>
    <w:rsid w:val="008463DB"/>
    <w:rsid w:val="008521B2"/>
    <w:rsid w:val="008567B7"/>
    <w:rsid w:val="00857569"/>
    <w:rsid w:val="00861A5C"/>
    <w:rsid w:val="00863187"/>
    <w:rsid w:val="0086435F"/>
    <w:rsid w:val="008848BE"/>
    <w:rsid w:val="0088633D"/>
    <w:rsid w:val="00891E25"/>
    <w:rsid w:val="00895455"/>
    <w:rsid w:val="00897DDF"/>
    <w:rsid w:val="008A1C6F"/>
    <w:rsid w:val="008A5B07"/>
    <w:rsid w:val="008C25A6"/>
    <w:rsid w:val="008C379C"/>
    <w:rsid w:val="008D3C91"/>
    <w:rsid w:val="008D4916"/>
    <w:rsid w:val="008D708B"/>
    <w:rsid w:val="008D7216"/>
    <w:rsid w:val="008E51B4"/>
    <w:rsid w:val="008F02E9"/>
    <w:rsid w:val="008F73B4"/>
    <w:rsid w:val="00907AEC"/>
    <w:rsid w:val="0091043A"/>
    <w:rsid w:val="00914563"/>
    <w:rsid w:val="00916F8D"/>
    <w:rsid w:val="0092097A"/>
    <w:rsid w:val="009274AA"/>
    <w:rsid w:val="00944E79"/>
    <w:rsid w:val="00946B7F"/>
    <w:rsid w:val="00953CAF"/>
    <w:rsid w:val="00956EE8"/>
    <w:rsid w:val="00961B1B"/>
    <w:rsid w:val="00964F6A"/>
    <w:rsid w:val="009669E0"/>
    <w:rsid w:val="00971FD2"/>
    <w:rsid w:val="0097628D"/>
    <w:rsid w:val="009A3CA4"/>
    <w:rsid w:val="009B45BE"/>
    <w:rsid w:val="009D02FD"/>
    <w:rsid w:val="009D03BE"/>
    <w:rsid w:val="009D0C1A"/>
    <w:rsid w:val="009D263C"/>
    <w:rsid w:val="009F0119"/>
    <w:rsid w:val="009F4FB1"/>
    <w:rsid w:val="009F74E9"/>
    <w:rsid w:val="009F7B80"/>
    <w:rsid w:val="00A032A5"/>
    <w:rsid w:val="00A15232"/>
    <w:rsid w:val="00A25442"/>
    <w:rsid w:val="00A25F36"/>
    <w:rsid w:val="00A312BA"/>
    <w:rsid w:val="00A32DF2"/>
    <w:rsid w:val="00A336C8"/>
    <w:rsid w:val="00A44781"/>
    <w:rsid w:val="00A52D15"/>
    <w:rsid w:val="00A63F1F"/>
    <w:rsid w:val="00A704FC"/>
    <w:rsid w:val="00A900DF"/>
    <w:rsid w:val="00A92F71"/>
    <w:rsid w:val="00A934E7"/>
    <w:rsid w:val="00A9521A"/>
    <w:rsid w:val="00AA1BE4"/>
    <w:rsid w:val="00AA1EEA"/>
    <w:rsid w:val="00AA62F1"/>
    <w:rsid w:val="00AA7DA7"/>
    <w:rsid w:val="00AB3696"/>
    <w:rsid w:val="00AB3983"/>
    <w:rsid w:val="00AB681A"/>
    <w:rsid w:val="00AC74A8"/>
    <w:rsid w:val="00AD3207"/>
    <w:rsid w:val="00AE4CBC"/>
    <w:rsid w:val="00AF416C"/>
    <w:rsid w:val="00B01E3B"/>
    <w:rsid w:val="00B07BB8"/>
    <w:rsid w:val="00B15C77"/>
    <w:rsid w:val="00B21A84"/>
    <w:rsid w:val="00B2572E"/>
    <w:rsid w:val="00B27A0B"/>
    <w:rsid w:val="00B5285B"/>
    <w:rsid w:val="00B54CA5"/>
    <w:rsid w:val="00B54F4E"/>
    <w:rsid w:val="00B60A1B"/>
    <w:rsid w:val="00B8097B"/>
    <w:rsid w:val="00B83755"/>
    <w:rsid w:val="00B85B2C"/>
    <w:rsid w:val="00B85DC0"/>
    <w:rsid w:val="00BA408D"/>
    <w:rsid w:val="00BB2AA8"/>
    <w:rsid w:val="00BD13DC"/>
    <w:rsid w:val="00BD6397"/>
    <w:rsid w:val="00BE2D27"/>
    <w:rsid w:val="00BF33D9"/>
    <w:rsid w:val="00C02BB7"/>
    <w:rsid w:val="00C038A6"/>
    <w:rsid w:val="00C05B69"/>
    <w:rsid w:val="00C10251"/>
    <w:rsid w:val="00C20042"/>
    <w:rsid w:val="00C212D4"/>
    <w:rsid w:val="00C22882"/>
    <w:rsid w:val="00C228D8"/>
    <w:rsid w:val="00C2338D"/>
    <w:rsid w:val="00C23CCB"/>
    <w:rsid w:val="00C311AC"/>
    <w:rsid w:val="00C366ED"/>
    <w:rsid w:val="00C368D0"/>
    <w:rsid w:val="00C40D1D"/>
    <w:rsid w:val="00C421C7"/>
    <w:rsid w:val="00C46C90"/>
    <w:rsid w:val="00C5199F"/>
    <w:rsid w:val="00C54C99"/>
    <w:rsid w:val="00C5634D"/>
    <w:rsid w:val="00C6081D"/>
    <w:rsid w:val="00C61C30"/>
    <w:rsid w:val="00C65E4A"/>
    <w:rsid w:val="00C84F81"/>
    <w:rsid w:val="00C91F47"/>
    <w:rsid w:val="00CA137F"/>
    <w:rsid w:val="00CA3D3C"/>
    <w:rsid w:val="00CB01E6"/>
    <w:rsid w:val="00CB1C1F"/>
    <w:rsid w:val="00CB2CBC"/>
    <w:rsid w:val="00CC4D10"/>
    <w:rsid w:val="00CC56F9"/>
    <w:rsid w:val="00CD204F"/>
    <w:rsid w:val="00CD76A1"/>
    <w:rsid w:val="00CE06F3"/>
    <w:rsid w:val="00CE6554"/>
    <w:rsid w:val="00D0026D"/>
    <w:rsid w:val="00D00A76"/>
    <w:rsid w:val="00D215DA"/>
    <w:rsid w:val="00D25486"/>
    <w:rsid w:val="00D2653F"/>
    <w:rsid w:val="00D31A11"/>
    <w:rsid w:val="00D42269"/>
    <w:rsid w:val="00D42E5B"/>
    <w:rsid w:val="00D45A3B"/>
    <w:rsid w:val="00D5173A"/>
    <w:rsid w:val="00D561FF"/>
    <w:rsid w:val="00D56581"/>
    <w:rsid w:val="00D6417F"/>
    <w:rsid w:val="00D667D0"/>
    <w:rsid w:val="00D730CD"/>
    <w:rsid w:val="00D77774"/>
    <w:rsid w:val="00D81D45"/>
    <w:rsid w:val="00D81E97"/>
    <w:rsid w:val="00D901BC"/>
    <w:rsid w:val="00DA5DEF"/>
    <w:rsid w:val="00DA75BB"/>
    <w:rsid w:val="00DB2D7B"/>
    <w:rsid w:val="00DB4E1D"/>
    <w:rsid w:val="00DB4FCC"/>
    <w:rsid w:val="00DB55E7"/>
    <w:rsid w:val="00DB6323"/>
    <w:rsid w:val="00DC3AB5"/>
    <w:rsid w:val="00DC45CE"/>
    <w:rsid w:val="00DC522D"/>
    <w:rsid w:val="00DC64AF"/>
    <w:rsid w:val="00DE12AA"/>
    <w:rsid w:val="00DE561D"/>
    <w:rsid w:val="00DF0176"/>
    <w:rsid w:val="00DF0CF7"/>
    <w:rsid w:val="00DF5301"/>
    <w:rsid w:val="00E0409A"/>
    <w:rsid w:val="00E057DE"/>
    <w:rsid w:val="00E062E2"/>
    <w:rsid w:val="00E1673C"/>
    <w:rsid w:val="00E241DA"/>
    <w:rsid w:val="00E2515B"/>
    <w:rsid w:val="00E26A84"/>
    <w:rsid w:val="00E3546F"/>
    <w:rsid w:val="00E45033"/>
    <w:rsid w:val="00E529B9"/>
    <w:rsid w:val="00E52F89"/>
    <w:rsid w:val="00E56927"/>
    <w:rsid w:val="00E65175"/>
    <w:rsid w:val="00E6539E"/>
    <w:rsid w:val="00E66C16"/>
    <w:rsid w:val="00E72D00"/>
    <w:rsid w:val="00E75177"/>
    <w:rsid w:val="00E90D4A"/>
    <w:rsid w:val="00E921AA"/>
    <w:rsid w:val="00E92693"/>
    <w:rsid w:val="00EC1A95"/>
    <w:rsid w:val="00EC2CBD"/>
    <w:rsid w:val="00EC7EE1"/>
    <w:rsid w:val="00ED5965"/>
    <w:rsid w:val="00EE71AC"/>
    <w:rsid w:val="00EF42AC"/>
    <w:rsid w:val="00F07100"/>
    <w:rsid w:val="00F12017"/>
    <w:rsid w:val="00F12591"/>
    <w:rsid w:val="00F14E9C"/>
    <w:rsid w:val="00F16DE7"/>
    <w:rsid w:val="00F32F43"/>
    <w:rsid w:val="00F342F1"/>
    <w:rsid w:val="00F35AD4"/>
    <w:rsid w:val="00F40CE0"/>
    <w:rsid w:val="00F41171"/>
    <w:rsid w:val="00F42E44"/>
    <w:rsid w:val="00F46881"/>
    <w:rsid w:val="00F54B18"/>
    <w:rsid w:val="00F5736F"/>
    <w:rsid w:val="00F71830"/>
    <w:rsid w:val="00F7434B"/>
    <w:rsid w:val="00F74941"/>
    <w:rsid w:val="00F75A10"/>
    <w:rsid w:val="00F878B7"/>
    <w:rsid w:val="00F90156"/>
    <w:rsid w:val="00F90290"/>
    <w:rsid w:val="00FB4A18"/>
    <w:rsid w:val="00FB64E1"/>
    <w:rsid w:val="00FC3D41"/>
    <w:rsid w:val="00FC7463"/>
    <w:rsid w:val="00FD2260"/>
    <w:rsid w:val="00FD3F89"/>
    <w:rsid w:val="00FD5089"/>
    <w:rsid w:val="00FD6EB8"/>
    <w:rsid w:val="00FE090C"/>
    <w:rsid w:val="00FE319F"/>
    <w:rsid w:val="00FE4B30"/>
    <w:rsid w:val="00FE53ED"/>
    <w:rsid w:val="00FE66E2"/>
    <w:rsid w:val="00FE783F"/>
    <w:rsid w:val="00FF686B"/>
    <w:rsid w:val="6E6C6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41C8D"/>
  <w15:chartTrackingRefBased/>
  <w15:docId w15:val="{59479B7F-2843-41F8-8F3F-AA8294054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262C8"/>
    <w:pPr>
      <w:spacing w:before="240" w:after="240" w:line="240" w:lineRule="auto"/>
      <w:jc w:val="both"/>
    </w:pPr>
    <w:rPr>
      <w:rFonts w:ascii="Arial" w:eastAsia="Times New Roman" w:hAnsi="Arial" w:cs="Times New Roman"/>
      <w:szCs w:val="20"/>
      <w:lang w:val="es-CO"/>
    </w:rPr>
  </w:style>
  <w:style w:type="paragraph" w:styleId="Heading1">
    <w:name w:val="heading 1"/>
    <w:basedOn w:val="Normal"/>
    <w:next w:val="Normal"/>
    <w:link w:val="Heading1Char"/>
    <w:uiPriority w:val="9"/>
    <w:qFormat/>
    <w:rsid w:val="000165D6"/>
    <w:pPr>
      <w:keepNext/>
      <w:keepLines/>
      <w:numPr>
        <w:numId w:val="1"/>
      </w:numPr>
      <w:spacing w:before="480" w:after="480"/>
      <w:outlineLvl w:val="0"/>
    </w:pPr>
    <w:rPr>
      <w:rFonts w:eastAsiaTheme="majorEastAsia" w:cstheme="majorBidi"/>
      <w:b/>
      <w:color w:val="002060"/>
      <w:sz w:val="28"/>
      <w:szCs w:val="32"/>
    </w:rPr>
  </w:style>
  <w:style w:type="paragraph" w:styleId="Heading2">
    <w:name w:val="heading 2"/>
    <w:basedOn w:val="Normal"/>
    <w:next w:val="Normal"/>
    <w:link w:val="Heading2Char"/>
    <w:uiPriority w:val="9"/>
    <w:unhideWhenUsed/>
    <w:qFormat/>
    <w:rsid w:val="00AA1BE4"/>
    <w:pPr>
      <w:keepNext/>
      <w:keepLines/>
      <w:numPr>
        <w:ilvl w:val="1"/>
        <w:numId w:val="1"/>
      </w:numPr>
      <w:spacing w:before="400" w:after="360"/>
      <w:outlineLvl w:val="1"/>
    </w:pPr>
    <w:rPr>
      <w:rFonts w:eastAsiaTheme="majorEastAsia" w:cstheme="majorBidi"/>
      <w:b/>
      <w:color w:val="1F3864" w:themeColor="accent1" w:themeShade="80"/>
      <w:sz w:val="24"/>
      <w:szCs w:val="26"/>
    </w:rPr>
  </w:style>
  <w:style w:type="paragraph" w:styleId="Heading3">
    <w:name w:val="heading 3"/>
    <w:basedOn w:val="Normal"/>
    <w:next w:val="Normal"/>
    <w:link w:val="Heading3Char"/>
    <w:uiPriority w:val="9"/>
    <w:unhideWhenUsed/>
    <w:qFormat/>
    <w:rsid w:val="002262C8"/>
    <w:pPr>
      <w:keepNext/>
      <w:keepLines/>
      <w:numPr>
        <w:ilvl w:val="2"/>
        <w:numId w:val="1"/>
      </w:numPr>
      <w:spacing w:before="360" w:after="360"/>
      <w:outlineLvl w:val="2"/>
    </w:pPr>
    <w:rPr>
      <w:rFonts w:eastAsiaTheme="majorEastAsia" w:cstheme="majorBidi"/>
      <w:b/>
      <w:color w:val="1F3763" w:themeColor="accent1" w:themeShade="7F"/>
      <w:szCs w:val="24"/>
    </w:rPr>
  </w:style>
  <w:style w:type="paragraph" w:styleId="Heading4">
    <w:name w:val="heading 4"/>
    <w:basedOn w:val="Normal"/>
    <w:next w:val="Normal"/>
    <w:link w:val="Heading4Char"/>
    <w:uiPriority w:val="9"/>
    <w:unhideWhenUsed/>
    <w:qFormat/>
    <w:rsid w:val="00422BAC"/>
    <w:pPr>
      <w:keepNext/>
      <w:keepLines/>
      <w:numPr>
        <w:ilvl w:val="3"/>
        <w:numId w:val="1"/>
      </w:numPr>
      <w:spacing w:before="40"/>
      <w:outlineLvl w:val="3"/>
    </w:pPr>
    <w:rPr>
      <w:rFonts w:eastAsiaTheme="majorEastAsia" w:cstheme="majorBidi"/>
      <w:b/>
      <w:iCs/>
      <w:color w:val="1F3864" w:themeColor="accent1" w:themeShade="80"/>
    </w:rPr>
  </w:style>
  <w:style w:type="paragraph" w:styleId="Heading5">
    <w:name w:val="heading 5"/>
    <w:basedOn w:val="Normal"/>
    <w:next w:val="Normal"/>
    <w:link w:val="Heading5Char"/>
    <w:uiPriority w:val="9"/>
    <w:unhideWhenUsed/>
    <w:qFormat/>
    <w:rsid w:val="002262C8"/>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2262C8"/>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2262C8"/>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2262C8"/>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2262C8"/>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65D6"/>
    <w:rPr>
      <w:rFonts w:ascii="Arial" w:eastAsiaTheme="majorEastAsia" w:hAnsi="Arial" w:cstheme="majorBidi"/>
      <w:b/>
      <w:color w:val="002060"/>
      <w:sz w:val="28"/>
      <w:szCs w:val="32"/>
      <w:lang w:val="es-CO"/>
    </w:rPr>
  </w:style>
  <w:style w:type="character" w:customStyle="1" w:styleId="Heading2Char">
    <w:name w:val="Heading 2 Char"/>
    <w:basedOn w:val="DefaultParagraphFont"/>
    <w:link w:val="Heading2"/>
    <w:uiPriority w:val="9"/>
    <w:rsid w:val="00AA1BE4"/>
    <w:rPr>
      <w:rFonts w:ascii="Arial" w:eastAsiaTheme="majorEastAsia" w:hAnsi="Arial" w:cstheme="majorBidi"/>
      <w:b/>
      <w:color w:val="1F3864" w:themeColor="accent1" w:themeShade="80"/>
      <w:sz w:val="24"/>
      <w:szCs w:val="26"/>
      <w:lang w:val="es-CO"/>
    </w:rPr>
  </w:style>
  <w:style w:type="character" w:customStyle="1" w:styleId="Heading3Char">
    <w:name w:val="Heading 3 Char"/>
    <w:basedOn w:val="DefaultParagraphFont"/>
    <w:link w:val="Heading3"/>
    <w:uiPriority w:val="9"/>
    <w:rsid w:val="002262C8"/>
    <w:rPr>
      <w:rFonts w:ascii="Arial" w:eastAsiaTheme="majorEastAsia" w:hAnsi="Arial" w:cstheme="majorBidi"/>
      <w:b/>
      <w:color w:val="1F3763" w:themeColor="accent1" w:themeShade="7F"/>
      <w:szCs w:val="24"/>
      <w:lang w:val="es-CO"/>
    </w:rPr>
  </w:style>
  <w:style w:type="character" w:customStyle="1" w:styleId="Heading4Char">
    <w:name w:val="Heading 4 Char"/>
    <w:basedOn w:val="DefaultParagraphFont"/>
    <w:link w:val="Heading4"/>
    <w:uiPriority w:val="9"/>
    <w:rsid w:val="00422BAC"/>
    <w:rPr>
      <w:rFonts w:ascii="Arial" w:eastAsiaTheme="majorEastAsia" w:hAnsi="Arial" w:cstheme="majorBidi"/>
      <w:b/>
      <w:iCs/>
      <w:color w:val="1F3864" w:themeColor="accent1" w:themeShade="80"/>
      <w:szCs w:val="20"/>
      <w:lang w:val="es-CO"/>
    </w:rPr>
  </w:style>
  <w:style w:type="character" w:customStyle="1" w:styleId="Heading5Char">
    <w:name w:val="Heading 5 Char"/>
    <w:basedOn w:val="DefaultParagraphFont"/>
    <w:link w:val="Heading5"/>
    <w:uiPriority w:val="9"/>
    <w:rsid w:val="002262C8"/>
    <w:rPr>
      <w:rFonts w:asciiTheme="majorHAnsi" w:eastAsiaTheme="majorEastAsia" w:hAnsiTheme="majorHAnsi" w:cstheme="majorBidi"/>
      <w:color w:val="2F5496" w:themeColor="accent1" w:themeShade="BF"/>
      <w:szCs w:val="20"/>
      <w:lang w:val="es-CO"/>
    </w:rPr>
  </w:style>
  <w:style w:type="character" w:customStyle="1" w:styleId="Heading6Char">
    <w:name w:val="Heading 6 Char"/>
    <w:basedOn w:val="DefaultParagraphFont"/>
    <w:link w:val="Heading6"/>
    <w:uiPriority w:val="9"/>
    <w:semiHidden/>
    <w:rsid w:val="002262C8"/>
    <w:rPr>
      <w:rFonts w:asciiTheme="majorHAnsi" w:eastAsiaTheme="majorEastAsia" w:hAnsiTheme="majorHAnsi" w:cstheme="majorBidi"/>
      <w:color w:val="1F3763" w:themeColor="accent1" w:themeShade="7F"/>
      <w:szCs w:val="20"/>
      <w:lang w:val="es-CO"/>
    </w:rPr>
  </w:style>
  <w:style w:type="character" w:customStyle="1" w:styleId="Heading7Char">
    <w:name w:val="Heading 7 Char"/>
    <w:basedOn w:val="DefaultParagraphFont"/>
    <w:link w:val="Heading7"/>
    <w:uiPriority w:val="9"/>
    <w:semiHidden/>
    <w:rsid w:val="002262C8"/>
    <w:rPr>
      <w:rFonts w:asciiTheme="majorHAnsi" w:eastAsiaTheme="majorEastAsia" w:hAnsiTheme="majorHAnsi" w:cstheme="majorBidi"/>
      <w:i/>
      <w:iCs/>
      <w:color w:val="1F3763" w:themeColor="accent1" w:themeShade="7F"/>
      <w:szCs w:val="20"/>
      <w:lang w:val="es-CO"/>
    </w:rPr>
  </w:style>
  <w:style w:type="character" w:customStyle="1" w:styleId="Heading8Char">
    <w:name w:val="Heading 8 Char"/>
    <w:basedOn w:val="DefaultParagraphFont"/>
    <w:link w:val="Heading8"/>
    <w:uiPriority w:val="9"/>
    <w:semiHidden/>
    <w:rsid w:val="002262C8"/>
    <w:rPr>
      <w:rFonts w:asciiTheme="majorHAnsi" w:eastAsiaTheme="majorEastAsia" w:hAnsiTheme="majorHAnsi" w:cstheme="majorBidi"/>
      <w:color w:val="272727" w:themeColor="text1" w:themeTint="D8"/>
      <w:sz w:val="21"/>
      <w:szCs w:val="21"/>
      <w:lang w:val="es-CO"/>
    </w:rPr>
  </w:style>
  <w:style w:type="character" w:customStyle="1" w:styleId="Heading9Char">
    <w:name w:val="Heading 9 Char"/>
    <w:basedOn w:val="DefaultParagraphFont"/>
    <w:link w:val="Heading9"/>
    <w:uiPriority w:val="9"/>
    <w:semiHidden/>
    <w:rsid w:val="002262C8"/>
    <w:rPr>
      <w:rFonts w:asciiTheme="majorHAnsi" w:eastAsiaTheme="majorEastAsia" w:hAnsiTheme="majorHAnsi" w:cstheme="majorBidi"/>
      <w:i/>
      <w:iCs/>
      <w:color w:val="272727" w:themeColor="text1" w:themeTint="D8"/>
      <w:sz w:val="21"/>
      <w:szCs w:val="21"/>
      <w:lang w:val="es-CO"/>
    </w:rPr>
  </w:style>
  <w:style w:type="paragraph" w:styleId="BodyText">
    <w:name w:val="Body Text"/>
    <w:basedOn w:val="Normal"/>
    <w:link w:val="BodyTextChar"/>
    <w:semiHidden/>
    <w:rsid w:val="002262C8"/>
  </w:style>
  <w:style w:type="character" w:customStyle="1" w:styleId="BodyTextChar">
    <w:name w:val="Body Text Char"/>
    <w:basedOn w:val="DefaultParagraphFont"/>
    <w:link w:val="BodyText"/>
    <w:semiHidden/>
    <w:rsid w:val="002262C8"/>
    <w:rPr>
      <w:rFonts w:ascii="Arial" w:eastAsia="Times New Roman" w:hAnsi="Arial" w:cs="Times New Roman"/>
      <w:szCs w:val="20"/>
      <w:lang w:val="es-CO"/>
    </w:rPr>
  </w:style>
  <w:style w:type="paragraph" w:styleId="ListParagraph">
    <w:name w:val="List Paragraph"/>
    <w:aliases w:val="Bolita,BOLADEF,BOLA,Guión,Titulo 8,Párrafo de lista4,Párrafo de lista5,Párrafo de lista21,Párrafo de lista1,MIBEX B,TITULO 2,Fluvial1"/>
    <w:basedOn w:val="Normal"/>
    <w:link w:val="ListParagraphChar"/>
    <w:uiPriority w:val="34"/>
    <w:qFormat/>
    <w:rsid w:val="002262C8"/>
    <w:pPr>
      <w:ind w:left="720"/>
    </w:pPr>
  </w:style>
  <w:style w:type="paragraph" w:styleId="NoSpacing">
    <w:name w:val="No Spacing"/>
    <w:link w:val="NoSpacingChar"/>
    <w:uiPriority w:val="1"/>
    <w:qFormat/>
    <w:rsid w:val="002262C8"/>
    <w:pPr>
      <w:spacing w:after="0" w:line="240" w:lineRule="auto"/>
    </w:pPr>
    <w:rPr>
      <w:rFonts w:ascii="Times New Roman" w:eastAsia="Times New Roman" w:hAnsi="Times New Roman" w:cs="Times New Roman"/>
      <w:sz w:val="20"/>
      <w:szCs w:val="20"/>
    </w:rPr>
  </w:style>
  <w:style w:type="paragraph" w:styleId="TOCHeading">
    <w:name w:val="TOC Heading"/>
    <w:basedOn w:val="Heading1"/>
    <w:next w:val="Normal"/>
    <w:uiPriority w:val="39"/>
    <w:unhideWhenUsed/>
    <w:qFormat/>
    <w:rsid w:val="002262C8"/>
    <w:pPr>
      <w:numPr>
        <w:numId w:val="0"/>
      </w:numPr>
      <w:spacing w:after="0" w:line="259" w:lineRule="auto"/>
      <w:jc w:val="left"/>
      <w:outlineLvl w:val="9"/>
    </w:pPr>
    <w:rPr>
      <w:b w:val="0"/>
      <w:color w:val="2F5496" w:themeColor="accent1" w:themeShade="BF"/>
      <w:sz w:val="32"/>
      <w:lang w:eastAsia="es-CO"/>
    </w:rPr>
  </w:style>
  <w:style w:type="paragraph" w:styleId="TOC1">
    <w:name w:val="toc 1"/>
    <w:basedOn w:val="Normal"/>
    <w:next w:val="Normal"/>
    <w:autoRedefine/>
    <w:uiPriority w:val="39"/>
    <w:unhideWhenUsed/>
    <w:rsid w:val="002262C8"/>
    <w:pPr>
      <w:spacing w:after="100"/>
    </w:pPr>
  </w:style>
  <w:style w:type="paragraph" w:styleId="TOC2">
    <w:name w:val="toc 2"/>
    <w:basedOn w:val="Normal"/>
    <w:next w:val="Normal"/>
    <w:autoRedefine/>
    <w:uiPriority w:val="39"/>
    <w:unhideWhenUsed/>
    <w:rsid w:val="002262C8"/>
    <w:pPr>
      <w:spacing w:after="100"/>
      <w:ind w:left="240"/>
    </w:pPr>
  </w:style>
  <w:style w:type="character" w:styleId="Hyperlink">
    <w:name w:val="Hyperlink"/>
    <w:basedOn w:val="DefaultParagraphFont"/>
    <w:uiPriority w:val="99"/>
    <w:unhideWhenUsed/>
    <w:rsid w:val="002262C8"/>
    <w:rPr>
      <w:color w:val="0563C1" w:themeColor="hyperlink"/>
      <w:u w:val="single"/>
    </w:rPr>
  </w:style>
  <w:style w:type="paragraph" w:customStyle="1" w:styleId="Chapter">
    <w:name w:val="Chapter"/>
    <w:basedOn w:val="Normal"/>
    <w:next w:val="Normal"/>
    <w:rsid w:val="002262C8"/>
    <w:pPr>
      <w:numPr>
        <w:numId w:val="2"/>
      </w:numPr>
      <w:tabs>
        <w:tab w:val="left" w:pos="1440"/>
      </w:tabs>
      <w:jc w:val="center"/>
    </w:pPr>
    <w:rPr>
      <w:b/>
      <w:smallCaps/>
      <w:lang w:val="es-ES_tradnl"/>
    </w:rPr>
  </w:style>
  <w:style w:type="paragraph" w:customStyle="1" w:styleId="Paragraph">
    <w:name w:val="Paragraph"/>
    <w:aliases w:val="paragraph,p,PARAGRAPH,PG,pa,at"/>
    <w:basedOn w:val="BodyTextIndent"/>
    <w:link w:val="ParagraphChar"/>
    <w:qFormat/>
    <w:rsid w:val="002262C8"/>
    <w:pPr>
      <w:numPr>
        <w:ilvl w:val="1"/>
        <w:numId w:val="2"/>
      </w:numPr>
      <w:spacing w:before="120"/>
      <w:outlineLvl w:val="1"/>
    </w:pPr>
    <w:rPr>
      <w:lang w:val="es-ES_tradnl"/>
    </w:rPr>
  </w:style>
  <w:style w:type="paragraph" w:customStyle="1" w:styleId="subpar">
    <w:name w:val="subpar"/>
    <w:basedOn w:val="BodyTextIndent3"/>
    <w:rsid w:val="002262C8"/>
    <w:pPr>
      <w:numPr>
        <w:ilvl w:val="2"/>
        <w:numId w:val="2"/>
      </w:numPr>
      <w:spacing w:before="120"/>
      <w:ind w:left="864" w:hanging="360"/>
      <w:outlineLvl w:val="2"/>
    </w:pPr>
    <w:rPr>
      <w:sz w:val="24"/>
      <w:lang w:val="es-ES_tradnl"/>
    </w:rPr>
  </w:style>
  <w:style w:type="paragraph" w:customStyle="1" w:styleId="SubSubPar">
    <w:name w:val="SubSubPar"/>
    <w:basedOn w:val="subpar"/>
    <w:rsid w:val="002262C8"/>
    <w:pPr>
      <w:numPr>
        <w:ilvl w:val="3"/>
      </w:numPr>
      <w:tabs>
        <w:tab w:val="left" w:pos="0"/>
        <w:tab w:val="num" w:pos="1296"/>
      </w:tabs>
      <w:ind w:left="1296" w:hanging="360"/>
    </w:pPr>
  </w:style>
  <w:style w:type="character" w:customStyle="1" w:styleId="ParagraphChar">
    <w:name w:val="Paragraph Char"/>
    <w:aliases w:val="paragraph Char,p Char,PARAGRAPH Char,PG Char,pa Char,at Char"/>
    <w:link w:val="Paragraph"/>
    <w:locked/>
    <w:rsid w:val="002262C8"/>
    <w:rPr>
      <w:rFonts w:ascii="Arial" w:eastAsia="Times New Roman" w:hAnsi="Arial" w:cs="Times New Roman"/>
      <w:szCs w:val="20"/>
      <w:lang w:val="es-ES_tradnl"/>
    </w:rPr>
  </w:style>
  <w:style w:type="paragraph" w:styleId="FootnoteText">
    <w:name w:val="footnote text"/>
    <w:aliases w:val="fn,Texto de rodapé,nota_rodapé,nota de rodapé,Geneva 9,Font: Geneva 9,Boston 10,f,footnote,single space,FOOTNOTES,Footnote Text Char Char,foottextfr,texto de nota al pie,Texto nota pie Car Car Car Car Car Car Car Car,Texto,footnote text"/>
    <w:basedOn w:val="Normal"/>
    <w:link w:val="FootnoteTextChar"/>
    <w:uiPriority w:val="99"/>
    <w:rsid w:val="002262C8"/>
    <w:pPr>
      <w:spacing w:before="0" w:after="0"/>
      <w:jc w:val="left"/>
    </w:pPr>
    <w:rPr>
      <w:rFonts w:ascii="Calibri" w:hAnsi="Calibri"/>
      <w:sz w:val="20"/>
      <w:lang w:eastAsia="ja-JP"/>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 Char Char,foottextfr Char,Texto Char"/>
    <w:basedOn w:val="DefaultParagraphFont"/>
    <w:link w:val="FootnoteText"/>
    <w:uiPriority w:val="99"/>
    <w:rsid w:val="002262C8"/>
    <w:rPr>
      <w:rFonts w:ascii="Calibri" w:eastAsia="Times New Roman" w:hAnsi="Calibri" w:cs="Times New Roman"/>
      <w:sz w:val="20"/>
      <w:szCs w:val="20"/>
      <w:lang w:val="es-CO" w:eastAsia="ja-JP"/>
    </w:rPr>
  </w:style>
  <w:style w:type="character" w:styleId="FootnoteReference">
    <w:name w:val="footnote reference"/>
    <w:aliases w:val="FC,16 Point,Superscript 6 Point,Footnote Referencefr,ftref,Style 24,Ref. de nota al pie.,Знак сноски-FN,Ref,de nota al pie,titulo 2,pie pddes,Fußnotenzeichen DISS,BVI fnr,Знак сноски 1,referencia nota al pie,Footnote Referencefra,F1"/>
    <w:link w:val="Char2"/>
    <w:uiPriority w:val="99"/>
    <w:qFormat/>
    <w:rsid w:val="002262C8"/>
    <w:rPr>
      <w:vertAlign w:val="superscript"/>
    </w:rPr>
  </w:style>
  <w:style w:type="paragraph" w:customStyle="1" w:styleId="Char2">
    <w:name w:val="Char2"/>
    <w:basedOn w:val="Normal"/>
    <w:link w:val="FootnoteReference"/>
    <w:uiPriority w:val="99"/>
    <w:rsid w:val="002262C8"/>
    <w:pPr>
      <w:spacing w:before="0" w:after="160" w:line="240" w:lineRule="exact"/>
      <w:jc w:val="left"/>
    </w:pPr>
    <w:rPr>
      <w:rFonts w:asciiTheme="minorHAnsi" w:eastAsiaTheme="minorHAnsi" w:hAnsiTheme="minorHAnsi" w:cstheme="minorBidi"/>
      <w:szCs w:val="22"/>
      <w:vertAlign w:val="superscript"/>
      <w:lang w:val="en-US"/>
    </w:rPr>
  </w:style>
  <w:style w:type="paragraph" w:styleId="BodyTextIndent">
    <w:name w:val="Body Text Indent"/>
    <w:basedOn w:val="Normal"/>
    <w:link w:val="BodyTextIndentChar"/>
    <w:uiPriority w:val="99"/>
    <w:semiHidden/>
    <w:unhideWhenUsed/>
    <w:rsid w:val="002262C8"/>
    <w:pPr>
      <w:spacing w:after="120"/>
      <w:ind w:left="283"/>
    </w:pPr>
  </w:style>
  <w:style w:type="character" w:customStyle="1" w:styleId="BodyTextIndentChar">
    <w:name w:val="Body Text Indent Char"/>
    <w:basedOn w:val="DefaultParagraphFont"/>
    <w:link w:val="BodyTextIndent"/>
    <w:uiPriority w:val="99"/>
    <w:semiHidden/>
    <w:rsid w:val="002262C8"/>
    <w:rPr>
      <w:rFonts w:ascii="Arial" w:eastAsia="Times New Roman" w:hAnsi="Arial" w:cs="Times New Roman"/>
      <w:szCs w:val="20"/>
      <w:lang w:val="es-CO"/>
    </w:rPr>
  </w:style>
  <w:style w:type="paragraph" w:styleId="BodyTextIndent3">
    <w:name w:val="Body Text Indent 3"/>
    <w:basedOn w:val="Normal"/>
    <w:link w:val="BodyTextIndent3Char"/>
    <w:uiPriority w:val="99"/>
    <w:semiHidden/>
    <w:unhideWhenUsed/>
    <w:rsid w:val="002262C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2262C8"/>
    <w:rPr>
      <w:rFonts w:ascii="Arial" w:eastAsia="Times New Roman" w:hAnsi="Arial" w:cs="Times New Roman"/>
      <w:sz w:val="16"/>
      <w:szCs w:val="16"/>
      <w:lang w:val="es-CO"/>
    </w:rPr>
  </w:style>
  <w:style w:type="paragraph" w:styleId="TOC3">
    <w:name w:val="toc 3"/>
    <w:basedOn w:val="Normal"/>
    <w:next w:val="Normal"/>
    <w:autoRedefine/>
    <w:uiPriority w:val="39"/>
    <w:unhideWhenUsed/>
    <w:rsid w:val="002262C8"/>
    <w:pPr>
      <w:spacing w:after="100"/>
      <w:ind w:left="480"/>
    </w:pPr>
  </w:style>
  <w:style w:type="table" w:styleId="TableGrid">
    <w:name w:val="Table Grid"/>
    <w:basedOn w:val="TableNormal"/>
    <w:uiPriority w:val="59"/>
    <w:rsid w:val="002262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62C8"/>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Bolita Char,BOLADEF Char,BOLA Char,Guión Char,Titulo 8 Char,Párrafo de lista4 Char,Párrafo de lista5 Char,Párrafo de lista21 Char,Párrafo de lista1 Char,MIBEX B Char,TITULO 2 Char,Fluvial1 Char"/>
    <w:basedOn w:val="DefaultParagraphFont"/>
    <w:link w:val="ListParagraph"/>
    <w:uiPriority w:val="34"/>
    <w:rsid w:val="002262C8"/>
    <w:rPr>
      <w:rFonts w:ascii="Arial" w:eastAsia="Times New Roman" w:hAnsi="Arial" w:cs="Times New Roman"/>
      <w:szCs w:val="20"/>
      <w:lang w:val="es-CO"/>
    </w:rPr>
  </w:style>
  <w:style w:type="character" w:styleId="PlaceholderText">
    <w:name w:val="Placeholder Text"/>
    <w:basedOn w:val="DefaultParagraphFont"/>
    <w:uiPriority w:val="99"/>
    <w:semiHidden/>
    <w:rsid w:val="002262C8"/>
    <w:rPr>
      <w:color w:val="808080"/>
    </w:rPr>
  </w:style>
  <w:style w:type="paragraph" w:styleId="TableofFigures">
    <w:name w:val="table of figures"/>
    <w:basedOn w:val="Normal"/>
    <w:next w:val="Normal"/>
    <w:uiPriority w:val="99"/>
    <w:unhideWhenUsed/>
    <w:rsid w:val="002262C8"/>
    <w:pPr>
      <w:spacing w:after="0"/>
    </w:pPr>
  </w:style>
  <w:style w:type="paragraph" w:styleId="Header">
    <w:name w:val="header"/>
    <w:basedOn w:val="Normal"/>
    <w:link w:val="HeaderChar"/>
    <w:uiPriority w:val="99"/>
    <w:unhideWhenUsed/>
    <w:rsid w:val="002262C8"/>
    <w:pPr>
      <w:tabs>
        <w:tab w:val="center" w:pos="4419"/>
        <w:tab w:val="right" w:pos="8838"/>
      </w:tabs>
      <w:spacing w:before="0" w:after="0"/>
    </w:pPr>
  </w:style>
  <w:style w:type="character" w:customStyle="1" w:styleId="HeaderChar">
    <w:name w:val="Header Char"/>
    <w:basedOn w:val="DefaultParagraphFont"/>
    <w:link w:val="Header"/>
    <w:uiPriority w:val="99"/>
    <w:rsid w:val="002262C8"/>
    <w:rPr>
      <w:rFonts w:ascii="Arial" w:eastAsia="Times New Roman" w:hAnsi="Arial" w:cs="Times New Roman"/>
      <w:szCs w:val="20"/>
      <w:lang w:val="es-CO"/>
    </w:rPr>
  </w:style>
  <w:style w:type="paragraph" w:styleId="Footer">
    <w:name w:val="footer"/>
    <w:basedOn w:val="Normal"/>
    <w:link w:val="FooterChar"/>
    <w:uiPriority w:val="99"/>
    <w:unhideWhenUsed/>
    <w:rsid w:val="002262C8"/>
    <w:pPr>
      <w:tabs>
        <w:tab w:val="center" w:pos="4419"/>
        <w:tab w:val="right" w:pos="8838"/>
      </w:tabs>
      <w:spacing w:before="0" w:after="0"/>
    </w:pPr>
  </w:style>
  <w:style w:type="character" w:customStyle="1" w:styleId="FooterChar">
    <w:name w:val="Footer Char"/>
    <w:basedOn w:val="DefaultParagraphFont"/>
    <w:link w:val="Footer"/>
    <w:uiPriority w:val="99"/>
    <w:rsid w:val="002262C8"/>
    <w:rPr>
      <w:rFonts w:ascii="Arial" w:eastAsia="Times New Roman" w:hAnsi="Arial" w:cs="Times New Roman"/>
      <w:szCs w:val="20"/>
      <w:lang w:val="es-CO"/>
    </w:rPr>
  </w:style>
  <w:style w:type="character" w:customStyle="1" w:styleId="NoSpacingChar">
    <w:name w:val="No Spacing Char"/>
    <w:basedOn w:val="DefaultParagraphFont"/>
    <w:link w:val="NoSpacing"/>
    <w:uiPriority w:val="1"/>
    <w:rsid w:val="002262C8"/>
    <w:rPr>
      <w:rFonts w:ascii="Times New Roman" w:eastAsia="Times New Roman" w:hAnsi="Times New Roman" w:cs="Times New Roman"/>
      <w:sz w:val="20"/>
      <w:szCs w:val="20"/>
    </w:rPr>
  </w:style>
  <w:style w:type="paragraph" w:customStyle="1" w:styleId="Source">
    <w:name w:val="Source"/>
    <w:next w:val="Normal"/>
    <w:link w:val="SourceChar"/>
    <w:qFormat/>
    <w:rsid w:val="002262C8"/>
    <w:pPr>
      <w:spacing w:line="240" w:lineRule="auto"/>
      <w:jc w:val="center"/>
    </w:pPr>
    <w:rPr>
      <w:rFonts w:ascii="Times New Roman" w:eastAsiaTheme="minorEastAsia" w:hAnsi="Times New Roman" w:cs="Times New Roman"/>
      <w:noProof/>
      <w:sz w:val="18"/>
      <w:szCs w:val="18"/>
      <w:lang w:eastAsia="es-CO"/>
    </w:rPr>
  </w:style>
  <w:style w:type="character" w:customStyle="1" w:styleId="SourceChar">
    <w:name w:val="Source Char"/>
    <w:basedOn w:val="NoSpacingChar"/>
    <w:link w:val="Source"/>
    <w:rsid w:val="002262C8"/>
    <w:rPr>
      <w:rFonts w:ascii="Times New Roman" w:eastAsiaTheme="minorEastAsia" w:hAnsi="Times New Roman" w:cs="Times New Roman"/>
      <w:noProof/>
      <w:sz w:val="18"/>
      <w:szCs w:val="18"/>
      <w:lang w:eastAsia="es-CO"/>
    </w:rPr>
  </w:style>
  <w:style w:type="paragraph" w:customStyle="1" w:styleId="GraphTitle">
    <w:name w:val="GraphTitle"/>
    <w:basedOn w:val="Normal"/>
    <w:next w:val="NoSpacing"/>
    <w:link w:val="GraphTitleChar"/>
    <w:qFormat/>
    <w:rsid w:val="002262C8"/>
    <w:pPr>
      <w:keepNext/>
      <w:spacing w:after="0"/>
      <w:jc w:val="center"/>
    </w:pPr>
    <w:rPr>
      <w:rFonts w:ascii="Times New Roman" w:eastAsiaTheme="minorEastAsia" w:hAnsi="Times New Roman" w:cstheme="minorBidi"/>
      <w:b/>
      <w:bCs/>
      <w:noProof/>
      <w:sz w:val="20"/>
      <w:lang w:val="en-US"/>
    </w:rPr>
  </w:style>
  <w:style w:type="character" w:customStyle="1" w:styleId="GraphTitleChar">
    <w:name w:val="GraphTitle Char"/>
    <w:basedOn w:val="DefaultParagraphFont"/>
    <w:link w:val="GraphTitle"/>
    <w:rsid w:val="002262C8"/>
    <w:rPr>
      <w:rFonts w:ascii="Times New Roman" w:eastAsiaTheme="minorEastAsia" w:hAnsi="Times New Roman"/>
      <w:b/>
      <w:bCs/>
      <w:noProof/>
      <w:sz w:val="20"/>
      <w:szCs w:val="20"/>
    </w:rPr>
  </w:style>
  <w:style w:type="paragraph" w:customStyle="1" w:styleId="bullet">
    <w:name w:val="bullet"/>
    <w:basedOn w:val="ListBullet"/>
    <w:next w:val="Normal"/>
    <w:link w:val="bulletChar"/>
    <w:qFormat/>
    <w:rsid w:val="002262C8"/>
    <w:pPr>
      <w:spacing w:before="80" w:after="160" w:line="240" w:lineRule="atLeast"/>
      <w:ind w:hanging="270"/>
      <w:contextualSpacing w:val="0"/>
    </w:pPr>
    <w:rPr>
      <w:rFonts w:ascii="Times New Roman" w:eastAsiaTheme="minorHAnsi" w:hAnsi="Times New Roman"/>
      <w:szCs w:val="24"/>
      <w:lang w:eastAsia="es-CO"/>
    </w:rPr>
  </w:style>
  <w:style w:type="character" w:customStyle="1" w:styleId="bulletChar">
    <w:name w:val="bullet Char"/>
    <w:basedOn w:val="DefaultParagraphFont"/>
    <w:link w:val="bullet"/>
    <w:rsid w:val="002262C8"/>
    <w:rPr>
      <w:rFonts w:ascii="Times New Roman" w:hAnsi="Times New Roman" w:cs="Times New Roman"/>
      <w:szCs w:val="24"/>
      <w:lang w:val="es-CO" w:eastAsia="es-CO"/>
    </w:rPr>
  </w:style>
  <w:style w:type="paragraph" w:styleId="ListBullet">
    <w:name w:val="List Bullet"/>
    <w:basedOn w:val="Normal"/>
    <w:uiPriority w:val="99"/>
    <w:semiHidden/>
    <w:unhideWhenUsed/>
    <w:rsid w:val="002262C8"/>
    <w:pPr>
      <w:tabs>
        <w:tab w:val="num" w:pos="720"/>
      </w:tabs>
      <w:ind w:left="720" w:hanging="720"/>
      <w:contextualSpacing/>
    </w:pPr>
  </w:style>
  <w:style w:type="paragraph" w:styleId="BalloonText">
    <w:name w:val="Balloon Text"/>
    <w:basedOn w:val="Normal"/>
    <w:link w:val="BalloonTextChar"/>
    <w:uiPriority w:val="99"/>
    <w:semiHidden/>
    <w:unhideWhenUsed/>
    <w:rsid w:val="002262C8"/>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62C8"/>
    <w:rPr>
      <w:rFonts w:ascii="Tahoma" w:eastAsia="Times New Roman" w:hAnsi="Tahoma" w:cs="Tahoma"/>
      <w:sz w:val="16"/>
      <w:szCs w:val="16"/>
      <w:lang w:val="es-CO"/>
    </w:rPr>
  </w:style>
  <w:style w:type="character" w:styleId="CommentReference">
    <w:name w:val="annotation reference"/>
    <w:basedOn w:val="DefaultParagraphFont"/>
    <w:uiPriority w:val="99"/>
    <w:semiHidden/>
    <w:unhideWhenUsed/>
    <w:rsid w:val="002262C8"/>
    <w:rPr>
      <w:sz w:val="16"/>
      <w:szCs w:val="16"/>
    </w:rPr>
  </w:style>
  <w:style w:type="paragraph" w:styleId="CommentText">
    <w:name w:val="annotation text"/>
    <w:basedOn w:val="Normal"/>
    <w:link w:val="CommentTextChar"/>
    <w:uiPriority w:val="99"/>
    <w:semiHidden/>
    <w:unhideWhenUsed/>
    <w:rsid w:val="002262C8"/>
    <w:rPr>
      <w:sz w:val="20"/>
    </w:rPr>
  </w:style>
  <w:style w:type="character" w:customStyle="1" w:styleId="CommentTextChar">
    <w:name w:val="Comment Text Char"/>
    <w:basedOn w:val="DefaultParagraphFont"/>
    <w:link w:val="CommentText"/>
    <w:uiPriority w:val="99"/>
    <w:semiHidden/>
    <w:rsid w:val="002262C8"/>
    <w:rPr>
      <w:rFonts w:ascii="Arial" w:eastAsia="Times New Roman" w:hAnsi="Arial" w:cs="Times New Roman"/>
      <w:sz w:val="20"/>
      <w:szCs w:val="20"/>
      <w:lang w:val="es-CO"/>
    </w:rPr>
  </w:style>
  <w:style w:type="paragraph" w:styleId="CommentSubject">
    <w:name w:val="annotation subject"/>
    <w:basedOn w:val="CommentText"/>
    <w:next w:val="CommentText"/>
    <w:link w:val="CommentSubjectChar"/>
    <w:uiPriority w:val="99"/>
    <w:semiHidden/>
    <w:unhideWhenUsed/>
    <w:rsid w:val="002262C8"/>
    <w:rPr>
      <w:b/>
      <w:bCs/>
    </w:rPr>
  </w:style>
  <w:style w:type="character" w:customStyle="1" w:styleId="CommentSubjectChar">
    <w:name w:val="Comment Subject Char"/>
    <w:basedOn w:val="CommentTextChar"/>
    <w:link w:val="CommentSubject"/>
    <w:uiPriority w:val="99"/>
    <w:semiHidden/>
    <w:rsid w:val="002262C8"/>
    <w:rPr>
      <w:rFonts w:ascii="Arial" w:eastAsia="Times New Roman" w:hAnsi="Arial" w:cs="Times New Roman"/>
      <w:b/>
      <w:bCs/>
      <w:sz w:val="20"/>
      <w:szCs w:val="20"/>
      <w:lang w:val="es-CO"/>
    </w:rPr>
  </w:style>
  <w:style w:type="paragraph" w:styleId="NormalWeb">
    <w:name w:val="Normal (Web)"/>
    <w:basedOn w:val="Normal"/>
    <w:uiPriority w:val="99"/>
    <w:semiHidden/>
    <w:unhideWhenUsed/>
    <w:rsid w:val="00D215DA"/>
    <w:pPr>
      <w:spacing w:before="100" w:beforeAutospacing="1" w:after="100" w:afterAutospacing="1"/>
      <w:jc w:val="left"/>
    </w:pPr>
    <w:rPr>
      <w:rFonts w:ascii="Times New Roman" w:hAnsi="Times New Roman"/>
      <w:sz w:val="24"/>
      <w:szCs w:val="24"/>
      <w:lang w:eastAsia="es-CO"/>
    </w:rPr>
  </w:style>
  <w:style w:type="character" w:styleId="Strong">
    <w:name w:val="Strong"/>
    <w:basedOn w:val="DefaultParagraphFont"/>
    <w:uiPriority w:val="22"/>
    <w:qFormat/>
    <w:rsid w:val="00D215DA"/>
    <w:rPr>
      <w:b/>
      <w:bCs/>
    </w:rPr>
  </w:style>
  <w:style w:type="paragraph" w:styleId="Caption">
    <w:name w:val="caption"/>
    <w:basedOn w:val="Normal"/>
    <w:next w:val="Normal"/>
    <w:link w:val="CaptionChar"/>
    <w:uiPriority w:val="35"/>
    <w:unhideWhenUsed/>
    <w:qFormat/>
    <w:rsid w:val="00611051"/>
    <w:pPr>
      <w:spacing w:before="0" w:after="200"/>
    </w:pPr>
    <w:rPr>
      <w:i/>
      <w:iCs/>
      <w:color w:val="44546A" w:themeColor="text2"/>
      <w:sz w:val="18"/>
      <w:szCs w:val="18"/>
    </w:rPr>
  </w:style>
  <w:style w:type="paragraph" w:customStyle="1" w:styleId="AbbrDesc">
    <w:name w:val="AbbrDesc"/>
    <w:basedOn w:val="Normal"/>
    <w:rsid w:val="00611051"/>
    <w:pPr>
      <w:tabs>
        <w:tab w:val="left" w:pos="3060"/>
      </w:tabs>
      <w:spacing w:before="0" w:after="0"/>
    </w:pPr>
    <w:rPr>
      <w:rFonts w:ascii="Times New Roman" w:hAnsi="Times New Roman"/>
      <w:sz w:val="24"/>
      <w:lang w:val="es-ES_tradnl"/>
    </w:rPr>
  </w:style>
  <w:style w:type="character" w:customStyle="1" w:styleId="CaptionChar">
    <w:name w:val="Caption Char"/>
    <w:basedOn w:val="DefaultParagraphFont"/>
    <w:link w:val="Caption"/>
    <w:uiPriority w:val="35"/>
    <w:rsid w:val="00611051"/>
    <w:rPr>
      <w:rFonts w:ascii="Arial" w:eastAsia="Times New Roman" w:hAnsi="Arial" w:cs="Times New Roman"/>
      <w:i/>
      <w:iCs/>
      <w:color w:val="44546A" w:themeColor="text2"/>
      <w:sz w:val="18"/>
      <w:szCs w:val="18"/>
      <w:lang w:val="es-CO"/>
    </w:rPr>
  </w:style>
  <w:style w:type="character" w:customStyle="1" w:styleId="TextonotapieCar1">
    <w:name w:val="Texto nota pie Car1"/>
    <w:aliases w:val="fn Car1,footnote Car1,single space Car1,FOOTNOTES Car1,footnote text Car1,Footnote Text Char Char Car1"/>
    <w:basedOn w:val="DefaultParagraphFont"/>
    <w:uiPriority w:val="99"/>
    <w:semiHidden/>
    <w:rsid w:val="00611051"/>
    <w:rPr>
      <w:sz w:val="20"/>
      <w:szCs w:val="20"/>
    </w:rPr>
  </w:style>
  <w:style w:type="paragraph" w:customStyle="1" w:styleId="Ttulo11">
    <w:name w:val="Título 11"/>
    <w:basedOn w:val="Normal"/>
    <w:next w:val="Normal"/>
    <w:uiPriority w:val="9"/>
    <w:qFormat/>
    <w:rsid w:val="00611051"/>
    <w:pPr>
      <w:keepNext/>
      <w:keepLines/>
      <w:numPr>
        <w:numId w:val="9"/>
      </w:numPr>
      <w:spacing w:before="360"/>
      <w:outlineLvl w:val="0"/>
    </w:pPr>
    <w:rPr>
      <w:rFonts w:ascii="Times New Roman" w:hAnsi="Times New Roman" w:cstheme="minorBidi"/>
      <w:b/>
      <w:bCs/>
      <w:sz w:val="28"/>
      <w:szCs w:val="28"/>
    </w:rPr>
  </w:style>
  <w:style w:type="paragraph" w:customStyle="1" w:styleId="Ttulo31">
    <w:name w:val="Título 31"/>
    <w:basedOn w:val="Normal"/>
    <w:next w:val="Normal"/>
    <w:autoRedefine/>
    <w:uiPriority w:val="9"/>
    <w:qFormat/>
    <w:rsid w:val="00611051"/>
    <w:pPr>
      <w:keepNext/>
      <w:keepLines/>
      <w:numPr>
        <w:ilvl w:val="1"/>
        <w:numId w:val="9"/>
      </w:numPr>
      <w:spacing w:before="120" w:after="120"/>
      <w:ind w:left="720" w:hanging="720"/>
      <w:outlineLvl w:val="2"/>
    </w:pPr>
    <w:rPr>
      <w:rFonts w:ascii="Times New Roman" w:hAnsi="Times New Roman" w:cstheme="minorBidi"/>
      <w:b/>
      <w:bCs/>
      <w:color w:val="000000"/>
      <w:sz w:val="24"/>
      <w:szCs w:val="22"/>
    </w:rPr>
  </w:style>
  <w:style w:type="paragraph" w:customStyle="1" w:styleId="Ttulo41">
    <w:name w:val="Título 41"/>
    <w:basedOn w:val="Normal"/>
    <w:next w:val="Normal"/>
    <w:uiPriority w:val="9"/>
    <w:unhideWhenUsed/>
    <w:qFormat/>
    <w:rsid w:val="00611051"/>
    <w:pPr>
      <w:keepNext/>
      <w:keepLines/>
      <w:numPr>
        <w:ilvl w:val="3"/>
        <w:numId w:val="9"/>
      </w:numPr>
      <w:outlineLvl w:val="3"/>
    </w:pPr>
    <w:rPr>
      <w:rFonts w:ascii="Cambria" w:hAnsi="Cambria"/>
      <w:b/>
      <w:bCs/>
      <w:iCs/>
      <w:szCs w:val="22"/>
    </w:rPr>
  </w:style>
  <w:style w:type="paragraph" w:customStyle="1" w:styleId="Ttulo51">
    <w:name w:val="Título 51"/>
    <w:basedOn w:val="Normal"/>
    <w:next w:val="Normal"/>
    <w:uiPriority w:val="9"/>
    <w:unhideWhenUsed/>
    <w:qFormat/>
    <w:rsid w:val="00611051"/>
    <w:pPr>
      <w:keepNext/>
      <w:keepLines/>
      <w:numPr>
        <w:ilvl w:val="4"/>
        <w:numId w:val="9"/>
      </w:numPr>
      <w:outlineLvl w:val="4"/>
    </w:pPr>
    <w:rPr>
      <w:rFonts w:ascii="Cambria" w:hAnsi="Cambria"/>
      <w:b/>
      <w:color w:val="243F60"/>
      <w:szCs w:val="22"/>
    </w:rPr>
  </w:style>
  <w:style w:type="paragraph" w:customStyle="1" w:styleId="Ttulo61">
    <w:name w:val="Título 61"/>
    <w:basedOn w:val="Normal"/>
    <w:next w:val="Normal"/>
    <w:uiPriority w:val="9"/>
    <w:semiHidden/>
    <w:unhideWhenUsed/>
    <w:qFormat/>
    <w:rsid w:val="00611051"/>
    <w:pPr>
      <w:keepNext/>
      <w:keepLines/>
      <w:numPr>
        <w:ilvl w:val="5"/>
        <w:numId w:val="9"/>
      </w:numPr>
      <w:spacing w:before="200" w:after="0"/>
      <w:outlineLvl w:val="5"/>
    </w:pPr>
    <w:rPr>
      <w:rFonts w:ascii="Cambria" w:hAnsi="Cambria"/>
      <w:i/>
      <w:iCs/>
      <w:color w:val="243F60"/>
      <w:sz w:val="24"/>
      <w:szCs w:val="22"/>
    </w:rPr>
  </w:style>
  <w:style w:type="paragraph" w:customStyle="1" w:styleId="Ttulo71">
    <w:name w:val="Título 71"/>
    <w:basedOn w:val="Normal"/>
    <w:next w:val="Normal"/>
    <w:uiPriority w:val="9"/>
    <w:semiHidden/>
    <w:unhideWhenUsed/>
    <w:qFormat/>
    <w:rsid w:val="00611051"/>
    <w:pPr>
      <w:keepNext/>
      <w:keepLines/>
      <w:numPr>
        <w:ilvl w:val="6"/>
        <w:numId w:val="9"/>
      </w:numPr>
      <w:spacing w:before="200" w:after="0"/>
      <w:outlineLvl w:val="6"/>
    </w:pPr>
    <w:rPr>
      <w:rFonts w:ascii="Cambria" w:hAnsi="Cambria"/>
      <w:i/>
      <w:iCs/>
      <w:color w:val="404040"/>
      <w:sz w:val="24"/>
      <w:szCs w:val="22"/>
    </w:rPr>
  </w:style>
  <w:style w:type="paragraph" w:customStyle="1" w:styleId="Ttulo81">
    <w:name w:val="Título 81"/>
    <w:basedOn w:val="Normal"/>
    <w:next w:val="Normal"/>
    <w:uiPriority w:val="9"/>
    <w:semiHidden/>
    <w:unhideWhenUsed/>
    <w:qFormat/>
    <w:rsid w:val="00611051"/>
    <w:pPr>
      <w:keepNext/>
      <w:keepLines/>
      <w:numPr>
        <w:ilvl w:val="7"/>
        <w:numId w:val="9"/>
      </w:numPr>
      <w:spacing w:before="200" w:after="0"/>
      <w:outlineLvl w:val="7"/>
    </w:pPr>
    <w:rPr>
      <w:rFonts w:ascii="Cambria" w:hAnsi="Cambria"/>
      <w:color w:val="404040"/>
      <w:sz w:val="20"/>
    </w:rPr>
  </w:style>
  <w:style w:type="paragraph" w:customStyle="1" w:styleId="Ttulo91">
    <w:name w:val="Título 91"/>
    <w:basedOn w:val="Normal"/>
    <w:next w:val="Normal"/>
    <w:uiPriority w:val="9"/>
    <w:semiHidden/>
    <w:unhideWhenUsed/>
    <w:qFormat/>
    <w:rsid w:val="00611051"/>
    <w:pPr>
      <w:keepNext/>
      <w:keepLines/>
      <w:numPr>
        <w:ilvl w:val="8"/>
        <w:numId w:val="9"/>
      </w:numPr>
      <w:spacing w:before="200" w:after="0"/>
      <w:outlineLvl w:val="8"/>
    </w:pPr>
    <w:rPr>
      <w:rFonts w:ascii="Cambria" w:hAnsi="Cambria"/>
      <w:i/>
      <w:iCs/>
      <w:color w:val="404040"/>
      <w:sz w:val="20"/>
    </w:rPr>
  </w:style>
  <w:style w:type="paragraph" w:customStyle="1" w:styleId="Nivel3">
    <w:name w:val="Nivel 3"/>
    <w:basedOn w:val="Heading4"/>
    <w:link w:val="Nivel3Car"/>
    <w:qFormat/>
    <w:rsid w:val="00611051"/>
    <w:pPr>
      <w:numPr>
        <w:ilvl w:val="2"/>
        <w:numId w:val="9"/>
      </w:numPr>
      <w:spacing w:before="240" w:line="259" w:lineRule="auto"/>
    </w:pPr>
    <w:rPr>
      <w:rFonts w:ascii="Cambria" w:eastAsia="Times New Roman" w:hAnsi="Cambria" w:cs="Times New Roman"/>
      <w:bCs/>
      <w:color w:val="000000"/>
      <w:sz w:val="24"/>
      <w:szCs w:val="24"/>
    </w:rPr>
  </w:style>
  <w:style w:type="character" w:customStyle="1" w:styleId="Nivel3Car">
    <w:name w:val="Nivel 3 Car"/>
    <w:basedOn w:val="Heading3Char"/>
    <w:link w:val="Nivel3"/>
    <w:rsid w:val="00611051"/>
    <w:rPr>
      <w:rFonts w:ascii="Cambria" w:eastAsia="Times New Roman" w:hAnsi="Cambria" w:cs="Times New Roman"/>
      <w:b/>
      <w:bCs/>
      <w:iCs/>
      <w:color w:val="000000"/>
      <w:sz w:val="24"/>
      <w:szCs w:val="24"/>
      <w:lang w:val="es-CO"/>
    </w:rPr>
  </w:style>
  <w:style w:type="paragraph" w:styleId="Revision">
    <w:name w:val="Revision"/>
    <w:hidden/>
    <w:uiPriority w:val="99"/>
    <w:semiHidden/>
    <w:rsid w:val="001E6F91"/>
    <w:pPr>
      <w:spacing w:after="0" w:line="240" w:lineRule="auto"/>
    </w:pPr>
    <w:rPr>
      <w:rFonts w:ascii="Arial" w:eastAsia="Times New Roman" w:hAnsi="Arial" w:cs="Times New Roman"/>
      <w:szCs w:val="20"/>
      <w:lang w:val="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084982">
      <w:bodyDiv w:val="1"/>
      <w:marLeft w:val="0"/>
      <w:marRight w:val="0"/>
      <w:marTop w:val="0"/>
      <w:marBottom w:val="0"/>
      <w:divBdr>
        <w:top w:val="none" w:sz="0" w:space="0" w:color="auto"/>
        <w:left w:val="none" w:sz="0" w:space="0" w:color="auto"/>
        <w:bottom w:val="none" w:sz="0" w:space="0" w:color="auto"/>
        <w:right w:val="none" w:sz="0" w:space="0" w:color="auto"/>
      </w:divBdr>
    </w:div>
    <w:div w:id="604652184">
      <w:bodyDiv w:val="1"/>
      <w:marLeft w:val="0"/>
      <w:marRight w:val="0"/>
      <w:marTop w:val="0"/>
      <w:marBottom w:val="0"/>
      <w:divBdr>
        <w:top w:val="none" w:sz="0" w:space="0" w:color="auto"/>
        <w:left w:val="none" w:sz="0" w:space="0" w:color="auto"/>
        <w:bottom w:val="none" w:sz="0" w:space="0" w:color="auto"/>
        <w:right w:val="none" w:sz="0" w:space="0" w:color="auto"/>
      </w:divBdr>
    </w:div>
    <w:div w:id="746220920">
      <w:bodyDiv w:val="1"/>
      <w:marLeft w:val="0"/>
      <w:marRight w:val="0"/>
      <w:marTop w:val="0"/>
      <w:marBottom w:val="0"/>
      <w:divBdr>
        <w:top w:val="none" w:sz="0" w:space="0" w:color="auto"/>
        <w:left w:val="none" w:sz="0" w:space="0" w:color="auto"/>
        <w:bottom w:val="none" w:sz="0" w:space="0" w:color="auto"/>
        <w:right w:val="none" w:sz="0" w:space="0" w:color="auto"/>
      </w:divBdr>
    </w:div>
    <w:div w:id="1268390129">
      <w:bodyDiv w:val="1"/>
      <w:marLeft w:val="0"/>
      <w:marRight w:val="0"/>
      <w:marTop w:val="0"/>
      <w:marBottom w:val="0"/>
      <w:divBdr>
        <w:top w:val="none" w:sz="0" w:space="0" w:color="auto"/>
        <w:left w:val="none" w:sz="0" w:space="0" w:color="auto"/>
        <w:bottom w:val="none" w:sz="0" w:space="0" w:color="auto"/>
        <w:right w:val="none" w:sz="0" w:space="0" w:color="auto"/>
      </w:divBdr>
    </w:div>
    <w:div w:id="1269969732">
      <w:bodyDiv w:val="1"/>
      <w:marLeft w:val="0"/>
      <w:marRight w:val="0"/>
      <w:marTop w:val="0"/>
      <w:marBottom w:val="0"/>
      <w:divBdr>
        <w:top w:val="none" w:sz="0" w:space="0" w:color="auto"/>
        <w:left w:val="none" w:sz="0" w:space="0" w:color="auto"/>
        <w:bottom w:val="none" w:sz="0" w:space="0" w:color="auto"/>
        <w:right w:val="none" w:sz="0" w:space="0" w:color="auto"/>
      </w:divBdr>
    </w:div>
    <w:div w:id="1503467825">
      <w:bodyDiv w:val="1"/>
      <w:marLeft w:val="0"/>
      <w:marRight w:val="0"/>
      <w:marTop w:val="0"/>
      <w:marBottom w:val="0"/>
      <w:divBdr>
        <w:top w:val="none" w:sz="0" w:space="0" w:color="auto"/>
        <w:left w:val="none" w:sz="0" w:space="0" w:color="auto"/>
        <w:bottom w:val="none" w:sz="0" w:space="0" w:color="auto"/>
        <w:right w:val="none" w:sz="0" w:space="0" w:color="auto"/>
      </w:divBdr>
    </w:div>
    <w:div w:id="1696494137">
      <w:bodyDiv w:val="1"/>
      <w:marLeft w:val="0"/>
      <w:marRight w:val="0"/>
      <w:marTop w:val="0"/>
      <w:marBottom w:val="0"/>
      <w:divBdr>
        <w:top w:val="none" w:sz="0" w:space="0" w:color="auto"/>
        <w:left w:val="none" w:sz="0" w:space="0" w:color="auto"/>
        <w:bottom w:val="none" w:sz="0" w:space="0" w:color="auto"/>
        <w:right w:val="none" w:sz="0" w:space="0" w:color="auto"/>
      </w:divBdr>
    </w:div>
    <w:div w:id="1759323821">
      <w:bodyDiv w:val="1"/>
      <w:marLeft w:val="0"/>
      <w:marRight w:val="0"/>
      <w:marTop w:val="0"/>
      <w:marBottom w:val="0"/>
      <w:divBdr>
        <w:top w:val="none" w:sz="0" w:space="0" w:color="auto"/>
        <w:left w:val="none" w:sz="0" w:space="0" w:color="auto"/>
        <w:bottom w:val="none" w:sz="0" w:space="0" w:color="auto"/>
        <w:right w:val="none" w:sz="0" w:space="0" w:color="auto"/>
      </w:divBdr>
      <w:divsChild>
        <w:div w:id="1437868922">
          <w:marLeft w:val="0"/>
          <w:marRight w:val="0"/>
          <w:marTop w:val="0"/>
          <w:marBottom w:val="0"/>
          <w:divBdr>
            <w:top w:val="none" w:sz="0" w:space="0" w:color="auto"/>
            <w:left w:val="none" w:sz="0" w:space="0" w:color="auto"/>
            <w:bottom w:val="none" w:sz="0" w:space="0" w:color="auto"/>
            <w:right w:val="none" w:sz="0" w:space="0" w:color="auto"/>
          </w:divBdr>
          <w:divsChild>
            <w:div w:id="344749990">
              <w:marLeft w:val="0"/>
              <w:marRight w:val="0"/>
              <w:marTop w:val="0"/>
              <w:marBottom w:val="0"/>
              <w:divBdr>
                <w:top w:val="none" w:sz="0" w:space="0" w:color="auto"/>
                <w:left w:val="none" w:sz="0" w:space="0" w:color="auto"/>
                <w:bottom w:val="none" w:sz="0" w:space="0" w:color="auto"/>
                <w:right w:val="none" w:sz="0" w:space="0" w:color="auto"/>
              </w:divBdr>
            </w:div>
          </w:divsChild>
        </w:div>
        <w:div w:id="1850412583">
          <w:marLeft w:val="0"/>
          <w:marRight w:val="0"/>
          <w:marTop w:val="0"/>
          <w:marBottom w:val="0"/>
          <w:divBdr>
            <w:top w:val="none" w:sz="0" w:space="0" w:color="auto"/>
            <w:left w:val="none" w:sz="0" w:space="0" w:color="auto"/>
            <w:bottom w:val="none" w:sz="0" w:space="0" w:color="auto"/>
            <w:right w:val="none" w:sz="0" w:space="0" w:color="auto"/>
          </w:divBdr>
          <w:divsChild>
            <w:div w:id="1058867877">
              <w:marLeft w:val="0"/>
              <w:marRight w:val="0"/>
              <w:marTop w:val="0"/>
              <w:marBottom w:val="0"/>
              <w:divBdr>
                <w:top w:val="none" w:sz="0" w:space="0" w:color="auto"/>
                <w:left w:val="none" w:sz="0" w:space="0" w:color="auto"/>
                <w:bottom w:val="none" w:sz="0" w:space="0" w:color="auto"/>
                <w:right w:val="none" w:sz="0" w:space="0" w:color="auto"/>
              </w:divBdr>
              <w:divsChild>
                <w:div w:id="103615033">
                  <w:marLeft w:val="0"/>
                  <w:marRight w:val="0"/>
                  <w:marTop w:val="0"/>
                  <w:marBottom w:val="0"/>
                  <w:divBdr>
                    <w:top w:val="none" w:sz="0" w:space="0" w:color="auto"/>
                    <w:left w:val="none" w:sz="0" w:space="0" w:color="auto"/>
                    <w:bottom w:val="none" w:sz="0" w:space="0" w:color="auto"/>
                    <w:right w:val="none" w:sz="0" w:space="0" w:color="auto"/>
                  </w:divBdr>
                  <w:divsChild>
                    <w:div w:id="1103964066">
                      <w:marLeft w:val="0"/>
                      <w:marRight w:val="0"/>
                      <w:marTop w:val="0"/>
                      <w:marBottom w:val="0"/>
                      <w:divBdr>
                        <w:top w:val="none" w:sz="0" w:space="0" w:color="auto"/>
                        <w:left w:val="none" w:sz="0" w:space="0" w:color="auto"/>
                        <w:bottom w:val="none" w:sz="0" w:space="0" w:color="auto"/>
                        <w:right w:val="none" w:sz="0" w:space="0" w:color="auto"/>
                      </w:divBdr>
                      <w:divsChild>
                        <w:div w:id="1374964356">
                          <w:marLeft w:val="0"/>
                          <w:marRight w:val="0"/>
                          <w:marTop w:val="0"/>
                          <w:marBottom w:val="0"/>
                          <w:divBdr>
                            <w:top w:val="none" w:sz="0" w:space="0" w:color="auto"/>
                            <w:left w:val="none" w:sz="0" w:space="0" w:color="auto"/>
                            <w:bottom w:val="none" w:sz="0" w:space="0" w:color="auto"/>
                            <w:right w:val="none" w:sz="0" w:space="0" w:color="auto"/>
                          </w:divBdr>
                          <w:divsChild>
                            <w:div w:id="1661231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442553">
      <w:bodyDiv w:val="1"/>
      <w:marLeft w:val="0"/>
      <w:marRight w:val="0"/>
      <w:marTop w:val="0"/>
      <w:marBottom w:val="0"/>
      <w:divBdr>
        <w:top w:val="none" w:sz="0" w:space="0" w:color="auto"/>
        <w:left w:val="none" w:sz="0" w:space="0" w:color="auto"/>
        <w:bottom w:val="none" w:sz="0" w:space="0" w:color="auto"/>
        <w:right w:val="none" w:sz="0" w:space="0" w:color="auto"/>
      </w:divBdr>
    </w:div>
    <w:div w:id="1816986225">
      <w:bodyDiv w:val="1"/>
      <w:marLeft w:val="0"/>
      <w:marRight w:val="0"/>
      <w:marTop w:val="0"/>
      <w:marBottom w:val="0"/>
      <w:divBdr>
        <w:top w:val="none" w:sz="0" w:space="0" w:color="auto"/>
        <w:left w:val="none" w:sz="0" w:space="0" w:color="auto"/>
        <w:bottom w:val="none" w:sz="0" w:space="0" w:color="auto"/>
        <w:right w:val="none" w:sz="0" w:space="0" w:color="auto"/>
      </w:divBdr>
    </w:div>
    <w:div w:id="1851752277">
      <w:bodyDiv w:val="1"/>
      <w:marLeft w:val="0"/>
      <w:marRight w:val="0"/>
      <w:marTop w:val="0"/>
      <w:marBottom w:val="0"/>
      <w:divBdr>
        <w:top w:val="none" w:sz="0" w:space="0" w:color="auto"/>
        <w:left w:val="none" w:sz="0" w:space="0" w:color="auto"/>
        <w:bottom w:val="none" w:sz="0" w:space="0" w:color="auto"/>
        <w:right w:val="none" w:sz="0" w:space="0" w:color="auto"/>
      </w:divBdr>
    </w:div>
    <w:div w:id="1987976751">
      <w:bodyDiv w:val="1"/>
      <w:marLeft w:val="0"/>
      <w:marRight w:val="0"/>
      <w:marTop w:val="0"/>
      <w:marBottom w:val="0"/>
      <w:divBdr>
        <w:top w:val="none" w:sz="0" w:space="0" w:color="auto"/>
        <w:left w:val="none" w:sz="0" w:space="0" w:color="auto"/>
        <w:bottom w:val="none" w:sz="0" w:space="0" w:color="auto"/>
        <w:right w:val="none" w:sz="0" w:space="0" w:color="auto"/>
      </w:divBdr>
    </w:div>
    <w:div w:id="2086952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emf"/><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calcarbondash.org" TargetMode="External"/><Relationship Id="rId2" Type="http://schemas.openxmlformats.org/officeDocument/2006/relationships/hyperlink" Target="https://www.theice.com/products/197/EUA-Futures/data" TargetMode="External"/><Relationship Id="rId1" Type="http://schemas.openxmlformats.org/officeDocument/2006/relationships/hyperlink" Target="https://www.investing.com/commodities/carbon-emissions-historical-dat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204B6C-5E30-4163-B8E5-D4A5D019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57</Pages>
  <Words>18981</Words>
  <Characters>108197</Characters>
  <Application>Microsoft Office Word</Application>
  <DocSecurity>0</DocSecurity>
  <Lines>901</Lines>
  <Paragraphs>253</Paragraphs>
  <ScaleCrop>false</ScaleCrop>
  <Company/>
  <LinksUpToDate>false</LinksUpToDate>
  <CharactersWithSpaces>126925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Eduardo Afanador Restrepo</dc:creator>
  <cp:keywords/>
  <dc:description/>
  <cp:lastModifiedBy>Vanegas, Wilkferg Rico</cp:lastModifiedBy>
  <cp:revision>17</cp:revision>
  <cp:lastPrinted>2017-05-09T01:11:00Z</cp:lastPrinted>
  <dcterms:created xsi:type="dcterms:W3CDTF">2017-05-09T00:59:00Z</dcterms:created>
  <dcterms:modified xsi:type="dcterms:W3CDTF">2017-07-07T16:31:00Z</dcterms:modified>
</cp:coreProperties>
</file>