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62253" w:rsidRDefault="006B43BC" w14:paraId="1C20D199" w14:textId="77777777">
      <w:pPr>
        <w:spacing w:before="200" w:after="200"/>
        <w:jc w:val="center"/>
      </w:pPr>
      <w:r>
        <w:rPr>
          <w:rFonts w:ascii="Arial" w:hAnsi="Arial" w:cs="Arial"/>
          <w:b/>
        </w:rPr>
        <w:t>TC ABSTRACT</w:t>
      </w:r>
    </w:p>
    <w:p w:rsidR="00762253" w:rsidRDefault="006B43BC" w14:paraId="3215AB81" w14:textId="77777777">
      <w:pPr>
        <w:spacing w:before="120" w:after="120"/>
        <w:ind w:left="579" w:hanging="579"/>
      </w:pPr>
      <w:r>
        <w:rPr>
          <w:rFonts w:ascii="Arial" w:hAnsi="Arial" w:cs="Arial"/>
          <w:b/>
        </w:rPr>
        <w:t>I.</w:t>
      </w:r>
      <w:r>
        <w:rPr>
          <w:rFonts w:ascii="Arial" w:hAnsi="Arial" w:cs="Arial"/>
          <w:b/>
        </w:rPr>
        <w:tab/>
      </w:r>
      <w:r>
        <w:rPr>
          <w:rFonts w:ascii="Arial" w:hAnsi="Arial" w:cs="Arial"/>
          <w:b/>
        </w:rPr>
        <w:t>Basic Project Data</w:t>
      </w:r>
    </w:p>
    <w:tbl>
      <w:tblPr>
        <w:tblStyle w:val="TableGrid"/>
        <w:tblW w:w="5000" w:type="auto"/>
        <w:jc w:val="center"/>
        <w:tblBorders>
          <w:top w:val="single" w:color="D3D3D3" w:sz="2" w:space="0"/>
          <w:left w:val="single" w:color="D3D3D3" w:sz="2" w:space="0"/>
          <w:bottom w:val="single" w:color="D3D3D3" w:sz="2" w:space="0"/>
          <w:right w:val="single" w:color="D3D3D3" w:sz="2" w:space="0"/>
          <w:insideH w:val="single" w:color="D3D3D3" w:sz="2" w:space="0"/>
          <w:insideV w:val="single" w:color="D3D3D3" w:sz="2" w:space="0"/>
        </w:tblBorders>
        <w:tblLook w:val="04A0" w:firstRow="1" w:lastRow="0" w:firstColumn="1" w:lastColumn="0" w:noHBand="0" w:noVBand="1"/>
      </w:tblPr>
      <w:tblGrid>
        <w:gridCol w:w="4036"/>
        <w:gridCol w:w="4984"/>
      </w:tblGrid>
      <w:tr w:rsidR="00762253" w14:paraId="0218D996" w14:textId="77777777">
        <w:trPr>
          <w:jc w:val="center"/>
        </w:trPr>
        <w:tc>
          <w:tcPr>
            <w:tcW w:w="5250" w:type="dxa"/>
          </w:tcPr>
          <w:p w:rsidR="00762253" w:rsidRDefault="006B43BC" w14:paraId="0461544D" w14:textId="77777777">
            <w:pPr>
              <w:spacing w:before="40" w:after="40"/>
              <w:ind w:left="115" w:hanging="115"/>
            </w:pPr>
            <w:r>
              <w:rPr>
                <w:rFonts w:ascii="Arial" w:hAnsi="Arial" w:cs="Arial"/>
                <w:sz w:val="18"/>
                <w:szCs w:val="18"/>
              </w:rPr>
              <w:t>▪ Country/Region:</w:t>
            </w:r>
          </w:p>
        </w:tc>
        <w:tc>
          <w:tcPr>
            <w:tcW w:w="6750" w:type="dxa"/>
          </w:tcPr>
          <w:p w:rsidR="00762253" w:rsidRDefault="006B43BC" w14:paraId="24EBB8AF" w14:textId="77777777">
            <w:pPr>
              <w:spacing w:before="40" w:after="40"/>
            </w:pPr>
            <w:r>
              <w:rPr>
                <w:rFonts w:ascii="Arial" w:hAnsi="Arial" w:cs="Arial"/>
                <w:sz w:val="18"/>
                <w:szCs w:val="18"/>
              </w:rPr>
              <w:t>NICARAGUA/CID - Isthmus &amp; DR</w:t>
            </w:r>
          </w:p>
        </w:tc>
      </w:tr>
      <w:tr w:rsidR="00762253" w14:paraId="48002B6A" w14:textId="77777777">
        <w:trPr>
          <w:jc w:val="center"/>
        </w:trPr>
        <w:tc>
          <w:tcPr>
            <w:tcW w:w="5250" w:type="dxa"/>
          </w:tcPr>
          <w:p w:rsidR="00762253" w:rsidRDefault="006B43BC" w14:paraId="0E5FF1F6" w14:textId="77777777">
            <w:pPr>
              <w:spacing w:before="40" w:after="40"/>
              <w:ind w:left="115" w:hanging="115"/>
            </w:pPr>
            <w:r>
              <w:rPr>
                <w:rFonts w:ascii="Arial" w:hAnsi="Arial" w:cs="Arial"/>
                <w:sz w:val="18"/>
                <w:szCs w:val="18"/>
              </w:rPr>
              <w:t>▪ TC Name:</w:t>
            </w:r>
          </w:p>
        </w:tc>
        <w:tc>
          <w:tcPr>
            <w:tcW w:w="6750" w:type="dxa"/>
          </w:tcPr>
          <w:p w:rsidR="00762253" w:rsidRDefault="006B43BC" w14:paraId="11D23321" w14:textId="77777777">
            <w:pPr>
              <w:spacing w:before="40" w:after="40"/>
            </w:pPr>
            <w:r>
              <w:rPr>
                <w:rFonts w:ascii="Arial" w:hAnsi="Arial" w:cs="Arial"/>
                <w:sz w:val="18"/>
                <w:szCs w:val="18"/>
              </w:rPr>
              <w:t>Baseball Forever: Strengthening Community Integration Through Baseball</w:t>
            </w:r>
          </w:p>
        </w:tc>
      </w:tr>
      <w:tr w:rsidR="00762253" w14:paraId="6CD3AF15" w14:textId="77777777">
        <w:trPr>
          <w:jc w:val="center"/>
        </w:trPr>
        <w:tc>
          <w:tcPr>
            <w:tcW w:w="5250" w:type="dxa"/>
          </w:tcPr>
          <w:p w:rsidR="00762253" w:rsidRDefault="006B43BC" w14:paraId="498E64B6" w14:textId="77777777">
            <w:pPr>
              <w:spacing w:before="40" w:after="40"/>
              <w:ind w:left="115" w:hanging="115"/>
            </w:pPr>
            <w:r>
              <w:rPr>
                <w:rFonts w:ascii="Arial" w:hAnsi="Arial" w:cs="Arial"/>
                <w:sz w:val="18"/>
                <w:szCs w:val="18"/>
              </w:rPr>
              <w:t>▪ TC Number:</w:t>
            </w:r>
          </w:p>
        </w:tc>
        <w:tc>
          <w:tcPr>
            <w:tcW w:w="6750" w:type="dxa"/>
          </w:tcPr>
          <w:p w:rsidR="00762253" w:rsidRDefault="006B43BC" w14:paraId="76BA86D6" w14:textId="77777777">
            <w:pPr>
              <w:spacing w:before="40" w:after="40"/>
            </w:pPr>
            <w:r>
              <w:rPr>
                <w:rFonts w:ascii="Arial" w:hAnsi="Arial" w:cs="Arial"/>
                <w:sz w:val="18"/>
                <w:szCs w:val="18"/>
              </w:rPr>
              <w:t>NI-T1284</w:t>
            </w:r>
          </w:p>
        </w:tc>
      </w:tr>
      <w:tr w:rsidR="00762253" w14:paraId="6738415B" w14:textId="77777777">
        <w:trPr>
          <w:jc w:val="center"/>
        </w:trPr>
        <w:tc>
          <w:tcPr>
            <w:tcW w:w="5250" w:type="dxa"/>
          </w:tcPr>
          <w:p w:rsidR="00762253" w:rsidRDefault="006B43BC" w14:paraId="0FF0B5D6" w14:textId="77777777">
            <w:pPr>
              <w:spacing w:before="40" w:after="40"/>
              <w:ind w:left="115" w:hanging="115"/>
            </w:pPr>
            <w:r>
              <w:rPr>
                <w:rFonts w:ascii="Arial" w:hAnsi="Arial" w:cs="Arial"/>
                <w:sz w:val="18"/>
                <w:szCs w:val="18"/>
              </w:rPr>
              <w:t>▪ Team Leader/Members:</w:t>
            </w:r>
          </w:p>
        </w:tc>
        <w:tc>
          <w:tcPr>
            <w:tcW w:w="6750" w:type="dxa"/>
          </w:tcPr>
          <w:p w:rsidR="00762253" w:rsidRDefault="00B933B6" w14:paraId="207C9A4D" w14:textId="1F329B41">
            <w:pPr>
              <w:spacing w:before="40" w:after="40"/>
            </w:pPr>
            <w:r>
              <w:rPr>
                <w:rFonts w:ascii="Arial" w:hAnsi="Arial" w:cs="Arial"/>
                <w:sz w:val="18"/>
                <w:szCs w:val="18"/>
              </w:rPr>
              <w:t>Carina Cockburn (CID/CNI)</w:t>
            </w:r>
            <w:r w:rsidR="006B43BC">
              <w:rPr>
                <w:rFonts w:ascii="Arial" w:hAnsi="Arial" w:cs="Arial"/>
                <w:sz w:val="18"/>
                <w:szCs w:val="18"/>
              </w:rPr>
              <w:t xml:space="preserve"> Team Leader; </w:t>
            </w:r>
            <w:r w:rsidR="00BD1AF0">
              <w:rPr>
                <w:rFonts w:ascii="Arial" w:hAnsi="Arial" w:cs="Arial"/>
                <w:sz w:val="18"/>
                <w:szCs w:val="18"/>
              </w:rPr>
              <w:t xml:space="preserve">Selva, Alma Reyna (CID/CNI) Co-Team Leader; </w:t>
            </w:r>
            <w:r w:rsidR="006B43BC">
              <w:rPr>
                <w:rFonts w:ascii="Arial" w:hAnsi="Arial" w:cs="Arial"/>
                <w:sz w:val="18"/>
                <w:szCs w:val="18"/>
              </w:rPr>
              <w:t xml:space="preserve">OROZCO CASTELLON, SANDRA LORENA (CID/CNI); </w:t>
            </w:r>
            <w:r>
              <w:rPr>
                <w:rFonts w:ascii="Arial" w:hAnsi="Arial" w:cs="Arial"/>
                <w:sz w:val="18"/>
                <w:szCs w:val="18"/>
              </w:rPr>
              <w:t>Andres Suarez</w:t>
            </w:r>
            <w:r w:rsidR="006B43BC">
              <w:rPr>
                <w:rFonts w:ascii="Arial" w:hAnsi="Arial" w:cs="Arial"/>
                <w:sz w:val="18"/>
                <w:szCs w:val="18"/>
              </w:rPr>
              <w:t xml:space="preserve"> (VPC/FMP); GRUN LORIO, EMMA CARLA (CID/CNI); HERRERA RIOS, NUBIA (CID/CNI)</w:t>
            </w:r>
            <w:r>
              <w:rPr>
                <w:rFonts w:ascii="Arial" w:hAnsi="Arial" w:cs="Arial"/>
                <w:sz w:val="18"/>
                <w:szCs w:val="18"/>
              </w:rPr>
              <w:t>; Kolodin</w:t>
            </w:r>
            <w:r w:rsidR="00204441">
              <w:rPr>
                <w:rFonts w:ascii="Arial" w:hAnsi="Arial" w:cs="Arial"/>
                <w:sz w:val="18"/>
                <w:szCs w:val="18"/>
              </w:rPr>
              <w:t>, Susan</w:t>
            </w:r>
            <w:r>
              <w:rPr>
                <w:rFonts w:ascii="Arial" w:hAnsi="Arial" w:cs="Arial"/>
                <w:sz w:val="18"/>
                <w:szCs w:val="18"/>
              </w:rPr>
              <w:t xml:space="preserve"> (Consultant CNI). </w:t>
            </w:r>
          </w:p>
        </w:tc>
      </w:tr>
      <w:tr w:rsidR="00762253" w14:paraId="535FE14E" w14:textId="77777777">
        <w:trPr>
          <w:jc w:val="center"/>
        </w:trPr>
        <w:tc>
          <w:tcPr>
            <w:tcW w:w="5250" w:type="dxa"/>
          </w:tcPr>
          <w:p w:rsidR="00762253" w:rsidRDefault="006B43BC" w14:paraId="7430218A" w14:textId="77777777">
            <w:pPr>
              <w:spacing w:before="40" w:after="40"/>
              <w:ind w:left="115" w:hanging="115"/>
            </w:pPr>
            <w:r>
              <w:rPr>
                <w:rFonts w:ascii="Arial" w:hAnsi="Arial" w:cs="Arial"/>
                <w:sz w:val="18"/>
                <w:szCs w:val="18"/>
              </w:rPr>
              <w:t>▪ Taxonomy:</w:t>
            </w:r>
          </w:p>
        </w:tc>
        <w:tc>
          <w:tcPr>
            <w:tcW w:w="6750" w:type="dxa"/>
          </w:tcPr>
          <w:p w:rsidR="00762253" w:rsidRDefault="00F77E87" w14:paraId="75839108" w14:textId="1270E2C9">
            <w:pPr>
              <w:spacing w:before="40" w:after="40"/>
            </w:pPr>
            <w:r>
              <w:t xml:space="preserve">Research and </w:t>
            </w:r>
            <w:r w:rsidR="00B917A1">
              <w:t>Dissemination</w:t>
            </w:r>
          </w:p>
        </w:tc>
      </w:tr>
      <w:tr w:rsidR="00762253" w14:paraId="0841E949" w14:textId="77777777">
        <w:trPr>
          <w:jc w:val="center"/>
        </w:trPr>
        <w:tc>
          <w:tcPr>
            <w:tcW w:w="5250" w:type="dxa"/>
          </w:tcPr>
          <w:p w:rsidR="00762253" w:rsidRDefault="006B43BC" w14:paraId="205361DA" w14:textId="77777777">
            <w:pPr>
              <w:spacing w:before="40" w:after="40"/>
              <w:ind w:left="115" w:hanging="115"/>
            </w:pPr>
            <w:r>
              <w:rPr>
                <w:rFonts w:ascii="Arial" w:hAnsi="Arial" w:cs="Arial"/>
                <w:sz w:val="18"/>
                <w:szCs w:val="18"/>
              </w:rPr>
              <w:t>▪ Number and name of operation supported by the TC:</w:t>
            </w:r>
          </w:p>
        </w:tc>
        <w:tc>
          <w:tcPr>
            <w:tcW w:w="6750" w:type="dxa"/>
          </w:tcPr>
          <w:p w:rsidR="00762253" w:rsidRDefault="006B43BC" w14:paraId="39DDACFB" w14:textId="77777777">
            <w:pPr>
              <w:spacing w:before="40" w:after="40"/>
            </w:pPr>
            <w:r>
              <w:rPr>
                <w:rFonts w:ascii="Arial" w:hAnsi="Arial" w:cs="Arial"/>
                <w:sz w:val="18"/>
                <w:szCs w:val="18"/>
              </w:rPr>
              <w:t>N/A</w:t>
            </w:r>
          </w:p>
        </w:tc>
      </w:tr>
      <w:tr w:rsidR="00762253" w14:paraId="6E84F05B" w14:textId="77777777">
        <w:trPr>
          <w:jc w:val="center"/>
        </w:trPr>
        <w:tc>
          <w:tcPr>
            <w:tcW w:w="5250" w:type="dxa"/>
          </w:tcPr>
          <w:p w:rsidR="00762253" w:rsidRDefault="006B43BC" w14:paraId="639F4FA9" w14:textId="77777777">
            <w:pPr>
              <w:spacing w:before="40" w:after="40"/>
              <w:ind w:left="115" w:hanging="115"/>
            </w:pPr>
            <w:r>
              <w:rPr>
                <w:rFonts w:ascii="Arial" w:hAnsi="Arial" w:cs="Arial"/>
                <w:sz w:val="18"/>
                <w:szCs w:val="18"/>
              </w:rPr>
              <w:t>▪ Date of TC Abstract:</w:t>
            </w:r>
          </w:p>
        </w:tc>
        <w:tc>
          <w:tcPr>
            <w:tcW w:w="6750" w:type="dxa"/>
          </w:tcPr>
          <w:p w:rsidR="00762253" w:rsidRDefault="00F77E87" w14:paraId="71C004CC" w14:textId="27B26901">
            <w:pPr>
              <w:spacing w:before="40" w:after="40"/>
            </w:pPr>
            <w:r>
              <w:rPr>
                <w:rFonts w:ascii="Arial" w:hAnsi="Arial" w:cs="Arial"/>
                <w:sz w:val="18"/>
                <w:szCs w:val="18"/>
              </w:rPr>
              <w:t xml:space="preserve">16 Feb </w:t>
            </w:r>
            <w:r w:rsidR="006B43BC">
              <w:rPr>
                <w:rFonts w:ascii="Arial" w:hAnsi="Arial" w:cs="Arial"/>
                <w:sz w:val="18"/>
                <w:szCs w:val="18"/>
              </w:rPr>
              <w:t>202</w:t>
            </w:r>
            <w:r>
              <w:rPr>
                <w:rFonts w:ascii="Arial" w:hAnsi="Arial" w:cs="Arial"/>
                <w:sz w:val="18"/>
                <w:szCs w:val="18"/>
              </w:rPr>
              <w:t>1</w:t>
            </w:r>
          </w:p>
        </w:tc>
      </w:tr>
      <w:tr w:rsidR="00762253" w14:paraId="75DCC37A" w14:textId="77777777">
        <w:trPr>
          <w:jc w:val="center"/>
        </w:trPr>
        <w:tc>
          <w:tcPr>
            <w:tcW w:w="5250" w:type="dxa"/>
          </w:tcPr>
          <w:p w:rsidR="00762253" w:rsidRDefault="006B43BC" w14:paraId="7D05C2C6" w14:textId="77777777">
            <w:pPr>
              <w:spacing w:before="40" w:after="40"/>
              <w:ind w:left="115" w:hanging="115"/>
            </w:pPr>
            <w:r>
              <w:rPr>
                <w:rFonts w:ascii="Arial" w:hAnsi="Arial" w:cs="Arial"/>
                <w:sz w:val="18"/>
                <w:szCs w:val="18"/>
              </w:rPr>
              <w:t>▪ Beneficiary:</w:t>
            </w:r>
          </w:p>
        </w:tc>
        <w:tc>
          <w:tcPr>
            <w:tcW w:w="6750" w:type="dxa"/>
          </w:tcPr>
          <w:p w:rsidR="00762253" w:rsidRDefault="006B43BC" w14:paraId="610E1F89" w14:textId="77777777">
            <w:pPr>
              <w:spacing w:before="40" w:after="40"/>
            </w:pPr>
            <w:r>
              <w:rPr>
                <w:rFonts w:ascii="Arial" w:hAnsi="Arial" w:cs="Arial"/>
                <w:sz w:val="18"/>
                <w:szCs w:val="18"/>
              </w:rPr>
              <w:t>Nicaragua</w:t>
            </w:r>
          </w:p>
        </w:tc>
      </w:tr>
      <w:tr w:rsidRPr="00353FC3" w:rsidR="00762253" w14:paraId="4F8125ED" w14:textId="77777777">
        <w:trPr>
          <w:jc w:val="center"/>
        </w:trPr>
        <w:tc>
          <w:tcPr>
            <w:tcW w:w="5250" w:type="dxa"/>
          </w:tcPr>
          <w:p w:rsidR="00762253" w:rsidRDefault="006B43BC" w14:paraId="31441110" w14:textId="77777777">
            <w:pPr>
              <w:spacing w:before="40" w:after="40"/>
              <w:ind w:left="115" w:hanging="115"/>
            </w:pPr>
            <w:r>
              <w:rPr>
                <w:rFonts w:ascii="Arial" w:hAnsi="Arial" w:cs="Arial"/>
                <w:sz w:val="18"/>
                <w:szCs w:val="18"/>
              </w:rPr>
              <w:t>▪ Executing Agency:</w:t>
            </w:r>
          </w:p>
        </w:tc>
        <w:tc>
          <w:tcPr>
            <w:tcW w:w="6750" w:type="dxa"/>
          </w:tcPr>
          <w:p w:rsidRPr="00F77E87" w:rsidR="00762253" w:rsidRDefault="00065BFA" w14:paraId="1B4F6277" w14:textId="5EEF9A9A">
            <w:pPr>
              <w:spacing w:before="40" w:after="40"/>
              <w:rPr>
                <w:lang w:val="es-ES"/>
              </w:rPr>
            </w:pPr>
            <w:r w:rsidRPr="00F77E87">
              <w:rPr>
                <w:rFonts w:ascii="Arial" w:hAnsi="Arial" w:cs="Arial"/>
                <w:sz w:val="18"/>
                <w:szCs w:val="18"/>
                <w:lang w:val="es-ES"/>
              </w:rPr>
              <w:t>Banco Interamericano de Desarrollo CID/CNI</w:t>
            </w:r>
          </w:p>
        </w:tc>
      </w:tr>
      <w:tr w:rsidR="00762253" w14:paraId="6BD0C9DA" w14:textId="77777777">
        <w:trPr>
          <w:jc w:val="center"/>
        </w:trPr>
        <w:tc>
          <w:tcPr>
            <w:tcW w:w="5250" w:type="dxa"/>
          </w:tcPr>
          <w:p w:rsidR="00762253" w:rsidRDefault="006B43BC" w14:paraId="2898E5DE" w14:textId="77777777">
            <w:pPr>
              <w:spacing w:before="40" w:after="40"/>
              <w:ind w:left="115" w:hanging="115"/>
            </w:pPr>
            <w:r>
              <w:rPr>
                <w:rFonts w:ascii="Arial" w:hAnsi="Arial" w:cs="Arial"/>
                <w:sz w:val="18"/>
                <w:szCs w:val="18"/>
              </w:rPr>
              <w:t>▪ IDB funding requested:</w:t>
            </w:r>
          </w:p>
        </w:tc>
        <w:tc>
          <w:tcPr>
            <w:tcW w:w="6750" w:type="dxa"/>
          </w:tcPr>
          <w:p w:rsidR="00762253" w:rsidRDefault="006B43BC" w14:paraId="0CB7374A" w14:textId="03C0EA0B">
            <w:pPr>
              <w:bidi/>
              <w:spacing w:before="40" w:after="40"/>
            </w:pPr>
            <w:r>
              <w:rPr>
                <w:rFonts w:ascii="Arial" w:hAnsi="Arial" w:cs="Arial"/>
                <w:sz w:val="18"/>
                <w:szCs w:val="18"/>
              </w:rPr>
              <w:t>US$</w:t>
            </w:r>
            <w:r w:rsidR="00992D34">
              <w:rPr>
                <w:rFonts w:ascii="Arial" w:hAnsi="Arial" w:cs="Arial"/>
                <w:sz w:val="18"/>
                <w:szCs w:val="18"/>
              </w:rPr>
              <w:t>25</w:t>
            </w:r>
            <w:r>
              <w:rPr>
                <w:rFonts w:ascii="Arial" w:hAnsi="Arial" w:cs="Arial"/>
                <w:sz w:val="18"/>
                <w:szCs w:val="18"/>
              </w:rPr>
              <w:t>0,000.00</w:t>
            </w:r>
          </w:p>
        </w:tc>
      </w:tr>
      <w:tr w:rsidR="00762253" w14:paraId="4C2D824E" w14:textId="77777777">
        <w:trPr>
          <w:jc w:val="center"/>
        </w:trPr>
        <w:tc>
          <w:tcPr>
            <w:tcW w:w="5250" w:type="dxa"/>
          </w:tcPr>
          <w:p w:rsidR="00762253" w:rsidRDefault="006B43BC" w14:paraId="43DCA456" w14:textId="77777777">
            <w:pPr>
              <w:spacing w:before="40" w:after="40"/>
              <w:ind w:left="115" w:hanging="115"/>
            </w:pPr>
            <w:r>
              <w:rPr>
                <w:rFonts w:ascii="Arial" w:hAnsi="Arial" w:cs="Arial"/>
                <w:sz w:val="18"/>
                <w:szCs w:val="18"/>
              </w:rPr>
              <w:t>▪ Local counterpart funding:</w:t>
            </w:r>
          </w:p>
        </w:tc>
        <w:tc>
          <w:tcPr>
            <w:tcW w:w="6750" w:type="dxa"/>
          </w:tcPr>
          <w:p w:rsidR="00762253" w:rsidRDefault="006B43BC" w14:paraId="02993FB4" w14:textId="77777777">
            <w:pPr>
              <w:bidi/>
              <w:spacing w:before="40" w:after="40"/>
            </w:pPr>
            <w:r>
              <w:rPr>
                <w:rFonts w:ascii="Arial" w:hAnsi="Arial" w:cs="Arial"/>
                <w:sz w:val="18"/>
                <w:szCs w:val="18"/>
              </w:rPr>
              <w:t>US$0.00</w:t>
            </w:r>
          </w:p>
        </w:tc>
      </w:tr>
      <w:tr w:rsidR="00762253" w14:paraId="15EE3E89" w14:textId="77777777">
        <w:trPr>
          <w:jc w:val="center"/>
        </w:trPr>
        <w:tc>
          <w:tcPr>
            <w:tcW w:w="5250" w:type="dxa"/>
          </w:tcPr>
          <w:p w:rsidR="00762253" w:rsidRDefault="006B43BC" w14:paraId="08ECC0BC" w14:textId="77777777">
            <w:pPr>
              <w:spacing w:before="40" w:after="40"/>
              <w:ind w:left="115" w:hanging="115"/>
            </w:pPr>
            <w:r>
              <w:rPr>
                <w:rFonts w:ascii="Arial" w:hAnsi="Arial" w:cs="Arial"/>
                <w:sz w:val="18"/>
                <w:szCs w:val="18"/>
              </w:rPr>
              <w:t>▪ Disbursement period:</w:t>
            </w:r>
          </w:p>
        </w:tc>
        <w:tc>
          <w:tcPr>
            <w:tcW w:w="6750" w:type="dxa"/>
          </w:tcPr>
          <w:p w:rsidR="00762253" w:rsidRDefault="006B43BC" w14:paraId="7DAAA0F8" w14:textId="77777777">
            <w:pPr>
              <w:bidi/>
              <w:spacing w:before="40" w:after="40"/>
            </w:pPr>
            <w:r>
              <w:rPr>
                <w:rFonts w:ascii="Arial" w:hAnsi="Arial" w:cs="Arial"/>
                <w:sz w:val="18"/>
                <w:szCs w:val="18"/>
              </w:rPr>
              <w:t>36 months</w:t>
            </w:r>
          </w:p>
        </w:tc>
      </w:tr>
      <w:tr w:rsidR="00762253" w14:paraId="1143B32F" w14:textId="77777777">
        <w:trPr>
          <w:jc w:val="center"/>
        </w:trPr>
        <w:tc>
          <w:tcPr>
            <w:tcW w:w="5250" w:type="dxa"/>
          </w:tcPr>
          <w:p w:rsidR="00762253" w:rsidRDefault="006B43BC" w14:paraId="6FE1CBBC" w14:textId="77777777">
            <w:pPr>
              <w:spacing w:before="40" w:after="40"/>
              <w:ind w:left="115" w:hanging="115"/>
            </w:pPr>
            <w:r>
              <w:rPr>
                <w:rFonts w:ascii="Arial" w:hAnsi="Arial" w:cs="Arial"/>
                <w:sz w:val="18"/>
                <w:szCs w:val="18"/>
              </w:rPr>
              <w:t>▪ Types of consultants:</w:t>
            </w:r>
          </w:p>
        </w:tc>
        <w:tc>
          <w:tcPr>
            <w:tcW w:w="6750" w:type="dxa"/>
          </w:tcPr>
          <w:p w:rsidR="00762253" w:rsidRDefault="006B43BC" w14:paraId="4451CD74" w14:textId="77777777">
            <w:pPr>
              <w:spacing w:before="40" w:after="40"/>
            </w:pPr>
            <w:r>
              <w:rPr>
                <w:rFonts w:ascii="Arial" w:hAnsi="Arial" w:cs="Arial"/>
                <w:sz w:val="18"/>
                <w:szCs w:val="18"/>
              </w:rPr>
              <w:t>Individuals; Firms</w:t>
            </w:r>
          </w:p>
        </w:tc>
      </w:tr>
      <w:tr w:rsidR="00762253" w14:paraId="319D57B6" w14:textId="77777777">
        <w:trPr>
          <w:jc w:val="center"/>
        </w:trPr>
        <w:tc>
          <w:tcPr>
            <w:tcW w:w="5250" w:type="dxa"/>
          </w:tcPr>
          <w:p w:rsidR="00762253" w:rsidRDefault="006B43BC" w14:paraId="6D3DD5F5" w14:textId="77777777">
            <w:pPr>
              <w:spacing w:before="40" w:after="40"/>
              <w:ind w:left="115" w:hanging="115"/>
            </w:pPr>
            <w:r>
              <w:rPr>
                <w:rFonts w:ascii="Arial" w:hAnsi="Arial" w:cs="Arial"/>
                <w:sz w:val="18"/>
                <w:szCs w:val="18"/>
              </w:rPr>
              <w:t>▪ Prepared by Unit:</w:t>
            </w:r>
          </w:p>
        </w:tc>
        <w:tc>
          <w:tcPr>
            <w:tcW w:w="6750" w:type="dxa"/>
          </w:tcPr>
          <w:p w:rsidR="00762253" w:rsidRDefault="006B43BC" w14:paraId="78460792" w14:textId="77777777">
            <w:pPr>
              <w:spacing w:before="40" w:after="40"/>
            </w:pPr>
            <w:r>
              <w:rPr>
                <w:rFonts w:ascii="Arial" w:hAnsi="Arial" w:cs="Arial"/>
                <w:sz w:val="18"/>
                <w:szCs w:val="18"/>
              </w:rPr>
              <w:t>CID/CNI - Country Office Nicaragua</w:t>
            </w:r>
          </w:p>
        </w:tc>
      </w:tr>
      <w:tr w:rsidR="00762253" w14:paraId="50835B25" w14:textId="77777777">
        <w:trPr>
          <w:jc w:val="center"/>
        </w:trPr>
        <w:tc>
          <w:tcPr>
            <w:tcW w:w="5250" w:type="dxa"/>
          </w:tcPr>
          <w:p w:rsidR="00762253" w:rsidRDefault="006B43BC" w14:paraId="7C3ABBB4" w14:textId="77777777">
            <w:pPr>
              <w:spacing w:before="40" w:after="40"/>
              <w:ind w:left="115" w:hanging="115"/>
            </w:pPr>
            <w:r>
              <w:rPr>
                <w:rFonts w:ascii="Arial" w:hAnsi="Arial" w:cs="Arial"/>
                <w:sz w:val="18"/>
                <w:szCs w:val="18"/>
              </w:rPr>
              <w:t>▪ Unit of Disbursement Responsibility:</w:t>
            </w:r>
          </w:p>
        </w:tc>
        <w:tc>
          <w:tcPr>
            <w:tcW w:w="6750" w:type="dxa"/>
          </w:tcPr>
          <w:p w:rsidR="00762253" w:rsidRDefault="006B43BC" w14:paraId="743FD961" w14:textId="77777777">
            <w:pPr>
              <w:spacing w:before="40" w:after="40"/>
            </w:pPr>
            <w:r>
              <w:rPr>
                <w:rFonts w:ascii="Arial" w:hAnsi="Arial" w:cs="Arial"/>
                <w:sz w:val="18"/>
                <w:szCs w:val="18"/>
              </w:rPr>
              <w:t>CID/CNI - Country Office Nicaragua</w:t>
            </w:r>
          </w:p>
        </w:tc>
      </w:tr>
      <w:tr w:rsidR="00762253" w14:paraId="0AD1FCC8" w14:textId="77777777">
        <w:trPr>
          <w:jc w:val="center"/>
        </w:trPr>
        <w:tc>
          <w:tcPr>
            <w:tcW w:w="5250" w:type="dxa"/>
          </w:tcPr>
          <w:p w:rsidR="00762253" w:rsidRDefault="006B43BC" w14:paraId="5A4C6C7D" w14:textId="77777777">
            <w:pPr>
              <w:spacing w:before="40" w:after="40"/>
            </w:pPr>
            <w:r>
              <w:rPr>
                <w:rFonts w:ascii="Arial" w:hAnsi="Arial" w:cs="Arial"/>
                <w:sz w:val="18"/>
                <w:szCs w:val="18"/>
              </w:rPr>
              <w:t>▪ TC included in Country Strategy (y/n):</w:t>
            </w:r>
            <w:r>
              <w:rPr>
                <w:rFonts w:ascii="Arial" w:hAnsi="Arial" w:cs="Arial"/>
                <w:sz w:val="18"/>
                <w:szCs w:val="18"/>
              </w:rPr>
              <w:br/>
            </w:r>
            <w:r>
              <w:rPr>
                <w:rFonts w:ascii="Arial" w:hAnsi="Arial" w:cs="Arial"/>
                <w:sz w:val="18"/>
                <w:szCs w:val="18"/>
              </w:rPr>
              <w:br/>
            </w:r>
            <w:r>
              <w:rPr>
                <w:rFonts w:ascii="Arial" w:hAnsi="Arial" w:cs="Arial"/>
                <w:sz w:val="18"/>
                <w:szCs w:val="18"/>
              </w:rPr>
              <w:t>▪ TC included in CPD (y/n):</w:t>
            </w:r>
          </w:p>
        </w:tc>
        <w:tc>
          <w:tcPr>
            <w:tcW w:w="6750" w:type="dxa"/>
          </w:tcPr>
          <w:p w:rsidR="00762253" w:rsidRDefault="006B43BC" w14:paraId="40EACD47" w14:textId="312946EE">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r>
              <w:rPr>
                <w:rFonts w:ascii="Arial" w:hAnsi="Arial" w:cs="Arial"/>
                <w:sz w:val="18"/>
                <w:szCs w:val="18"/>
              </w:rPr>
              <w:t>Yes</w:t>
            </w:r>
          </w:p>
        </w:tc>
      </w:tr>
      <w:tr w:rsidR="00762253" w14:paraId="02ED4D65" w14:textId="77777777">
        <w:trPr>
          <w:jc w:val="center"/>
        </w:trPr>
        <w:tc>
          <w:tcPr>
            <w:tcW w:w="5250" w:type="dxa"/>
          </w:tcPr>
          <w:p w:rsidR="00762253" w:rsidRDefault="006B43BC" w14:paraId="34DB2BEB" w14:textId="77777777">
            <w:pPr>
              <w:spacing w:before="40" w:after="40"/>
              <w:ind w:left="115" w:hanging="115"/>
            </w:pPr>
            <w:r>
              <w:rPr>
                <w:rFonts w:ascii="Arial" w:hAnsi="Arial" w:cs="Arial"/>
                <w:sz w:val="18"/>
                <w:szCs w:val="18"/>
              </w:rPr>
              <w:t>▪ Alignment to the Update to the Institutional Strategy 2010-2020:</w:t>
            </w:r>
          </w:p>
        </w:tc>
        <w:tc>
          <w:tcPr>
            <w:tcW w:w="6750" w:type="dxa"/>
          </w:tcPr>
          <w:p w:rsidR="00762253" w:rsidRDefault="006B43BC" w14:paraId="5730B71A" w14:textId="28BC4284">
            <w:pPr>
              <w:spacing w:before="40" w:after="40"/>
            </w:pPr>
            <w:r>
              <w:rPr>
                <w:rFonts w:ascii="Arial" w:hAnsi="Arial" w:cs="Arial"/>
                <w:sz w:val="18"/>
                <w:szCs w:val="18"/>
              </w:rPr>
              <w:t>Social inclusion and equality; Gender equality</w:t>
            </w:r>
          </w:p>
        </w:tc>
      </w:tr>
      <w:tr w:rsidR="00762253" w14:paraId="798761BB" w14:textId="77777777">
        <w:trPr>
          <w:jc w:val="center"/>
        </w:trPr>
        <w:tc>
          <w:tcPr>
            <w:tcW w:w="5250" w:type="dxa"/>
          </w:tcPr>
          <w:p w:rsidR="00762253" w:rsidRDefault="00762253" w14:paraId="64BED336" w14:textId="77777777"/>
        </w:tc>
        <w:tc>
          <w:tcPr>
            <w:tcW w:w="6750" w:type="dxa"/>
          </w:tcPr>
          <w:p w:rsidR="00762253" w:rsidRDefault="00762253" w14:paraId="07B9AF51" w14:textId="77777777"/>
        </w:tc>
      </w:tr>
    </w:tbl>
    <w:p w:rsidRPr="00840C94" w:rsidR="00762253" w:rsidRDefault="006B43BC" w14:paraId="59BD42AF" w14:textId="7830C2D2">
      <w:pPr>
        <w:spacing w:before="120" w:after="120"/>
        <w:ind w:left="579" w:hanging="579"/>
        <w:rPr>
          <w:lang w:val="es-ES"/>
        </w:rPr>
      </w:pPr>
      <w:r w:rsidRPr="00840C94">
        <w:rPr>
          <w:rFonts w:ascii="Arial" w:hAnsi="Arial" w:cs="Arial"/>
          <w:b/>
          <w:lang w:val="es-ES"/>
        </w:rPr>
        <w:t>II.</w:t>
      </w:r>
      <w:r w:rsidRPr="00840C94">
        <w:rPr>
          <w:rFonts w:ascii="Arial" w:hAnsi="Arial" w:cs="Arial"/>
          <w:b/>
          <w:lang w:val="es-ES"/>
        </w:rPr>
        <w:tab/>
      </w:r>
      <w:r w:rsidRPr="00840C94">
        <w:rPr>
          <w:rFonts w:ascii="Arial" w:hAnsi="Arial" w:cs="Arial"/>
          <w:b/>
          <w:lang w:val="es-ES"/>
        </w:rPr>
        <w:t>Objetiv</w:t>
      </w:r>
      <w:r w:rsidR="00C41ADF">
        <w:rPr>
          <w:rFonts w:ascii="Arial" w:hAnsi="Arial" w:cs="Arial"/>
          <w:b/>
          <w:lang w:val="es-ES"/>
        </w:rPr>
        <w:t>o</w:t>
      </w:r>
      <w:r w:rsidRPr="00840C94">
        <w:rPr>
          <w:rFonts w:ascii="Arial" w:hAnsi="Arial" w:cs="Arial"/>
          <w:b/>
          <w:lang w:val="es-ES"/>
        </w:rPr>
        <w:t xml:space="preserve"> </w:t>
      </w:r>
      <w:r w:rsidR="00C41ADF">
        <w:rPr>
          <w:rFonts w:ascii="Arial" w:hAnsi="Arial" w:cs="Arial"/>
          <w:b/>
          <w:lang w:val="es-ES"/>
        </w:rPr>
        <w:t xml:space="preserve">y </w:t>
      </w:r>
      <w:r w:rsidRPr="00840C94">
        <w:rPr>
          <w:rFonts w:ascii="Arial" w:hAnsi="Arial" w:cs="Arial"/>
          <w:b/>
          <w:lang w:val="es-ES"/>
        </w:rPr>
        <w:t>Justifica</w:t>
      </w:r>
      <w:r w:rsidR="00C41ADF">
        <w:rPr>
          <w:rFonts w:ascii="Arial" w:hAnsi="Arial" w:cs="Arial"/>
          <w:b/>
          <w:lang w:val="es-ES"/>
        </w:rPr>
        <w:t>ción</w:t>
      </w:r>
    </w:p>
    <w:p w:rsidR="00634D82" w:rsidRDefault="006B43BC" w14:paraId="023C7892" w14:textId="24BF5E36">
      <w:pPr>
        <w:spacing w:before="120" w:after="120"/>
        <w:ind w:left="579" w:hanging="579"/>
        <w:jc w:val="both"/>
        <w:rPr>
          <w:rFonts w:ascii="Arial" w:hAnsi="Arial" w:cs="Arial"/>
          <w:lang w:val="es-ES"/>
        </w:rPr>
      </w:pPr>
      <w:r w:rsidRPr="00840C94">
        <w:rPr>
          <w:rFonts w:ascii="Arial" w:hAnsi="Arial" w:cs="Arial"/>
          <w:lang w:val="es-ES"/>
        </w:rPr>
        <w:t>2.1</w:t>
      </w:r>
      <w:r w:rsidRPr="00840C94">
        <w:rPr>
          <w:rFonts w:ascii="Arial" w:hAnsi="Arial" w:cs="Arial"/>
          <w:lang w:val="es-ES"/>
        </w:rPr>
        <w:tab/>
      </w:r>
      <w:r w:rsidRPr="00840C94">
        <w:rPr>
          <w:rFonts w:ascii="Arial" w:hAnsi="Arial" w:cs="Arial"/>
          <w:lang w:val="es-ES"/>
        </w:rPr>
        <w:t>En 2003, la Organización de Naciones Unidas reconoció al deporte como una manera de avanzar el logro de las Objetivos del Milenio, y de fomentar el desarrollo y la paz</w:t>
      </w:r>
      <w:r w:rsidR="007A3F81">
        <w:rPr>
          <w:rStyle w:val="FootnoteReference"/>
          <w:rFonts w:ascii="Arial" w:hAnsi="Arial" w:cs="Arial"/>
          <w:lang w:val="es-ES"/>
        </w:rPr>
        <w:footnoteReference w:id="1"/>
      </w:r>
      <w:r w:rsidRPr="00840C94">
        <w:rPr>
          <w:rFonts w:ascii="Arial" w:hAnsi="Arial" w:cs="Arial"/>
          <w:lang w:val="es-ES"/>
        </w:rPr>
        <w:t xml:space="preserve">. Está documentado que el deporte sirve como un vehículo de promover habilidades sociales importantes, incluyendo trabajo en equipo, tolerancia, cooperación, perseverancia, confianza, liderazgo, entre otras. </w:t>
      </w:r>
      <w:r w:rsidR="00B917A1">
        <w:rPr>
          <w:rFonts w:ascii="Arial" w:hAnsi="Arial" w:cs="Arial"/>
          <w:lang w:val="es-ES"/>
        </w:rPr>
        <w:t>Ser</w:t>
      </w:r>
      <w:r w:rsidR="00840C94">
        <w:rPr>
          <w:rFonts w:ascii="Arial" w:hAnsi="Arial" w:cs="Arial"/>
          <w:lang w:val="es-ES"/>
        </w:rPr>
        <w:t xml:space="preserve"> miembro de un equipo deportivo </w:t>
      </w:r>
      <w:r w:rsidRPr="00840C94">
        <w:rPr>
          <w:rFonts w:ascii="Arial" w:hAnsi="Arial" w:cs="Arial"/>
          <w:lang w:val="es-ES"/>
        </w:rPr>
        <w:t>contribuye al bienestar psicológico, fisiológico y social, beneficiando tanto al participante como a la comunidad</w:t>
      </w:r>
      <w:r w:rsidR="00AD3237">
        <w:rPr>
          <w:rStyle w:val="FootnoteReference"/>
          <w:rFonts w:ascii="Arial" w:hAnsi="Arial" w:cs="Arial"/>
          <w:lang w:val="es-ES"/>
        </w:rPr>
        <w:footnoteReference w:id="2"/>
      </w:r>
      <w:r w:rsidR="00B917A1">
        <w:rPr>
          <w:rFonts w:ascii="Arial" w:hAnsi="Arial" w:cs="Arial"/>
          <w:lang w:val="es-ES"/>
        </w:rPr>
        <w:t xml:space="preserve">; promoviendo </w:t>
      </w:r>
      <w:r w:rsidRPr="00840C94">
        <w:rPr>
          <w:rFonts w:ascii="Arial" w:hAnsi="Arial" w:cs="Arial"/>
          <w:lang w:val="es-ES"/>
        </w:rPr>
        <w:t>la integración social y el desarrollo económico en diferentes contextos políticos, geográficos y culturales</w:t>
      </w:r>
      <w:r w:rsidR="00CF196E">
        <w:rPr>
          <w:rStyle w:val="FootnoteReference"/>
          <w:rFonts w:ascii="Arial" w:hAnsi="Arial" w:cs="Arial"/>
          <w:lang w:val="es-ES"/>
        </w:rPr>
        <w:footnoteReference w:id="3"/>
      </w:r>
      <w:r w:rsidRPr="00840C94">
        <w:rPr>
          <w:rFonts w:ascii="Arial" w:hAnsi="Arial" w:cs="Arial"/>
          <w:lang w:val="es-ES"/>
        </w:rPr>
        <w:t xml:space="preserve">. </w:t>
      </w:r>
      <w:r w:rsidR="00B90D89">
        <w:rPr>
          <w:rFonts w:ascii="Arial" w:hAnsi="Arial" w:cs="Arial"/>
          <w:lang w:val="es-ES"/>
        </w:rPr>
        <w:t xml:space="preserve">Por otro lado, la organización de equipos deportivos crea oportunidades de promover prácticas más </w:t>
      </w:r>
      <w:r w:rsidR="00634D82">
        <w:rPr>
          <w:rFonts w:ascii="Arial" w:hAnsi="Arial" w:cs="Arial"/>
          <w:lang w:val="es-ES"/>
        </w:rPr>
        <w:t xml:space="preserve">saludables en materia de nutrición, </w:t>
      </w:r>
      <w:r w:rsidR="00526860">
        <w:rPr>
          <w:rFonts w:ascii="Arial" w:hAnsi="Arial" w:cs="Arial"/>
          <w:lang w:val="es-ES"/>
        </w:rPr>
        <w:t>relaciones afectivas</w:t>
      </w:r>
      <w:r w:rsidR="00634D82">
        <w:rPr>
          <w:rFonts w:ascii="Arial" w:hAnsi="Arial" w:cs="Arial"/>
          <w:lang w:val="es-ES"/>
        </w:rPr>
        <w:t xml:space="preserve">, y autoestima para los miembros de los equipos y sus familiares.  </w:t>
      </w:r>
    </w:p>
    <w:p w:rsidR="00762253" w:rsidRDefault="00634D82" w14:paraId="4CB4283D" w14:textId="2E353FDD">
      <w:pPr>
        <w:spacing w:before="120" w:after="120"/>
        <w:ind w:left="579" w:hanging="579"/>
        <w:jc w:val="both"/>
        <w:rPr>
          <w:rFonts w:ascii="Arial" w:hAnsi="Arial" w:cs="Arial"/>
          <w:lang w:val="es-ES"/>
        </w:rPr>
      </w:pPr>
      <w:proofErr w:type="gramStart"/>
      <w:r>
        <w:rPr>
          <w:rFonts w:ascii="Arial" w:hAnsi="Arial" w:cs="Arial"/>
          <w:lang w:val="es-ES"/>
        </w:rPr>
        <w:t xml:space="preserve">2.2  </w:t>
      </w:r>
      <w:r w:rsidRPr="00840C94" w:rsidR="006B43BC">
        <w:rPr>
          <w:rFonts w:ascii="Arial" w:hAnsi="Arial" w:cs="Arial"/>
          <w:lang w:val="es-ES"/>
        </w:rPr>
        <w:t>En</w:t>
      </w:r>
      <w:proofErr w:type="gramEnd"/>
      <w:r w:rsidRPr="00840C94" w:rsidR="006B43BC">
        <w:rPr>
          <w:rFonts w:ascii="Arial" w:hAnsi="Arial" w:cs="Arial"/>
          <w:lang w:val="es-ES"/>
        </w:rPr>
        <w:t xml:space="preserve"> Nicaragua, la práctica del beisbol tiene una larga historia a nivel nacional y comunitario: más de 16 nicaragüenses han debutado en las Grandes Ligas de EEUU;</w:t>
      </w:r>
      <w:r w:rsidR="00B917A1">
        <w:rPr>
          <w:rFonts w:ascii="Arial" w:hAnsi="Arial" w:cs="Arial"/>
          <w:lang w:val="es-ES"/>
        </w:rPr>
        <w:t xml:space="preserve"> </w:t>
      </w:r>
      <w:r w:rsidRPr="00840C94" w:rsidR="006B43BC">
        <w:rPr>
          <w:rFonts w:ascii="Arial" w:hAnsi="Arial" w:cs="Arial"/>
          <w:lang w:val="es-ES"/>
        </w:rPr>
        <w:t>en 2017</w:t>
      </w:r>
      <w:r w:rsidR="00B917A1">
        <w:rPr>
          <w:rFonts w:ascii="Arial" w:hAnsi="Arial" w:cs="Arial"/>
          <w:lang w:val="es-ES"/>
        </w:rPr>
        <w:t>,</w:t>
      </w:r>
      <w:r w:rsidRPr="00840C94" w:rsidR="006B43BC">
        <w:rPr>
          <w:rFonts w:ascii="Arial" w:hAnsi="Arial" w:cs="Arial"/>
          <w:lang w:val="es-ES"/>
        </w:rPr>
        <w:t xml:space="preserve"> las selecciones sub-14 y sub-10 gana</w:t>
      </w:r>
      <w:r w:rsidR="00B917A1">
        <w:rPr>
          <w:rFonts w:ascii="Arial" w:hAnsi="Arial" w:cs="Arial"/>
          <w:lang w:val="es-ES"/>
        </w:rPr>
        <w:t xml:space="preserve">ron </w:t>
      </w:r>
      <w:r w:rsidRPr="00840C94" w:rsidR="006B43BC">
        <w:rPr>
          <w:rFonts w:ascii="Arial" w:hAnsi="Arial" w:cs="Arial"/>
          <w:lang w:val="es-ES"/>
        </w:rPr>
        <w:t xml:space="preserve">en sus respectivos campeonatos panamericanos, logrando cada vez más la consolidación de la </w:t>
      </w:r>
      <w:r w:rsidR="00B917A1">
        <w:rPr>
          <w:rFonts w:ascii="Arial" w:hAnsi="Arial" w:cs="Arial"/>
          <w:lang w:val="es-ES"/>
        </w:rPr>
        <w:t>F</w:t>
      </w:r>
      <w:r w:rsidRPr="00840C94" w:rsidR="006B43BC">
        <w:rPr>
          <w:rFonts w:ascii="Arial" w:hAnsi="Arial" w:cs="Arial"/>
          <w:lang w:val="es-ES"/>
        </w:rPr>
        <w:t xml:space="preserve">ederación que las </w:t>
      </w:r>
      <w:r w:rsidRPr="00840C94" w:rsidR="006B43BC">
        <w:rPr>
          <w:rFonts w:ascii="Arial" w:hAnsi="Arial" w:cs="Arial"/>
          <w:lang w:val="es-ES"/>
        </w:rPr>
        <w:lastRenderedPageBreak/>
        <w:t>representa</w:t>
      </w:r>
      <w:r w:rsidR="0027359B">
        <w:rPr>
          <w:rStyle w:val="FootnoteReference"/>
          <w:rFonts w:ascii="Arial" w:hAnsi="Arial" w:cs="Arial"/>
          <w:lang w:val="es-ES"/>
        </w:rPr>
        <w:footnoteReference w:id="4"/>
      </w:r>
      <w:r w:rsidRPr="00840C94" w:rsidR="006B43BC">
        <w:rPr>
          <w:rFonts w:ascii="Arial" w:hAnsi="Arial" w:cs="Arial"/>
          <w:lang w:val="es-ES"/>
        </w:rPr>
        <w:t>. Si bien existen ligas de beisbol para niños que demuestran cierta capacidad competitiva deportista, antes de la realización del proyecto de cooperación técnica NI-T1256, Inclusión Social a Través del Beisbol, actualmente en ejecución, no existían oportunidades para niños y niñas para aprender el juego y disfrutar la participación en un equipo no competitivo. Cabe destacar que</w:t>
      </w:r>
      <w:r w:rsidR="00526860">
        <w:rPr>
          <w:rFonts w:ascii="Arial" w:hAnsi="Arial" w:cs="Arial"/>
          <w:lang w:val="es-ES"/>
        </w:rPr>
        <w:t>,</w:t>
      </w:r>
      <w:r w:rsidRPr="00840C94" w:rsidR="006B43BC">
        <w:rPr>
          <w:rFonts w:ascii="Arial" w:hAnsi="Arial" w:cs="Arial"/>
          <w:lang w:val="es-ES"/>
        </w:rPr>
        <w:t xml:space="preserve"> </w:t>
      </w:r>
      <w:r w:rsidR="00B90D89">
        <w:rPr>
          <w:rFonts w:ascii="Arial" w:hAnsi="Arial" w:cs="Arial"/>
          <w:lang w:val="es-ES"/>
        </w:rPr>
        <w:t>como aspecto clave de su diseño, el proyecto</w:t>
      </w:r>
      <w:r w:rsidRPr="00840C94" w:rsidR="006B43BC">
        <w:rPr>
          <w:rFonts w:ascii="Arial" w:hAnsi="Arial" w:cs="Arial"/>
          <w:lang w:val="es-ES"/>
        </w:rPr>
        <w:t xml:space="preserve"> NI-T1256 </w:t>
      </w:r>
      <w:r w:rsidR="00B90D89">
        <w:rPr>
          <w:rFonts w:ascii="Arial" w:hAnsi="Arial" w:cs="Arial"/>
          <w:lang w:val="es-ES"/>
        </w:rPr>
        <w:t>fue pionero en crear</w:t>
      </w:r>
      <w:r w:rsidRPr="00840C94" w:rsidR="006B43BC">
        <w:rPr>
          <w:rFonts w:ascii="Arial" w:hAnsi="Arial" w:cs="Arial"/>
          <w:lang w:val="es-ES"/>
        </w:rPr>
        <w:t xml:space="preserve"> oportunidad</w:t>
      </w:r>
      <w:r w:rsidR="00B90D89">
        <w:rPr>
          <w:rFonts w:ascii="Arial" w:hAnsi="Arial" w:cs="Arial"/>
          <w:lang w:val="es-ES"/>
        </w:rPr>
        <w:t>es</w:t>
      </w:r>
      <w:r w:rsidRPr="00840C94" w:rsidR="006B43BC">
        <w:rPr>
          <w:rFonts w:ascii="Arial" w:hAnsi="Arial" w:cs="Arial"/>
          <w:lang w:val="es-ES"/>
        </w:rPr>
        <w:t xml:space="preserve"> para niñas que tienen interés en aprender jugar </w:t>
      </w:r>
      <w:r w:rsidR="00C41ADF">
        <w:rPr>
          <w:rFonts w:ascii="Arial" w:hAnsi="Arial" w:cs="Arial"/>
          <w:lang w:val="es-ES"/>
        </w:rPr>
        <w:t xml:space="preserve">y ser miembro de un equipo de </w:t>
      </w:r>
      <w:r w:rsidRPr="00840C94" w:rsidR="006B43BC">
        <w:rPr>
          <w:rFonts w:ascii="Arial" w:hAnsi="Arial" w:cs="Arial"/>
          <w:lang w:val="es-ES"/>
        </w:rPr>
        <w:t>beisbol</w:t>
      </w:r>
      <w:r w:rsidR="004A62CF">
        <w:rPr>
          <w:rFonts w:ascii="Arial" w:hAnsi="Arial" w:cs="Arial"/>
          <w:lang w:val="es-ES"/>
        </w:rPr>
        <w:t>. L</w:t>
      </w:r>
      <w:r w:rsidRPr="00840C94" w:rsidR="006B43BC">
        <w:rPr>
          <w:rFonts w:ascii="Arial" w:hAnsi="Arial" w:cs="Arial"/>
          <w:lang w:val="es-ES"/>
        </w:rPr>
        <w:t xml:space="preserve">a ejecución de dicho proyecto ha permitido la incorporación de más de 20 niñas en equipos comunitarios, y </w:t>
      </w:r>
      <w:r w:rsidR="004A62CF">
        <w:rPr>
          <w:rFonts w:ascii="Arial" w:hAnsi="Arial" w:cs="Arial"/>
          <w:lang w:val="es-ES"/>
        </w:rPr>
        <w:t xml:space="preserve">de </w:t>
      </w:r>
      <w:r w:rsidRPr="00840C94" w:rsidR="006B43BC">
        <w:rPr>
          <w:rFonts w:ascii="Arial" w:hAnsi="Arial" w:cs="Arial"/>
          <w:lang w:val="es-ES"/>
        </w:rPr>
        <w:t xml:space="preserve">2 entrenadoras mujeres. </w:t>
      </w:r>
      <w:r w:rsidR="0016252A">
        <w:rPr>
          <w:rFonts w:ascii="Arial" w:hAnsi="Arial" w:cs="Arial"/>
          <w:lang w:val="es-ES"/>
        </w:rPr>
        <w:t>Se espera que e</w:t>
      </w:r>
      <w:r w:rsidRPr="00840C94" w:rsidR="006B43BC">
        <w:rPr>
          <w:rFonts w:ascii="Arial" w:hAnsi="Arial" w:cs="Arial"/>
          <w:lang w:val="es-ES"/>
        </w:rPr>
        <w:t>st</w:t>
      </w:r>
      <w:r w:rsidR="00AA372B">
        <w:rPr>
          <w:rFonts w:ascii="Arial" w:hAnsi="Arial" w:cs="Arial"/>
          <w:lang w:val="es-ES"/>
        </w:rPr>
        <w:t>a</w:t>
      </w:r>
      <w:r w:rsidRPr="00840C94" w:rsidR="006B43BC">
        <w:rPr>
          <w:rFonts w:ascii="Arial" w:hAnsi="Arial" w:cs="Arial"/>
          <w:lang w:val="es-ES"/>
        </w:rPr>
        <w:t xml:space="preserve"> experiencia </w:t>
      </w:r>
      <w:r w:rsidR="0016252A">
        <w:rPr>
          <w:rFonts w:ascii="Arial" w:hAnsi="Arial" w:cs="Arial"/>
          <w:lang w:val="es-ES"/>
        </w:rPr>
        <w:t>siga</w:t>
      </w:r>
      <w:r w:rsidRPr="00840C94" w:rsidR="0016252A">
        <w:rPr>
          <w:rFonts w:ascii="Arial" w:hAnsi="Arial" w:cs="Arial"/>
          <w:lang w:val="es-ES"/>
        </w:rPr>
        <w:t xml:space="preserve"> </w:t>
      </w:r>
      <w:r w:rsidRPr="00840C94" w:rsidR="006B43BC">
        <w:rPr>
          <w:rFonts w:ascii="Arial" w:hAnsi="Arial" w:cs="Arial"/>
          <w:lang w:val="es-ES"/>
        </w:rPr>
        <w:t>contribuyendo a</w:t>
      </w:r>
      <w:r w:rsidR="00AA372B">
        <w:rPr>
          <w:rFonts w:ascii="Arial" w:hAnsi="Arial" w:cs="Arial"/>
          <w:lang w:val="es-ES"/>
        </w:rPr>
        <w:t xml:space="preserve"> generar un cambio en las </w:t>
      </w:r>
      <w:r w:rsidRPr="00840C94" w:rsidR="006B43BC">
        <w:rPr>
          <w:rFonts w:ascii="Arial" w:hAnsi="Arial" w:cs="Arial"/>
          <w:lang w:val="es-ES"/>
        </w:rPr>
        <w:t>normas socioculturales que inhib</w:t>
      </w:r>
      <w:r w:rsidR="0016252A">
        <w:rPr>
          <w:rFonts w:ascii="Arial" w:hAnsi="Arial" w:cs="Arial"/>
          <w:lang w:val="es-ES"/>
        </w:rPr>
        <w:t>en</w:t>
      </w:r>
      <w:r w:rsidRPr="00840C94" w:rsidR="006B43BC">
        <w:rPr>
          <w:rFonts w:ascii="Arial" w:hAnsi="Arial" w:cs="Arial"/>
          <w:lang w:val="es-ES"/>
        </w:rPr>
        <w:t xml:space="preserve"> a que niñas y mujeres particip</w:t>
      </w:r>
      <w:r w:rsidR="0016252A">
        <w:rPr>
          <w:rFonts w:ascii="Arial" w:hAnsi="Arial" w:cs="Arial"/>
          <w:lang w:val="es-ES"/>
        </w:rPr>
        <w:t>en</w:t>
      </w:r>
      <w:r w:rsidRPr="00840C94" w:rsidR="006B43BC">
        <w:rPr>
          <w:rFonts w:ascii="Arial" w:hAnsi="Arial" w:cs="Arial"/>
          <w:lang w:val="es-ES"/>
        </w:rPr>
        <w:t xml:space="preserve"> </w:t>
      </w:r>
      <w:r w:rsidR="00AA372B">
        <w:rPr>
          <w:rFonts w:ascii="Arial" w:hAnsi="Arial" w:cs="Arial"/>
          <w:lang w:val="es-ES"/>
        </w:rPr>
        <w:t>en este</w:t>
      </w:r>
      <w:r w:rsidRPr="00840C94" w:rsidR="006B43BC">
        <w:rPr>
          <w:rFonts w:ascii="Arial" w:hAnsi="Arial" w:cs="Arial"/>
          <w:lang w:val="es-ES"/>
        </w:rPr>
        <w:t xml:space="preserve"> deporte</w:t>
      </w:r>
      <w:r w:rsidR="0016252A">
        <w:rPr>
          <w:rFonts w:ascii="Arial" w:hAnsi="Arial" w:cs="Arial"/>
          <w:lang w:val="es-ES"/>
        </w:rPr>
        <w:t xml:space="preserve">, </w:t>
      </w:r>
      <w:r w:rsidR="00B90D89">
        <w:rPr>
          <w:rFonts w:ascii="Arial" w:hAnsi="Arial" w:cs="Arial"/>
          <w:lang w:val="es-ES"/>
        </w:rPr>
        <w:t>el cual ha sido</w:t>
      </w:r>
      <w:r w:rsidR="0016252A">
        <w:rPr>
          <w:rFonts w:ascii="Arial" w:hAnsi="Arial" w:cs="Arial"/>
          <w:lang w:val="es-ES"/>
        </w:rPr>
        <w:t xml:space="preserve"> mayormente destinado a niños</w:t>
      </w:r>
      <w:r w:rsidR="00B90D89">
        <w:rPr>
          <w:rFonts w:ascii="Arial" w:hAnsi="Arial" w:cs="Arial"/>
          <w:lang w:val="es-ES"/>
        </w:rPr>
        <w:t xml:space="preserve"> y hombres</w:t>
      </w:r>
      <w:r w:rsidRPr="00840C94" w:rsidR="006B43BC">
        <w:rPr>
          <w:rFonts w:ascii="Arial" w:hAnsi="Arial" w:cs="Arial"/>
          <w:lang w:val="es-ES"/>
        </w:rPr>
        <w:t>.</w:t>
      </w:r>
    </w:p>
    <w:p w:rsidR="009323C2" w:rsidP="009323C2" w:rsidRDefault="006B43BC" w14:paraId="4A172570" w14:textId="6CC0F246">
      <w:pPr>
        <w:spacing w:before="120" w:after="120"/>
        <w:ind w:left="579" w:hanging="579"/>
        <w:jc w:val="both"/>
        <w:rPr>
          <w:rFonts w:ascii="Arial" w:hAnsi="Arial" w:cs="Arial"/>
          <w:lang w:val="es-ES"/>
        </w:rPr>
      </w:pPr>
      <w:r w:rsidRPr="00840C94">
        <w:rPr>
          <w:rFonts w:ascii="Arial" w:hAnsi="Arial" w:cs="Arial"/>
          <w:lang w:val="es-ES"/>
        </w:rPr>
        <w:t>2.2</w:t>
      </w:r>
      <w:r w:rsidRPr="00840C94">
        <w:rPr>
          <w:rFonts w:ascii="Arial" w:hAnsi="Arial" w:cs="Arial"/>
          <w:lang w:val="es-ES"/>
        </w:rPr>
        <w:tab/>
      </w:r>
      <w:r w:rsidRPr="00840C94">
        <w:rPr>
          <w:rFonts w:ascii="Arial" w:hAnsi="Arial" w:cs="Arial"/>
          <w:lang w:val="es-ES"/>
        </w:rPr>
        <w:t xml:space="preserve">La ejecución del proyecto de cooperación técnica NI-T1256 está demostrando cómo el deporte comunitario juvenil funciona como un medio para integrar a los miembros de las comunidades que antes tenían bajos niveles de integración. En el proyecto mencionado, se está logrando niveles importantes de integración social entre los organizadores de equipos, padres y madres de familia, los/las jugadores, entrenadores, árbitros, proveedores de bienes, y otros. </w:t>
      </w:r>
      <w:r w:rsidR="00E52494">
        <w:rPr>
          <w:rFonts w:ascii="Arial" w:hAnsi="Arial" w:cs="Arial"/>
          <w:lang w:val="es-ES"/>
        </w:rPr>
        <w:t xml:space="preserve">Actualmente participan </w:t>
      </w:r>
      <w:r w:rsidRPr="0099686D" w:rsidR="00E52494">
        <w:rPr>
          <w:rFonts w:ascii="Arial" w:hAnsi="Arial" w:cs="Arial"/>
          <w:lang w:val="es-ES"/>
        </w:rPr>
        <w:t>7 comunidades</w:t>
      </w:r>
      <w:r w:rsidRPr="009323C2" w:rsidR="00E52494">
        <w:rPr>
          <w:vertAlign w:val="superscript"/>
          <w:lang w:val="es-ES"/>
        </w:rPr>
        <w:footnoteReference w:id="5"/>
      </w:r>
      <w:r w:rsidRPr="0099686D" w:rsidR="00E52494">
        <w:rPr>
          <w:rFonts w:ascii="Arial" w:hAnsi="Arial" w:cs="Arial"/>
          <w:lang w:val="es-ES"/>
        </w:rPr>
        <w:t xml:space="preserve"> en las cuales se benefician a </w:t>
      </w:r>
      <w:r w:rsidR="009323C2">
        <w:rPr>
          <w:rFonts w:ascii="Arial" w:hAnsi="Arial" w:cs="Arial"/>
          <w:lang w:val="es-ES"/>
        </w:rPr>
        <w:t>196</w:t>
      </w:r>
      <w:r w:rsidRPr="0099686D" w:rsidR="00E52494">
        <w:rPr>
          <w:rFonts w:ascii="Arial" w:hAnsi="Arial" w:cs="Arial"/>
          <w:lang w:val="es-ES"/>
        </w:rPr>
        <w:t xml:space="preserve"> niños y </w:t>
      </w:r>
      <w:r w:rsidR="009323C2">
        <w:rPr>
          <w:rFonts w:ascii="Arial" w:hAnsi="Arial" w:cs="Arial"/>
          <w:lang w:val="es-ES"/>
        </w:rPr>
        <w:t xml:space="preserve">20 </w:t>
      </w:r>
      <w:r w:rsidRPr="0099686D" w:rsidR="00E52494">
        <w:rPr>
          <w:rFonts w:ascii="Arial" w:hAnsi="Arial" w:cs="Arial"/>
          <w:lang w:val="es-ES"/>
        </w:rPr>
        <w:t>niñas de las dos categorías (infantil y junio</w:t>
      </w:r>
      <w:r w:rsidR="009323C2">
        <w:rPr>
          <w:rFonts w:ascii="Arial" w:hAnsi="Arial" w:cs="Arial"/>
          <w:lang w:val="es-ES"/>
        </w:rPr>
        <w:t>r</w:t>
      </w:r>
      <w:r w:rsidRPr="0099686D" w:rsidR="00E52494">
        <w:rPr>
          <w:rFonts w:ascii="Arial" w:hAnsi="Arial" w:cs="Arial"/>
          <w:lang w:val="es-ES"/>
        </w:rPr>
        <w:t>s)</w:t>
      </w:r>
      <w:r w:rsidR="009323C2">
        <w:rPr>
          <w:rFonts w:ascii="Arial" w:hAnsi="Arial" w:cs="Arial"/>
          <w:lang w:val="es-ES"/>
        </w:rPr>
        <w:t>.</w:t>
      </w:r>
      <w:r w:rsidR="009323C2">
        <w:rPr>
          <w:rStyle w:val="FootnoteReference"/>
          <w:rFonts w:ascii="Arial" w:hAnsi="Arial" w:cs="Arial"/>
          <w:lang w:val="es-ES"/>
        </w:rPr>
        <w:footnoteReference w:id="6"/>
      </w:r>
      <w:r w:rsidRPr="0099686D" w:rsidR="00E52494">
        <w:rPr>
          <w:rFonts w:ascii="Arial" w:hAnsi="Arial" w:cs="Arial"/>
          <w:lang w:val="es-ES"/>
        </w:rPr>
        <w:t xml:space="preserve"> </w:t>
      </w:r>
    </w:p>
    <w:p w:rsidR="001C3A49" w:rsidP="009323C2" w:rsidRDefault="009323C2" w14:paraId="43AA33CA" w14:textId="53A0C241">
      <w:pPr>
        <w:spacing w:before="120" w:after="120"/>
        <w:ind w:left="579" w:hanging="579"/>
        <w:jc w:val="both"/>
        <w:rPr>
          <w:rFonts w:ascii="Arial" w:hAnsi="Arial" w:cs="Arial"/>
          <w:lang w:val="es-ES"/>
        </w:rPr>
      </w:pPr>
      <w:r>
        <w:rPr>
          <w:rFonts w:ascii="Arial" w:hAnsi="Arial" w:cs="Arial"/>
          <w:lang w:val="es-ES"/>
        </w:rPr>
        <w:t xml:space="preserve">2.3     </w:t>
      </w:r>
      <w:r w:rsidRPr="00840C94" w:rsidR="006B43BC">
        <w:rPr>
          <w:rFonts w:ascii="Arial" w:hAnsi="Arial" w:cs="Arial"/>
          <w:lang w:val="es-ES"/>
        </w:rPr>
        <w:t xml:space="preserve">Dicha integración ha conllevado a un empoderamiento inesperado de las comunidades involucradas en el proyecto. </w:t>
      </w:r>
      <w:r w:rsidR="00597F3C">
        <w:rPr>
          <w:rFonts w:ascii="Arial" w:hAnsi="Arial" w:cs="Arial"/>
          <w:lang w:val="es-ES"/>
        </w:rPr>
        <w:t>Las nuevas</w:t>
      </w:r>
      <w:r w:rsidR="00840C94">
        <w:rPr>
          <w:rFonts w:ascii="Arial" w:hAnsi="Arial" w:cs="Arial"/>
          <w:lang w:val="es-ES"/>
        </w:rPr>
        <w:t xml:space="preserve"> estructuras para organizar y realizar los juegos, ordenar y limpiar los campos, participar en charlas y actividades orientadas al bienestar personal y familiar, gestionar donaci</w:t>
      </w:r>
      <w:r w:rsidR="00597F3C">
        <w:rPr>
          <w:rFonts w:ascii="Arial" w:hAnsi="Arial" w:cs="Arial"/>
          <w:lang w:val="es-ES"/>
        </w:rPr>
        <w:t xml:space="preserve">ones </w:t>
      </w:r>
      <w:r w:rsidR="00840C94">
        <w:rPr>
          <w:rFonts w:ascii="Arial" w:hAnsi="Arial" w:cs="Arial"/>
          <w:lang w:val="es-ES"/>
        </w:rPr>
        <w:t>de materiales y bienes para los equipos</w:t>
      </w:r>
      <w:r w:rsidR="00597F3C">
        <w:rPr>
          <w:rFonts w:ascii="Arial" w:hAnsi="Arial" w:cs="Arial"/>
          <w:lang w:val="es-ES"/>
        </w:rPr>
        <w:t>, etc.</w:t>
      </w:r>
      <w:r w:rsidR="00840C94">
        <w:rPr>
          <w:rFonts w:ascii="Arial" w:hAnsi="Arial" w:cs="Arial"/>
          <w:lang w:val="es-ES"/>
        </w:rPr>
        <w:t xml:space="preserve"> están motivando a los miembros de las comunidades, aglutinándolos de </w:t>
      </w:r>
      <w:r w:rsidR="00597F3C">
        <w:rPr>
          <w:rFonts w:ascii="Arial" w:hAnsi="Arial" w:cs="Arial"/>
          <w:lang w:val="es-ES"/>
        </w:rPr>
        <w:t>manera</w:t>
      </w:r>
      <w:r w:rsidR="00840C94">
        <w:rPr>
          <w:rFonts w:ascii="Arial" w:hAnsi="Arial" w:cs="Arial"/>
          <w:lang w:val="es-ES"/>
        </w:rPr>
        <w:t xml:space="preserve"> que </w:t>
      </w:r>
      <w:r w:rsidR="00597F3C">
        <w:rPr>
          <w:rFonts w:ascii="Arial" w:hAnsi="Arial" w:cs="Arial"/>
          <w:lang w:val="es-ES"/>
        </w:rPr>
        <w:t>no se preveía</w:t>
      </w:r>
      <w:r w:rsidR="000F28D2">
        <w:rPr>
          <w:rFonts w:ascii="Arial" w:hAnsi="Arial" w:cs="Arial"/>
          <w:lang w:val="es-ES"/>
        </w:rPr>
        <w:t xml:space="preserve">, y que da señales muy prometedoras. </w:t>
      </w:r>
    </w:p>
    <w:p w:rsidR="00526860" w:rsidP="009323C2" w:rsidRDefault="001C3A49" w14:paraId="1D6ED3BC" w14:textId="4CB1B407">
      <w:pPr>
        <w:spacing w:before="120" w:after="120"/>
        <w:ind w:left="579" w:hanging="579"/>
        <w:jc w:val="both"/>
        <w:rPr>
          <w:rFonts w:ascii="Arial" w:hAnsi="Arial" w:cs="Arial"/>
          <w:lang w:val="es-ES"/>
        </w:rPr>
      </w:pPr>
      <w:r>
        <w:rPr>
          <w:rFonts w:ascii="Arial" w:hAnsi="Arial" w:cs="Arial"/>
          <w:lang w:val="es-ES"/>
        </w:rPr>
        <w:t xml:space="preserve">2.4 </w:t>
      </w:r>
      <w:r>
        <w:rPr>
          <w:rFonts w:ascii="Arial" w:hAnsi="Arial" w:cs="Arial"/>
          <w:lang w:val="es-ES"/>
        </w:rPr>
        <w:tab/>
      </w:r>
      <w:r w:rsidR="00597F3C">
        <w:rPr>
          <w:rFonts w:ascii="Arial" w:hAnsi="Arial" w:cs="Arial"/>
          <w:lang w:val="es-ES"/>
        </w:rPr>
        <w:t xml:space="preserve">La operación actualmente en ejecución pone el énfasis en aprovechar la participación en un equipo de beisbol para fomentar el desarrollo socioemocional de los y las niños y niñas jugadores. </w:t>
      </w:r>
      <w:r>
        <w:rPr>
          <w:rFonts w:ascii="Arial" w:hAnsi="Arial" w:cs="Arial"/>
          <w:lang w:val="es-ES"/>
        </w:rPr>
        <w:t xml:space="preserve">El objetivo de la </w:t>
      </w:r>
      <w:r w:rsidRPr="00840C94" w:rsidR="006B43BC">
        <w:rPr>
          <w:rFonts w:ascii="Arial" w:hAnsi="Arial" w:cs="Arial"/>
          <w:lang w:val="es-ES"/>
        </w:rPr>
        <w:t xml:space="preserve">nueva operación </w:t>
      </w:r>
      <w:r w:rsidR="0065781C">
        <w:rPr>
          <w:rFonts w:ascii="Arial" w:hAnsi="Arial" w:cs="Arial"/>
          <w:lang w:val="es-ES"/>
        </w:rPr>
        <w:t>sería de</w:t>
      </w:r>
      <w:r w:rsidR="00D535A1">
        <w:rPr>
          <w:rFonts w:ascii="Arial" w:hAnsi="Arial" w:cs="Arial"/>
          <w:lang w:val="es-ES"/>
        </w:rPr>
        <w:t xml:space="preserve"> seguir fomentando las habilidades socioemocionales de los y las jóvenes participantes, y también de</w:t>
      </w:r>
      <w:r w:rsidRPr="00840C94" w:rsidR="006B43BC">
        <w:rPr>
          <w:rFonts w:ascii="Arial" w:hAnsi="Arial" w:cs="Arial"/>
          <w:lang w:val="es-ES"/>
        </w:rPr>
        <w:t xml:space="preserve"> </w:t>
      </w:r>
      <w:r w:rsidR="0065781C">
        <w:rPr>
          <w:rFonts w:ascii="Arial" w:hAnsi="Arial" w:cs="Arial"/>
          <w:lang w:val="es-ES"/>
        </w:rPr>
        <w:t xml:space="preserve">aprovechar la formación de ligas comunitarias de beisbol para </w:t>
      </w:r>
      <w:r w:rsidRPr="00840C94" w:rsidR="006B43BC">
        <w:rPr>
          <w:rFonts w:ascii="Arial" w:hAnsi="Arial" w:cs="Arial"/>
          <w:lang w:val="es-ES"/>
        </w:rPr>
        <w:t xml:space="preserve">fortalecer </w:t>
      </w:r>
      <w:r w:rsidR="0065781C">
        <w:rPr>
          <w:rFonts w:ascii="Arial" w:hAnsi="Arial" w:cs="Arial"/>
          <w:lang w:val="es-ES"/>
        </w:rPr>
        <w:t xml:space="preserve">el </w:t>
      </w:r>
      <w:r w:rsidRPr="00840C94" w:rsidR="006B43BC">
        <w:rPr>
          <w:rFonts w:ascii="Arial" w:hAnsi="Arial" w:cs="Arial"/>
          <w:lang w:val="es-ES"/>
        </w:rPr>
        <w:t xml:space="preserve">empoderamiento y la correspondiente gestión comunitaria que está naciendo a raíz del NI-T1256. </w:t>
      </w:r>
      <w:r w:rsidR="00BF4E58">
        <w:rPr>
          <w:rFonts w:ascii="Arial" w:hAnsi="Arial" w:cs="Arial"/>
          <w:lang w:val="es-ES"/>
        </w:rPr>
        <w:t xml:space="preserve">Esta TC incluye dos innovaciones. La primera innovación </w:t>
      </w:r>
      <w:r>
        <w:rPr>
          <w:rFonts w:ascii="Arial" w:hAnsi="Arial" w:cs="Arial"/>
          <w:lang w:val="es-ES"/>
        </w:rPr>
        <w:t>consiste en aprovechar el</w:t>
      </w:r>
      <w:r w:rsidR="0065781C">
        <w:rPr>
          <w:rFonts w:ascii="Arial" w:hAnsi="Arial" w:cs="Arial"/>
          <w:lang w:val="es-ES"/>
        </w:rPr>
        <w:t xml:space="preserve"> marco de la organización de las ligas comunitarias de beisbol </w:t>
      </w:r>
      <w:r>
        <w:rPr>
          <w:rFonts w:ascii="Arial" w:hAnsi="Arial" w:cs="Arial"/>
          <w:lang w:val="es-ES"/>
        </w:rPr>
        <w:t xml:space="preserve">para </w:t>
      </w:r>
      <w:r w:rsidRPr="00840C94" w:rsidR="006B43BC">
        <w:rPr>
          <w:rFonts w:ascii="Arial" w:hAnsi="Arial" w:cs="Arial"/>
          <w:lang w:val="es-ES"/>
        </w:rPr>
        <w:t>brindar</w:t>
      </w:r>
      <w:r>
        <w:rPr>
          <w:rFonts w:ascii="Arial" w:hAnsi="Arial" w:cs="Arial"/>
          <w:lang w:val="es-ES"/>
        </w:rPr>
        <w:t xml:space="preserve"> </w:t>
      </w:r>
      <w:r w:rsidRPr="00840C94" w:rsidR="006B43BC">
        <w:rPr>
          <w:rFonts w:ascii="Arial" w:hAnsi="Arial" w:cs="Arial"/>
          <w:lang w:val="es-ES"/>
        </w:rPr>
        <w:t xml:space="preserve">capacitación y herramientas </w:t>
      </w:r>
      <w:r w:rsidRPr="00840C94">
        <w:rPr>
          <w:rFonts w:ascii="Arial" w:hAnsi="Arial" w:cs="Arial"/>
          <w:lang w:val="es-ES"/>
        </w:rPr>
        <w:t xml:space="preserve">a </w:t>
      </w:r>
      <w:r w:rsidR="00BF4E58">
        <w:rPr>
          <w:rFonts w:ascii="Arial" w:hAnsi="Arial" w:cs="Arial"/>
          <w:lang w:val="es-ES"/>
        </w:rPr>
        <w:t xml:space="preserve">los miembros de las </w:t>
      </w:r>
      <w:r w:rsidRPr="00840C94">
        <w:rPr>
          <w:rFonts w:ascii="Arial" w:hAnsi="Arial" w:cs="Arial"/>
          <w:lang w:val="es-ES"/>
        </w:rPr>
        <w:t xml:space="preserve">comunidades </w:t>
      </w:r>
      <w:r w:rsidRPr="00840C94" w:rsidR="006B43BC">
        <w:rPr>
          <w:rFonts w:ascii="Arial" w:hAnsi="Arial" w:cs="Arial"/>
          <w:lang w:val="es-ES"/>
        </w:rPr>
        <w:t>que les permitirá realizar gestiones de manera más estructurada y sostenible</w:t>
      </w:r>
      <w:r>
        <w:rPr>
          <w:rFonts w:ascii="Arial" w:hAnsi="Arial" w:cs="Arial"/>
          <w:lang w:val="es-ES"/>
        </w:rPr>
        <w:t xml:space="preserve">. </w:t>
      </w:r>
      <w:r w:rsidR="00C34986">
        <w:rPr>
          <w:rFonts w:ascii="Arial" w:hAnsi="Arial" w:cs="Arial"/>
          <w:lang w:val="es-ES"/>
        </w:rPr>
        <w:t xml:space="preserve"> </w:t>
      </w:r>
      <w:r w:rsidRPr="00C34986" w:rsidR="00C34986">
        <w:rPr>
          <w:rFonts w:ascii="Arial" w:hAnsi="Arial" w:cs="Arial"/>
          <w:lang w:val="es-ES"/>
        </w:rPr>
        <w:t>Existe evidencia de que demuestra la eficacia del deporte en contribuir a fortalecer habilidades, conocimiento y recursos, así como de incrementar cohesi</w:t>
      </w:r>
      <w:r w:rsidR="00C34986">
        <w:rPr>
          <w:rFonts w:ascii="Arial" w:hAnsi="Arial" w:cs="Arial"/>
          <w:lang w:val="es-ES"/>
        </w:rPr>
        <w:t>ó</w:t>
      </w:r>
      <w:r w:rsidRPr="00C34986" w:rsidR="00C34986">
        <w:rPr>
          <w:rFonts w:ascii="Arial" w:hAnsi="Arial" w:cs="Arial"/>
          <w:lang w:val="es-ES"/>
        </w:rPr>
        <w:t>n social al ni</w:t>
      </w:r>
      <w:r w:rsidR="00C34986">
        <w:rPr>
          <w:rFonts w:ascii="Arial" w:hAnsi="Arial" w:cs="Arial"/>
          <w:lang w:val="es-ES"/>
        </w:rPr>
        <w:t xml:space="preserve">vel local. </w:t>
      </w:r>
      <w:r w:rsidRPr="00C34986" w:rsidR="00C34986">
        <w:rPr>
          <w:rFonts w:ascii="Arial" w:hAnsi="Arial" w:cs="Arial"/>
          <w:lang w:val="es-ES"/>
        </w:rPr>
        <w:t>Actividades deportivas fomentan estructuras y mecanismos que promueven diálogo, liderazgo, y participació</w:t>
      </w:r>
      <w:r w:rsidR="00C34986">
        <w:rPr>
          <w:rFonts w:ascii="Arial" w:hAnsi="Arial" w:cs="Arial"/>
          <w:lang w:val="es-ES"/>
        </w:rPr>
        <w:t>n cívica al nivel comunitario</w:t>
      </w:r>
      <w:r w:rsidR="00C34986">
        <w:rPr>
          <w:rStyle w:val="FootnoteReference"/>
          <w:rFonts w:ascii="Arial" w:hAnsi="Arial" w:cs="Arial"/>
          <w:lang w:val="es-ES"/>
        </w:rPr>
        <w:footnoteReference w:id="7"/>
      </w:r>
      <w:r w:rsidRPr="00C34986" w:rsidR="00C34986">
        <w:rPr>
          <w:rFonts w:ascii="Georgia" w:hAnsi="Georgia"/>
          <w:color w:val="2E2E2E"/>
          <w:sz w:val="27"/>
          <w:szCs w:val="27"/>
          <w:lang w:val="es-ES"/>
        </w:rPr>
        <w:t>.</w:t>
      </w:r>
      <w:r w:rsidRPr="00C34986">
        <w:rPr>
          <w:rFonts w:ascii="Arial" w:hAnsi="Arial" w:cs="Arial"/>
          <w:lang w:val="es-ES"/>
        </w:rPr>
        <w:t xml:space="preserve"> </w:t>
      </w:r>
      <w:r w:rsidR="00082B17">
        <w:rPr>
          <w:rFonts w:ascii="Arial" w:hAnsi="Arial" w:cs="Arial"/>
          <w:lang w:val="es-ES"/>
        </w:rPr>
        <w:t xml:space="preserve">En esta línea, el presente proyecto </w:t>
      </w:r>
      <w:r w:rsidRPr="00840C94" w:rsidR="006B43BC">
        <w:rPr>
          <w:rFonts w:ascii="Arial" w:hAnsi="Arial" w:cs="Arial"/>
          <w:lang w:val="es-ES"/>
        </w:rPr>
        <w:t>fortalec</w:t>
      </w:r>
      <w:r>
        <w:rPr>
          <w:rFonts w:ascii="Arial" w:hAnsi="Arial" w:cs="Arial"/>
          <w:lang w:val="es-ES"/>
        </w:rPr>
        <w:t>erá</w:t>
      </w:r>
      <w:r w:rsidRPr="00840C94" w:rsidR="006B43BC">
        <w:rPr>
          <w:rFonts w:ascii="Arial" w:hAnsi="Arial" w:cs="Arial"/>
          <w:lang w:val="es-ES"/>
        </w:rPr>
        <w:t xml:space="preserve"> capacidades de liderazgo de mujeres, hombres, y jóvenes involucrados en la gestión comunitaria de las ligas, para que les sirva para la gestión en las mismas y otras áreas</w:t>
      </w:r>
      <w:r w:rsidR="00082B17">
        <w:rPr>
          <w:rFonts w:ascii="Arial" w:hAnsi="Arial" w:cs="Arial"/>
          <w:lang w:val="es-ES"/>
        </w:rPr>
        <w:t xml:space="preserve"> prioritarias para su desarrollo local</w:t>
      </w:r>
      <w:r w:rsidRPr="00840C94" w:rsidR="006B43BC">
        <w:rPr>
          <w:rFonts w:ascii="Arial" w:hAnsi="Arial" w:cs="Arial"/>
          <w:lang w:val="es-ES"/>
        </w:rPr>
        <w:t>.</w:t>
      </w:r>
      <w:r w:rsidR="0065781C">
        <w:rPr>
          <w:rFonts w:ascii="Arial" w:hAnsi="Arial" w:cs="Arial"/>
          <w:lang w:val="es-ES"/>
        </w:rPr>
        <w:t xml:space="preserve"> </w:t>
      </w:r>
    </w:p>
    <w:p w:rsidRPr="009323C2" w:rsidR="00762253" w:rsidP="00526860" w:rsidRDefault="0065781C" w14:paraId="36787EE2" w14:textId="0AF813A4">
      <w:pPr>
        <w:spacing w:before="120" w:after="120"/>
        <w:ind w:left="579"/>
        <w:jc w:val="both"/>
        <w:rPr>
          <w:rFonts w:ascii="Arial" w:hAnsi="Arial" w:cs="Arial"/>
          <w:lang w:val="es-ES"/>
        </w:rPr>
      </w:pPr>
      <w:r w:rsidRPr="0065781C">
        <w:rPr>
          <w:rFonts w:ascii="Arial" w:hAnsi="Arial" w:cs="Arial"/>
          <w:lang w:val="es-ES"/>
        </w:rPr>
        <w:t>La segunda innovación que se introducirá en esta operación e</w:t>
      </w:r>
      <w:r>
        <w:rPr>
          <w:rFonts w:ascii="Arial" w:hAnsi="Arial" w:cs="Arial"/>
          <w:lang w:val="es-ES"/>
        </w:rPr>
        <w:t xml:space="preserve">s el uso de </w:t>
      </w:r>
      <w:r w:rsidR="001A0AEC">
        <w:rPr>
          <w:rFonts w:ascii="Arial" w:hAnsi="Arial" w:cs="Arial"/>
          <w:lang w:val="es-ES"/>
        </w:rPr>
        <w:t>tecnología de telefonía celular</w:t>
      </w:r>
      <w:r>
        <w:rPr>
          <w:rFonts w:ascii="Arial" w:hAnsi="Arial" w:cs="Arial"/>
          <w:lang w:val="es-ES"/>
        </w:rPr>
        <w:t xml:space="preserve"> para el fomento de </w:t>
      </w:r>
      <w:r w:rsidR="00BF4E58">
        <w:rPr>
          <w:rFonts w:ascii="Arial" w:hAnsi="Arial" w:cs="Arial"/>
          <w:lang w:val="es-ES"/>
        </w:rPr>
        <w:t xml:space="preserve">la salud y </w:t>
      </w:r>
      <w:r>
        <w:rPr>
          <w:rFonts w:ascii="Arial" w:hAnsi="Arial" w:cs="Arial"/>
          <w:lang w:val="es-ES"/>
        </w:rPr>
        <w:t>habilidades socioemoci</w:t>
      </w:r>
      <w:r w:rsidR="002954BF">
        <w:rPr>
          <w:rFonts w:ascii="Arial" w:hAnsi="Arial" w:cs="Arial"/>
          <w:lang w:val="es-ES"/>
        </w:rPr>
        <w:t>on</w:t>
      </w:r>
      <w:r>
        <w:rPr>
          <w:rFonts w:ascii="Arial" w:hAnsi="Arial" w:cs="Arial"/>
          <w:lang w:val="es-ES"/>
        </w:rPr>
        <w:t>ales</w:t>
      </w:r>
      <w:r w:rsidR="00BB6D92">
        <w:rPr>
          <w:rFonts w:ascii="Arial" w:hAnsi="Arial" w:cs="Arial"/>
          <w:lang w:val="es-ES"/>
        </w:rPr>
        <w:t>,</w:t>
      </w:r>
      <w:r w:rsidR="00526860">
        <w:rPr>
          <w:rFonts w:ascii="Arial" w:hAnsi="Arial" w:cs="Arial"/>
          <w:lang w:val="es-ES"/>
        </w:rPr>
        <w:t xml:space="preserve"> </w:t>
      </w:r>
      <w:r w:rsidR="00BB6D92">
        <w:rPr>
          <w:rFonts w:ascii="Arial" w:hAnsi="Arial" w:cs="Arial"/>
          <w:lang w:val="es-ES"/>
        </w:rPr>
        <w:t xml:space="preserve">y </w:t>
      </w:r>
      <w:r w:rsidR="00BB6D92">
        <w:rPr>
          <w:rFonts w:ascii="Arial" w:hAnsi="Arial" w:cs="Arial"/>
          <w:lang w:val="es-ES"/>
        </w:rPr>
        <w:lastRenderedPageBreak/>
        <w:t>relaciones efectivas saludables</w:t>
      </w:r>
      <w:r w:rsidR="002954BF">
        <w:rPr>
          <w:rFonts w:ascii="Arial" w:hAnsi="Arial" w:cs="Arial"/>
          <w:lang w:val="es-ES"/>
        </w:rPr>
        <w:t xml:space="preserve"> en los</w:t>
      </w:r>
      <w:r w:rsidR="00597F3C">
        <w:rPr>
          <w:rFonts w:ascii="Arial" w:hAnsi="Arial" w:cs="Arial"/>
          <w:lang w:val="es-ES"/>
        </w:rPr>
        <w:t>/las</w:t>
      </w:r>
      <w:r w:rsidR="002954BF">
        <w:rPr>
          <w:rFonts w:ascii="Arial" w:hAnsi="Arial" w:cs="Arial"/>
          <w:lang w:val="es-ES"/>
        </w:rPr>
        <w:t xml:space="preserve"> participantes. Para este fin, se </w:t>
      </w:r>
      <w:r w:rsidR="00BB6D92">
        <w:rPr>
          <w:rFonts w:ascii="Arial" w:hAnsi="Arial" w:cs="Arial"/>
          <w:lang w:val="es-ES"/>
        </w:rPr>
        <w:t xml:space="preserve">prevé </w:t>
      </w:r>
      <w:r w:rsidR="002954BF">
        <w:rPr>
          <w:rFonts w:ascii="Arial" w:hAnsi="Arial" w:cs="Arial"/>
          <w:lang w:val="es-ES"/>
        </w:rPr>
        <w:t>contrata</w:t>
      </w:r>
      <w:r w:rsidR="00BB6D92">
        <w:rPr>
          <w:rFonts w:ascii="Arial" w:hAnsi="Arial" w:cs="Arial"/>
          <w:lang w:val="es-ES"/>
        </w:rPr>
        <w:t>r</w:t>
      </w:r>
      <w:r w:rsidR="002954BF">
        <w:rPr>
          <w:rFonts w:ascii="Arial" w:hAnsi="Arial" w:cs="Arial"/>
          <w:lang w:val="es-ES"/>
        </w:rPr>
        <w:t xml:space="preserve"> a una ONG especializada en esta materia (</w:t>
      </w:r>
      <w:proofErr w:type="spellStart"/>
      <w:r w:rsidR="002954BF">
        <w:rPr>
          <w:rFonts w:ascii="Arial" w:hAnsi="Arial" w:cs="Arial"/>
          <w:lang w:val="es-ES"/>
        </w:rPr>
        <w:t>TeenSmart</w:t>
      </w:r>
      <w:proofErr w:type="spellEnd"/>
      <w:r w:rsidR="002954BF">
        <w:rPr>
          <w:rFonts w:ascii="Arial" w:hAnsi="Arial" w:cs="Arial"/>
          <w:lang w:val="es-ES"/>
        </w:rPr>
        <w:t xml:space="preserve">).  </w:t>
      </w:r>
    </w:p>
    <w:p w:rsidRPr="003D2ABC" w:rsidR="00762253" w:rsidRDefault="006B43BC" w14:paraId="47A86BF5" w14:textId="77777777">
      <w:pPr>
        <w:spacing w:before="120" w:after="120"/>
        <w:ind w:left="579" w:hanging="579"/>
      </w:pPr>
      <w:r w:rsidRPr="003D2ABC">
        <w:rPr>
          <w:rFonts w:ascii="Arial" w:hAnsi="Arial" w:cs="Arial"/>
          <w:b/>
        </w:rPr>
        <w:t>III.</w:t>
      </w:r>
      <w:r w:rsidRPr="003D2ABC">
        <w:rPr>
          <w:rFonts w:ascii="Arial" w:hAnsi="Arial" w:cs="Arial"/>
          <w:b/>
        </w:rPr>
        <w:tab/>
      </w:r>
      <w:r w:rsidRPr="003D2ABC">
        <w:rPr>
          <w:rFonts w:ascii="Arial" w:hAnsi="Arial" w:cs="Arial"/>
          <w:b/>
        </w:rPr>
        <w:t>Description of Activities and Outputs</w:t>
      </w:r>
    </w:p>
    <w:p w:rsidRPr="00D3193A" w:rsidR="00D3193A" w:rsidP="0082361E" w:rsidRDefault="006B43BC" w14:paraId="2AC1780A" w14:textId="6A5A332B">
      <w:pPr>
        <w:spacing w:before="120" w:after="120"/>
        <w:ind w:left="579" w:hanging="579"/>
        <w:jc w:val="both"/>
        <w:rPr>
          <w:rFonts w:ascii="Arial" w:hAnsi="Arial" w:cs="Arial"/>
          <w:lang w:val="es-ES"/>
        </w:rPr>
      </w:pPr>
      <w:r w:rsidRPr="00840C94">
        <w:rPr>
          <w:rFonts w:ascii="Arial" w:hAnsi="Arial" w:cs="Arial"/>
          <w:lang w:val="es-ES"/>
        </w:rPr>
        <w:t>3.1</w:t>
      </w:r>
      <w:r w:rsidRPr="00840C94">
        <w:rPr>
          <w:rFonts w:ascii="Arial" w:hAnsi="Arial" w:cs="Arial"/>
          <w:lang w:val="es-ES"/>
        </w:rPr>
        <w:tab/>
      </w:r>
      <w:r w:rsidRPr="0096207F">
        <w:rPr>
          <w:rFonts w:ascii="Arial" w:hAnsi="Arial" w:cs="Arial"/>
          <w:b/>
          <w:bCs/>
          <w:lang w:val="es-ES"/>
        </w:rPr>
        <w:t>Component</w:t>
      </w:r>
      <w:r w:rsidRPr="0096207F" w:rsidR="00D3193A">
        <w:rPr>
          <w:rFonts w:ascii="Arial" w:hAnsi="Arial" w:cs="Arial"/>
          <w:b/>
          <w:bCs/>
          <w:lang w:val="es-ES"/>
        </w:rPr>
        <w:t>e</w:t>
      </w:r>
      <w:r w:rsidRPr="0096207F">
        <w:rPr>
          <w:rFonts w:ascii="Arial" w:hAnsi="Arial" w:cs="Arial"/>
          <w:b/>
          <w:bCs/>
          <w:lang w:val="es-ES"/>
        </w:rPr>
        <w:t xml:space="preserve"> I:</w:t>
      </w:r>
      <w:r w:rsidRPr="00D3193A">
        <w:rPr>
          <w:rFonts w:ascii="Arial" w:hAnsi="Arial" w:cs="Arial"/>
          <w:lang w:val="es-ES"/>
        </w:rPr>
        <w:t xml:space="preserve"> Consolidación y Expansión de Ligas Comunitarias de beisbol para niñas, niños y jóvenes. </w:t>
      </w:r>
      <w:r w:rsidRPr="00D3193A" w:rsidR="00D3193A">
        <w:rPr>
          <w:rFonts w:ascii="Arial" w:hAnsi="Arial" w:cs="Arial"/>
          <w:lang w:val="es-ES"/>
        </w:rPr>
        <w:t>Este componente financiará acciones dirigidas a fomentar la inclusión social de niños, niñas y jóvenes nicaragüenses de comunidades vulnerables, tales como: (i) monitoreo del funcionamiento de los equipos conformados a través del NI-T1256 fortaleciendo la gestión comunitaria para tal fin; (</w:t>
      </w:r>
      <w:proofErr w:type="spellStart"/>
      <w:r w:rsidRPr="00D3193A" w:rsidR="00D3193A">
        <w:rPr>
          <w:rFonts w:ascii="Arial" w:hAnsi="Arial" w:cs="Arial"/>
          <w:lang w:val="es-ES"/>
        </w:rPr>
        <w:t>ii</w:t>
      </w:r>
      <w:proofErr w:type="spellEnd"/>
      <w:r w:rsidRPr="00D3193A" w:rsidR="00D3193A">
        <w:rPr>
          <w:rFonts w:ascii="Arial" w:hAnsi="Arial" w:cs="Arial"/>
          <w:lang w:val="es-ES"/>
        </w:rPr>
        <w:t>) conformación de ligas y equipos adicionales a los establecidos previamente en NI-T1256.  Este componente incluye:</w:t>
      </w:r>
      <w:r w:rsidR="0082361E">
        <w:rPr>
          <w:rFonts w:ascii="Arial" w:hAnsi="Arial" w:cs="Arial"/>
          <w:lang w:val="es-ES"/>
        </w:rPr>
        <w:t xml:space="preserve"> </w:t>
      </w:r>
      <w:r w:rsidR="00D3193A">
        <w:rPr>
          <w:rFonts w:ascii="Arial" w:hAnsi="Arial" w:cs="Arial"/>
          <w:lang w:val="es-ES"/>
        </w:rPr>
        <w:t xml:space="preserve">i) </w:t>
      </w:r>
      <w:r w:rsidRPr="00D3193A" w:rsidR="00D3193A">
        <w:rPr>
          <w:rFonts w:ascii="Arial" w:hAnsi="Arial" w:cs="Arial"/>
          <w:lang w:val="es-ES"/>
        </w:rPr>
        <w:t xml:space="preserve">Selección de </w:t>
      </w:r>
      <w:r w:rsidR="00E35769">
        <w:rPr>
          <w:rFonts w:ascii="Arial" w:hAnsi="Arial" w:cs="Arial"/>
          <w:lang w:val="es-ES"/>
        </w:rPr>
        <w:t xml:space="preserve">al menos 5 </w:t>
      </w:r>
      <w:r w:rsidRPr="00D3193A" w:rsidR="00D3193A">
        <w:rPr>
          <w:rFonts w:ascii="Arial" w:hAnsi="Arial" w:cs="Arial"/>
          <w:lang w:val="es-ES"/>
        </w:rPr>
        <w:t>nuevas comunidades</w:t>
      </w:r>
      <w:r w:rsidRPr="00E35769" w:rsidR="00E35769">
        <w:rPr>
          <w:rFonts w:ascii="Arial" w:hAnsi="Arial" w:cs="Arial"/>
          <w:vertAlign w:val="superscript"/>
          <w:lang w:val="es-ES"/>
        </w:rPr>
        <w:footnoteReference w:id="8"/>
      </w:r>
      <w:r w:rsidRPr="00D3193A" w:rsidR="00D3193A">
        <w:rPr>
          <w:rFonts w:ascii="Arial" w:hAnsi="Arial" w:cs="Arial"/>
          <w:lang w:val="es-ES"/>
        </w:rPr>
        <w:t>, aplicando criterios similares a los usados en</w:t>
      </w:r>
      <w:r w:rsidR="0096207F">
        <w:rPr>
          <w:rFonts w:ascii="Arial" w:hAnsi="Arial" w:cs="Arial"/>
          <w:lang w:val="es-ES"/>
        </w:rPr>
        <w:t xml:space="preserve"> </w:t>
      </w:r>
      <w:r w:rsidRPr="00D3193A" w:rsidR="00D3193A">
        <w:rPr>
          <w:rFonts w:ascii="Arial" w:hAnsi="Arial" w:cs="Arial"/>
          <w:lang w:val="es-ES"/>
        </w:rPr>
        <w:t xml:space="preserve">NI-T1256; </w:t>
      </w:r>
      <w:proofErr w:type="spellStart"/>
      <w:r w:rsidR="00D3193A">
        <w:rPr>
          <w:rFonts w:ascii="Arial" w:hAnsi="Arial" w:cs="Arial"/>
          <w:lang w:val="es-ES"/>
        </w:rPr>
        <w:t>ii</w:t>
      </w:r>
      <w:proofErr w:type="spellEnd"/>
      <w:r w:rsidR="00D3193A">
        <w:rPr>
          <w:rFonts w:ascii="Arial" w:hAnsi="Arial" w:cs="Arial"/>
          <w:lang w:val="es-ES"/>
        </w:rPr>
        <w:t xml:space="preserve">) </w:t>
      </w:r>
      <w:r w:rsidRPr="00D3193A" w:rsidR="00D3193A">
        <w:rPr>
          <w:rFonts w:ascii="Arial" w:hAnsi="Arial" w:cs="Arial"/>
          <w:lang w:val="es-ES"/>
        </w:rPr>
        <w:t>Monitoreo y apoyo de la gestión comunitario para asegurar el buen funcionamiento de equipos actuales</w:t>
      </w:r>
      <w:r w:rsidR="0082361E">
        <w:rPr>
          <w:rFonts w:ascii="Arial" w:hAnsi="Arial" w:cs="Arial"/>
          <w:lang w:val="es-ES"/>
        </w:rPr>
        <w:t>;</w:t>
      </w:r>
      <w:r w:rsidRPr="00D3193A" w:rsidR="00D3193A">
        <w:rPr>
          <w:rFonts w:ascii="Arial" w:hAnsi="Arial" w:cs="Arial"/>
          <w:lang w:val="es-ES"/>
        </w:rPr>
        <w:t xml:space="preserve"> </w:t>
      </w:r>
      <w:proofErr w:type="spellStart"/>
      <w:r w:rsidR="00D3193A">
        <w:rPr>
          <w:rFonts w:ascii="Arial" w:hAnsi="Arial" w:cs="Arial"/>
          <w:lang w:val="es-ES"/>
        </w:rPr>
        <w:t>iii</w:t>
      </w:r>
      <w:proofErr w:type="spellEnd"/>
      <w:r w:rsidR="00D3193A">
        <w:rPr>
          <w:rFonts w:ascii="Arial" w:hAnsi="Arial" w:cs="Arial"/>
          <w:lang w:val="es-ES"/>
        </w:rPr>
        <w:t xml:space="preserve">) </w:t>
      </w:r>
      <w:r w:rsidRPr="00D3193A" w:rsidR="00D3193A">
        <w:rPr>
          <w:rFonts w:ascii="Arial" w:hAnsi="Arial" w:cs="Arial"/>
          <w:lang w:val="es-ES"/>
        </w:rPr>
        <w:t>Programa de entrenamiento y torneos de beisbol</w:t>
      </w:r>
      <w:r w:rsidR="0082361E">
        <w:rPr>
          <w:rFonts w:ascii="Arial" w:hAnsi="Arial" w:cs="Arial"/>
          <w:lang w:val="es-ES"/>
        </w:rPr>
        <w:t xml:space="preserve">; </w:t>
      </w:r>
      <w:proofErr w:type="spellStart"/>
      <w:r w:rsidR="00D3193A">
        <w:rPr>
          <w:rFonts w:ascii="Arial" w:hAnsi="Arial" w:cs="Arial"/>
          <w:lang w:val="es-ES"/>
        </w:rPr>
        <w:t>iv</w:t>
      </w:r>
      <w:proofErr w:type="spellEnd"/>
      <w:r w:rsidR="00D3193A">
        <w:rPr>
          <w:rFonts w:ascii="Arial" w:hAnsi="Arial" w:cs="Arial"/>
          <w:lang w:val="es-ES"/>
        </w:rPr>
        <w:t xml:space="preserve">) </w:t>
      </w:r>
      <w:r w:rsidRPr="00D3193A" w:rsidR="00D3193A">
        <w:rPr>
          <w:rFonts w:ascii="Arial" w:hAnsi="Arial" w:cs="Arial"/>
          <w:lang w:val="es-ES"/>
        </w:rPr>
        <w:t>Compra de utilaje para las ligas y equipos nuevos</w:t>
      </w:r>
      <w:r w:rsidR="0082361E">
        <w:rPr>
          <w:rFonts w:ascii="Arial" w:hAnsi="Arial" w:cs="Arial"/>
          <w:lang w:val="es-ES"/>
        </w:rPr>
        <w:t xml:space="preserve">; </w:t>
      </w:r>
      <w:r w:rsidR="00395F45">
        <w:rPr>
          <w:rFonts w:ascii="Arial" w:hAnsi="Arial" w:cs="Arial"/>
          <w:lang w:val="es-ES"/>
        </w:rPr>
        <w:t>(v) compra de insumos y materiales (alcohol gel, mascarillas, jabón) y actividades comunicacionales que permitan asegurar una higiene adecuada y reducen los riesgos de contagio de COVID-19 durante la realización de actividades asociadas con el proyecto; (</w:t>
      </w:r>
      <w:r w:rsidR="00D3193A">
        <w:rPr>
          <w:rFonts w:ascii="Arial" w:hAnsi="Arial" w:cs="Arial"/>
          <w:lang w:val="es-ES"/>
        </w:rPr>
        <w:t>v</w:t>
      </w:r>
      <w:r w:rsidR="00395F45">
        <w:rPr>
          <w:rFonts w:ascii="Arial" w:hAnsi="Arial" w:cs="Arial"/>
          <w:lang w:val="es-ES"/>
        </w:rPr>
        <w:t>i</w:t>
      </w:r>
      <w:r w:rsidR="00D3193A">
        <w:rPr>
          <w:rFonts w:ascii="Arial" w:hAnsi="Arial" w:cs="Arial"/>
          <w:lang w:val="es-ES"/>
        </w:rPr>
        <w:t xml:space="preserve">) </w:t>
      </w:r>
      <w:r w:rsidRPr="00D3193A" w:rsidR="00D3193A">
        <w:rPr>
          <w:rFonts w:ascii="Arial" w:hAnsi="Arial" w:cs="Arial"/>
          <w:lang w:val="es-ES"/>
        </w:rPr>
        <w:t>Mejoramiento de cuadros de beisbol para equipos nuevos, y mantenimiento de los mejorados en el proyecto anterior</w:t>
      </w:r>
      <w:r w:rsidR="0082361E">
        <w:rPr>
          <w:rFonts w:ascii="Arial" w:hAnsi="Arial" w:cs="Arial"/>
          <w:lang w:val="es-ES"/>
        </w:rPr>
        <w:t>.</w:t>
      </w:r>
    </w:p>
    <w:p w:rsidRPr="004218BC" w:rsidR="004218BC" w:rsidP="004218BC" w:rsidRDefault="006B43BC" w14:paraId="60C4A5A7" w14:textId="77777777">
      <w:pPr>
        <w:spacing w:before="120" w:after="120"/>
        <w:ind w:left="579" w:hanging="579"/>
        <w:jc w:val="both"/>
        <w:rPr>
          <w:rFonts w:ascii="Arial" w:hAnsi="Arial" w:cs="Arial"/>
          <w:lang w:val="es-ES"/>
        </w:rPr>
      </w:pPr>
      <w:r w:rsidRPr="00840C94">
        <w:rPr>
          <w:rFonts w:ascii="Arial" w:hAnsi="Arial" w:cs="Arial"/>
          <w:lang w:val="es-ES"/>
        </w:rPr>
        <w:t>3.2</w:t>
      </w:r>
      <w:r w:rsidRPr="00840C94">
        <w:rPr>
          <w:rFonts w:ascii="Arial" w:hAnsi="Arial" w:cs="Arial"/>
          <w:lang w:val="es-ES"/>
        </w:rPr>
        <w:tab/>
      </w:r>
      <w:r w:rsidRPr="004218BC" w:rsidR="004218BC">
        <w:rPr>
          <w:rFonts w:ascii="Arial" w:hAnsi="Arial" w:cs="Arial"/>
          <w:b/>
          <w:bCs/>
          <w:lang w:val="es-ES"/>
        </w:rPr>
        <w:t>Componente II:</w:t>
      </w:r>
      <w:r w:rsidRPr="004218BC" w:rsidR="004218BC">
        <w:rPr>
          <w:rFonts w:ascii="Arial" w:hAnsi="Arial" w:cs="Arial"/>
          <w:lang w:val="es-ES"/>
        </w:rPr>
        <w:t xml:space="preserve"> Fortalecimiento y profundización de habilidades socioemocionales para la inclusión social</w:t>
      </w:r>
    </w:p>
    <w:p w:rsidRPr="00AF3291" w:rsidR="00762253" w:rsidP="00AF3291" w:rsidRDefault="004218BC" w14:paraId="47E61656" w14:textId="7575A3C7">
      <w:pPr>
        <w:spacing w:before="120" w:after="120"/>
        <w:ind w:left="579"/>
        <w:jc w:val="both"/>
        <w:rPr>
          <w:rFonts w:ascii="Arial" w:hAnsi="Arial" w:cs="Arial"/>
          <w:lang w:val="es-ES"/>
        </w:rPr>
      </w:pPr>
      <w:r w:rsidRPr="004218BC">
        <w:rPr>
          <w:rFonts w:ascii="Arial" w:hAnsi="Arial" w:cs="Arial"/>
          <w:lang w:val="es-ES"/>
        </w:rPr>
        <w:t>Con este componente se busca la profundización de habilidades socioemocionales</w:t>
      </w:r>
      <w:r w:rsidR="003A7870">
        <w:rPr>
          <w:rFonts w:ascii="Arial" w:hAnsi="Arial" w:cs="Arial"/>
          <w:lang w:val="es-ES"/>
        </w:rPr>
        <w:t xml:space="preserve"> y comunicacionales</w:t>
      </w:r>
      <w:r w:rsidRPr="004218BC">
        <w:rPr>
          <w:rFonts w:ascii="Arial" w:hAnsi="Arial" w:cs="Arial"/>
          <w:lang w:val="es-ES"/>
        </w:rPr>
        <w:t xml:space="preserve"> de los niños, niñas y jóvenes, tutores</w:t>
      </w:r>
      <w:r w:rsidR="00F66F80">
        <w:rPr>
          <w:rFonts w:ascii="Arial" w:hAnsi="Arial" w:cs="Arial"/>
          <w:lang w:val="es-ES"/>
        </w:rPr>
        <w:t>/mentores</w:t>
      </w:r>
      <w:r w:rsidRPr="004218BC">
        <w:rPr>
          <w:rFonts w:ascii="Arial" w:hAnsi="Arial" w:cs="Arial"/>
          <w:lang w:val="es-ES"/>
        </w:rPr>
        <w:t xml:space="preserve">, entrenadores, </w:t>
      </w:r>
      <w:r w:rsidR="003A7870">
        <w:rPr>
          <w:rFonts w:ascii="Arial" w:hAnsi="Arial" w:cs="Arial"/>
          <w:lang w:val="es-ES"/>
        </w:rPr>
        <w:t xml:space="preserve">árbitros, </w:t>
      </w:r>
      <w:r w:rsidRPr="004218BC">
        <w:rPr>
          <w:rFonts w:ascii="Arial" w:hAnsi="Arial" w:cs="Arial"/>
          <w:lang w:val="es-ES"/>
        </w:rPr>
        <w:t xml:space="preserve">y demás miembros de las comunidades mediante </w:t>
      </w:r>
      <w:r w:rsidR="00417546">
        <w:rPr>
          <w:rFonts w:ascii="Arial" w:hAnsi="Arial" w:cs="Arial"/>
          <w:lang w:val="es-ES"/>
        </w:rPr>
        <w:t>talleres y entrenamiento.</w:t>
      </w:r>
      <w:r w:rsidR="00FD0464">
        <w:rPr>
          <w:rFonts w:ascii="Arial" w:hAnsi="Arial" w:cs="Arial"/>
          <w:lang w:val="es-ES"/>
        </w:rPr>
        <w:t xml:space="preserve"> </w:t>
      </w:r>
      <w:r w:rsidRPr="004218BC">
        <w:rPr>
          <w:rFonts w:ascii="Arial" w:hAnsi="Arial" w:cs="Arial"/>
          <w:lang w:val="es-ES"/>
        </w:rPr>
        <w:t>Se llevará a cabo actividades para fortalecer las habilidades socioemocionales</w:t>
      </w:r>
      <w:r w:rsidR="00F66F80">
        <w:rPr>
          <w:rFonts w:ascii="Arial" w:hAnsi="Arial" w:cs="Arial"/>
          <w:lang w:val="es-ES"/>
        </w:rPr>
        <w:t xml:space="preserve"> y comunicacionales</w:t>
      </w:r>
      <w:r w:rsidRPr="004218BC">
        <w:rPr>
          <w:rFonts w:ascii="Arial" w:hAnsi="Arial" w:cs="Arial"/>
          <w:lang w:val="es-ES"/>
        </w:rPr>
        <w:t xml:space="preserve"> de los/las participantes</w:t>
      </w:r>
      <w:r w:rsidRPr="004218BC">
        <w:rPr>
          <w:rFonts w:ascii="Arial" w:hAnsi="Arial" w:cs="Arial"/>
          <w:vertAlign w:val="superscript"/>
        </w:rPr>
        <w:footnoteReference w:id="9"/>
      </w:r>
      <w:r w:rsidRPr="004218BC">
        <w:rPr>
          <w:rFonts w:ascii="Arial" w:hAnsi="Arial" w:cs="Arial"/>
          <w:vertAlign w:val="superscript"/>
          <w:lang w:val="es-ES"/>
        </w:rPr>
        <w:t xml:space="preserve"> </w:t>
      </w:r>
      <w:r w:rsidRPr="004218BC">
        <w:rPr>
          <w:rFonts w:ascii="Arial" w:hAnsi="Arial" w:cs="Arial"/>
          <w:lang w:val="es-ES"/>
        </w:rPr>
        <w:t xml:space="preserve">con énfasis en (a) habilidades de comunicación, (b) trabajo en equipo, (c) construcción de planes de vida; (d) respeto, auto respeto y empatía; (e) prácticas saludables – nutrición, higiene, </w:t>
      </w:r>
      <w:r w:rsidR="00BB6D92">
        <w:rPr>
          <w:rFonts w:ascii="Arial" w:hAnsi="Arial" w:cs="Arial"/>
          <w:lang w:val="es-ES"/>
        </w:rPr>
        <w:t xml:space="preserve">relaciones afectivas, </w:t>
      </w:r>
      <w:r w:rsidR="000B1528">
        <w:rPr>
          <w:rFonts w:ascii="Arial" w:hAnsi="Arial" w:cs="Arial"/>
          <w:lang w:val="es-ES"/>
        </w:rPr>
        <w:t>particularmente en el contexto de COVID-19</w:t>
      </w:r>
      <w:r w:rsidRPr="004218BC">
        <w:rPr>
          <w:rFonts w:ascii="Arial" w:hAnsi="Arial" w:cs="Arial"/>
          <w:lang w:val="es-ES"/>
        </w:rPr>
        <w:t>; (f) sensibilización y capacitación a los padres y madr</w:t>
      </w:r>
      <w:r w:rsidR="003A7870">
        <w:rPr>
          <w:rFonts w:ascii="Arial" w:hAnsi="Arial" w:cs="Arial"/>
          <w:lang w:val="es-ES"/>
        </w:rPr>
        <w:t>e</w:t>
      </w:r>
      <w:r w:rsidRPr="004218BC">
        <w:rPr>
          <w:rFonts w:ascii="Arial" w:hAnsi="Arial" w:cs="Arial"/>
          <w:lang w:val="es-ES"/>
        </w:rPr>
        <w:t>s</w:t>
      </w:r>
      <w:r w:rsidR="003A7870">
        <w:rPr>
          <w:rFonts w:ascii="Arial" w:hAnsi="Arial" w:cs="Arial"/>
          <w:lang w:val="es-ES"/>
        </w:rPr>
        <w:t xml:space="preserve">, entrenadores, árbitros, </w:t>
      </w:r>
      <w:r w:rsidRPr="004218BC">
        <w:rPr>
          <w:rFonts w:ascii="Arial" w:hAnsi="Arial" w:cs="Arial"/>
          <w:lang w:val="es-ES"/>
        </w:rPr>
        <w:t xml:space="preserve">respecto a las habilidades socioemocionales de sus hijos/as y para mejorar sus habilidades en pro de mantener y/o mejorar sus relaciones con sus hijos/as.  Para la realización de las actividades de este componente, se crearán espacios dentro de los mismos entrenamientos y partidos de los equipos de beisbol, aprovechando las oportunidades de aprender del trabajo en equipo, los esfuerzos físicos-mentales relacionados con el juego, el auto control y auto estima, el respeto, temas de género, liderazgo, entre otros.  También se creará espacios fuera del cuadro de beisbol, para capacitar tanto a los jugadores/as, como para las personas adultas que los acompañen, incluyendo madres y padres, líderes y miembros de las comunidades, en temas de nutrición, salud sexual y reproductiva, autoestima, comunicación constructiva, construcción de planes de vida, entre otros. </w:t>
      </w:r>
    </w:p>
    <w:p w:rsidRPr="004218BC" w:rsidR="004218BC" w:rsidP="004218BC" w:rsidRDefault="006B43BC" w14:paraId="6D88AD30" w14:textId="0420E3CD">
      <w:pPr>
        <w:spacing w:before="120" w:after="120"/>
        <w:ind w:left="579" w:hanging="579"/>
        <w:jc w:val="both"/>
        <w:rPr>
          <w:rFonts w:ascii="Arial" w:hAnsi="Arial" w:cs="Arial"/>
          <w:lang w:val="es-ES"/>
        </w:rPr>
      </w:pPr>
      <w:r w:rsidRPr="00840C94">
        <w:rPr>
          <w:rFonts w:ascii="Arial" w:hAnsi="Arial" w:cs="Arial"/>
          <w:lang w:val="es-ES"/>
        </w:rPr>
        <w:t>3.3</w:t>
      </w:r>
      <w:r w:rsidRPr="00840C94">
        <w:rPr>
          <w:rFonts w:ascii="Arial" w:hAnsi="Arial" w:cs="Arial"/>
          <w:lang w:val="es-ES"/>
        </w:rPr>
        <w:tab/>
      </w:r>
      <w:r w:rsidRPr="004218BC">
        <w:rPr>
          <w:rFonts w:ascii="Arial" w:hAnsi="Arial" w:cs="Arial"/>
          <w:b/>
          <w:bCs/>
          <w:lang w:val="es-ES"/>
        </w:rPr>
        <w:t>Componente III:</w:t>
      </w:r>
      <w:r w:rsidRPr="004218BC">
        <w:rPr>
          <w:rFonts w:ascii="Arial" w:hAnsi="Arial" w:cs="Arial"/>
          <w:lang w:val="es-ES"/>
        </w:rPr>
        <w:t xml:space="preserve"> </w:t>
      </w:r>
      <w:r w:rsidR="00250D3D">
        <w:rPr>
          <w:rFonts w:ascii="Arial" w:hAnsi="Arial" w:cs="Arial"/>
          <w:lang w:val="es-ES"/>
        </w:rPr>
        <w:t xml:space="preserve">Gestión Comunitaria para la </w:t>
      </w:r>
      <w:r w:rsidRPr="004218BC">
        <w:rPr>
          <w:rFonts w:ascii="Arial" w:hAnsi="Arial" w:cs="Arial"/>
          <w:lang w:val="es-ES"/>
        </w:rPr>
        <w:t xml:space="preserve">Sostenibilidad. </w:t>
      </w:r>
      <w:r w:rsidR="0053055C">
        <w:rPr>
          <w:rFonts w:ascii="Arial" w:hAnsi="Arial" w:cs="Arial"/>
          <w:lang w:val="es-ES"/>
        </w:rPr>
        <w:t>E</w:t>
      </w:r>
      <w:r w:rsidRPr="004218BC" w:rsidR="004218BC">
        <w:rPr>
          <w:rFonts w:ascii="Arial" w:hAnsi="Arial" w:cs="Arial"/>
          <w:lang w:val="es-ES"/>
        </w:rPr>
        <w:t>l objetivo de este componente es la generación de capacidades de liderazgo y gestión comunitaria, para permitir a ellos/as generar las condiciones necesarias para la sostenibilidad financiera y social</w:t>
      </w:r>
      <w:r w:rsidR="00CB5CFC">
        <w:rPr>
          <w:rFonts w:ascii="Arial" w:hAnsi="Arial" w:cs="Arial"/>
          <w:lang w:val="es-ES"/>
        </w:rPr>
        <w:t xml:space="preserve"> de las Ligas Comunitarias</w:t>
      </w:r>
      <w:r w:rsidRPr="004218BC" w:rsidR="004218BC">
        <w:rPr>
          <w:rFonts w:ascii="Arial" w:hAnsi="Arial" w:cs="Arial"/>
          <w:lang w:val="es-ES"/>
        </w:rPr>
        <w:t>.  Se financiará (i) capacitaciones a madres y padres, líderes y miembros de las comunidades en gestión (planificación, monitoreo, presupuesto), y (</w:t>
      </w:r>
      <w:proofErr w:type="spellStart"/>
      <w:r w:rsidRPr="004218BC" w:rsidR="004218BC">
        <w:rPr>
          <w:rFonts w:ascii="Arial" w:hAnsi="Arial" w:cs="Arial"/>
          <w:lang w:val="es-ES"/>
        </w:rPr>
        <w:t>ii</w:t>
      </w:r>
      <w:proofErr w:type="spellEnd"/>
      <w:r w:rsidRPr="004218BC" w:rsidR="004218BC">
        <w:rPr>
          <w:rFonts w:ascii="Arial" w:hAnsi="Arial" w:cs="Arial"/>
          <w:lang w:val="es-ES"/>
        </w:rPr>
        <w:t>) actividades relacionadas con la sostenibilidad social (compromiso, cumplimiento), y financiera (levantamiento de fondos, donaciones en especie, reclutamiento de “sponsors”).</w:t>
      </w:r>
      <w:r w:rsidR="001A0AEC">
        <w:rPr>
          <w:rFonts w:ascii="Arial" w:hAnsi="Arial" w:cs="Arial"/>
          <w:lang w:val="es-ES"/>
        </w:rPr>
        <w:t xml:space="preserve"> </w:t>
      </w:r>
      <w:r w:rsidR="00250D3D">
        <w:rPr>
          <w:rFonts w:ascii="Arial" w:hAnsi="Arial" w:cs="Arial"/>
          <w:lang w:val="es-ES"/>
        </w:rPr>
        <w:t xml:space="preserve">Se buscará profundizar la participación de mujeres </w:t>
      </w:r>
      <w:r w:rsidR="00250D3D">
        <w:rPr>
          <w:rFonts w:ascii="Arial" w:hAnsi="Arial" w:cs="Arial"/>
          <w:lang w:val="es-ES"/>
        </w:rPr>
        <w:lastRenderedPageBreak/>
        <w:t xml:space="preserve">líderes, y de realizar acciones dirigidas a fortalecer las relaciones de género dentro de las comunidades.  </w:t>
      </w:r>
    </w:p>
    <w:p w:rsidR="00762253" w:rsidRDefault="006B43BC" w14:paraId="03652EE6" w14:textId="7CCFEC9C">
      <w:pPr>
        <w:spacing w:before="120" w:after="120"/>
        <w:ind w:left="579" w:hanging="579"/>
        <w:jc w:val="both"/>
        <w:rPr>
          <w:rFonts w:ascii="Arial" w:hAnsi="Arial" w:cs="Arial"/>
          <w:lang w:val="es-ES"/>
        </w:rPr>
      </w:pPr>
      <w:r w:rsidRPr="00840C94">
        <w:rPr>
          <w:rFonts w:ascii="Arial" w:hAnsi="Arial" w:cs="Arial"/>
          <w:lang w:val="es-ES"/>
        </w:rPr>
        <w:t>3.4</w:t>
      </w:r>
      <w:r w:rsidRPr="00840C94">
        <w:rPr>
          <w:rFonts w:ascii="Arial" w:hAnsi="Arial" w:cs="Arial"/>
          <w:lang w:val="es-ES"/>
        </w:rPr>
        <w:tab/>
      </w:r>
      <w:r w:rsidRPr="00840C94">
        <w:rPr>
          <w:rFonts w:ascii="Arial" w:hAnsi="Arial" w:cs="Arial"/>
          <w:b/>
          <w:lang w:val="es-ES"/>
        </w:rPr>
        <w:t>Componente IV – Administración</w:t>
      </w:r>
      <w:r w:rsidR="001A0AEC">
        <w:rPr>
          <w:rFonts w:ascii="Arial" w:hAnsi="Arial" w:cs="Arial"/>
          <w:b/>
          <w:lang w:val="es-ES"/>
        </w:rPr>
        <w:t>, Evaluación</w:t>
      </w:r>
      <w:r w:rsidRPr="00840C94">
        <w:rPr>
          <w:rFonts w:ascii="Arial" w:hAnsi="Arial" w:cs="Arial"/>
          <w:b/>
          <w:lang w:val="es-ES"/>
        </w:rPr>
        <w:t xml:space="preserve"> y Sistematización. </w:t>
      </w:r>
      <w:r w:rsidRPr="00840C94">
        <w:rPr>
          <w:rFonts w:ascii="Arial" w:hAnsi="Arial" w:cs="Arial"/>
          <w:lang w:val="es-ES"/>
        </w:rPr>
        <w:t>Se financiará actividades relacionadas con: (i) el fortalecimiento institucional de la capacidad de gestión por parte de la FCSM, en particular con lo que corresponde a monitoreo y seguimiento; comunicación; gestión fiduciaria; y (</w:t>
      </w:r>
      <w:proofErr w:type="spellStart"/>
      <w:r w:rsidRPr="00840C94">
        <w:rPr>
          <w:rFonts w:ascii="Arial" w:hAnsi="Arial" w:cs="Arial"/>
          <w:lang w:val="es-ES"/>
        </w:rPr>
        <w:t>ii</w:t>
      </w:r>
      <w:proofErr w:type="spellEnd"/>
      <w:r w:rsidRPr="00840C94">
        <w:rPr>
          <w:rFonts w:ascii="Arial" w:hAnsi="Arial" w:cs="Arial"/>
          <w:lang w:val="es-ES"/>
        </w:rPr>
        <w:t>)</w:t>
      </w:r>
      <w:r w:rsidR="00FD0464">
        <w:rPr>
          <w:rFonts w:ascii="Arial" w:hAnsi="Arial" w:cs="Arial"/>
          <w:lang w:val="es-ES"/>
        </w:rPr>
        <w:t xml:space="preserve"> la contratación de una evaluación independiente de los resultados producidos por el proyecto, así como una sistematización de la experiencia que contribuye a su eventual replicación en contextos similares</w:t>
      </w:r>
      <w:r w:rsidRPr="00840C94">
        <w:rPr>
          <w:rFonts w:ascii="Arial" w:hAnsi="Arial" w:cs="Arial"/>
          <w:lang w:val="es-ES"/>
        </w:rPr>
        <w:t>.</w:t>
      </w:r>
    </w:p>
    <w:p w:rsidRPr="00AF3291" w:rsidR="00997E63" w:rsidP="00417546" w:rsidRDefault="00997E63" w14:paraId="471B9177" w14:textId="76E6C20F">
      <w:pPr>
        <w:spacing w:before="120" w:after="120"/>
        <w:ind w:left="579" w:hanging="579"/>
        <w:jc w:val="both"/>
        <w:rPr>
          <w:rFonts w:ascii="Arial" w:hAnsi="Arial" w:cs="Arial"/>
          <w:lang w:val="es-ES"/>
        </w:rPr>
      </w:pPr>
      <w:r>
        <w:rPr>
          <w:rFonts w:ascii="Arial" w:hAnsi="Arial" w:cs="Arial"/>
          <w:lang w:val="es-ES"/>
        </w:rPr>
        <w:t xml:space="preserve">3.5. </w:t>
      </w:r>
      <w:r w:rsidR="00417546">
        <w:rPr>
          <w:rFonts w:ascii="Arial" w:hAnsi="Arial" w:cs="Arial"/>
          <w:lang w:val="es-ES"/>
        </w:rPr>
        <w:t xml:space="preserve">  </w:t>
      </w:r>
      <w:r w:rsidRPr="00997E63">
        <w:rPr>
          <w:rFonts w:ascii="Arial" w:hAnsi="Arial" w:cs="Arial"/>
          <w:lang w:val="es-ES"/>
        </w:rPr>
        <w:t xml:space="preserve">Mientras sea relevante, todas las actividades </w:t>
      </w:r>
      <w:r>
        <w:rPr>
          <w:rFonts w:ascii="Arial" w:hAnsi="Arial" w:cs="Arial"/>
          <w:lang w:val="es-ES"/>
        </w:rPr>
        <w:t xml:space="preserve">del proyecto </w:t>
      </w:r>
      <w:r w:rsidRPr="00997E63">
        <w:rPr>
          <w:rFonts w:ascii="Arial" w:hAnsi="Arial" w:cs="Arial"/>
          <w:lang w:val="es-ES"/>
        </w:rPr>
        <w:t>se llevarán a cabo practicando medidas de higiene y distanciamiento social, usando insumos y equipos de protección personal.</w:t>
      </w:r>
      <w:r>
        <w:rPr>
          <w:rFonts w:ascii="Arial" w:hAnsi="Arial" w:cs="Arial"/>
          <w:lang w:val="es-ES"/>
        </w:rPr>
        <w:t xml:space="preserve"> </w:t>
      </w:r>
    </w:p>
    <w:p w:rsidRPr="00840C94" w:rsidR="00997E63" w:rsidRDefault="00997E63" w14:paraId="144C93AA" w14:textId="07A8619E">
      <w:pPr>
        <w:spacing w:before="120" w:after="120"/>
        <w:ind w:left="579" w:hanging="579"/>
        <w:jc w:val="both"/>
        <w:rPr>
          <w:lang w:val="es-ES"/>
        </w:rPr>
      </w:pPr>
    </w:p>
    <w:p w:rsidR="00762253" w:rsidP="00A5249C" w:rsidRDefault="006B43BC" w14:paraId="285BFFB6" w14:textId="4A84B927">
      <w:pPr>
        <w:tabs>
          <w:tab w:val="left" w:pos="720"/>
          <w:tab w:val="left" w:pos="1440"/>
          <w:tab w:val="left" w:pos="2160"/>
          <w:tab w:val="left" w:pos="2880"/>
          <w:tab w:val="right" w:pos="9026"/>
        </w:tabs>
        <w:spacing w:before="120" w:after="120"/>
        <w:ind w:left="579" w:hanging="579"/>
      </w:pPr>
      <w:r>
        <w:rPr>
          <w:rFonts w:ascii="Arial" w:hAnsi="Arial" w:cs="Arial"/>
          <w:b/>
        </w:rPr>
        <w:t>IV.</w:t>
      </w:r>
      <w:r>
        <w:rPr>
          <w:rFonts w:ascii="Arial" w:hAnsi="Arial" w:cs="Arial"/>
          <w:b/>
        </w:rPr>
        <w:tab/>
      </w:r>
      <w:proofErr w:type="spellStart"/>
      <w:r w:rsidR="00A5249C">
        <w:rPr>
          <w:rFonts w:ascii="Arial" w:hAnsi="Arial" w:cs="Arial"/>
          <w:b/>
        </w:rPr>
        <w:t>Presupuesto</w:t>
      </w:r>
      <w:proofErr w:type="spellEnd"/>
      <w:r w:rsidR="00A5249C">
        <w:rPr>
          <w:rFonts w:ascii="Arial" w:hAnsi="Arial" w:cs="Arial"/>
          <w:b/>
        </w:rPr>
        <w:t xml:space="preserve"> </w:t>
      </w:r>
      <w:proofErr w:type="spellStart"/>
      <w:r w:rsidR="00A5249C">
        <w:rPr>
          <w:rFonts w:ascii="Arial" w:hAnsi="Arial" w:cs="Arial"/>
          <w:b/>
        </w:rPr>
        <w:t>Indicativo</w:t>
      </w:r>
      <w:proofErr w:type="spellEnd"/>
      <w:r w:rsidR="00A5249C">
        <w:rPr>
          <w:rFonts w:ascii="Arial" w:hAnsi="Arial" w:cs="Arial"/>
          <w:b/>
        </w:rPr>
        <w:tab/>
      </w:r>
    </w:p>
    <w:tbl>
      <w:tblPr>
        <w:tblStyle w:val="TableGrid"/>
        <w:tblW w:w="0" w:type="auto"/>
        <w:tblLook w:val="04A0" w:firstRow="1" w:lastRow="0" w:firstColumn="1" w:lastColumn="0" w:noHBand="0" w:noVBand="1"/>
      </w:tblPr>
      <w:tblGrid>
        <w:gridCol w:w="2965"/>
        <w:gridCol w:w="1620"/>
        <w:gridCol w:w="2070"/>
        <w:gridCol w:w="2361"/>
      </w:tblGrid>
      <w:tr w:rsidR="00762253" w:rsidTr="00D51FC6" w14:paraId="4A6F07EE" w14:textId="77777777">
        <w:tc>
          <w:tcPr>
            <w:tcW w:w="2965" w:type="dxa"/>
            <w:vAlign w:val="center"/>
          </w:tcPr>
          <w:p w:rsidR="00762253" w:rsidRDefault="006B43BC" w14:paraId="6C6DC3A1" w14:textId="77777777">
            <w:pPr>
              <w:spacing w:before="40" w:after="40"/>
              <w:jc w:val="center"/>
            </w:pPr>
            <w:r>
              <w:rPr>
                <w:rFonts w:ascii="Arial" w:hAnsi="Arial" w:cs="Arial"/>
                <w:b/>
                <w:sz w:val="18"/>
                <w:szCs w:val="18"/>
              </w:rPr>
              <w:t>Activity/Component</w:t>
            </w:r>
          </w:p>
        </w:tc>
        <w:tc>
          <w:tcPr>
            <w:tcW w:w="1620" w:type="dxa"/>
          </w:tcPr>
          <w:p w:rsidR="00762253" w:rsidRDefault="006B43BC" w14:paraId="49F6E183" w14:textId="77777777">
            <w:pPr>
              <w:spacing w:before="40" w:after="40"/>
              <w:jc w:val="center"/>
            </w:pPr>
            <w:r>
              <w:rPr>
                <w:rFonts w:ascii="Arial" w:hAnsi="Arial" w:cs="Arial"/>
                <w:b/>
                <w:sz w:val="18"/>
                <w:szCs w:val="18"/>
              </w:rPr>
              <w:t>IDB/Fund Funding</w:t>
            </w:r>
          </w:p>
        </w:tc>
        <w:tc>
          <w:tcPr>
            <w:tcW w:w="2070" w:type="dxa"/>
          </w:tcPr>
          <w:p w:rsidR="00762253" w:rsidRDefault="006B43BC" w14:paraId="1F363955" w14:textId="2C4319F3">
            <w:pPr>
              <w:spacing w:before="40" w:after="40"/>
              <w:jc w:val="center"/>
            </w:pPr>
            <w:r>
              <w:rPr>
                <w:rFonts w:ascii="Arial" w:hAnsi="Arial" w:cs="Arial"/>
                <w:b/>
                <w:sz w:val="18"/>
                <w:szCs w:val="18"/>
              </w:rPr>
              <w:t>Counterpart Funding</w:t>
            </w:r>
            <w:r w:rsidR="00BA7E68">
              <w:rPr>
                <w:rFonts w:ascii="Arial" w:hAnsi="Arial" w:cs="Arial"/>
                <w:b/>
                <w:sz w:val="18"/>
                <w:szCs w:val="18"/>
              </w:rPr>
              <w:t xml:space="preserve"> (</w:t>
            </w:r>
            <w:r w:rsidR="00AF3291">
              <w:rPr>
                <w:rFonts w:ascii="Arial" w:hAnsi="Arial" w:cs="Arial"/>
                <w:b/>
                <w:sz w:val="18"/>
                <w:szCs w:val="18"/>
              </w:rPr>
              <w:t>In Kind</w:t>
            </w:r>
            <w:r w:rsidR="00BA7E68">
              <w:rPr>
                <w:rFonts w:ascii="Arial" w:hAnsi="Arial" w:cs="Arial"/>
                <w:b/>
                <w:sz w:val="18"/>
                <w:szCs w:val="18"/>
              </w:rPr>
              <w:t>)</w:t>
            </w:r>
          </w:p>
        </w:tc>
        <w:tc>
          <w:tcPr>
            <w:tcW w:w="2361" w:type="dxa"/>
          </w:tcPr>
          <w:p w:rsidR="00762253" w:rsidRDefault="006B43BC" w14:paraId="7E422414" w14:textId="77777777">
            <w:pPr>
              <w:spacing w:before="40" w:after="40"/>
              <w:jc w:val="center"/>
            </w:pPr>
            <w:r>
              <w:rPr>
                <w:rFonts w:ascii="Arial" w:hAnsi="Arial" w:cs="Arial"/>
                <w:b/>
                <w:sz w:val="18"/>
                <w:szCs w:val="18"/>
              </w:rPr>
              <w:t>Total Funding</w:t>
            </w:r>
          </w:p>
        </w:tc>
      </w:tr>
      <w:tr w:rsidR="00762253" w:rsidTr="00D51FC6" w14:paraId="0529B2E1" w14:textId="77777777">
        <w:tc>
          <w:tcPr>
            <w:tcW w:w="2965" w:type="dxa"/>
            <w:vAlign w:val="center"/>
          </w:tcPr>
          <w:p w:rsidRPr="00840C94" w:rsidR="00762253" w:rsidRDefault="006B43BC" w14:paraId="20900842" w14:textId="77777777">
            <w:pPr>
              <w:spacing w:before="40" w:after="40"/>
              <w:rPr>
                <w:lang w:val="es-ES"/>
              </w:rPr>
            </w:pPr>
            <w:r w:rsidRPr="00840C94">
              <w:rPr>
                <w:rFonts w:ascii="Arial" w:hAnsi="Arial" w:cs="Arial"/>
                <w:sz w:val="18"/>
                <w:szCs w:val="18"/>
                <w:lang w:val="es-ES"/>
              </w:rPr>
              <w:t>Componente I: Consolidación y Expansión de Ligas Comunitarias de beisbol para niñas, niños y jóvenes.</w:t>
            </w:r>
          </w:p>
        </w:tc>
        <w:tc>
          <w:tcPr>
            <w:tcW w:w="1620" w:type="dxa"/>
            <w:vAlign w:val="center"/>
          </w:tcPr>
          <w:p w:rsidR="00762253" w:rsidRDefault="006B43BC" w14:paraId="50999ACD" w14:textId="74D77AEC">
            <w:pPr>
              <w:spacing w:before="40" w:after="40"/>
              <w:jc w:val="right"/>
            </w:pPr>
            <w:r>
              <w:rPr>
                <w:rFonts w:ascii="Arial" w:hAnsi="Arial" w:cs="Arial"/>
                <w:sz w:val="18"/>
                <w:szCs w:val="18"/>
              </w:rPr>
              <w:t>US$</w:t>
            </w:r>
            <w:r w:rsidR="00A81EE7">
              <w:rPr>
                <w:rFonts w:ascii="Arial" w:hAnsi="Arial" w:cs="Arial"/>
                <w:sz w:val="18"/>
                <w:szCs w:val="18"/>
              </w:rPr>
              <w:t>85</w:t>
            </w:r>
            <w:r>
              <w:rPr>
                <w:rFonts w:ascii="Arial" w:hAnsi="Arial" w:cs="Arial"/>
                <w:sz w:val="18"/>
                <w:szCs w:val="18"/>
              </w:rPr>
              <w:t>,000.00</w:t>
            </w:r>
          </w:p>
        </w:tc>
        <w:tc>
          <w:tcPr>
            <w:tcW w:w="2070" w:type="dxa"/>
            <w:vAlign w:val="center"/>
          </w:tcPr>
          <w:p w:rsidR="00762253" w:rsidRDefault="006B43BC" w14:paraId="2FD4879C" w14:textId="45A5A6D6">
            <w:pPr>
              <w:spacing w:before="40" w:after="40"/>
              <w:jc w:val="right"/>
            </w:pPr>
            <w:r>
              <w:rPr>
                <w:rFonts w:ascii="Arial" w:hAnsi="Arial" w:cs="Arial"/>
                <w:sz w:val="18"/>
                <w:szCs w:val="18"/>
              </w:rPr>
              <w:t>US$</w:t>
            </w:r>
            <w:r w:rsidR="00BA7E68">
              <w:rPr>
                <w:rFonts w:ascii="Arial" w:hAnsi="Arial" w:cs="Arial"/>
                <w:sz w:val="18"/>
                <w:szCs w:val="18"/>
              </w:rPr>
              <w:t>0</w:t>
            </w:r>
            <w:r>
              <w:rPr>
                <w:rFonts w:ascii="Arial" w:hAnsi="Arial" w:cs="Arial"/>
                <w:sz w:val="18"/>
                <w:szCs w:val="18"/>
              </w:rPr>
              <w:t>.00</w:t>
            </w:r>
          </w:p>
        </w:tc>
        <w:tc>
          <w:tcPr>
            <w:tcW w:w="2361" w:type="dxa"/>
            <w:vAlign w:val="center"/>
          </w:tcPr>
          <w:p w:rsidR="00762253" w:rsidRDefault="006B43BC" w14:paraId="07633D0C" w14:textId="78A669CD">
            <w:pPr>
              <w:spacing w:before="40" w:after="40"/>
              <w:jc w:val="right"/>
            </w:pPr>
            <w:r>
              <w:rPr>
                <w:rFonts w:ascii="Arial" w:hAnsi="Arial" w:cs="Arial"/>
                <w:sz w:val="18"/>
                <w:szCs w:val="18"/>
              </w:rPr>
              <w:t>US$</w:t>
            </w:r>
            <w:r w:rsidR="00A81EE7">
              <w:rPr>
                <w:rFonts w:ascii="Arial" w:hAnsi="Arial" w:cs="Arial"/>
                <w:sz w:val="18"/>
                <w:szCs w:val="18"/>
              </w:rPr>
              <w:t xml:space="preserve"> </w:t>
            </w:r>
            <w:r w:rsidR="00353FC3">
              <w:rPr>
                <w:rFonts w:ascii="Arial" w:hAnsi="Arial" w:cs="Arial"/>
                <w:sz w:val="18"/>
                <w:szCs w:val="18"/>
              </w:rPr>
              <w:t>8</w:t>
            </w:r>
            <w:r w:rsidR="00A81EE7">
              <w:rPr>
                <w:rFonts w:ascii="Arial" w:hAnsi="Arial" w:cs="Arial"/>
                <w:sz w:val="18"/>
                <w:szCs w:val="18"/>
              </w:rPr>
              <w:t>5</w:t>
            </w:r>
            <w:r>
              <w:rPr>
                <w:rFonts w:ascii="Arial" w:hAnsi="Arial" w:cs="Arial"/>
                <w:sz w:val="18"/>
                <w:szCs w:val="18"/>
              </w:rPr>
              <w:t>,000.00</w:t>
            </w:r>
          </w:p>
        </w:tc>
      </w:tr>
      <w:tr w:rsidR="00762253" w:rsidTr="00D51FC6" w14:paraId="39E57096" w14:textId="77777777">
        <w:tc>
          <w:tcPr>
            <w:tcW w:w="2965" w:type="dxa"/>
            <w:vAlign w:val="center"/>
          </w:tcPr>
          <w:p w:rsidRPr="00840C94" w:rsidR="00762253" w:rsidRDefault="006B43BC" w14:paraId="2BC01A16" w14:textId="77777777">
            <w:pPr>
              <w:spacing w:before="40" w:after="40"/>
              <w:rPr>
                <w:lang w:val="es-ES"/>
              </w:rPr>
            </w:pPr>
            <w:r w:rsidRPr="00840C94">
              <w:rPr>
                <w:rFonts w:ascii="Arial" w:hAnsi="Arial" w:cs="Arial"/>
                <w:sz w:val="18"/>
                <w:szCs w:val="18"/>
                <w:lang w:val="es-ES"/>
              </w:rPr>
              <w:t>Componente II: Fortalecimiento y profundización de habilidades socioemocionales para la inclusión social</w:t>
            </w:r>
          </w:p>
        </w:tc>
        <w:tc>
          <w:tcPr>
            <w:tcW w:w="1620" w:type="dxa"/>
            <w:vAlign w:val="center"/>
          </w:tcPr>
          <w:p w:rsidR="00762253" w:rsidRDefault="006B43BC" w14:paraId="03B58840" w14:textId="241FD093">
            <w:pPr>
              <w:spacing w:before="40" w:after="40"/>
              <w:jc w:val="right"/>
            </w:pPr>
            <w:r>
              <w:rPr>
                <w:rFonts w:ascii="Arial" w:hAnsi="Arial" w:cs="Arial"/>
                <w:sz w:val="18"/>
                <w:szCs w:val="18"/>
              </w:rPr>
              <w:t>US$</w:t>
            </w:r>
            <w:r w:rsidR="00992D34">
              <w:rPr>
                <w:rFonts w:ascii="Arial" w:hAnsi="Arial" w:cs="Arial"/>
                <w:sz w:val="18"/>
                <w:szCs w:val="18"/>
              </w:rPr>
              <w:t>6</w:t>
            </w:r>
            <w:r w:rsidR="00A81EE7">
              <w:rPr>
                <w:rFonts w:ascii="Arial" w:hAnsi="Arial" w:cs="Arial"/>
                <w:sz w:val="18"/>
                <w:szCs w:val="18"/>
              </w:rPr>
              <w:t>7</w:t>
            </w:r>
            <w:r>
              <w:rPr>
                <w:rFonts w:ascii="Arial" w:hAnsi="Arial" w:cs="Arial"/>
                <w:sz w:val="18"/>
                <w:szCs w:val="18"/>
              </w:rPr>
              <w:t>,000.00</w:t>
            </w:r>
          </w:p>
        </w:tc>
        <w:tc>
          <w:tcPr>
            <w:tcW w:w="2070" w:type="dxa"/>
            <w:vAlign w:val="center"/>
          </w:tcPr>
          <w:p w:rsidR="00762253" w:rsidRDefault="006B43BC" w14:paraId="6638B2F3" w14:textId="77777777">
            <w:pPr>
              <w:spacing w:before="40" w:after="40"/>
              <w:jc w:val="right"/>
            </w:pPr>
            <w:r>
              <w:rPr>
                <w:rFonts w:ascii="Arial" w:hAnsi="Arial" w:cs="Arial"/>
                <w:sz w:val="18"/>
                <w:szCs w:val="18"/>
              </w:rPr>
              <w:t>US$0.00</w:t>
            </w:r>
          </w:p>
        </w:tc>
        <w:tc>
          <w:tcPr>
            <w:tcW w:w="2361" w:type="dxa"/>
            <w:vAlign w:val="center"/>
          </w:tcPr>
          <w:p w:rsidR="00762253" w:rsidRDefault="006B43BC" w14:paraId="2835FADB" w14:textId="751BFCA5">
            <w:pPr>
              <w:spacing w:before="40" w:after="40"/>
              <w:jc w:val="right"/>
            </w:pPr>
            <w:r>
              <w:rPr>
                <w:rFonts w:ascii="Arial" w:hAnsi="Arial" w:cs="Arial"/>
                <w:sz w:val="18"/>
                <w:szCs w:val="18"/>
              </w:rPr>
              <w:t>US</w:t>
            </w:r>
            <w:r w:rsidR="00992D34">
              <w:rPr>
                <w:rFonts w:ascii="Arial" w:hAnsi="Arial" w:cs="Arial"/>
                <w:sz w:val="18"/>
                <w:szCs w:val="18"/>
              </w:rPr>
              <w:t>$</w:t>
            </w:r>
            <w:r w:rsidR="00A81EE7">
              <w:rPr>
                <w:rFonts w:ascii="Arial" w:hAnsi="Arial" w:cs="Arial"/>
                <w:sz w:val="18"/>
                <w:szCs w:val="18"/>
              </w:rPr>
              <w:t xml:space="preserve"> </w:t>
            </w:r>
            <w:r w:rsidR="00992D34">
              <w:rPr>
                <w:rFonts w:ascii="Arial" w:hAnsi="Arial" w:cs="Arial"/>
                <w:sz w:val="18"/>
                <w:szCs w:val="18"/>
              </w:rPr>
              <w:t>6</w:t>
            </w:r>
            <w:r w:rsidR="00A81EE7">
              <w:rPr>
                <w:rFonts w:ascii="Arial" w:hAnsi="Arial" w:cs="Arial"/>
                <w:sz w:val="18"/>
                <w:szCs w:val="18"/>
              </w:rPr>
              <w:t>7</w:t>
            </w:r>
            <w:r>
              <w:rPr>
                <w:rFonts w:ascii="Arial" w:hAnsi="Arial" w:cs="Arial"/>
                <w:sz w:val="18"/>
                <w:szCs w:val="18"/>
              </w:rPr>
              <w:t>,000.00</w:t>
            </w:r>
          </w:p>
        </w:tc>
      </w:tr>
      <w:tr w:rsidR="00762253" w:rsidTr="00D51FC6" w14:paraId="43ED436F" w14:textId="77777777">
        <w:tc>
          <w:tcPr>
            <w:tcW w:w="2965" w:type="dxa"/>
            <w:vAlign w:val="center"/>
          </w:tcPr>
          <w:p w:rsidRPr="00250D3D" w:rsidR="00762253" w:rsidRDefault="006B43BC" w14:paraId="321CF9D8" w14:textId="4EE39467">
            <w:pPr>
              <w:spacing w:before="40" w:after="40"/>
              <w:rPr>
                <w:lang w:val="es-ES"/>
              </w:rPr>
            </w:pPr>
            <w:r w:rsidRPr="00250D3D">
              <w:rPr>
                <w:rFonts w:ascii="Arial" w:hAnsi="Arial" w:cs="Arial"/>
                <w:sz w:val="18"/>
                <w:szCs w:val="18"/>
                <w:lang w:val="es-ES"/>
              </w:rPr>
              <w:t xml:space="preserve">Componente III: </w:t>
            </w:r>
            <w:r w:rsidRPr="00250D3D" w:rsidR="00250D3D">
              <w:rPr>
                <w:rFonts w:ascii="Arial" w:hAnsi="Arial" w:cs="Arial"/>
                <w:sz w:val="18"/>
                <w:szCs w:val="18"/>
                <w:lang w:val="es-ES"/>
              </w:rPr>
              <w:t xml:space="preserve">Gestión Comunitaria para la </w:t>
            </w:r>
            <w:r w:rsidRPr="00250D3D">
              <w:rPr>
                <w:rFonts w:ascii="Arial" w:hAnsi="Arial" w:cs="Arial"/>
                <w:sz w:val="18"/>
                <w:szCs w:val="18"/>
                <w:lang w:val="es-ES"/>
              </w:rPr>
              <w:t>Sostenibilidad</w:t>
            </w:r>
          </w:p>
        </w:tc>
        <w:tc>
          <w:tcPr>
            <w:tcW w:w="1620" w:type="dxa"/>
            <w:vAlign w:val="center"/>
          </w:tcPr>
          <w:p w:rsidR="00762253" w:rsidRDefault="006B43BC" w14:paraId="1CA994A9" w14:textId="2C8A1684">
            <w:pPr>
              <w:spacing w:before="40" w:after="40"/>
              <w:jc w:val="right"/>
            </w:pPr>
            <w:r>
              <w:rPr>
                <w:rFonts w:ascii="Arial" w:hAnsi="Arial" w:cs="Arial"/>
                <w:sz w:val="18"/>
                <w:szCs w:val="18"/>
              </w:rPr>
              <w:t>US$</w:t>
            </w:r>
            <w:r w:rsidR="00992D34">
              <w:rPr>
                <w:rFonts w:ascii="Arial" w:hAnsi="Arial" w:cs="Arial"/>
                <w:sz w:val="18"/>
                <w:szCs w:val="18"/>
              </w:rPr>
              <w:t>5</w:t>
            </w:r>
            <w:r w:rsidR="00A81EE7">
              <w:rPr>
                <w:rFonts w:ascii="Arial" w:hAnsi="Arial" w:cs="Arial"/>
                <w:sz w:val="18"/>
                <w:szCs w:val="18"/>
              </w:rPr>
              <w:t>8</w:t>
            </w:r>
            <w:r>
              <w:rPr>
                <w:rFonts w:ascii="Arial" w:hAnsi="Arial" w:cs="Arial"/>
                <w:sz w:val="18"/>
                <w:szCs w:val="18"/>
              </w:rPr>
              <w:t>,000.00</w:t>
            </w:r>
          </w:p>
        </w:tc>
        <w:tc>
          <w:tcPr>
            <w:tcW w:w="2070" w:type="dxa"/>
            <w:vAlign w:val="center"/>
          </w:tcPr>
          <w:p w:rsidR="00762253" w:rsidRDefault="006B43BC" w14:paraId="30B8CBEC" w14:textId="61612BCE">
            <w:pPr>
              <w:spacing w:before="40" w:after="40"/>
              <w:jc w:val="right"/>
            </w:pPr>
            <w:r>
              <w:rPr>
                <w:rFonts w:ascii="Arial" w:hAnsi="Arial" w:cs="Arial"/>
                <w:sz w:val="18"/>
                <w:szCs w:val="18"/>
              </w:rPr>
              <w:t>US$</w:t>
            </w:r>
            <w:r w:rsidR="00353FC3">
              <w:rPr>
                <w:rFonts w:ascii="Arial" w:hAnsi="Arial" w:cs="Arial"/>
                <w:sz w:val="18"/>
                <w:szCs w:val="18"/>
              </w:rPr>
              <w:t>0</w:t>
            </w:r>
            <w:r>
              <w:rPr>
                <w:rFonts w:ascii="Arial" w:hAnsi="Arial" w:cs="Arial"/>
                <w:sz w:val="18"/>
                <w:szCs w:val="18"/>
              </w:rPr>
              <w:t>.00</w:t>
            </w:r>
          </w:p>
        </w:tc>
        <w:tc>
          <w:tcPr>
            <w:tcW w:w="2361" w:type="dxa"/>
            <w:vAlign w:val="center"/>
          </w:tcPr>
          <w:p w:rsidR="00762253" w:rsidRDefault="006B43BC" w14:paraId="3C73DCE0" w14:textId="3FCF6918">
            <w:pPr>
              <w:spacing w:before="40" w:after="40"/>
              <w:jc w:val="right"/>
            </w:pPr>
            <w:r>
              <w:rPr>
                <w:rFonts w:ascii="Arial" w:hAnsi="Arial" w:cs="Arial"/>
                <w:sz w:val="18"/>
                <w:szCs w:val="18"/>
              </w:rPr>
              <w:t>US$</w:t>
            </w:r>
            <w:r w:rsidR="00A81EE7">
              <w:rPr>
                <w:rFonts w:ascii="Arial" w:hAnsi="Arial" w:cs="Arial"/>
                <w:sz w:val="18"/>
                <w:szCs w:val="18"/>
              </w:rPr>
              <w:t xml:space="preserve"> </w:t>
            </w:r>
            <w:r w:rsidR="00353FC3">
              <w:rPr>
                <w:rFonts w:ascii="Arial" w:hAnsi="Arial" w:cs="Arial"/>
                <w:sz w:val="18"/>
                <w:szCs w:val="18"/>
              </w:rPr>
              <w:t>5</w:t>
            </w:r>
            <w:r w:rsidR="00A81EE7">
              <w:rPr>
                <w:rFonts w:ascii="Arial" w:hAnsi="Arial" w:cs="Arial"/>
                <w:sz w:val="18"/>
                <w:szCs w:val="18"/>
              </w:rPr>
              <w:t>8</w:t>
            </w:r>
            <w:r>
              <w:rPr>
                <w:rFonts w:ascii="Arial" w:hAnsi="Arial" w:cs="Arial"/>
                <w:sz w:val="18"/>
                <w:szCs w:val="18"/>
              </w:rPr>
              <w:t>,000.00</w:t>
            </w:r>
          </w:p>
        </w:tc>
      </w:tr>
      <w:tr w:rsidR="00762253" w:rsidTr="00D51FC6" w14:paraId="2336FECB" w14:textId="77777777">
        <w:tc>
          <w:tcPr>
            <w:tcW w:w="2965" w:type="dxa"/>
            <w:vAlign w:val="center"/>
          </w:tcPr>
          <w:p w:rsidRPr="00840C94" w:rsidR="00762253" w:rsidRDefault="006B43BC" w14:paraId="0040CCCC" w14:textId="6B044A10">
            <w:pPr>
              <w:spacing w:before="40" w:after="40"/>
              <w:rPr>
                <w:lang w:val="es-ES"/>
              </w:rPr>
            </w:pPr>
            <w:r w:rsidRPr="00840C94">
              <w:rPr>
                <w:rFonts w:ascii="Arial" w:hAnsi="Arial" w:cs="Arial"/>
                <w:sz w:val="18"/>
                <w:szCs w:val="18"/>
                <w:lang w:val="es-ES"/>
              </w:rPr>
              <w:t>Componente IV – Administración</w:t>
            </w:r>
            <w:r w:rsidR="00F66F80">
              <w:rPr>
                <w:rFonts w:ascii="Arial" w:hAnsi="Arial" w:cs="Arial"/>
                <w:sz w:val="18"/>
                <w:szCs w:val="18"/>
                <w:lang w:val="es-ES"/>
              </w:rPr>
              <w:t>, Evaluación</w:t>
            </w:r>
            <w:r w:rsidRPr="00840C94">
              <w:rPr>
                <w:rFonts w:ascii="Arial" w:hAnsi="Arial" w:cs="Arial"/>
                <w:sz w:val="18"/>
                <w:szCs w:val="18"/>
                <w:lang w:val="es-ES"/>
              </w:rPr>
              <w:t xml:space="preserve"> y Sistematización</w:t>
            </w:r>
          </w:p>
        </w:tc>
        <w:tc>
          <w:tcPr>
            <w:tcW w:w="1620" w:type="dxa"/>
            <w:vAlign w:val="center"/>
          </w:tcPr>
          <w:p w:rsidR="00762253" w:rsidRDefault="006B43BC" w14:paraId="50FD6EEC" w14:textId="5D62BF9F">
            <w:pPr>
              <w:spacing w:before="40" w:after="40"/>
              <w:jc w:val="right"/>
            </w:pPr>
            <w:r>
              <w:rPr>
                <w:rFonts w:ascii="Arial" w:hAnsi="Arial" w:cs="Arial"/>
                <w:sz w:val="18"/>
                <w:szCs w:val="18"/>
              </w:rPr>
              <w:t>US$</w:t>
            </w:r>
            <w:r w:rsidR="00A81EE7">
              <w:rPr>
                <w:rFonts w:ascii="Arial" w:hAnsi="Arial" w:cs="Arial"/>
                <w:sz w:val="18"/>
                <w:szCs w:val="18"/>
              </w:rPr>
              <w:t>40</w:t>
            </w:r>
            <w:r w:rsidR="00992D34">
              <w:rPr>
                <w:rFonts w:ascii="Arial" w:hAnsi="Arial" w:cs="Arial"/>
                <w:sz w:val="18"/>
                <w:szCs w:val="18"/>
              </w:rPr>
              <w:t>,</w:t>
            </w:r>
            <w:r>
              <w:rPr>
                <w:rFonts w:ascii="Arial" w:hAnsi="Arial" w:cs="Arial"/>
                <w:sz w:val="18"/>
                <w:szCs w:val="18"/>
              </w:rPr>
              <w:t>000.00</w:t>
            </w:r>
          </w:p>
        </w:tc>
        <w:tc>
          <w:tcPr>
            <w:tcW w:w="2070" w:type="dxa"/>
            <w:vAlign w:val="center"/>
          </w:tcPr>
          <w:p w:rsidR="00762253" w:rsidRDefault="006B43BC" w14:paraId="25953226" w14:textId="7C0C6786">
            <w:pPr>
              <w:spacing w:before="40" w:after="40"/>
              <w:jc w:val="right"/>
            </w:pPr>
            <w:r>
              <w:rPr>
                <w:rFonts w:ascii="Arial" w:hAnsi="Arial" w:cs="Arial"/>
                <w:sz w:val="18"/>
                <w:szCs w:val="18"/>
              </w:rPr>
              <w:t>US$</w:t>
            </w:r>
            <w:r w:rsidR="00BA7E68">
              <w:rPr>
                <w:rFonts w:ascii="Arial" w:hAnsi="Arial" w:cs="Arial"/>
                <w:sz w:val="18"/>
                <w:szCs w:val="18"/>
              </w:rPr>
              <w:t>0</w:t>
            </w:r>
            <w:r>
              <w:rPr>
                <w:rFonts w:ascii="Arial" w:hAnsi="Arial" w:cs="Arial"/>
                <w:sz w:val="18"/>
                <w:szCs w:val="18"/>
              </w:rPr>
              <w:t>.00</w:t>
            </w:r>
          </w:p>
        </w:tc>
        <w:tc>
          <w:tcPr>
            <w:tcW w:w="2361" w:type="dxa"/>
            <w:vAlign w:val="center"/>
          </w:tcPr>
          <w:p w:rsidR="00762253" w:rsidRDefault="006B43BC" w14:paraId="67B19892" w14:textId="50FF95A7">
            <w:pPr>
              <w:spacing w:before="40" w:after="40"/>
              <w:jc w:val="right"/>
            </w:pPr>
            <w:r>
              <w:rPr>
                <w:rFonts w:ascii="Arial" w:hAnsi="Arial" w:cs="Arial"/>
                <w:sz w:val="18"/>
                <w:szCs w:val="18"/>
              </w:rPr>
              <w:t>US$</w:t>
            </w:r>
            <w:r w:rsidR="00A81EE7">
              <w:rPr>
                <w:rFonts w:ascii="Arial" w:hAnsi="Arial" w:cs="Arial"/>
                <w:sz w:val="18"/>
                <w:szCs w:val="18"/>
              </w:rPr>
              <w:t xml:space="preserve"> </w:t>
            </w:r>
            <w:r w:rsidR="001844C8">
              <w:rPr>
                <w:rFonts w:ascii="Arial" w:hAnsi="Arial" w:cs="Arial"/>
                <w:sz w:val="18"/>
                <w:szCs w:val="18"/>
              </w:rPr>
              <w:t>40</w:t>
            </w:r>
            <w:r>
              <w:rPr>
                <w:rFonts w:ascii="Arial" w:hAnsi="Arial" w:cs="Arial"/>
                <w:sz w:val="18"/>
                <w:szCs w:val="18"/>
              </w:rPr>
              <w:t>,000.</w:t>
            </w:r>
            <w:r w:rsidR="00BA7E68">
              <w:rPr>
                <w:rFonts w:ascii="Arial" w:hAnsi="Arial" w:cs="Arial"/>
                <w:sz w:val="18"/>
                <w:szCs w:val="18"/>
              </w:rPr>
              <w:t>0</w:t>
            </w:r>
            <w:r>
              <w:rPr>
                <w:rFonts w:ascii="Arial" w:hAnsi="Arial" w:cs="Arial"/>
                <w:sz w:val="18"/>
                <w:szCs w:val="18"/>
              </w:rPr>
              <w:t>0</w:t>
            </w:r>
          </w:p>
        </w:tc>
      </w:tr>
      <w:tr w:rsidR="00762253" w:rsidTr="00D51FC6" w14:paraId="7F09996D" w14:textId="77777777">
        <w:tc>
          <w:tcPr>
            <w:tcW w:w="2965" w:type="dxa"/>
            <w:vAlign w:val="center"/>
          </w:tcPr>
          <w:p w:rsidR="00762253" w:rsidRDefault="006B43BC" w14:paraId="0FD97EDA" w14:textId="77777777">
            <w:pPr>
              <w:spacing w:before="40" w:after="40"/>
            </w:pPr>
            <w:r>
              <w:rPr>
                <w:rFonts w:ascii="Arial" w:hAnsi="Arial" w:cs="Arial"/>
                <w:b/>
                <w:sz w:val="18"/>
                <w:szCs w:val="18"/>
              </w:rPr>
              <w:t>Total</w:t>
            </w:r>
          </w:p>
        </w:tc>
        <w:tc>
          <w:tcPr>
            <w:tcW w:w="1620" w:type="dxa"/>
            <w:vAlign w:val="center"/>
          </w:tcPr>
          <w:p w:rsidR="00762253" w:rsidRDefault="006B43BC" w14:paraId="25E42127" w14:textId="663DB300">
            <w:pPr>
              <w:spacing w:before="40" w:after="40"/>
              <w:jc w:val="right"/>
            </w:pPr>
            <w:r>
              <w:rPr>
                <w:rFonts w:ascii="Arial" w:hAnsi="Arial" w:cs="Arial"/>
                <w:b/>
                <w:sz w:val="18"/>
                <w:szCs w:val="18"/>
              </w:rPr>
              <w:t>US$</w:t>
            </w:r>
            <w:r w:rsidR="00992D34">
              <w:rPr>
                <w:rFonts w:ascii="Arial" w:hAnsi="Arial" w:cs="Arial"/>
                <w:b/>
                <w:sz w:val="18"/>
                <w:szCs w:val="18"/>
              </w:rPr>
              <w:t>250</w:t>
            </w:r>
            <w:r>
              <w:rPr>
                <w:rFonts w:ascii="Arial" w:hAnsi="Arial" w:cs="Arial"/>
                <w:b/>
                <w:sz w:val="18"/>
                <w:szCs w:val="18"/>
              </w:rPr>
              <w:t>,000.00</w:t>
            </w:r>
          </w:p>
        </w:tc>
        <w:tc>
          <w:tcPr>
            <w:tcW w:w="2070" w:type="dxa"/>
            <w:vAlign w:val="center"/>
          </w:tcPr>
          <w:p w:rsidR="00762253" w:rsidRDefault="006B43BC" w14:paraId="3BD8923C" w14:textId="1D3961E2">
            <w:pPr>
              <w:spacing w:before="40" w:after="40"/>
              <w:jc w:val="right"/>
            </w:pPr>
            <w:r>
              <w:rPr>
                <w:rFonts w:ascii="Arial" w:hAnsi="Arial" w:cs="Arial"/>
                <w:b/>
                <w:sz w:val="18"/>
                <w:szCs w:val="18"/>
              </w:rPr>
              <w:t>US$</w:t>
            </w:r>
            <w:r w:rsidR="00BA7E68">
              <w:rPr>
                <w:rFonts w:ascii="Arial" w:hAnsi="Arial" w:cs="Arial"/>
                <w:b/>
                <w:sz w:val="18"/>
                <w:szCs w:val="18"/>
              </w:rPr>
              <w:t>0</w:t>
            </w:r>
            <w:r>
              <w:rPr>
                <w:rFonts w:ascii="Arial" w:hAnsi="Arial" w:cs="Arial"/>
                <w:b/>
                <w:sz w:val="18"/>
                <w:szCs w:val="18"/>
              </w:rPr>
              <w:t>.00</w:t>
            </w:r>
          </w:p>
        </w:tc>
        <w:tc>
          <w:tcPr>
            <w:tcW w:w="2361" w:type="dxa"/>
            <w:vAlign w:val="center"/>
          </w:tcPr>
          <w:p w:rsidR="00762253" w:rsidRDefault="006B43BC" w14:paraId="7E6EE30E" w14:textId="088CD0F8">
            <w:pPr>
              <w:spacing w:before="40" w:after="40"/>
              <w:jc w:val="right"/>
            </w:pPr>
            <w:r>
              <w:rPr>
                <w:rFonts w:ascii="Arial" w:hAnsi="Arial" w:cs="Arial"/>
                <w:b/>
                <w:sz w:val="18"/>
                <w:szCs w:val="18"/>
              </w:rPr>
              <w:t>US$</w:t>
            </w:r>
            <w:r w:rsidR="00992D34">
              <w:rPr>
                <w:rFonts w:ascii="Arial" w:hAnsi="Arial" w:cs="Arial"/>
                <w:b/>
                <w:sz w:val="18"/>
                <w:szCs w:val="18"/>
              </w:rPr>
              <w:t>2</w:t>
            </w:r>
            <w:r w:rsidR="001844C8">
              <w:rPr>
                <w:rFonts w:ascii="Arial" w:hAnsi="Arial" w:cs="Arial"/>
                <w:b/>
                <w:sz w:val="18"/>
                <w:szCs w:val="18"/>
              </w:rPr>
              <w:t>50</w:t>
            </w:r>
            <w:r>
              <w:rPr>
                <w:rFonts w:ascii="Arial" w:hAnsi="Arial" w:cs="Arial"/>
                <w:b/>
                <w:sz w:val="18"/>
                <w:szCs w:val="18"/>
              </w:rPr>
              <w:t>,000.00</w:t>
            </w:r>
          </w:p>
        </w:tc>
      </w:tr>
    </w:tbl>
    <w:p w:rsidRPr="000A5A6B" w:rsidR="00762253" w:rsidRDefault="006B43BC" w14:paraId="2E4FE8DA" w14:textId="6E7F76F6">
      <w:pPr>
        <w:spacing w:before="120" w:after="120"/>
        <w:ind w:left="579" w:hanging="579"/>
        <w:rPr>
          <w:lang w:val="es-ES"/>
        </w:rPr>
      </w:pPr>
      <w:r w:rsidRPr="000A5A6B">
        <w:rPr>
          <w:rFonts w:ascii="Arial" w:hAnsi="Arial" w:cs="Arial"/>
          <w:b/>
          <w:lang w:val="es-ES"/>
        </w:rPr>
        <w:t>V.</w:t>
      </w:r>
      <w:r w:rsidRPr="000A5A6B">
        <w:rPr>
          <w:rFonts w:ascii="Arial" w:hAnsi="Arial" w:cs="Arial"/>
          <w:b/>
          <w:lang w:val="es-ES"/>
        </w:rPr>
        <w:tab/>
      </w:r>
      <w:r w:rsidRPr="000A5A6B" w:rsidR="000A5A6B">
        <w:rPr>
          <w:rFonts w:ascii="Arial" w:hAnsi="Arial" w:cs="Arial"/>
          <w:b/>
          <w:lang w:val="es-ES"/>
        </w:rPr>
        <w:t xml:space="preserve">Agencia Ejecutor y </w:t>
      </w:r>
      <w:r w:rsidR="000A5A6B">
        <w:rPr>
          <w:rFonts w:ascii="Arial" w:hAnsi="Arial" w:cs="Arial"/>
          <w:b/>
          <w:lang w:val="es-ES"/>
        </w:rPr>
        <w:t>E</w:t>
      </w:r>
      <w:r w:rsidRPr="000A5A6B" w:rsidR="000A5A6B">
        <w:rPr>
          <w:rFonts w:ascii="Arial" w:hAnsi="Arial" w:cs="Arial"/>
          <w:b/>
          <w:lang w:val="es-ES"/>
        </w:rPr>
        <w:t xml:space="preserve">structura de Ejecución   </w:t>
      </w:r>
    </w:p>
    <w:p w:rsidRPr="00840C94" w:rsidR="00762253" w:rsidRDefault="006B43BC" w14:paraId="4AA4CF95" w14:textId="6F3C766F">
      <w:pPr>
        <w:spacing w:before="200" w:after="200"/>
        <w:ind w:left="579" w:hanging="579"/>
        <w:jc w:val="both"/>
        <w:rPr>
          <w:lang w:val="es-ES"/>
        </w:rPr>
      </w:pPr>
      <w:r w:rsidRPr="00840C94">
        <w:rPr>
          <w:rFonts w:ascii="Arial" w:hAnsi="Arial" w:cs="Arial"/>
          <w:lang w:val="es-ES"/>
        </w:rPr>
        <w:t>5.1</w:t>
      </w:r>
      <w:r w:rsidRPr="00840C94">
        <w:rPr>
          <w:rFonts w:ascii="Arial" w:hAnsi="Arial" w:cs="Arial"/>
          <w:lang w:val="es-ES"/>
        </w:rPr>
        <w:tab/>
      </w:r>
      <w:r w:rsidR="001A0AEC">
        <w:rPr>
          <w:rFonts w:ascii="Arial" w:hAnsi="Arial" w:cs="Arial"/>
          <w:lang w:val="es-ES"/>
        </w:rPr>
        <w:t>El</w:t>
      </w:r>
      <w:r w:rsidR="00F66F80">
        <w:rPr>
          <w:rFonts w:ascii="Arial" w:hAnsi="Arial" w:cs="Arial"/>
          <w:lang w:val="es-ES"/>
        </w:rPr>
        <w:t xml:space="preserve"> proyecto se contempla como un producto de conocimiento, ejecutado por el Banco.  En este contexto, el Banco </w:t>
      </w:r>
      <w:r w:rsidR="001A0AEC">
        <w:rPr>
          <w:rFonts w:ascii="Arial" w:hAnsi="Arial" w:cs="Arial"/>
          <w:lang w:val="es-ES"/>
        </w:rPr>
        <w:t>contratará de forma directa a la</w:t>
      </w:r>
      <w:r w:rsidRPr="00840C94">
        <w:rPr>
          <w:rFonts w:ascii="Arial" w:hAnsi="Arial" w:cs="Arial"/>
          <w:lang w:val="es-ES"/>
        </w:rPr>
        <w:t xml:space="preserve"> Fundación Cristiana St. Mary, (FCSM) </w:t>
      </w:r>
      <w:r w:rsidR="001A0AEC">
        <w:rPr>
          <w:rFonts w:ascii="Arial" w:hAnsi="Arial" w:cs="Arial"/>
          <w:lang w:val="es-ES"/>
        </w:rPr>
        <w:t>para la realización de</w:t>
      </w:r>
      <w:r w:rsidR="00F66F80">
        <w:rPr>
          <w:rFonts w:ascii="Arial" w:hAnsi="Arial" w:cs="Arial"/>
          <w:lang w:val="es-ES"/>
        </w:rPr>
        <w:t xml:space="preserve"> una actividad piloto que producirá e</w:t>
      </w:r>
      <w:r w:rsidR="001A0AEC">
        <w:rPr>
          <w:rFonts w:ascii="Arial" w:hAnsi="Arial" w:cs="Arial"/>
          <w:lang w:val="es-ES"/>
        </w:rPr>
        <w:t>l producto de conocimiento</w:t>
      </w:r>
      <w:r w:rsidR="00417546">
        <w:rPr>
          <w:rFonts w:ascii="Arial" w:hAnsi="Arial" w:cs="Arial"/>
          <w:lang w:val="es-ES"/>
        </w:rPr>
        <w:t xml:space="preserve"> mediante la realización de las actividades, su análisis, sistematización y diseminación</w:t>
      </w:r>
      <w:r w:rsidR="001A0AEC">
        <w:rPr>
          <w:rFonts w:ascii="Arial" w:hAnsi="Arial" w:cs="Arial"/>
          <w:lang w:val="es-ES"/>
        </w:rPr>
        <w:t>.  La FCSM es</w:t>
      </w:r>
      <w:r w:rsidRPr="00840C94">
        <w:rPr>
          <w:rFonts w:ascii="Arial" w:hAnsi="Arial" w:cs="Arial"/>
          <w:lang w:val="es-ES"/>
        </w:rPr>
        <w:t xml:space="preserve"> Fundación sin fines de lucro basada en el municipio de Masaya, departamento de Managua. La FCSM se encargará de administrar los recursos asignados para la producción de las metas y resultados establecidos en el presente documento. La selección directa de dicha Fundación se basa en su experiencia de valor excepcional para la prestación de los servicios buscados mediante el presente proyecto de cooperación técnica. En particular, la FCSM viene realizando la experiencia piloto financiada con NI-T1256 (Inclusión Social a través del Beisbol), </w:t>
      </w:r>
      <w:r w:rsidR="003A4234">
        <w:rPr>
          <w:rFonts w:ascii="Arial" w:hAnsi="Arial" w:cs="Arial"/>
          <w:lang w:val="es-ES"/>
        </w:rPr>
        <w:t>llevando a cabo</w:t>
      </w:r>
      <w:r w:rsidRPr="00840C94">
        <w:rPr>
          <w:rFonts w:ascii="Arial" w:hAnsi="Arial" w:cs="Arial"/>
          <w:lang w:val="es-ES"/>
        </w:rPr>
        <w:t xml:space="preserve"> exitosamente las actividades financiadas por dicho proyecto de cooperación técnica. La FCSM se ha comprobado ser un ejecutor con pasión y compromiso con la materia, y capaz de realizar una gestión horizontal y transparente. Esta capacidad ha constituido un medio fundamental para la generación y construcción de confianza -- una condición necesaria para cualquier actividad comunitaria. La misión de la FCSM consiste en la realización de programas de educación, deporte y cultura para la formación integral de niños, adolescentes y jóvenes nicaragüenses de familias de escasos recursos. La Fundación tiene experiencia organizando actividades deportivas con niños y jóvenes para la práctica de atletismo, baloncesto, fútbol, voleibol, ajedrez, y ligas de beisbol. La FCSM cuenta con el apoyo de jugadores nicaragüenses de renombre, quienes dan charlas motivacionales y participan en actividades </w:t>
      </w:r>
      <w:r w:rsidRPr="00840C94">
        <w:rPr>
          <w:rFonts w:ascii="Arial" w:hAnsi="Arial" w:cs="Arial"/>
          <w:lang w:val="es-ES"/>
        </w:rPr>
        <w:lastRenderedPageBreak/>
        <w:t xml:space="preserve">comunitarias. Si bien existen otras </w:t>
      </w:r>
      <w:proofErr w:type="spellStart"/>
      <w:r w:rsidRPr="00840C94">
        <w:rPr>
          <w:rFonts w:ascii="Arial" w:hAnsi="Arial" w:cs="Arial"/>
          <w:lang w:val="es-ES"/>
        </w:rPr>
        <w:t>ONGs</w:t>
      </w:r>
      <w:proofErr w:type="spellEnd"/>
      <w:r w:rsidRPr="00840C94">
        <w:rPr>
          <w:rFonts w:ascii="Arial" w:hAnsi="Arial" w:cs="Arial"/>
          <w:lang w:val="es-ES"/>
        </w:rPr>
        <w:t xml:space="preserve"> que realizan actividades relacionadas con fortalecimiento de habilidades socioemocionales en niños/as y jóvenes, FCSM es la única con experiencia específica en aprovechar el deporte como el mecanismo para lograr estos objetivos, lo cual les da una calificación única para ejecutar el presente proyecto. Para el Componente II, se contratará a la ONG </w:t>
      </w:r>
      <w:proofErr w:type="spellStart"/>
      <w:r w:rsidRPr="00840C94">
        <w:rPr>
          <w:rFonts w:ascii="Arial" w:hAnsi="Arial" w:cs="Arial"/>
          <w:lang w:val="es-ES"/>
        </w:rPr>
        <w:t>TeenSmart</w:t>
      </w:r>
      <w:proofErr w:type="spellEnd"/>
      <w:r w:rsidR="005B1C77">
        <w:rPr>
          <w:rStyle w:val="FootnoteReference"/>
          <w:rFonts w:ascii="Arial" w:hAnsi="Arial" w:cs="Arial"/>
          <w:lang w:val="es-ES"/>
        </w:rPr>
        <w:footnoteReference w:id="10"/>
      </w:r>
      <w:r w:rsidRPr="00840C94">
        <w:rPr>
          <w:rFonts w:ascii="Arial" w:hAnsi="Arial" w:cs="Arial"/>
          <w:lang w:val="es-ES"/>
        </w:rPr>
        <w:t xml:space="preserve"> – como agencia especializada para diseñar y llevar a cabo las actividades descritas arriba. </w:t>
      </w:r>
      <w:proofErr w:type="spellStart"/>
      <w:r w:rsidRPr="00840C94">
        <w:rPr>
          <w:rFonts w:ascii="Arial" w:hAnsi="Arial" w:cs="Arial"/>
          <w:lang w:val="es-ES"/>
        </w:rPr>
        <w:t>TeenSmart</w:t>
      </w:r>
      <w:proofErr w:type="spellEnd"/>
      <w:r w:rsidRPr="00840C94">
        <w:rPr>
          <w:rFonts w:ascii="Arial" w:hAnsi="Arial" w:cs="Arial"/>
          <w:lang w:val="es-ES"/>
        </w:rPr>
        <w:t xml:space="preserve"> es una organización sin fines de lucro que </w:t>
      </w:r>
      <w:r w:rsidR="00CB5CFC">
        <w:rPr>
          <w:rFonts w:ascii="Arial" w:hAnsi="Arial" w:cs="Arial"/>
          <w:lang w:val="es-ES"/>
        </w:rPr>
        <w:t xml:space="preserve">se </w:t>
      </w:r>
      <w:r w:rsidRPr="00840C94">
        <w:rPr>
          <w:rFonts w:ascii="Arial" w:hAnsi="Arial" w:cs="Arial"/>
          <w:lang w:val="es-ES"/>
        </w:rPr>
        <w:t xml:space="preserve">especializa en trabajo con juventud en temas de salud sexual, nutrición, </w:t>
      </w:r>
      <w:r w:rsidR="00417546">
        <w:rPr>
          <w:rFonts w:ascii="Arial" w:hAnsi="Arial" w:cs="Arial"/>
          <w:lang w:val="es-ES"/>
        </w:rPr>
        <w:t xml:space="preserve">relaciones afectivas, </w:t>
      </w:r>
      <w:r w:rsidRPr="00840C94">
        <w:rPr>
          <w:rFonts w:ascii="Arial" w:hAnsi="Arial" w:cs="Arial"/>
          <w:lang w:val="es-ES"/>
        </w:rPr>
        <w:t xml:space="preserve">habilidades </w:t>
      </w:r>
      <w:proofErr w:type="gramStart"/>
      <w:r w:rsidRPr="00840C94">
        <w:rPr>
          <w:rFonts w:ascii="Arial" w:hAnsi="Arial" w:cs="Arial"/>
          <w:lang w:val="es-ES"/>
        </w:rPr>
        <w:t>socio-emocionales</w:t>
      </w:r>
      <w:proofErr w:type="gramEnd"/>
      <w:r w:rsidRPr="00840C94">
        <w:rPr>
          <w:rFonts w:ascii="Arial" w:hAnsi="Arial" w:cs="Arial"/>
          <w:lang w:val="es-ES"/>
        </w:rPr>
        <w:t>, entre otros, aplicando metodologías y técnicas diseñadas especialmente para esta población.</w:t>
      </w:r>
    </w:p>
    <w:p w:rsidRPr="00840C94" w:rsidR="00762253" w:rsidRDefault="006B43BC" w14:paraId="2FBC5F8C" w14:textId="77777777">
      <w:pPr>
        <w:spacing w:before="200" w:after="200"/>
        <w:ind w:left="579" w:hanging="579"/>
        <w:jc w:val="both"/>
        <w:rPr>
          <w:lang w:val="es-ES"/>
        </w:rPr>
      </w:pPr>
      <w:r w:rsidRPr="00840C94">
        <w:rPr>
          <w:rFonts w:ascii="Arial" w:hAnsi="Arial" w:cs="Arial"/>
          <w:lang w:val="es-ES"/>
        </w:rPr>
        <w:t>5.2</w:t>
      </w:r>
      <w:r w:rsidRPr="00840C94">
        <w:rPr>
          <w:rFonts w:ascii="Arial" w:hAnsi="Arial" w:cs="Arial"/>
          <w:lang w:val="es-ES"/>
        </w:rPr>
        <w:tab/>
      </w:r>
      <w:r w:rsidRPr="00840C94">
        <w:rPr>
          <w:rFonts w:ascii="Arial" w:hAnsi="Arial" w:cs="Arial"/>
          <w:lang w:val="es-ES"/>
        </w:rPr>
        <w:t xml:space="preserve">En el marco de la ejecución del proyecto de cooperación técnica NI-T1256, se realizó una revisión de la capacidad de la gestión administrativa financiera a la FCSM, que revela que ésta tiene experiencia pertinente en la ejecución de iniciativas de programas y proyectos con financiamiento de donaciones tales como: AMAYO, UAM, AUTO STAR, NEPTUNO, Embajada de </w:t>
      </w:r>
      <w:proofErr w:type="gramStart"/>
      <w:r w:rsidRPr="00840C94">
        <w:rPr>
          <w:rFonts w:ascii="Arial" w:hAnsi="Arial" w:cs="Arial"/>
          <w:lang w:val="es-ES"/>
        </w:rPr>
        <w:t>EEUU</w:t>
      </w:r>
      <w:proofErr w:type="gramEnd"/>
      <w:r w:rsidRPr="00840C94">
        <w:rPr>
          <w:rFonts w:ascii="Arial" w:hAnsi="Arial" w:cs="Arial"/>
          <w:lang w:val="es-ES"/>
        </w:rPr>
        <w:t>, entre otros. La experiencia en la ejecución del actual proyecto revela que la Fundación dispone de una capacidad Administrativa-Financiera aceptable para gestionar los recursos del financiamiento del Banco. El Banco seguirá acompañando a la Fundación en materia de la gestión financiera y de las adquisiciones. Se prevé la contratación de un especialista en administración y adquisiciones a tiempo parcial, para fortalecer su capacidad institucional para la ejecución de este proyecto.</w:t>
      </w:r>
    </w:p>
    <w:p w:rsidRPr="00840C94" w:rsidR="00762253" w:rsidRDefault="006B43BC" w14:paraId="68AA3E38" w14:textId="0155E86F">
      <w:pPr>
        <w:spacing w:before="120" w:after="120"/>
        <w:ind w:left="579" w:hanging="579"/>
        <w:rPr>
          <w:lang w:val="es-ES"/>
        </w:rPr>
      </w:pPr>
      <w:r w:rsidRPr="00840C94">
        <w:rPr>
          <w:rFonts w:ascii="Arial" w:hAnsi="Arial" w:cs="Arial"/>
          <w:b/>
          <w:lang w:val="es-ES"/>
        </w:rPr>
        <w:t>VI.</w:t>
      </w:r>
      <w:r w:rsidRPr="00840C94">
        <w:rPr>
          <w:rFonts w:ascii="Arial" w:hAnsi="Arial" w:cs="Arial"/>
          <w:b/>
          <w:lang w:val="es-ES"/>
        </w:rPr>
        <w:tab/>
      </w:r>
      <w:r w:rsidR="00D51FC6">
        <w:rPr>
          <w:rFonts w:ascii="Arial" w:hAnsi="Arial" w:cs="Arial"/>
          <w:b/>
          <w:lang w:val="es-ES"/>
        </w:rPr>
        <w:t>Riesgos y Temas Críticos</w:t>
      </w:r>
    </w:p>
    <w:p w:rsidRPr="00840C94" w:rsidR="00762253" w:rsidRDefault="006B43BC" w14:paraId="6621EBAB" w14:textId="636E7551">
      <w:pPr>
        <w:spacing w:before="200" w:after="200"/>
        <w:ind w:left="579" w:hanging="579"/>
        <w:jc w:val="both"/>
        <w:rPr>
          <w:lang w:val="es-ES"/>
        </w:rPr>
      </w:pPr>
      <w:r w:rsidRPr="00840C94">
        <w:rPr>
          <w:rFonts w:ascii="Arial" w:hAnsi="Arial" w:cs="Arial"/>
          <w:lang w:val="es-ES"/>
        </w:rPr>
        <w:t>6.1</w:t>
      </w:r>
      <w:r w:rsidRPr="00840C94">
        <w:rPr>
          <w:rFonts w:ascii="Arial" w:hAnsi="Arial" w:cs="Arial"/>
          <w:lang w:val="es-ES"/>
        </w:rPr>
        <w:tab/>
      </w:r>
      <w:r w:rsidRPr="00840C94">
        <w:rPr>
          <w:rFonts w:ascii="Arial" w:hAnsi="Arial" w:cs="Arial"/>
          <w:lang w:val="es-ES"/>
        </w:rPr>
        <w:t xml:space="preserve">Durante la ejecución del NI-T1256, se ha comprobado que no hay riesgos relacionados con el interés por parte de los niños/niñas y jóvenes en participar en el proyecto. Los riesgos más importantes están relacionados con (a) la falta de sostenibilidad de las actividades, debido a los niveles de pobreza de las comunidades seleccionadas; y (b) que </w:t>
      </w:r>
      <w:r w:rsidR="00CB5CFC">
        <w:rPr>
          <w:rFonts w:ascii="Arial" w:hAnsi="Arial" w:cs="Arial"/>
          <w:lang w:val="es-ES"/>
        </w:rPr>
        <w:t xml:space="preserve">puede haber </w:t>
      </w:r>
      <w:r w:rsidRPr="00840C94">
        <w:rPr>
          <w:rFonts w:ascii="Arial" w:hAnsi="Arial" w:cs="Arial"/>
          <w:lang w:val="es-ES"/>
        </w:rPr>
        <w:t>poco interés por parte del sector privado de participar de manera sostenida en las actividades del proyecto. La ejecución exitosa de las actividades del componente III contribuirán a mitigar estos riesgos.</w:t>
      </w:r>
    </w:p>
    <w:p w:rsidRPr="003D2ABC" w:rsidR="00762253" w:rsidRDefault="006B43BC" w14:paraId="3E5AEC97" w14:textId="2651871E">
      <w:pPr>
        <w:spacing w:before="120" w:after="120"/>
        <w:ind w:left="579" w:hanging="579"/>
        <w:rPr>
          <w:lang w:val="es-ES"/>
        </w:rPr>
      </w:pPr>
      <w:r w:rsidRPr="003D2ABC">
        <w:rPr>
          <w:rFonts w:ascii="Arial" w:hAnsi="Arial" w:cs="Arial"/>
          <w:b/>
          <w:lang w:val="es-ES"/>
        </w:rPr>
        <w:t>VII.</w:t>
      </w:r>
      <w:r w:rsidRPr="003D2ABC">
        <w:rPr>
          <w:rFonts w:ascii="Arial" w:hAnsi="Arial" w:cs="Arial"/>
          <w:b/>
          <w:lang w:val="es-ES"/>
        </w:rPr>
        <w:tab/>
      </w:r>
      <w:r w:rsidR="00FD67B3">
        <w:rPr>
          <w:rFonts w:ascii="Arial" w:hAnsi="Arial" w:cs="Arial"/>
          <w:b/>
          <w:lang w:val="es-ES"/>
        </w:rPr>
        <w:t>Clasificación Social y Ambiental</w:t>
      </w:r>
    </w:p>
    <w:p w:rsidRPr="00E63794" w:rsidR="00762253" w:rsidRDefault="006B43BC" w14:paraId="41334528" w14:textId="3FD9E1FC">
      <w:pPr>
        <w:spacing w:before="240" w:after="120"/>
        <w:ind w:left="579" w:hanging="579"/>
        <w:jc w:val="both"/>
        <w:rPr>
          <w:lang w:val="es-ES"/>
        </w:rPr>
      </w:pPr>
      <w:r w:rsidRPr="00E63794">
        <w:rPr>
          <w:rFonts w:ascii="Arial" w:hAnsi="Arial" w:cs="Arial"/>
          <w:lang w:val="es-ES"/>
        </w:rPr>
        <w:t>7.1</w:t>
      </w:r>
      <w:r w:rsidRPr="00E63794">
        <w:rPr>
          <w:rFonts w:ascii="Arial" w:hAnsi="Arial" w:cs="Arial"/>
          <w:lang w:val="es-ES"/>
        </w:rPr>
        <w:tab/>
      </w:r>
      <w:r w:rsidR="00FD67B3">
        <w:rPr>
          <w:rFonts w:ascii="Arial" w:hAnsi="Arial" w:cs="Arial"/>
          <w:lang w:val="es-ES"/>
        </w:rPr>
        <w:t xml:space="preserve">La clasificación de ESG para esta operación </w:t>
      </w:r>
      <w:proofErr w:type="gramStart"/>
      <w:r w:rsidR="00FD67B3">
        <w:rPr>
          <w:rFonts w:ascii="Arial" w:hAnsi="Arial" w:cs="Arial"/>
          <w:lang w:val="es-ES"/>
        </w:rPr>
        <w:t xml:space="preserve">es </w:t>
      </w:r>
      <w:r w:rsidRPr="00E63794">
        <w:rPr>
          <w:rFonts w:ascii="Arial" w:hAnsi="Arial" w:cs="Arial"/>
          <w:lang w:val="es-ES"/>
        </w:rPr>
        <w:t xml:space="preserve"> "</w:t>
      </w:r>
      <w:proofErr w:type="gramEnd"/>
      <w:r w:rsidRPr="00E63794">
        <w:rPr>
          <w:rFonts w:ascii="Arial" w:hAnsi="Arial" w:cs="Arial"/>
          <w:lang w:val="es-ES"/>
        </w:rPr>
        <w:t>C"</w:t>
      </w:r>
      <w:r w:rsidRPr="00E63794" w:rsidR="00E63794">
        <w:rPr>
          <w:rFonts w:ascii="Arial" w:hAnsi="Arial" w:cs="Arial"/>
          <w:lang w:val="es-ES"/>
        </w:rPr>
        <w:t xml:space="preserve"> – no presenta riesgos ambientales, y producirá </w:t>
      </w:r>
      <w:r w:rsidR="00564A19">
        <w:rPr>
          <w:rFonts w:ascii="Arial" w:hAnsi="Arial" w:cs="Arial"/>
          <w:lang w:val="es-ES"/>
        </w:rPr>
        <w:t>efectos</w:t>
      </w:r>
      <w:r w:rsidRPr="00E63794" w:rsidR="00E63794">
        <w:rPr>
          <w:rFonts w:ascii="Arial" w:hAnsi="Arial" w:cs="Arial"/>
          <w:lang w:val="es-ES"/>
        </w:rPr>
        <w:t xml:space="preserve"> positivos en</w:t>
      </w:r>
      <w:r w:rsidR="00E63794">
        <w:rPr>
          <w:rFonts w:ascii="Arial" w:hAnsi="Arial" w:cs="Arial"/>
          <w:lang w:val="es-ES"/>
        </w:rPr>
        <w:t xml:space="preserve"> términos de </w:t>
      </w:r>
      <w:r w:rsidR="00D20E6A">
        <w:rPr>
          <w:rFonts w:ascii="Arial" w:hAnsi="Arial" w:cs="Arial"/>
          <w:lang w:val="es-ES"/>
        </w:rPr>
        <w:t xml:space="preserve">mejoramiento </w:t>
      </w:r>
      <w:r w:rsidR="00E63794">
        <w:rPr>
          <w:rFonts w:ascii="Arial" w:hAnsi="Arial" w:cs="Arial"/>
          <w:lang w:val="es-ES"/>
        </w:rPr>
        <w:t xml:space="preserve">de relaciones de género.  </w:t>
      </w:r>
    </w:p>
    <w:sectPr w:rsidRPr="00E63794" w:rsidR="00762253" w:rsidSect="00FC3028">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73A9" w:rsidRDefault="00E873A9" w14:paraId="298FD1F6" w14:textId="77777777">
      <w:r>
        <w:separator/>
      </w:r>
    </w:p>
  </w:endnote>
  <w:endnote w:type="continuationSeparator" w:id="0">
    <w:p w:rsidR="00E873A9" w:rsidRDefault="00E873A9" w14:paraId="17C0826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2253" w:rsidRDefault="006B43BC" w14:paraId="7674E157" w14:textId="77777777">
    <w:pPr>
      <w:pStyle w:val="FooterStyle"/>
      <w:jc w:val="center"/>
    </w:pPr>
    <w:r>
      <w:t xml:space="preserve"> - </w:t>
    </w:r>
    <w:r>
      <w:fldChar w:fldCharType="begin"/>
    </w:r>
    <w:r>
      <w:instrText xml:space="preserve"> PAGE </w:instrText>
    </w:r>
    <w:r>
      <w:fldChar w:fldCharType="separate"/>
    </w:r>
    <w:r w:rsidR="00840C94">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73A9" w:rsidRDefault="00E873A9" w14:paraId="65E8D860" w14:textId="77777777">
      <w:r>
        <w:separator/>
      </w:r>
    </w:p>
  </w:footnote>
  <w:footnote w:type="continuationSeparator" w:id="0">
    <w:p w:rsidR="00E873A9" w:rsidRDefault="00E873A9" w14:paraId="170CEACE" w14:textId="77777777">
      <w:r>
        <w:continuationSeparator/>
      </w:r>
    </w:p>
  </w:footnote>
  <w:footnote w:id="1">
    <w:p w:rsidRPr="003C1A85" w:rsidR="007A3F81" w:rsidP="00CF196E" w:rsidRDefault="007A3F81" w14:paraId="5CBFB9FF" w14:textId="23A9143E">
      <w:pPr>
        <w:pStyle w:val="FootnoteText"/>
        <w:rPr>
          <w:rFonts w:ascii="Arial" w:hAnsi="Arial" w:eastAsia="MS Mincho" w:cs="Arial"/>
          <w:sz w:val="16"/>
          <w:szCs w:val="16"/>
        </w:rPr>
      </w:pPr>
      <w:r w:rsidRPr="0060263D">
        <w:rPr>
          <w:rStyle w:val="FootnoteReference"/>
          <w:rFonts w:ascii="Arial" w:hAnsi="Arial" w:cs="Arial"/>
          <w:sz w:val="16"/>
          <w:szCs w:val="16"/>
        </w:rPr>
        <w:footnoteRef/>
      </w:r>
      <w:r w:rsidRPr="0060263D">
        <w:rPr>
          <w:rFonts w:ascii="Arial" w:hAnsi="Arial" w:cs="Arial"/>
          <w:sz w:val="16"/>
          <w:szCs w:val="16"/>
        </w:rPr>
        <w:t xml:space="preserve"> </w:t>
      </w:r>
      <w:r w:rsidRPr="0060263D">
        <w:rPr>
          <w:rFonts w:ascii="Arial" w:hAnsi="Arial" w:eastAsia="MS Mincho" w:cs="Arial"/>
          <w:sz w:val="16"/>
          <w:szCs w:val="16"/>
        </w:rPr>
        <w:t>Sport for Development and Peace Program Experiences – Journal of Sport Psychology in Action; 2015</w:t>
      </w:r>
    </w:p>
  </w:footnote>
  <w:footnote w:id="2">
    <w:p w:rsidRPr="0060263D" w:rsidR="00AD3237" w:rsidP="00CF196E" w:rsidRDefault="00AD3237" w14:paraId="20E54E7C" w14:textId="546E4C54">
      <w:pPr>
        <w:pStyle w:val="FootnoteText"/>
        <w:rPr>
          <w:rFonts w:ascii="Arial" w:hAnsi="Arial" w:cs="Arial"/>
          <w:sz w:val="16"/>
          <w:szCs w:val="16"/>
        </w:rPr>
      </w:pPr>
      <w:r w:rsidRPr="0060263D">
        <w:rPr>
          <w:rStyle w:val="FootnoteReference"/>
          <w:rFonts w:ascii="Arial" w:hAnsi="Arial" w:cs="Arial"/>
          <w:sz w:val="16"/>
          <w:szCs w:val="16"/>
        </w:rPr>
        <w:footnoteRef/>
      </w:r>
      <w:r w:rsidRPr="0060263D">
        <w:rPr>
          <w:rFonts w:ascii="Arial" w:hAnsi="Arial" w:cs="Arial"/>
          <w:sz w:val="16"/>
          <w:szCs w:val="16"/>
        </w:rPr>
        <w:t xml:space="preserve"> Frisby, Wendy and </w:t>
      </w:r>
      <w:proofErr w:type="spellStart"/>
      <w:r w:rsidRPr="0060263D">
        <w:rPr>
          <w:rFonts w:ascii="Arial" w:hAnsi="Arial" w:cs="Arial"/>
          <w:sz w:val="16"/>
          <w:szCs w:val="16"/>
        </w:rPr>
        <w:t>Ponic</w:t>
      </w:r>
      <w:proofErr w:type="spellEnd"/>
      <w:r w:rsidRPr="0060263D">
        <w:rPr>
          <w:rFonts w:ascii="Arial" w:hAnsi="Arial" w:cs="Arial"/>
          <w:sz w:val="16"/>
          <w:szCs w:val="16"/>
        </w:rPr>
        <w:t xml:space="preserve">, Pamela - Sport Policy in Canada: Sport and Social </w:t>
      </w:r>
      <w:proofErr w:type="gramStart"/>
      <w:r w:rsidRPr="0060263D">
        <w:rPr>
          <w:rFonts w:ascii="Arial" w:hAnsi="Arial" w:cs="Arial"/>
          <w:sz w:val="16"/>
          <w:szCs w:val="16"/>
        </w:rPr>
        <w:t>Inclusion;  University</w:t>
      </w:r>
      <w:proofErr w:type="gramEnd"/>
      <w:r w:rsidRPr="0060263D">
        <w:rPr>
          <w:rFonts w:ascii="Arial" w:hAnsi="Arial" w:cs="Arial"/>
          <w:sz w:val="16"/>
          <w:szCs w:val="16"/>
        </w:rPr>
        <w:t xml:space="preserve"> of Ottawa Press 2013</w:t>
      </w:r>
    </w:p>
  </w:footnote>
  <w:footnote w:id="3">
    <w:p w:rsidRPr="0060263D" w:rsidR="00CF196E" w:rsidP="00CF196E" w:rsidRDefault="00CF196E" w14:paraId="4576519A" w14:textId="6A163180">
      <w:pPr>
        <w:pStyle w:val="FootnoteText"/>
        <w:rPr>
          <w:rFonts w:ascii="Arial" w:hAnsi="Arial" w:cs="Arial"/>
          <w:lang w:val="es-ES_tradnl"/>
        </w:rPr>
      </w:pPr>
      <w:r w:rsidRPr="0060263D">
        <w:rPr>
          <w:rStyle w:val="FootnoteReference"/>
          <w:rFonts w:ascii="Arial" w:hAnsi="Arial" w:cs="Arial"/>
          <w:sz w:val="16"/>
          <w:szCs w:val="16"/>
        </w:rPr>
        <w:footnoteRef/>
      </w:r>
      <w:r w:rsidRPr="0060263D">
        <w:rPr>
          <w:rFonts w:ascii="Arial" w:hAnsi="Arial" w:cs="Arial"/>
          <w:sz w:val="16"/>
          <w:szCs w:val="16"/>
          <w:lang w:val="es-ES"/>
        </w:rPr>
        <w:t xml:space="preserve"> </w:t>
      </w:r>
      <w:r w:rsidRPr="0060263D">
        <w:rPr>
          <w:rFonts w:ascii="Arial" w:hAnsi="Arial" w:cs="Arial"/>
          <w:sz w:val="16"/>
          <w:szCs w:val="16"/>
          <w:lang w:val="es-ES_tradnl"/>
        </w:rPr>
        <w:t>“Deporte para el desarrollo”. Monografía BID, 2017.</w:t>
      </w:r>
    </w:p>
  </w:footnote>
  <w:footnote w:id="4">
    <w:p w:rsidRPr="00B90D89" w:rsidR="0027359B" w:rsidRDefault="0027359B" w14:paraId="05CA2975" w14:textId="3CEF3909">
      <w:pPr>
        <w:pStyle w:val="FootnoteText"/>
        <w:rPr>
          <w:rFonts w:ascii="Arial" w:hAnsi="Arial" w:cs="Arial"/>
          <w:sz w:val="16"/>
          <w:lang w:val="pt-BR"/>
        </w:rPr>
      </w:pPr>
      <w:r>
        <w:rPr>
          <w:rStyle w:val="FootnoteReference"/>
        </w:rPr>
        <w:footnoteRef/>
      </w:r>
      <w:r w:rsidRPr="0027359B">
        <w:rPr>
          <w:lang w:val="es-ES"/>
        </w:rPr>
        <w:t xml:space="preserve"> </w:t>
      </w:r>
      <w:r w:rsidRPr="00FD67B3" w:rsidR="00B917A1">
        <w:rPr>
          <w:rFonts w:ascii="Arial" w:hAnsi="Arial" w:cs="Arial"/>
          <w:sz w:val="16"/>
          <w:szCs w:val="16"/>
          <w:lang w:val="es-ES_tradnl"/>
        </w:rPr>
        <w:t xml:space="preserve">En 2017, </w:t>
      </w:r>
      <w:r w:rsidR="00B917A1">
        <w:rPr>
          <w:rFonts w:ascii="Arial" w:hAnsi="Arial" w:cs="Arial"/>
          <w:sz w:val="16"/>
          <w:szCs w:val="16"/>
          <w:lang w:val="es-ES_tradnl"/>
        </w:rPr>
        <w:t>l</w:t>
      </w:r>
      <w:r w:rsidRPr="0096207F">
        <w:rPr>
          <w:rFonts w:ascii="Arial" w:hAnsi="Arial" w:cs="Arial"/>
          <w:sz w:val="16"/>
          <w:szCs w:val="16"/>
          <w:lang w:val="es-ES_tradnl"/>
        </w:rPr>
        <w:t>a Federación Nicaragüense de B</w:t>
      </w:r>
      <w:r w:rsidR="00BB6D92">
        <w:rPr>
          <w:rFonts w:ascii="Arial" w:hAnsi="Arial" w:cs="Arial"/>
          <w:sz w:val="16"/>
          <w:szCs w:val="16"/>
          <w:lang w:val="es-ES_tradnl"/>
        </w:rPr>
        <w:t>e</w:t>
      </w:r>
      <w:r w:rsidRPr="0096207F">
        <w:rPr>
          <w:rFonts w:ascii="Arial" w:hAnsi="Arial" w:cs="Arial"/>
          <w:sz w:val="16"/>
          <w:szCs w:val="16"/>
          <w:lang w:val="es-ES_tradnl"/>
        </w:rPr>
        <w:t>isbol Asociada (FENIBA) fue galardonada como la asociación deportiva del año a nivel mundial, por la Confederación Mundial de Beisbol y Softbol (WBSC, por sus siglas en inglés)</w:t>
      </w:r>
      <w:r w:rsidR="00BE237E">
        <w:rPr>
          <w:rFonts w:ascii="Arial" w:hAnsi="Arial" w:cs="Arial"/>
          <w:sz w:val="16"/>
          <w:szCs w:val="16"/>
          <w:lang w:val="es-ES_tradnl"/>
        </w:rPr>
        <w:t>.</w:t>
      </w:r>
      <w:r w:rsidRPr="0096207F">
        <w:rPr>
          <w:rFonts w:ascii="Arial" w:hAnsi="Arial" w:cs="Arial"/>
          <w:sz w:val="16"/>
          <w:szCs w:val="16"/>
          <w:lang w:val="es-ES_tradnl"/>
        </w:rPr>
        <w:t xml:space="preserve"> </w:t>
      </w:r>
      <w:r w:rsidRPr="00B90D89">
        <w:rPr>
          <w:rFonts w:ascii="Arial" w:hAnsi="Arial" w:cs="Arial"/>
          <w:sz w:val="16"/>
          <w:szCs w:val="16"/>
          <w:lang w:val="pt-BR"/>
        </w:rPr>
        <w:t xml:space="preserve">Tomado de: </w:t>
      </w:r>
      <w:r w:rsidR="009270EA">
        <w:fldChar w:fldCharType="begin"/>
      </w:r>
      <w:r w:rsidRPr="00992D34" w:rsidR="009270EA">
        <w:rPr>
          <w:lang w:val="pt-BR"/>
          <w:rPrChange w:author="Kolodin, Susan K." w:date="2021-02-17T12:48:00Z" w:id="0">
            <w:rPr/>
          </w:rPrChange>
        </w:rPr>
        <w:instrText xml:space="preserve"> HYPERLINK "https://www.elnuevodiario.com.ni/deportes/443454-feniba-mejor-mundo-2017/" </w:instrText>
      </w:r>
      <w:r w:rsidR="009270EA">
        <w:fldChar w:fldCharType="separate"/>
      </w:r>
      <w:r w:rsidRPr="00B90D89">
        <w:rPr>
          <w:rStyle w:val="Hyperlink"/>
          <w:rFonts w:ascii="Arial" w:hAnsi="Arial" w:cs="Arial"/>
          <w:sz w:val="16"/>
          <w:szCs w:val="16"/>
          <w:lang w:val="pt-BR"/>
        </w:rPr>
        <w:t>https://www.elnuevodiario.com.ni/deportes/443454-feniba-mejor-mundo-2017/</w:t>
      </w:r>
      <w:r w:rsidR="009270EA">
        <w:rPr>
          <w:rStyle w:val="Hyperlink"/>
          <w:rFonts w:ascii="Arial" w:hAnsi="Arial" w:cs="Arial"/>
          <w:sz w:val="16"/>
          <w:szCs w:val="16"/>
          <w:lang w:val="pt-BR"/>
        </w:rPr>
        <w:fldChar w:fldCharType="end"/>
      </w:r>
    </w:p>
  </w:footnote>
  <w:footnote w:id="5">
    <w:p w:rsidRPr="0096207F" w:rsidR="00E52494" w:rsidRDefault="00E52494" w14:paraId="430C3411" w14:textId="107066E3">
      <w:pPr>
        <w:pStyle w:val="FootnoteText"/>
        <w:rPr>
          <w:rFonts w:ascii="Arial" w:hAnsi="Arial" w:cs="Arial"/>
          <w:sz w:val="16"/>
          <w:lang w:val="es-ES"/>
        </w:rPr>
      </w:pPr>
      <w:r w:rsidRPr="0096207F">
        <w:rPr>
          <w:rStyle w:val="FootnoteReference"/>
          <w:rFonts w:ascii="Arial" w:hAnsi="Arial" w:cs="Arial"/>
          <w:sz w:val="16"/>
        </w:rPr>
        <w:footnoteRef/>
      </w:r>
      <w:r w:rsidRPr="00B933B6">
        <w:rPr>
          <w:rFonts w:ascii="Arial" w:hAnsi="Arial" w:cs="Arial"/>
          <w:sz w:val="16"/>
          <w:lang w:val="es-ES"/>
        </w:rPr>
        <w:t xml:space="preserve"> 1. Buena vista, 2. </w:t>
      </w:r>
      <w:r w:rsidRPr="0099686D">
        <w:rPr>
          <w:rFonts w:ascii="Arial" w:hAnsi="Arial" w:cs="Arial"/>
          <w:sz w:val="16"/>
          <w:lang w:val="es-ES_tradnl"/>
        </w:rPr>
        <w:t>Denis Larios, 3. Ticuantepe, 4. Esquipulas, 5. Veracruz, 6. Los Madrigales y 7. El Cocal</w:t>
      </w:r>
    </w:p>
  </w:footnote>
  <w:footnote w:id="6">
    <w:p w:rsidRPr="00597F3C" w:rsidR="009323C2" w:rsidRDefault="009323C2" w14:paraId="1824FBEA" w14:textId="69B6EE58">
      <w:pPr>
        <w:pStyle w:val="FootnoteText"/>
        <w:rPr>
          <w:rFonts w:ascii="Arial" w:hAnsi="Arial" w:cs="Arial"/>
          <w:sz w:val="16"/>
          <w:lang w:val="es-ES_tradnl"/>
        </w:rPr>
      </w:pPr>
      <w:r w:rsidRPr="0096207F">
        <w:rPr>
          <w:rStyle w:val="FootnoteReference"/>
          <w:rFonts w:ascii="Arial" w:hAnsi="Arial" w:cs="Arial"/>
          <w:sz w:val="16"/>
        </w:rPr>
        <w:footnoteRef/>
      </w:r>
      <w:r w:rsidRPr="0096207F">
        <w:rPr>
          <w:rFonts w:ascii="Arial" w:hAnsi="Arial" w:cs="Arial"/>
          <w:sz w:val="16"/>
          <w:lang w:val="es-ES"/>
        </w:rPr>
        <w:t xml:space="preserve"> La meta para el final d</w:t>
      </w:r>
      <w:r w:rsidRPr="0099686D">
        <w:rPr>
          <w:rFonts w:ascii="Arial" w:hAnsi="Arial" w:cs="Arial"/>
          <w:sz w:val="16"/>
          <w:lang w:val="es-ES"/>
        </w:rPr>
        <w:t>el proyecto es 256</w:t>
      </w:r>
      <w:r w:rsidRPr="0096207F">
        <w:rPr>
          <w:rFonts w:ascii="Arial" w:hAnsi="Arial" w:cs="Arial"/>
          <w:sz w:val="16"/>
          <w:lang w:val="es-ES"/>
        </w:rPr>
        <w:t xml:space="preserve"> niños/as participando en ligas </w:t>
      </w:r>
      <w:r w:rsidRPr="0096207F" w:rsidR="00B84E37">
        <w:rPr>
          <w:rFonts w:ascii="Arial" w:hAnsi="Arial" w:cs="Arial"/>
          <w:sz w:val="16"/>
          <w:lang w:val="es-ES"/>
        </w:rPr>
        <w:t xml:space="preserve">y equipos.  Se prevé también la participación de 608 </w:t>
      </w:r>
      <w:r w:rsidRPr="0099686D" w:rsidR="00B84E37">
        <w:rPr>
          <w:rFonts w:ascii="Arial" w:hAnsi="Arial" w:cs="Arial"/>
          <w:sz w:val="16"/>
          <w:lang w:val="es-ES_tradnl"/>
        </w:rPr>
        <w:t>Miembros de la</w:t>
      </w:r>
      <w:r w:rsidRPr="0096207F" w:rsidR="00B84E37">
        <w:rPr>
          <w:rFonts w:ascii="Arial" w:hAnsi="Arial" w:cs="Arial"/>
          <w:sz w:val="16"/>
          <w:lang w:val="es-ES_tradnl"/>
        </w:rPr>
        <w:t>s</w:t>
      </w:r>
      <w:r w:rsidRPr="0099686D" w:rsidR="00B84E37">
        <w:rPr>
          <w:rFonts w:ascii="Arial" w:hAnsi="Arial" w:cs="Arial"/>
          <w:sz w:val="16"/>
          <w:lang w:val="es-ES_tradnl"/>
        </w:rPr>
        <w:t xml:space="preserve"> </w:t>
      </w:r>
      <w:r w:rsidRPr="0096207F" w:rsidR="00B84E37">
        <w:rPr>
          <w:rFonts w:ascii="Arial" w:hAnsi="Arial" w:cs="Arial"/>
          <w:sz w:val="16"/>
          <w:lang w:val="es-ES_tradnl"/>
        </w:rPr>
        <w:t>c</w:t>
      </w:r>
      <w:r w:rsidRPr="0099686D" w:rsidR="00B84E37">
        <w:rPr>
          <w:rFonts w:ascii="Arial" w:hAnsi="Arial" w:cs="Arial"/>
          <w:sz w:val="16"/>
          <w:lang w:val="es-ES_tradnl"/>
        </w:rPr>
        <w:t>omunidad</w:t>
      </w:r>
      <w:r w:rsidRPr="0096207F" w:rsidR="00B84E37">
        <w:rPr>
          <w:rFonts w:ascii="Arial" w:hAnsi="Arial" w:cs="Arial"/>
          <w:sz w:val="16"/>
          <w:lang w:val="es-ES_tradnl"/>
        </w:rPr>
        <w:t>es</w:t>
      </w:r>
      <w:r w:rsidRPr="0099686D" w:rsidR="00B84E37">
        <w:rPr>
          <w:rFonts w:ascii="Arial" w:hAnsi="Arial" w:cs="Arial"/>
          <w:sz w:val="16"/>
          <w:lang w:val="es-ES_tradnl"/>
        </w:rPr>
        <w:t xml:space="preserve"> en Talleres de </w:t>
      </w:r>
      <w:r w:rsidRPr="0096207F" w:rsidR="00B84E37">
        <w:rPr>
          <w:rFonts w:ascii="Arial" w:hAnsi="Arial" w:cs="Arial"/>
          <w:sz w:val="16"/>
          <w:lang w:val="es-ES_tradnl"/>
        </w:rPr>
        <w:t>Desarrollo</w:t>
      </w:r>
      <w:r w:rsidRPr="0099686D" w:rsidR="00B84E37">
        <w:rPr>
          <w:rFonts w:ascii="Arial" w:hAnsi="Arial" w:cs="Arial"/>
          <w:sz w:val="16"/>
          <w:lang w:val="es-ES_tradnl"/>
        </w:rPr>
        <w:t xml:space="preserve"> Socioemocional </w:t>
      </w:r>
      <w:r w:rsidRPr="0096207F" w:rsidR="00B84E37">
        <w:rPr>
          <w:rFonts w:ascii="Arial" w:hAnsi="Arial" w:cs="Arial"/>
          <w:sz w:val="16"/>
          <w:lang w:val="es-ES_tradnl"/>
        </w:rPr>
        <w:t xml:space="preserve">y otros temas </w:t>
      </w:r>
      <w:r w:rsidRPr="0099686D" w:rsidR="00B84E37">
        <w:rPr>
          <w:rFonts w:ascii="Arial" w:hAnsi="Arial" w:cs="Arial"/>
          <w:sz w:val="16"/>
          <w:lang w:val="es-ES_tradnl"/>
        </w:rPr>
        <w:t xml:space="preserve">de interés. </w:t>
      </w:r>
    </w:p>
  </w:footnote>
  <w:footnote w:id="7">
    <w:p w:rsidRPr="00C34986" w:rsidR="00C34986" w:rsidP="00C34986" w:rsidRDefault="00C34986" w14:paraId="05221CF0" w14:textId="3A09DC6D">
      <w:pPr>
        <w:pStyle w:val="Heading1"/>
        <w:spacing w:before="0"/>
        <w:rPr>
          <w:color w:val="505050"/>
        </w:rPr>
      </w:pPr>
      <w:r>
        <w:rPr>
          <w:rStyle w:val="FootnoteReference"/>
        </w:rPr>
        <w:footnoteRef/>
      </w:r>
      <w:r w:rsidRPr="00C34986">
        <w:t xml:space="preserve"> </w:t>
      </w:r>
      <w:r w:rsidRPr="00C34986">
        <w:rPr>
          <w:rFonts w:ascii="Arial" w:hAnsi="Arial" w:cs="Arial" w:eastAsiaTheme="minorHAnsi"/>
          <w:b w:val="0"/>
          <w:bCs w:val="0"/>
          <w:i/>
          <w:iCs/>
          <w:color w:val="auto"/>
          <w:sz w:val="16"/>
          <w:szCs w:val="20"/>
        </w:rPr>
        <w:t>The role of sport in community capacity building: An examination of sport for development research and practice</w:t>
      </w:r>
      <w:r w:rsidRPr="00C34986">
        <w:rPr>
          <w:rFonts w:ascii="Arial" w:hAnsi="Arial" w:cs="Arial" w:eastAsiaTheme="minorHAnsi"/>
          <w:b w:val="0"/>
          <w:bCs w:val="0"/>
          <w:color w:val="auto"/>
          <w:sz w:val="16"/>
          <w:szCs w:val="20"/>
        </w:rPr>
        <w:t>;</w:t>
      </w:r>
      <w:r>
        <w:rPr>
          <w:rFonts w:ascii="Arial" w:hAnsi="Arial" w:cs="Arial" w:eastAsiaTheme="minorHAnsi"/>
          <w:b w:val="0"/>
          <w:bCs w:val="0"/>
          <w:color w:val="auto"/>
          <w:sz w:val="16"/>
          <w:szCs w:val="20"/>
        </w:rPr>
        <w:t xml:space="preserve"> Sport Management Review </w:t>
      </w:r>
      <w:hyperlink w:tooltip="Go to table of contents for this volume/issue" w:history="1" r:id="rId1">
        <w:r w:rsidRPr="00C34986">
          <w:rPr>
            <w:rStyle w:val="Hyperlink"/>
            <w:rFonts w:ascii="Arial" w:hAnsi="Arial" w:cs="Arial"/>
            <w:b w:val="0"/>
            <w:bCs w:val="0"/>
            <w:color w:val="E9711C"/>
            <w:sz w:val="16"/>
            <w:szCs w:val="16"/>
          </w:rPr>
          <w:t>Volume 18, Issue 1</w:t>
        </w:r>
      </w:hyperlink>
      <w:r w:rsidRPr="00C34986">
        <w:rPr>
          <w:rFonts w:ascii="Arial" w:hAnsi="Arial" w:cs="Arial"/>
          <w:b w:val="0"/>
          <w:bCs w:val="0"/>
          <w:color w:val="2E2E2E"/>
          <w:sz w:val="16"/>
          <w:szCs w:val="16"/>
        </w:rPr>
        <w:t>, February 2015, Pages 6-19</w:t>
      </w:r>
    </w:p>
    <w:p w:rsidRPr="00C34986" w:rsidR="00C34986" w:rsidRDefault="00C34986" w14:paraId="33B207C4" w14:textId="08BCE773">
      <w:pPr>
        <w:pStyle w:val="FootnoteText"/>
      </w:pPr>
    </w:p>
  </w:footnote>
  <w:footnote w:id="8">
    <w:p w:rsidRPr="00597F3C" w:rsidR="00E35769" w:rsidP="00E35769" w:rsidRDefault="00E35769" w14:paraId="35832443" w14:textId="77777777">
      <w:pPr>
        <w:pStyle w:val="FootnoteText"/>
        <w:rPr>
          <w:lang w:val="es-ES"/>
        </w:rPr>
      </w:pPr>
      <w:r>
        <w:rPr>
          <w:rStyle w:val="FootnoteReference"/>
        </w:rPr>
        <w:footnoteRef/>
      </w:r>
      <w:r w:rsidRPr="00597F3C">
        <w:rPr>
          <w:lang w:val="es-ES"/>
        </w:rPr>
        <w:t xml:space="preserve"> </w:t>
      </w:r>
      <w:r w:rsidRPr="00597F3C">
        <w:rPr>
          <w:rFonts w:ascii="Arial" w:hAnsi="Arial" w:cs="Arial"/>
          <w:sz w:val="16"/>
          <w:szCs w:val="16"/>
          <w:lang w:val="es-ES"/>
        </w:rPr>
        <w:t>El número de comunidades a ser incorporadas en el nuevo proyecto será definido en el documento de cooperación técnica; sin embargo, se estima que se incorporarán al menos 5 comunidades en adición a las 7 que actualmente están participando en el programa.</w:t>
      </w:r>
      <w:r>
        <w:rPr>
          <w:lang w:val="es-ES"/>
        </w:rPr>
        <w:t xml:space="preserve">  </w:t>
      </w:r>
    </w:p>
  </w:footnote>
  <w:footnote w:id="9">
    <w:p w:rsidRPr="00E35769" w:rsidR="004218BC" w:rsidP="004218BC" w:rsidRDefault="004218BC" w14:paraId="56DF885A" w14:textId="77777777">
      <w:pPr>
        <w:pStyle w:val="FootnoteText"/>
        <w:rPr>
          <w:rFonts w:ascii="Arial" w:hAnsi="Arial" w:cs="Arial"/>
          <w:sz w:val="16"/>
          <w:szCs w:val="16"/>
          <w:lang w:val="es-ES"/>
        </w:rPr>
      </w:pPr>
      <w:r>
        <w:rPr>
          <w:rStyle w:val="FootnoteReference"/>
        </w:rPr>
        <w:footnoteRef/>
      </w:r>
      <w:r w:rsidRPr="001F1739">
        <w:rPr>
          <w:lang w:val="es-ES"/>
        </w:rPr>
        <w:t xml:space="preserve"> </w:t>
      </w:r>
      <w:r w:rsidRPr="00E35769">
        <w:rPr>
          <w:rFonts w:ascii="Arial" w:hAnsi="Arial" w:cs="Arial"/>
          <w:sz w:val="16"/>
          <w:szCs w:val="16"/>
          <w:lang w:val="es-ES"/>
        </w:rPr>
        <w:t>Niños/niñas, jóvenes, madres y padres, árbitros, mentores, entrenadores (cuerpo técnico de los equipos), miembros y líderes de las comunidades.</w:t>
      </w:r>
    </w:p>
  </w:footnote>
  <w:footnote w:id="10">
    <w:p w:rsidRPr="005B1C77" w:rsidR="005B1C77" w:rsidRDefault="005B1C77" w14:paraId="770BAD09" w14:textId="13BB1FF0">
      <w:pPr>
        <w:pStyle w:val="FootnoteText"/>
        <w:rPr>
          <w:lang w:val="es-ES"/>
        </w:rPr>
      </w:pPr>
      <w:r>
        <w:rPr>
          <w:rStyle w:val="FootnoteReference"/>
        </w:rPr>
        <w:footnoteRef/>
      </w:r>
      <w:r w:rsidRPr="005B1C77">
        <w:rPr>
          <w:lang w:val="es-ES"/>
        </w:rPr>
        <w:t xml:space="preserve"> </w:t>
      </w:r>
      <w:r w:rsidR="009270EA">
        <w:fldChar w:fldCharType="begin"/>
      </w:r>
      <w:r w:rsidRPr="00992D34" w:rsidR="009270EA">
        <w:rPr>
          <w:lang w:val="es-ES"/>
          <w:rPrChange w:author="Kolodin, Susan K." w:date="2021-02-17T12:48:00Z" w:id="1">
            <w:rPr/>
          </w:rPrChange>
        </w:rPr>
        <w:instrText xml:space="preserve"> HYPERLINK "http://teensmart.org/web/index.jsp" </w:instrText>
      </w:r>
      <w:r w:rsidR="009270EA">
        <w:fldChar w:fldCharType="separate"/>
      </w:r>
      <w:r w:rsidRPr="00F269C3" w:rsidR="00F269C3">
        <w:rPr>
          <w:rStyle w:val="Hyperlink"/>
          <w:lang w:val="es-ES"/>
        </w:rPr>
        <w:t>http://teensmart.org/web/index.jsp</w:t>
      </w:r>
      <w:r w:rsidR="009270EA">
        <w:rPr>
          <w:rStyle w:val="Hyperlink"/>
          <w:lang w:val="es-ES"/>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74F9F"/>
    <w:multiLevelType w:val="hybridMultilevel"/>
    <w:tmpl w:val="2606FA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41C1EAE"/>
    <w:multiLevelType w:val="hybridMultilevel"/>
    <w:tmpl w:val="626C3C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lodin, Susan K.">
    <w15:presenceInfo w15:providerId="AD" w15:userId="S::susank@iadb.org::3e18bdfb-bfdb-4de0-a033-ce570478b09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65BFA"/>
    <w:rsid w:val="00074C0F"/>
    <w:rsid w:val="00082B17"/>
    <w:rsid w:val="000A5A6B"/>
    <w:rsid w:val="000B1528"/>
    <w:rsid w:val="000E3C3E"/>
    <w:rsid w:val="000F28D2"/>
    <w:rsid w:val="0016252A"/>
    <w:rsid w:val="001844C8"/>
    <w:rsid w:val="001915A3"/>
    <w:rsid w:val="001A0AEC"/>
    <w:rsid w:val="001C3A49"/>
    <w:rsid w:val="00204441"/>
    <w:rsid w:val="00217F62"/>
    <w:rsid w:val="00250D3D"/>
    <w:rsid w:val="0027359B"/>
    <w:rsid w:val="002954BF"/>
    <w:rsid w:val="00303791"/>
    <w:rsid w:val="00353FC3"/>
    <w:rsid w:val="00382B36"/>
    <w:rsid w:val="00395F45"/>
    <w:rsid w:val="003A4234"/>
    <w:rsid w:val="003A7870"/>
    <w:rsid w:val="003C1A85"/>
    <w:rsid w:val="003D2ABC"/>
    <w:rsid w:val="003F2B17"/>
    <w:rsid w:val="00417546"/>
    <w:rsid w:val="004218BC"/>
    <w:rsid w:val="00491E0F"/>
    <w:rsid w:val="004A62CF"/>
    <w:rsid w:val="004C25DB"/>
    <w:rsid w:val="00516375"/>
    <w:rsid w:val="00526860"/>
    <w:rsid w:val="0053055C"/>
    <w:rsid w:val="005366E5"/>
    <w:rsid w:val="00564A19"/>
    <w:rsid w:val="00567E8C"/>
    <w:rsid w:val="00597F3C"/>
    <w:rsid w:val="005B1C77"/>
    <w:rsid w:val="0060263D"/>
    <w:rsid w:val="00634D82"/>
    <w:rsid w:val="0065781C"/>
    <w:rsid w:val="006B43BC"/>
    <w:rsid w:val="00762253"/>
    <w:rsid w:val="007A20DD"/>
    <w:rsid w:val="007A3F81"/>
    <w:rsid w:val="0082361E"/>
    <w:rsid w:val="00840C94"/>
    <w:rsid w:val="0087752A"/>
    <w:rsid w:val="009270EA"/>
    <w:rsid w:val="009323C2"/>
    <w:rsid w:val="0096207F"/>
    <w:rsid w:val="00992D34"/>
    <w:rsid w:val="00997E63"/>
    <w:rsid w:val="009D135B"/>
    <w:rsid w:val="00A07C92"/>
    <w:rsid w:val="00A23E5B"/>
    <w:rsid w:val="00A5249C"/>
    <w:rsid w:val="00A81EE7"/>
    <w:rsid w:val="00A87768"/>
    <w:rsid w:val="00A906D8"/>
    <w:rsid w:val="00AA372B"/>
    <w:rsid w:val="00AB5A74"/>
    <w:rsid w:val="00AB6BF8"/>
    <w:rsid w:val="00AD3237"/>
    <w:rsid w:val="00AF3291"/>
    <w:rsid w:val="00B84E37"/>
    <w:rsid w:val="00B90D89"/>
    <w:rsid w:val="00B917A1"/>
    <w:rsid w:val="00B933B6"/>
    <w:rsid w:val="00BA7E68"/>
    <w:rsid w:val="00BB6D92"/>
    <w:rsid w:val="00BD1AF0"/>
    <w:rsid w:val="00BE237E"/>
    <w:rsid w:val="00BF4E58"/>
    <w:rsid w:val="00C34986"/>
    <w:rsid w:val="00C41ADF"/>
    <w:rsid w:val="00CB5CFC"/>
    <w:rsid w:val="00CF196E"/>
    <w:rsid w:val="00D17BED"/>
    <w:rsid w:val="00D20E6A"/>
    <w:rsid w:val="00D3193A"/>
    <w:rsid w:val="00D4744B"/>
    <w:rsid w:val="00D51FC6"/>
    <w:rsid w:val="00D535A1"/>
    <w:rsid w:val="00DB7773"/>
    <w:rsid w:val="00E11F50"/>
    <w:rsid w:val="00E35769"/>
    <w:rsid w:val="00E41775"/>
    <w:rsid w:val="00E52494"/>
    <w:rsid w:val="00E63794"/>
    <w:rsid w:val="00E873A9"/>
    <w:rsid w:val="00F071AE"/>
    <w:rsid w:val="00F269C3"/>
    <w:rsid w:val="00F66F80"/>
    <w:rsid w:val="00F77E87"/>
    <w:rsid w:val="00FD0464"/>
    <w:rsid w:val="00FD67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A0217"/>
  <w15:docId w15:val="{EA096AD0-F377-4222-AFD7-3D0177B670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hAnsiTheme="majorHAnsi" w:eastAsiaTheme="majorEastAsia"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hAnsiTheme="majorHAnsi" w:eastAsiaTheme="majorEastAsia"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hAnsiTheme="majorHAnsi" w:eastAsiaTheme="majorEastAsia"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263428"/>
    <w:rPr>
      <w:rFonts w:asciiTheme="majorHAnsi" w:hAnsiTheme="majorHAnsi" w:eastAsiaTheme="majorEastAsia" w:cstheme="majorBidi"/>
      <w:b/>
      <w:bCs/>
      <w:color w:val="4472C4" w:themeColor="accent1"/>
      <w:sz w:val="26"/>
      <w:szCs w:val="26"/>
    </w:rPr>
  </w:style>
  <w:style w:type="character" w:styleId="Heading3Char" w:customStyle="1">
    <w:name w:val="Heading 3 Char"/>
    <w:basedOn w:val="DefaultParagraphFont"/>
    <w:link w:val="Heading3"/>
    <w:uiPriority w:val="9"/>
    <w:rsid w:val="00263428"/>
    <w:rPr>
      <w:rFonts w:asciiTheme="majorHAnsi" w:hAnsiTheme="majorHAnsi" w:eastAsiaTheme="majorEastAsia" w:cstheme="majorBidi"/>
      <w:b/>
      <w:bCs/>
      <w:color w:val="4472C4" w:themeColor="accent1"/>
    </w:rPr>
  </w:style>
  <w:style w:type="character" w:styleId="Heading4Char" w:customStyle="1">
    <w:name w:val="Heading 4 Char"/>
    <w:basedOn w:val="DefaultParagraphFont"/>
    <w:link w:val="Heading4"/>
    <w:uiPriority w:val="9"/>
    <w:rsid w:val="00263428"/>
    <w:rPr>
      <w:rFonts w:asciiTheme="majorHAnsi" w:hAnsiTheme="majorHAnsi" w:eastAsiaTheme="majorEastAsia" w:cstheme="majorBidi"/>
      <w:b/>
      <w:bCs/>
      <w:i/>
      <w:iCs/>
      <w:color w:val="4472C4" w:themeColor="accent1"/>
    </w:rPr>
  </w:style>
  <w:style w:type="character" w:styleId="Heading5Char" w:customStyle="1">
    <w:name w:val="Heading 5 Char"/>
    <w:basedOn w:val="DefaultParagraphFont"/>
    <w:link w:val="Heading5"/>
    <w:uiPriority w:val="9"/>
    <w:rsid w:val="00263428"/>
    <w:rPr>
      <w:rFonts w:asciiTheme="majorHAnsi" w:hAnsiTheme="majorHAnsi" w:eastAsiaTheme="majorEastAsia" w:cstheme="majorBidi"/>
      <w:color w:val="1F3763" w:themeColor="accent1" w:themeShade="7F"/>
    </w:rPr>
  </w:style>
  <w:style w:type="character" w:styleId="Heading6Char" w:customStyle="1">
    <w:name w:val="Heading 6 Char"/>
    <w:basedOn w:val="DefaultParagraphFont"/>
    <w:link w:val="Heading6"/>
    <w:uiPriority w:val="9"/>
    <w:rsid w:val="00263428"/>
    <w:rPr>
      <w:rFonts w:asciiTheme="majorHAnsi" w:hAnsiTheme="majorHAnsi" w:eastAsiaTheme="majorEastAsia" w:cstheme="majorBidi"/>
      <w:i/>
      <w:iCs/>
      <w:color w:val="1F3763" w:themeColor="accent1" w:themeShade="7F"/>
    </w:rPr>
  </w:style>
  <w:style w:type="character" w:styleId="Heading7Char" w:customStyle="1">
    <w:name w:val="Heading 7 Char"/>
    <w:basedOn w:val="DefaultParagraphFont"/>
    <w:link w:val="Heading7"/>
    <w:uiPriority w:val="9"/>
    <w:rsid w:val="00263428"/>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rsid w:val="00263428"/>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rsid w:val="00263428"/>
    <w:rPr>
      <w:rFonts w:asciiTheme="majorHAnsi" w:hAnsiTheme="majorHAnsi" w:eastAsiaTheme="majorEastAsia" w:cstheme="majorBidi"/>
      <w:i/>
      <w:iCs/>
      <w:color w:val="404040" w:themeColor="text1" w:themeTint="BF"/>
      <w:sz w:val="20"/>
      <w:szCs w:val="20"/>
    </w:rPr>
  </w:style>
  <w:style w:type="table" w:styleId="TableGrid">
    <w:name w:val="Table Grid"/>
    <w:basedOn w:val="TableNormal"/>
    <w:uiPriority w:val="59"/>
    <w:rsid w:val="008D011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erStyle" w:customStyle="1">
    <w:name w:val="FooterStyle"/>
    <w:rPr>
      <w:rFonts w:ascii="Arial" w:hAnsi="Arial" w:eastAsia="Arial" w:cs="Arial"/>
      <w:sz w:val="18"/>
    </w:rPr>
  </w:style>
  <w:style w:type="paragraph" w:styleId="FootnoteText">
    <w:name w:val="footnote text"/>
    <w:basedOn w:val="Normal"/>
    <w:link w:val="FootnoteTextChar"/>
    <w:uiPriority w:val="99"/>
    <w:semiHidden/>
    <w:unhideWhenUsed/>
    <w:rsid w:val="00E52494"/>
    <w:rPr>
      <w:sz w:val="20"/>
      <w:szCs w:val="20"/>
    </w:rPr>
  </w:style>
  <w:style w:type="character" w:styleId="FootnoteTextChar" w:customStyle="1">
    <w:name w:val="Footnote Text Char"/>
    <w:basedOn w:val="DefaultParagraphFont"/>
    <w:link w:val="FootnoteText"/>
    <w:uiPriority w:val="99"/>
    <w:semiHidden/>
    <w:rsid w:val="00E52494"/>
    <w:rPr>
      <w:sz w:val="20"/>
      <w:szCs w:val="20"/>
    </w:rPr>
  </w:style>
  <w:style w:type="character" w:styleId="FootnoteReference">
    <w:name w:val="footnote reference"/>
    <w:basedOn w:val="DefaultParagraphFont"/>
    <w:uiPriority w:val="99"/>
    <w:semiHidden/>
    <w:unhideWhenUsed/>
    <w:rsid w:val="00E52494"/>
    <w:rPr>
      <w:vertAlign w:val="superscript"/>
    </w:rPr>
  </w:style>
  <w:style w:type="character" w:styleId="Hyperlink">
    <w:name w:val="Hyperlink"/>
    <w:basedOn w:val="DefaultParagraphFont"/>
    <w:uiPriority w:val="99"/>
    <w:unhideWhenUsed/>
    <w:rsid w:val="0027359B"/>
    <w:rPr>
      <w:color w:val="0563C1" w:themeColor="hyperlink"/>
      <w:u w:val="single"/>
    </w:rPr>
  </w:style>
  <w:style w:type="character" w:styleId="title-text" w:customStyle="1">
    <w:name w:val="title-text"/>
    <w:basedOn w:val="DefaultParagraphFont"/>
    <w:rsid w:val="00C34986"/>
  </w:style>
  <w:style w:type="character" w:styleId="CommentReference">
    <w:name w:val="annotation reference"/>
    <w:basedOn w:val="DefaultParagraphFont"/>
    <w:uiPriority w:val="99"/>
    <w:semiHidden/>
    <w:unhideWhenUsed/>
    <w:rsid w:val="00BE237E"/>
    <w:rPr>
      <w:sz w:val="16"/>
      <w:szCs w:val="16"/>
    </w:rPr>
  </w:style>
  <w:style w:type="paragraph" w:styleId="CommentText">
    <w:name w:val="annotation text"/>
    <w:basedOn w:val="Normal"/>
    <w:link w:val="CommentTextChar"/>
    <w:uiPriority w:val="99"/>
    <w:semiHidden/>
    <w:unhideWhenUsed/>
    <w:rsid w:val="00BE237E"/>
    <w:rPr>
      <w:sz w:val="20"/>
      <w:szCs w:val="20"/>
    </w:rPr>
  </w:style>
  <w:style w:type="character" w:styleId="CommentTextChar" w:customStyle="1">
    <w:name w:val="Comment Text Char"/>
    <w:basedOn w:val="DefaultParagraphFont"/>
    <w:link w:val="CommentText"/>
    <w:uiPriority w:val="99"/>
    <w:semiHidden/>
    <w:rsid w:val="00BE237E"/>
    <w:rPr>
      <w:sz w:val="20"/>
      <w:szCs w:val="20"/>
    </w:rPr>
  </w:style>
  <w:style w:type="paragraph" w:styleId="CommentSubject">
    <w:name w:val="annotation subject"/>
    <w:basedOn w:val="CommentText"/>
    <w:next w:val="CommentText"/>
    <w:link w:val="CommentSubjectChar"/>
    <w:uiPriority w:val="99"/>
    <w:semiHidden/>
    <w:unhideWhenUsed/>
    <w:rsid w:val="00BE237E"/>
    <w:rPr>
      <w:b/>
      <w:bCs/>
    </w:rPr>
  </w:style>
  <w:style w:type="character" w:styleId="CommentSubjectChar" w:customStyle="1">
    <w:name w:val="Comment Subject Char"/>
    <w:basedOn w:val="CommentTextChar"/>
    <w:link w:val="CommentSubject"/>
    <w:uiPriority w:val="99"/>
    <w:semiHidden/>
    <w:rsid w:val="00BE237E"/>
    <w:rPr>
      <w:b/>
      <w:bCs/>
      <w:sz w:val="20"/>
      <w:szCs w:val="20"/>
    </w:rPr>
  </w:style>
  <w:style w:type="character" w:styleId="UnresolvedMention">
    <w:name w:val="Unresolved Mention"/>
    <w:basedOn w:val="DefaultParagraphFont"/>
    <w:uiPriority w:val="99"/>
    <w:semiHidden/>
    <w:unhideWhenUsed/>
    <w:rsid w:val="00F26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2553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settings" Target="settings.xml" Id="rId10"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oter" Target="footer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sciencedirect.com/science/journal/14413523/1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A87921DA9B3C84AA2A6D5A1681D558D" ma:contentTypeVersion="1282" ma:contentTypeDescription="A content type to manage public (operations) IDB documents" ma:contentTypeScope="" ma:versionID="88289d5cb4c28af659fa68b1a40c5e5e">
  <xsd:schema xmlns:xsd="http://www.w3.org/2001/XMLSchema" xmlns:xs="http://www.w3.org/2001/XMLSchema" xmlns:p="http://schemas.microsoft.com/office/2006/metadata/properties" xmlns:ns2="cdc7663a-08f0-4737-9e8c-148ce897a09c" targetNamespace="http://schemas.microsoft.com/office/2006/metadata/properties" ma:root="true" ma:fieldsID="0f7e9dd3f7b60b96929d5cae4f26ad4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INT/TIN</Division_x0020_or_x0020_Unit>
    <_dlc_DocId xmlns="cdc7663a-08f0-4737-9e8c-148ce897a09c">EZSHARE-431965355-1</_dlc_DocId>
    <Document_x0020_Author xmlns="cdc7663a-08f0-4737-9e8c-148ce897a09c">Libby Hernandez Margarita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b26cdb1da78c4bb4b1c1bac2f6ac5911 xmlns="cdc7663a-08f0-4737-9e8c-148ce897a09c">
      <Terms xmlns="http://schemas.microsoft.com/office/infopath/2007/PartnerControls"/>
    </b26cdb1da78c4bb4b1c1bac2f6ac5911>
    <Extracted_x0020_Keywords xmlns="cdc7663a-08f0-4737-9e8c-148ce897a09c"/>
    <Project_x0020_Number xmlns="cdc7663a-08f0-4737-9e8c-148ce897a09c">NI-T1284</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https://idbg.sharepoint.com/teams/EZ-NI-TCP/NI-T1284/_layouts/15/DocIdRedir.aspx?ID=EZSHARE-431965355-1</Url>
      <Description>EZSHARE-431965355-1</Description>
    </_dlc_DocIdUrl>
    <Phase xmlns="cdc7663a-08f0-4737-9e8c-148ce897a09c" xsi:nil="true"/>
    <Other_x0020_Author xmlns="cdc7663a-08f0-4737-9e8c-148ce897a09c" xsi:nil="true"/>
    <IDBDocs_x0020_Number xmlns="cdc7663a-08f0-4737-9e8c-148ce897a09c" xsi:nil="true"/>
    <TaxCatchAll xmlns="cdc7663a-08f0-4737-9e8c-148ce897a09c">
      <Value>51</Value>
      <Value>131</Value>
      <Value>27</Value>
      <Value>2</Value>
      <Value>175</Value>
    </TaxCatchAll>
    <Fiscal_x0020_Year_x0020_IDB xmlns="cdc7663a-08f0-4737-9e8c-148ce897a09c">2021</Fiscal_x0020_Year_x0020_IDB>
    <Operation_x0020_Type xmlns="cdc7663a-08f0-4737-9e8c-148ce897a09c" xsi:nil="true"/>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59FDE-B5E1-4938-AE76-78D972D46C89}">
  <ds:schemaRefs>
    <ds:schemaRef ds:uri="http://schemas.microsoft.com/sharepoint/events"/>
  </ds:schemaRefs>
</ds:datastoreItem>
</file>

<file path=customXml/itemProps2.xml><?xml version="1.0" encoding="utf-8"?>
<ds:datastoreItem xmlns:ds="http://schemas.openxmlformats.org/officeDocument/2006/customXml" ds:itemID="{8D187D2B-227A-475A-8E3F-81E54398B6DE}"/>
</file>

<file path=customXml/itemProps3.xml><?xml version="1.0" encoding="utf-8"?>
<ds:datastoreItem xmlns:ds="http://schemas.openxmlformats.org/officeDocument/2006/customXml" ds:itemID="{81EA5C5D-CB73-486B-A839-C55CB8AB9B38}"/>
</file>

<file path=customXml/itemProps4.xml><?xml version="1.0" encoding="utf-8"?>
<ds:datastoreItem xmlns:ds="http://schemas.openxmlformats.org/officeDocument/2006/customXml" ds:itemID="{DC4C529F-3516-4A0B-95DB-C17164CAEBE2}">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365E370C-D671-4C94-B73A-EB4F146DE374}"/>
</file>

<file path=customXml/itemProps6.xml><?xml version="1.0" encoding="utf-8"?>
<ds:datastoreItem xmlns:ds="http://schemas.openxmlformats.org/officeDocument/2006/customXml" ds:itemID="{156CC7A1-003F-4283-91C1-C98A14C7CCB6}">
  <ds:schemaRefs>
    <ds:schemaRef ds:uri="http://schemas.openxmlformats.org/officeDocument/2006/bibliography"/>
  </ds:schemaRefs>
</ds:datastoreItem>
</file>

<file path=customXml/itemProps7.xml><?xml version="1.0" encoding="utf-8"?>
<ds:datastoreItem xmlns:ds="http://schemas.openxmlformats.org/officeDocument/2006/customXml" ds:itemID="{72E623C3-A39B-4738-B7CC-299D54EF78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2304</Words>
  <Characters>13134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Kolodin, Susan K.</dc:creator>
  <cp:keywords/>
  <cp:lastModifiedBy>Selva Delgado, Alma Reyna</cp:lastModifiedBy>
  <cp:revision>4</cp:revision>
  <dcterms:created xsi:type="dcterms:W3CDTF">2021-02-17T18:46:00Z</dcterms:created>
  <dcterms:modified xsi:type="dcterms:W3CDTF">2021-02-17T20:40:00Z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ub-Sector">
    <vt:lpwstr>175;#YOUTH AT RISK|93761788-ceec-4631-aaa4-a2734b224704</vt:lpwstr>
  </property>
  <property fmtid="{D5CDD505-2E9C-101B-9397-08002B2CF9AE}" pid="7" name="Country">
    <vt:lpwstr>27;#Nicaragua|69900e44-351c-4695-b42f-d4fe027272ef</vt:lpwstr>
  </property>
  <property fmtid="{D5CDD505-2E9C-101B-9397-08002B2CF9AE}" pid="8" name="_dlc_DocIdItemGuid">
    <vt:lpwstr>07de2c0a-4d23-472c-ac7b-215395eb4d2c</vt:lpwstr>
  </property>
  <property fmtid="{D5CDD505-2E9C-101B-9397-08002B2CF9AE}" pid="9" name="Fund IDB">
    <vt:lpwstr/>
  </property>
  <property fmtid="{D5CDD505-2E9C-101B-9397-08002B2CF9AE}" pid="10" name="Fund_x0020_IDB">
    <vt:lpwstr/>
  </property>
  <property fmtid="{D5CDD505-2E9C-101B-9397-08002B2CF9AE}" pid="11" name="Series_x0020_Operations_x0020_IDB">
    <vt:lpwstr/>
  </property>
  <property fmtid="{D5CDD505-2E9C-101B-9397-08002B2CF9AE}" pid="12" name="Sector IDB">
    <vt:lpwstr/>
  </property>
  <property fmtid="{D5CDD505-2E9C-101B-9397-08002B2CF9AE}" pid="13" name="Function Operations IDB">
    <vt:lpwstr>2;#Project Preparation Planning and Design|29ca0c72-1fc4-435f-a09c-28585cb5eac9</vt:lpwstr>
  </property>
  <property fmtid="{D5CDD505-2E9C-101B-9397-08002B2CF9AE}" pid="14" name="Sector_x0020_IDB">
    <vt:lpwstr/>
  </property>
  <property fmtid="{D5CDD505-2E9C-101B-9397-08002B2CF9AE}" pid="15" name="Function_x0020_Operations_x0020_IDB">
    <vt:lpwstr>2;#Project Preparation Planning and Design|29ca0c72-1fc4-435f-a09c-28585cb5eac9</vt:lpwstr>
  </property>
  <property fmtid="{D5CDD505-2E9C-101B-9397-08002B2CF9AE}" pid="16" name="Series Operations IDB">
    <vt:lpwstr/>
  </property>
  <property fmtid="{D5CDD505-2E9C-101B-9397-08002B2CF9AE}" pid="17" name="Disclosure Activity">
    <vt:lpwstr>TC Abstract</vt:lpwstr>
  </property>
  <property fmtid="{D5CDD505-2E9C-101B-9397-08002B2CF9AE}" pid="19" name="ContentTypeId">
    <vt:lpwstr>0x0101001A458A224826124E8B45B1D613300CFC002A87921DA9B3C84AA2A6D5A1681D558D</vt:lpwstr>
  </property>
</Properties>
</file>