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32575B" w14:textId="77777777" w:rsidR="009C5F26" w:rsidRDefault="009C5F26" w:rsidP="001646AC">
      <w:pPr>
        <w:spacing w:after="120"/>
        <w:jc w:val="center"/>
        <w:rPr>
          <w:rFonts w:ascii="Arial" w:hAnsi="Arial" w:cs="Arial"/>
          <w:b/>
          <w:bCs/>
          <w:smallCaps/>
          <w:sz w:val="28"/>
          <w:szCs w:val="28"/>
          <w:lang w:val="es-MX"/>
        </w:rPr>
      </w:pPr>
      <w:r w:rsidRPr="004E5990">
        <w:rPr>
          <w:rFonts w:ascii="Arial" w:hAnsi="Arial" w:cs="Arial"/>
          <w:b/>
          <w:bCs/>
          <w:smallCaps/>
          <w:sz w:val="28"/>
          <w:szCs w:val="28"/>
          <w:lang w:val="es-MX"/>
        </w:rPr>
        <w:t>M</w:t>
      </w:r>
      <w:r>
        <w:rPr>
          <w:rFonts w:ascii="Arial" w:hAnsi="Arial" w:cs="Arial"/>
          <w:b/>
          <w:bCs/>
          <w:smallCaps/>
          <w:sz w:val="28"/>
          <w:szCs w:val="28"/>
          <w:lang w:val="es-MX"/>
        </w:rPr>
        <w:t>edios de Verificación</w:t>
      </w:r>
    </w:p>
    <w:tbl>
      <w:tblPr>
        <w:tblStyle w:val="TableGrid"/>
        <w:tblW w:w="5000" w:type="pct"/>
        <w:tblLayout w:type="fixed"/>
        <w:tblCellMar>
          <w:left w:w="115" w:type="dxa"/>
          <w:right w:w="115" w:type="dxa"/>
        </w:tblCellMar>
        <w:tblLook w:val="04A0" w:firstRow="1" w:lastRow="0" w:firstColumn="1" w:lastColumn="0" w:noHBand="0" w:noVBand="1"/>
      </w:tblPr>
      <w:tblGrid>
        <w:gridCol w:w="1706"/>
        <w:gridCol w:w="2789"/>
        <w:gridCol w:w="2340"/>
        <w:gridCol w:w="2157"/>
        <w:gridCol w:w="2431"/>
        <w:gridCol w:w="2247"/>
      </w:tblGrid>
      <w:tr w:rsidR="0051698D" w:rsidRPr="00CD669B" w14:paraId="2EB4A713" w14:textId="77777777" w:rsidTr="000C6DCC">
        <w:trPr>
          <w:trHeight w:val="20"/>
          <w:tblHeader/>
        </w:trPr>
        <w:tc>
          <w:tcPr>
            <w:tcW w:w="624" w:type="pct"/>
            <w:shd w:val="clear" w:color="auto" w:fill="D9D9D9" w:themeFill="background1" w:themeFillShade="D9"/>
            <w:vAlign w:val="center"/>
          </w:tcPr>
          <w:p w14:paraId="224E01B9" w14:textId="77777777" w:rsidR="008B04AB" w:rsidRPr="00206423" w:rsidRDefault="008B04AB" w:rsidP="00D65876">
            <w:pPr>
              <w:ind w:left="-30" w:right="-105"/>
              <w:jc w:val="center"/>
              <w:rPr>
                <w:rFonts w:ascii="Arial" w:hAnsi="Arial" w:cs="Arial"/>
                <w:b/>
                <w:sz w:val="20"/>
                <w:szCs w:val="20"/>
                <w:lang w:val="es-AR"/>
              </w:rPr>
            </w:pPr>
            <w:r w:rsidRPr="00206423">
              <w:rPr>
                <w:rFonts w:ascii="Arial" w:hAnsi="Arial" w:cs="Arial"/>
                <w:b/>
                <w:sz w:val="20"/>
                <w:szCs w:val="20"/>
                <w:lang w:val="es-AR"/>
              </w:rPr>
              <w:t>Objetivos de Política</w:t>
            </w:r>
          </w:p>
        </w:tc>
        <w:tc>
          <w:tcPr>
            <w:tcW w:w="1020" w:type="pct"/>
            <w:shd w:val="clear" w:color="auto" w:fill="D9D9D9" w:themeFill="background1" w:themeFillShade="D9"/>
            <w:vAlign w:val="center"/>
          </w:tcPr>
          <w:p w14:paraId="04D907A3" w14:textId="741127F0" w:rsidR="008C42F7" w:rsidRPr="00206423" w:rsidRDefault="008B04AB" w:rsidP="00D65876">
            <w:pPr>
              <w:ind w:left="-120" w:right="-105"/>
              <w:jc w:val="center"/>
              <w:rPr>
                <w:rFonts w:ascii="Arial" w:hAnsi="Arial" w:cs="Arial"/>
                <w:b/>
                <w:sz w:val="20"/>
                <w:szCs w:val="20"/>
                <w:lang w:val="es-ES"/>
              </w:rPr>
            </w:pPr>
            <w:r w:rsidRPr="00206423">
              <w:rPr>
                <w:rFonts w:ascii="Arial" w:hAnsi="Arial" w:cs="Arial"/>
                <w:b/>
                <w:sz w:val="20"/>
                <w:szCs w:val="20"/>
                <w:lang w:val="es-ES"/>
              </w:rPr>
              <w:t>Condiciones de política</w:t>
            </w:r>
          </w:p>
          <w:p w14:paraId="63483730" w14:textId="673F5CD3" w:rsidR="008B04AB" w:rsidRPr="00206423" w:rsidRDefault="008B04AB" w:rsidP="00D65876">
            <w:pPr>
              <w:ind w:left="-120" w:right="-105"/>
              <w:jc w:val="center"/>
              <w:rPr>
                <w:rFonts w:ascii="Arial" w:hAnsi="Arial" w:cs="Arial"/>
                <w:b/>
                <w:sz w:val="20"/>
                <w:szCs w:val="20"/>
                <w:lang w:val="es-AR"/>
              </w:rPr>
            </w:pPr>
            <w:r w:rsidRPr="00206423">
              <w:rPr>
                <w:rFonts w:ascii="Arial" w:hAnsi="Arial" w:cs="Arial"/>
                <w:b/>
                <w:sz w:val="20"/>
                <w:szCs w:val="20"/>
                <w:lang w:val="es-AR"/>
              </w:rPr>
              <w:t>Tramo I</w:t>
            </w:r>
          </w:p>
        </w:tc>
        <w:tc>
          <w:tcPr>
            <w:tcW w:w="856" w:type="pct"/>
            <w:shd w:val="clear" w:color="auto" w:fill="D9D9D9" w:themeFill="background1" w:themeFillShade="D9"/>
            <w:vAlign w:val="center"/>
          </w:tcPr>
          <w:p w14:paraId="25A4CA82" w14:textId="3982A030" w:rsidR="008B04AB" w:rsidRPr="00206423" w:rsidRDefault="008B04AB" w:rsidP="00D65876">
            <w:pPr>
              <w:ind w:left="-120" w:right="-105"/>
              <w:jc w:val="center"/>
              <w:rPr>
                <w:rFonts w:ascii="Arial" w:hAnsi="Arial" w:cs="Arial"/>
                <w:b/>
                <w:sz w:val="20"/>
                <w:szCs w:val="20"/>
                <w:lang w:val="es-AR"/>
              </w:rPr>
            </w:pPr>
            <w:r w:rsidRPr="00206423">
              <w:rPr>
                <w:rFonts w:ascii="Arial" w:hAnsi="Arial" w:cs="Arial"/>
                <w:b/>
                <w:sz w:val="20"/>
                <w:szCs w:val="20"/>
                <w:lang w:val="es-AR"/>
              </w:rPr>
              <w:t>Medios de Verificación Tramo I</w:t>
            </w:r>
          </w:p>
        </w:tc>
        <w:tc>
          <w:tcPr>
            <w:tcW w:w="789" w:type="pct"/>
            <w:shd w:val="clear" w:color="auto" w:fill="D9D9D9" w:themeFill="background1" w:themeFillShade="D9"/>
            <w:vAlign w:val="center"/>
          </w:tcPr>
          <w:p w14:paraId="630DCF63" w14:textId="77777777" w:rsidR="002E020C" w:rsidRDefault="008B04AB" w:rsidP="00D65876">
            <w:pPr>
              <w:ind w:left="-120" w:right="-105"/>
              <w:jc w:val="center"/>
              <w:rPr>
                <w:rFonts w:ascii="Arial" w:hAnsi="Arial" w:cs="Arial"/>
                <w:b/>
                <w:sz w:val="20"/>
                <w:szCs w:val="20"/>
                <w:lang w:val="es-AR"/>
              </w:rPr>
            </w:pPr>
            <w:r w:rsidRPr="00206423">
              <w:rPr>
                <w:rFonts w:ascii="Arial" w:hAnsi="Arial" w:cs="Arial"/>
                <w:b/>
                <w:sz w:val="20"/>
                <w:szCs w:val="20"/>
                <w:lang w:val="es-AR"/>
              </w:rPr>
              <w:t>Estado</w:t>
            </w:r>
            <w:r w:rsidR="008C42F7" w:rsidRPr="00206423">
              <w:rPr>
                <w:rFonts w:ascii="Arial" w:hAnsi="Arial" w:cs="Arial"/>
                <w:b/>
                <w:sz w:val="20"/>
                <w:szCs w:val="20"/>
                <w:lang w:val="es-AR"/>
              </w:rPr>
              <w:t xml:space="preserve"> de</w:t>
            </w:r>
            <w:r w:rsidR="002E020C">
              <w:rPr>
                <w:rFonts w:ascii="Arial" w:hAnsi="Arial" w:cs="Arial"/>
                <w:b/>
                <w:sz w:val="20"/>
                <w:szCs w:val="20"/>
                <w:lang w:val="es-AR"/>
              </w:rPr>
              <w:t xml:space="preserve"> </w:t>
            </w:r>
          </w:p>
          <w:p w14:paraId="71397946" w14:textId="41EEA05E" w:rsidR="008B04AB" w:rsidRPr="00206423" w:rsidRDefault="002E020C" w:rsidP="000C6DCC">
            <w:pPr>
              <w:ind w:left="-120" w:right="-105"/>
              <w:jc w:val="center"/>
              <w:rPr>
                <w:rFonts w:ascii="Arial" w:hAnsi="Arial" w:cs="Arial"/>
                <w:b/>
                <w:sz w:val="20"/>
                <w:szCs w:val="20"/>
                <w:lang w:val="es-AR"/>
              </w:rPr>
            </w:pPr>
            <w:r>
              <w:rPr>
                <w:rFonts w:ascii="Arial" w:hAnsi="Arial" w:cs="Arial"/>
                <w:b/>
                <w:sz w:val="20"/>
                <w:szCs w:val="20"/>
                <w:lang w:val="es-AR"/>
              </w:rPr>
              <w:t>Cumplimiento</w:t>
            </w:r>
            <w:r w:rsidR="008C42F7" w:rsidRPr="00206423">
              <w:rPr>
                <w:rFonts w:ascii="Arial" w:hAnsi="Arial" w:cs="Arial"/>
                <w:b/>
                <w:sz w:val="20"/>
                <w:szCs w:val="20"/>
                <w:lang w:val="es-AR"/>
              </w:rPr>
              <w:t xml:space="preserve"> </w:t>
            </w:r>
            <w:r w:rsidR="001B4AE3">
              <w:rPr>
                <w:rFonts w:ascii="Arial" w:hAnsi="Arial" w:cs="Arial"/>
                <w:b/>
                <w:sz w:val="20"/>
                <w:szCs w:val="20"/>
                <w:lang w:val="es-AR"/>
              </w:rPr>
              <w:t xml:space="preserve">de </w:t>
            </w:r>
            <w:r w:rsidR="008C42F7" w:rsidRPr="00206423">
              <w:rPr>
                <w:rFonts w:ascii="Arial" w:hAnsi="Arial" w:cs="Arial"/>
                <w:b/>
                <w:sz w:val="20"/>
                <w:szCs w:val="20"/>
                <w:lang w:val="es-AR"/>
              </w:rPr>
              <w:t>las Condiciones</w:t>
            </w:r>
            <w:r>
              <w:rPr>
                <w:rFonts w:ascii="Arial" w:hAnsi="Arial" w:cs="Arial"/>
                <w:b/>
                <w:sz w:val="20"/>
                <w:szCs w:val="20"/>
                <w:lang w:val="es-AR"/>
              </w:rPr>
              <w:t xml:space="preserve"> </w:t>
            </w:r>
            <w:r w:rsidR="008C42F7" w:rsidRPr="00206423">
              <w:rPr>
                <w:rFonts w:ascii="Arial" w:hAnsi="Arial" w:cs="Arial"/>
                <w:b/>
                <w:sz w:val="20"/>
                <w:szCs w:val="20"/>
                <w:lang w:val="es-AR"/>
              </w:rPr>
              <w:t>Tramo I</w:t>
            </w:r>
            <w:r w:rsidR="00787B83" w:rsidRPr="00206423">
              <w:rPr>
                <w:rStyle w:val="FootnoteReference"/>
                <w:rFonts w:ascii="Arial" w:hAnsi="Arial" w:cs="Arial"/>
                <w:b/>
                <w:sz w:val="20"/>
                <w:szCs w:val="20"/>
                <w:lang w:val="es-AR"/>
              </w:rPr>
              <w:footnoteReference w:id="2"/>
            </w:r>
          </w:p>
        </w:tc>
        <w:tc>
          <w:tcPr>
            <w:tcW w:w="889" w:type="pct"/>
            <w:shd w:val="clear" w:color="auto" w:fill="D9D9D9" w:themeFill="background1" w:themeFillShade="D9"/>
            <w:vAlign w:val="center"/>
          </w:tcPr>
          <w:p w14:paraId="30CD0AFC" w14:textId="299CF08D" w:rsidR="008B04AB" w:rsidRPr="00206423" w:rsidRDefault="008B04AB" w:rsidP="00D65876">
            <w:pPr>
              <w:ind w:left="-120" w:right="-105"/>
              <w:jc w:val="center"/>
              <w:rPr>
                <w:rFonts w:ascii="Arial" w:hAnsi="Arial" w:cs="Arial"/>
                <w:b/>
                <w:sz w:val="20"/>
                <w:szCs w:val="20"/>
                <w:lang w:val="es-AR"/>
              </w:rPr>
            </w:pPr>
            <w:r w:rsidRPr="00206423">
              <w:rPr>
                <w:rFonts w:ascii="Arial" w:hAnsi="Arial" w:cs="Arial"/>
                <w:b/>
                <w:sz w:val="20"/>
                <w:szCs w:val="20"/>
                <w:lang w:val="es-ES"/>
              </w:rPr>
              <w:t xml:space="preserve">Condiciones de política </w:t>
            </w:r>
            <w:r w:rsidRPr="00206423">
              <w:rPr>
                <w:rFonts w:ascii="Arial" w:hAnsi="Arial" w:cs="Arial"/>
                <w:b/>
                <w:sz w:val="20"/>
                <w:szCs w:val="20"/>
                <w:lang w:val="es-AR"/>
              </w:rPr>
              <w:t>Tramo II</w:t>
            </w:r>
          </w:p>
        </w:tc>
        <w:tc>
          <w:tcPr>
            <w:tcW w:w="822" w:type="pct"/>
            <w:shd w:val="clear" w:color="auto" w:fill="D9D9D9" w:themeFill="background1" w:themeFillShade="D9"/>
            <w:vAlign w:val="center"/>
          </w:tcPr>
          <w:p w14:paraId="3DF9AED3" w14:textId="4D3CCE8E" w:rsidR="008B04AB" w:rsidRPr="00206423" w:rsidRDefault="008B04AB" w:rsidP="00D65876">
            <w:pPr>
              <w:ind w:left="-120" w:right="-105"/>
              <w:jc w:val="center"/>
              <w:rPr>
                <w:rFonts w:ascii="Arial" w:hAnsi="Arial" w:cs="Arial"/>
                <w:b/>
                <w:sz w:val="20"/>
                <w:szCs w:val="20"/>
                <w:lang w:val="es-AR"/>
              </w:rPr>
            </w:pPr>
            <w:r w:rsidRPr="00206423">
              <w:rPr>
                <w:rFonts w:ascii="Arial" w:hAnsi="Arial" w:cs="Arial"/>
                <w:b/>
                <w:sz w:val="20"/>
                <w:szCs w:val="20"/>
                <w:lang w:val="es-AR"/>
              </w:rPr>
              <w:t>Medios de Verificación Tramo II</w:t>
            </w:r>
          </w:p>
        </w:tc>
      </w:tr>
      <w:tr w:rsidR="006813A8" w:rsidRPr="00206423" w14:paraId="674BA0A0" w14:textId="77777777" w:rsidTr="00BC5621">
        <w:trPr>
          <w:trHeight w:val="20"/>
        </w:trPr>
        <w:tc>
          <w:tcPr>
            <w:tcW w:w="5000" w:type="pct"/>
            <w:gridSpan w:val="6"/>
            <w:shd w:val="clear" w:color="auto" w:fill="B4C6E7" w:themeFill="accent1" w:themeFillTint="66"/>
          </w:tcPr>
          <w:p w14:paraId="637A563F" w14:textId="2824D638" w:rsidR="006813A8" w:rsidRPr="00206423" w:rsidRDefault="006813A8" w:rsidP="00206423">
            <w:pPr>
              <w:spacing w:before="20" w:after="40"/>
              <w:ind w:left="-30" w:right="-105"/>
              <w:rPr>
                <w:rFonts w:ascii="Arial" w:hAnsi="Arial" w:cs="Arial"/>
                <w:b/>
                <w:bCs/>
                <w:kern w:val="18"/>
                <w:sz w:val="20"/>
                <w:szCs w:val="20"/>
                <w:lang w:val="es-ES"/>
              </w:rPr>
            </w:pPr>
            <w:r w:rsidRPr="00206423">
              <w:rPr>
                <w:rFonts w:ascii="Arial" w:hAnsi="Arial" w:cs="Arial"/>
                <w:b/>
                <w:bCs/>
                <w:kern w:val="18"/>
                <w:sz w:val="20"/>
                <w:szCs w:val="20"/>
                <w:lang w:val="es-ES"/>
              </w:rPr>
              <w:t>Componente I. Estabilidad macroeconómica</w:t>
            </w:r>
          </w:p>
        </w:tc>
      </w:tr>
      <w:tr w:rsidR="008C42F7" w:rsidRPr="00CD669B" w14:paraId="7FAE2341" w14:textId="77777777" w:rsidTr="000C6DCC">
        <w:trPr>
          <w:trHeight w:val="20"/>
        </w:trPr>
        <w:tc>
          <w:tcPr>
            <w:tcW w:w="624" w:type="pct"/>
          </w:tcPr>
          <w:p w14:paraId="5B5E0FFC" w14:textId="77777777" w:rsidR="006813A8" w:rsidRPr="00206423" w:rsidRDefault="006813A8" w:rsidP="00206423">
            <w:pPr>
              <w:spacing w:before="20" w:after="40"/>
              <w:ind w:left="-30" w:right="-105"/>
              <w:rPr>
                <w:rFonts w:ascii="Arial" w:hAnsi="Arial" w:cs="Arial"/>
                <w:sz w:val="20"/>
                <w:szCs w:val="20"/>
                <w:lang w:val="es-AR"/>
              </w:rPr>
            </w:pPr>
            <w:r w:rsidRPr="00206423">
              <w:rPr>
                <w:rFonts w:ascii="Arial" w:hAnsi="Arial" w:cs="Arial"/>
                <w:sz w:val="20"/>
                <w:szCs w:val="20"/>
                <w:lang w:val="es-AR"/>
              </w:rPr>
              <w:t>Estabilidad Macroeconómica</w:t>
            </w:r>
          </w:p>
        </w:tc>
        <w:tc>
          <w:tcPr>
            <w:tcW w:w="1020" w:type="pct"/>
          </w:tcPr>
          <w:p w14:paraId="09EEF856" w14:textId="5B523BF2" w:rsidR="006813A8" w:rsidRPr="00206423" w:rsidRDefault="006813A8" w:rsidP="00206423">
            <w:pPr>
              <w:pStyle w:val="ListParagraph"/>
              <w:numPr>
                <w:ilvl w:val="0"/>
                <w:numId w:val="1"/>
              </w:numPr>
              <w:spacing w:before="20" w:after="40"/>
              <w:ind w:left="297"/>
              <w:contextualSpacing w:val="0"/>
              <w:rPr>
                <w:rFonts w:ascii="Arial" w:hAnsi="Arial" w:cs="Arial"/>
                <w:sz w:val="20"/>
                <w:szCs w:val="20"/>
                <w:lang w:val="es-AR"/>
              </w:rPr>
            </w:pPr>
            <w:r w:rsidRPr="00206423">
              <w:rPr>
                <w:rFonts w:ascii="Arial" w:hAnsi="Arial" w:cs="Arial"/>
                <w:sz w:val="20"/>
                <w:szCs w:val="20"/>
                <w:lang w:val="es-AR"/>
              </w:rPr>
              <w:t xml:space="preserve">Mantenimiento de un </w:t>
            </w:r>
            <w:r w:rsidRPr="00206423">
              <w:rPr>
                <w:rFonts w:ascii="Arial" w:hAnsi="Arial" w:cs="Arial"/>
                <w:sz w:val="20"/>
                <w:szCs w:val="20"/>
                <w:lang w:val="es-MX"/>
              </w:rPr>
              <w:t>contexto macroeconómico apropiado y consistente con los objetivos del programa</w:t>
            </w:r>
            <w:r w:rsidRPr="00206423">
              <w:rPr>
                <w:rFonts w:ascii="Arial" w:hAnsi="Arial" w:cs="Arial"/>
                <w:sz w:val="20"/>
                <w:szCs w:val="20"/>
                <w:lang w:val="es-AR"/>
              </w:rPr>
              <w:t>.</w:t>
            </w:r>
          </w:p>
        </w:tc>
        <w:tc>
          <w:tcPr>
            <w:tcW w:w="856" w:type="pct"/>
            <w:tcBorders>
              <w:bottom w:val="single" w:sz="4" w:space="0" w:color="auto"/>
            </w:tcBorders>
          </w:tcPr>
          <w:p w14:paraId="42982C09" w14:textId="34505C3A" w:rsidR="006813A8" w:rsidRPr="00206423" w:rsidRDefault="006813A8" w:rsidP="00206423">
            <w:pPr>
              <w:pStyle w:val="ListParagraph"/>
              <w:numPr>
                <w:ilvl w:val="0"/>
                <w:numId w:val="1"/>
              </w:numPr>
              <w:spacing w:before="20" w:after="40"/>
              <w:ind w:left="293"/>
              <w:contextualSpacing w:val="0"/>
              <w:rPr>
                <w:rFonts w:ascii="Arial" w:hAnsi="Arial" w:cs="Arial"/>
                <w:sz w:val="20"/>
                <w:szCs w:val="20"/>
                <w:lang w:val="es-AR"/>
              </w:rPr>
            </w:pPr>
            <w:r w:rsidRPr="00206423">
              <w:rPr>
                <w:rFonts w:ascii="Arial" w:hAnsi="Arial" w:cs="Arial"/>
                <w:sz w:val="20"/>
                <w:szCs w:val="20"/>
                <w:lang w:val="es-AR"/>
              </w:rPr>
              <w:t>Informe de Evaluación Independiente de Condiciones Macroeconómicas del Banco (IAMC).</w:t>
            </w:r>
          </w:p>
        </w:tc>
        <w:tc>
          <w:tcPr>
            <w:tcW w:w="789" w:type="pct"/>
            <w:tcBorders>
              <w:bottom w:val="single" w:sz="4" w:space="0" w:color="auto"/>
            </w:tcBorders>
          </w:tcPr>
          <w:p w14:paraId="72829B18" w14:textId="4D48C85F" w:rsidR="00AE647B" w:rsidRPr="00206423" w:rsidRDefault="00AE647B">
            <w:pPr>
              <w:spacing w:before="20" w:after="40"/>
              <w:ind w:left="-120" w:right="-60"/>
              <w:jc w:val="center"/>
              <w:rPr>
                <w:rFonts w:ascii="Arial" w:hAnsi="Arial" w:cs="Arial"/>
                <w:sz w:val="20"/>
                <w:szCs w:val="20"/>
                <w:lang w:val="es-AR"/>
              </w:rPr>
            </w:pPr>
            <w:r w:rsidRPr="00206423">
              <w:rPr>
                <w:rFonts w:ascii="Arial" w:hAnsi="Arial" w:cs="Arial"/>
                <w:sz w:val="20"/>
                <w:szCs w:val="20"/>
                <w:lang w:val="es-AR"/>
              </w:rPr>
              <w:t>Por cumplir</w:t>
            </w:r>
            <w:r w:rsidR="00EB4325">
              <w:rPr>
                <w:rFonts w:ascii="Arial" w:hAnsi="Arial" w:cs="Arial"/>
                <w:sz w:val="20"/>
                <w:szCs w:val="20"/>
                <w:lang w:val="es-AR"/>
              </w:rPr>
              <w:t xml:space="preserve"> (IV Trimestre/2019)</w:t>
            </w:r>
          </w:p>
        </w:tc>
        <w:tc>
          <w:tcPr>
            <w:tcW w:w="889" w:type="pct"/>
            <w:tcBorders>
              <w:bottom w:val="single" w:sz="4" w:space="0" w:color="auto"/>
            </w:tcBorders>
          </w:tcPr>
          <w:p w14:paraId="0D52BCFF" w14:textId="278EA2AC" w:rsidR="006813A8" w:rsidRPr="00206423" w:rsidRDefault="006813A8" w:rsidP="00206423">
            <w:pPr>
              <w:spacing w:before="20" w:after="40"/>
              <w:ind w:left="293" w:hanging="360"/>
              <w:rPr>
                <w:rFonts w:ascii="Arial" w:hAnsi="Arial" w:cs="Arial"/>
                <w:sz w:val="20"/>
                <w:szCs w:val="20"/>
                <w:lang w:val="es-AR"/>
              </w:rPr>
            </w:pPr>
            <w:r w:rsidRPr="00206423">
              <w:rPr>
                <w:rFonts w:ascii="Arial" w:hAnsi="Arial" w:cs="Arial"/>
                <w:sz w:val="20"/>
                <w:szCs w:val="20"/>
                <w:lang w:val="es-AR"/>
              </w:rPr>
              <w:t xml:space="preserve">1.1 Mantenimiento de un </w:t>
            </w:r>
            <w:r w:rsidRPr="00206423">
              <w:rPr>
                <w:rFonts w:ascii="Arial" w:hAnsi="Arial" w:cs="Arial"/>
                <w:sz w:val="20"/>
                <w:szCs w:val="20"/>
                <w:lang w:val="es-MX"/>
              </w:rPr>
              <w:t>contexto macroeconómico apropiado y consistente con los objetivos del programa</w:t>
            </w:r>
            <w:r w:rsidRPr="00206423">
              <w:rPr>
                <w:rFonts w:ascii="Arial" w:hAnsi="Arial" w:cs="Arial"/>
                <w:sz w:val="20"/>
                <w:szCs w:val="20"/>
                <w:lang w:val="es-AR"/>
              </w:rPr>
              <w:t>.</w:t>
            </w:r>
          </w:p>
        </w:tc>
        <w:tc>
          <w:tcPr>
            <w:tcW w:w="822" w:type="pct"/>
            <w:tcBorders>
              <w:bottom w:val="single" w:sz="4" w:space="0" w:color="auto"/>
            </w:tcBorders>
          </w:tcPr>
          <w:p w14:paraId="62DE27EA" w14:textId="531FFDA6" w:rsidR="006813A8" w:rsidRPr="00206423" w:rsidRDefault="006813A8" w:rsidP="00206423">
            <w:pPr>
              <w:pStyle w:val="ListParagraph"/>
              <w:numPr>
                <w:ilvl w:val="0"/>
                <w:numId w:val="1"/>
              </w:numPr>
              <w:spacing w:before="20" w:after="40"/>
              <w:ind w:left="293"/>
              <w:contextualSpacing w:val="0"/>
              <w:rPr>
                <w:rFonts w:ascii="Arial" w:hAnsi="Arial" w:cs="Arial"/>
                <w:sz w:val="20"/>
                <w:szCs w:val="20"/>
                <w:lang w:val="es-AR"/>
              </w:rPr>
            </w:pPr>
            <w:r w:rsidRPr="00206423">
              <w:rPr>
                <w:rFonts w:ascii="Arial" w:hAnsi="Arial" w:cs="Arial"/>
                <w:sz w:val="20"/>
                <w:szCs w:val="20"/>
                <w:lang w:val="es-AR"/>
              </w:rPr>
              <w:t>Informe de Evaluación Independiente de Condiciones Macroeconómicas del Banco (IAMC).</w:t>
            </w:r>
          </w:p>
        </w:tc>
      </w:tr>
      <w:tr w:rsidR="006813A8" w:rsidRPr="00CD669B" w14:paraId="40C7F3C2" w14:textId="77777777" w:rsidTr="00BC5621">
        <w:trPr>
          <w:trHeight w:val="20"/>
        </w:trPr>
        <w:tc>
          <w:tcPr>
            <w:tcW w:w="5000" w:type="pct"/>
            <w:gridSpan w:val="6"/>
            <w:shd w:val="clear" w:color="auto" w:fill="B4C6E7" w:themeFill="accent1" w:themeFillTint="66"/>
          </w:tcPr>
          <w:p w14:paraId="568B805A" w14:textId="157960EF" w:rsidR="006813A8" w:rsidRPr="00206423" w:rsidRDefault="006813A8" w:rsidP="00206423">
            <w:pPr>
              <w:spacing w:before="20" w:after="40"/>
              <w:ind w:left="-30" w:right="-105"/>
              <w:rPr>
                <w:rFonts w:ascii="Arial" w:hAnsi="Arial" w:cs="Arial"/>
                <w:b/>
                <w:bCs/>
                <w:kern w:val="18"/>
                <w:sz w:val="20"/>
                <w:szCs w:val="20"/>
                <w:lang w:val="es-ES"/>
              </w:rPr>
            </w:pPr>
            <w:r w:rsidRPr="00206423">
              <w:rPr>
                <w:rFonts w:ascii="Arial" w:hAnsi="Arial" w:cs="Arial"/>
                <w:b/>
                <w:bCs/>
                <w:kern w:val="18"/>
                <w:sz w:val="20"/>
                <w:szCs w:val="20"/>
                <w:lang w:val="es-ES"/>
              </w:rPr>
              <w:t>Componente II. Consolidación del marco macro</w:t>
            </w:r>
            <w:r w:rsidR="00D662FC" w:rsidRPr="00206423">
              <w:rPr>
                <w:rFonts w:ascii="Arial" w:hAnsi="Arial" w:cs="Arial"/>
                <w:b/>
                <w:bCs/>
                <w:kern w:val="18"/>
                <w:sz w:val="20"/>
                <w:szCs w:val="20"/>
                <w:lang w:val="es-ES"/>
              </w:rPr>
              <w:t xml:space="preserve"> </w:t>
            </w:r>
            <w:r w:rsidRPr="00206423">
              <w:rPr>
                <w:rFonts w:ascii="Arial" w:hAnsi="Arial" w:cs="Arial"/>
                <w:b/>
                <w:bCs/>
                <w:kern w:val="18"/>
                <w:sz w:val="20"/>
                <w:szCs w:val="20"/>
                <w:lang w:val="es-ES"/>
              </w:rPr>
              <w:t>fiscal</w:t>
            </w:r>
          </w:p>
        </w:tc>
      </w:tr>
      <w:tr w:rsidR="00206423" w:rsidRPr="00CD669B" w14:paraId="5CFFBB97" w14:textId="77777777" w:rsidTr="000C6DCC">
        <w:trPr>
          <w:trHeight w:val="3312"/>
        </w:trPr>
        <w:tc>
          <w:tcPr>
            <w:tcW w:w="624" w:type="pct"/>
          </w:tcPr>
          <w:p w14:paraId="51DF2501" w14:textId="77777777" w:rsidR="00206423" w:rsidRPr="00206423" w:rsidRDefault="00206423" w:rsidP="00206423">
            <w:pPr>
              <w:spacing w:before="20" w:after="40"/>
              <w:ind w:left="-30" w:right="-105"/>
              <w:rPr>
                <w:rFonts w:ascii="Arial" w:hAnsi="Arial" w:cs="Arial"/>
                <w:sz w:val="20"/>
                <w:szCs w:val="20"/>
                <w:lang w:val="es-ES_tradnl"/>
              </w:rPr>
            </w:pPr>
            <w:r w:rsidRPr="00206423">
              <w:rPr>
                <w:rFonts w:ascii="Arial" w:hAnsi="Arial" w:cs="Arial"/>
                <w:sz w:val="20"/>
                <w:szCs w:val="20"/>
                <w:lang w:val="es-ES_tradnl"/>
              </w:rPr>
              <w:t>Consolidar el marco de responsabilidad fiscal</w:t>
            </w:r>
          </w:p>
        </w:tc>
        <w:tc>
          <w:tcPr>
            <w:tcW w:w="1020" w:type="pct"/>
          </w:tcPr>
          <w:p w14:paraId="7CD2A33A" w14:textId="66A187DB" w:rsidR="00206423" w:rsidRPr="00206423" w:rsidRDefault="00206423" w:rsidP="00206423">
            <w:pPr>
              <w:pStyle w:val="ListParagraph"/>
              <w:numPr>
                <w:ilvl w:val="0"/>
                <w:numId w:val="23"/>
              </w:numPr>
              <w:spacing w:before="20" w:after="40"/>
              <w:ind w:left="297"/>
              <w:contextualSpacing w:val="0"/>
              <w:rPr>
                <w:rFonts w:ascii="Arial" w:hAnsi="Arial" w:cs="Arial"/>
                <w:sz w:val="20"/>
                <w:szCs w:val="20"/>
                <w:lang w:val="es-ES_tradnl"/>
              </w:rPr>
            </w:pPr>
            <w:r w:rsidRPr="00206423">
              <w:rPr>
                <w:rFonts w:ascii="Arial" w:hAnsi="Arial" w:cs="Arial"/>
                <w:sz w:val="20"/>
                <w:szCs w:val="20"/>
                <w:lang w:val="es-ES_tradnl"/>
              </w:rPr>
              <w:t xml:space="preserve">Fortalecimiento de la sostenibilidad fiscal que contemple, entre otros: </w:t>
            </w:r>
          </w:p>
          <w:p w14:paraId="09539DF0" w14:textId="40AC4D49" w:rsidR="00206423" w:rsidRPr="00206423" w:rsidRDefault="00206423" w:rsidP="00206423">
            <w:pPr>
              <w:pStyle w:val="ListParagraph"/>
              <w:numPr>
                <w:ilvl w:val="5"/>
                <w:numId w:val="23"/>
              </w:numPr>
              <w:spacing w:before="20" w:after="40"/>
              <w:ind w:left="297"/>
              <w:contextualSpacing w:val="0"/>
              <w:rPr>
                <w:rFonts w:ascii="Arial" w:hAnsi="Arial" w:cs="Arial"/>
                <w:sz w:val="20"/>
                <w:szCs w:val="20"/>
                <w:lang w:val="es-ES_tradnl"/>
              </w:rPr>
            </w:pPr>
            <w:r>
              <w:rPr>
                <w:rFonts w:ascii="Arial" w:hAnsi="Arial" w:cs="Arial"/>
                <w:sz w:val="20"/>
                <w:szCs w:val="20"/>
                <w:lang w:val="es-ES_tradnl"/>
              </w:rPr>
              <w:t>L</w:t>
            </w:r>
            <w:r w:rsidRPr="00206423">
              <w:rPr>
                <w:rFonts w:ascii="Arial" w:hAnsi="Arial" w:cs="Arial"/>
                <w:sz w:val="20"/>
                <w:szCs w:val="20"/>
                <w:lang w:val="es-ES_tradnl"/>
              </w:rPr>
              <w:t>a reglamentación al funcionamiento del Consejo Fiscal Asesor (CFA) del Ministerio de Hacienda (MH) creado mediante Decreto No. 6498, para mejorar la transparencia y el análisis técnico de la aplicación de la regla fiscal y las proyecciones macro fiscales incluidas en el marco fiscal de mediano plazo (MFMP)</w:t>
            </w:r>
            <w:r>
              <w:rPr>
                <w:rFonts w:ascii="Arial" w:hAnsi="Arial" w:cs="Arial"/>
                <w:sz w:val="20"/>
                <w:szCs w:val="20"/>
                <w:lang w:val="es-ES_tradnl"/>
              </w:rPr>
              <w:t>.</w:t>
            </w:r>
          </w:p>
        </w:tc>
        <w:tc>
          <w:tcPr>
            <w:tcW w:w="856" w:type="pct"/>
          </w:tcPr>
          <w:p w14:paraId="55FB0D53" w14:textId="16C8E599" w:rsidR="00206423" w:rsidRPr="00206423" w:rsidRDefault="00206423" w:rsidP="00206423">
            <w:pPr>
              <w:pStyle w:val="ListParagraph"/>
              <w:numPr>
                <w:ilvl w:val="0"/>
                <w:numId w:val="3"/>
              </w:numPr>
              <w:spacing w:before="20" w:after="40"/>
              <w:ind w:left="293"/>
              <w:contextualSpacing w:val="0"/>
              <w:rPr>
                <w:rFonts w:ascii="Arial" w:hAnsi="Arial" w:cs="Arial"/>
                <w:sz w:val="20"/>
                <w:szCs w:val="20"/>
                <w:lang w:val="es-ES_tradnl"/>
              </w:rPr>
            </w:pPr>
            <w:r w:rsidRPr="00206423">
              <w:rPr>
                <w:rFonts w:ascii="Arial" w:hAnsi="Arial" w:cs="Arial"/>
                <w:sz w:val="20"/>
                <w:szCs w:val="20"/>
                <w:lang w:val="es-ES_tradnl"/>
              </w:rPr>
              <w:t>(i) Reglamento sobre el funcionamiento del Consejo Fiscal Asesor del MH creado mediante Decreto No.</w:t>
            </w:r>
            <w:r w:rsidRPr="00206423">
              <w:rPr>
                <w:rFonts w:ascii="Arial" w:hAnsi="Arial" w:cs="Arial"/>
                <w:sz w:val="20"/>
                <w:szCs w:val="20"/>
                <w:lang w:val="es-ES_tradnl"/>
              </w:rPr>
              <w:t> 6498.</w:t>
            </w:r>
          </w:p>
          <w:p w14:paraId="7EDCA35A" w14:textId="7643BE39" w:rsidR="00206423" w:rsidRPr="00206423" w:rsidRDefault="00206423" w:rsidP="00206423">
            <w:pPr>
              <w:spacing w:before="20" w:after="40"/>
              <w:ind w:left="293" w:firstLine="8"/>
              <w:rPr>
                <w:rFonts w:ascii="Arial" w:hAnsi="Arial" w:cs="Arial"/>
                <w:sz w:val="20"/>
                <w:szCs w:val="20"/>
                <w:lang w:val="es-ES_tradnl"/>
              </w:rPr>
            </w:pPr>
          </w:p>
        </w:tc>
        <w:tc>
          <w:tcPr>
            <w:tcW w:w="789" w:type="pct"/>
          </w:tcPr>
          <w:p w14:paraId="5ABA11B3" w14:textId="5693196A" w:rsidR="00206423" w:rsidRPr="00206423" w:rsidRDefault="00206423" w:rsidP="00206423">
            <w:pPr>
              <w:spacing w:before="20" w:after="40"/>
              <w:ind w:left="-120" w:right="-60"/>
              <w:jc w:val="center"/>
              <w:rPr>
                <w:rFonts w:ascii="Arial" w:hAnsi="Arial" w:cs="Arial"/>
                <w:sz w:val="20"/>
                <w:szCs w:val="20"/>
                <w:lang w:val="es-AR"/>
              </w:rPr>
            </w:pPr>
            <w:r w:rsidRPr="00206423">
              <w:rPr>
                <w:rFonts w:ascii="Arial" w:hAnsi="Arial" w:cs="Arial"/>
                <w:sz w:val="20"/>
                <w:szCs w:val="20"/>
                <w:lang w:val="es-AR"/>
              </w:rPr>
              <w:t>Por cumplir</w:t>
            </w:r>
            <w:r w:rsidR="00EB4325">
              <w:rPr>
                <w:rFonts w:ascii="Arial" w:hAnsi="Arial" w:cs="Arial"/>
                <w:sz w:val="20"/>
                <w:szCs w:val="20"/>
                <w:lang w:val="es-AR"/>
              </w:rPr>
              <w:t xml:space="preserve"> (IV</w:t>
            </w:r>
            <w:r w:rsidR="002C5DB3">
              <w:rPr>
                <w:rFonts w:ascii="Arial" w:hAnsi="Arial" w:cs="Arial"/>
                <w:sz w:val="20"/>
                <w:szCs w:val="20"/>
                <w:lang w:val="es-AR"/>
              </w:rPr>
              <w:t xml:space="preserve"> Trime</w:t>
            </w:r>
            <w:bookmarkStart w:id="0" w:name="_GoBack"/>
            <w:bookmarkEnd w:id="0"/>
            <w:r w:rsidR="002C5DB3">
              <w:rPr>
                <w:rFonts w:ascii="Arial" w:hAnsi="Arial" w:cs="Arial"/>
                <w:sz w:val="20"/>
                <w:szCs w:val="20"/>
                <w:lang w:val="es-AR"/>
              </w:rPr>
              <w:t>stre</w:t>
            </w:r>
            <w:r w:rsidR="00EB4325">
              <w:rPr>
                <w:rFonts w:ascii="Arial" w:hAnsi="Arial" w:cs="Arial"/>
                <w:sz w:val="20"/>
                <w:szCs w:val="20"/>
                <w:lang w:val="es-AR"/>
              </w:rPr>
              <w:t>/2019)</w:t>
            </w:r>
          </w:p>
        </w:tc>
        <w:tc>
          <w:tcPr>
            <w:tcW w:w="889" w:type="pct"/>
          </w:tcPr>
          <w:p w14:paraId="6F983EAC" w14:textId="77777777" w:rsidR="00206423" w:rsidRPr="00206423" w:rsidRDefault="00206423" w:rsidP="00206423">
            <w:pPr>
              <w:pStyle w:val="ListParagraph"/>
              <w:numPr>
                <w:ilvl w:val="0"/>
                <w:numId w:val="2"/>
              </w:numPr>
              <w:spacing w:before="20" w:after="40"/>
              <w:ind w:left="293"/>
              <w:contextualSpacing w:val="0"/>
              <w:rPr>
                <w:rFonts w:ascii="Arial" w:hAnsi="Arial" w:cs="Arial"/>
                <w:sz w:val="20"/>
                <w:szCs w:val="20"/>
                <w:lang w:val="es-ES_tradnl"/>
              </w:rPr>
            </w:pPr>
            <w:r w:rsidRPr="00206423">
              <w:rPr>
                <w:rFonts w:ascii="Arial" w:hAnsi="Arial" w:cs="Arial"/>
                <w:sz w:val="20"/>
                <w:szCs w:val="20"/>
                <w:lang w:val="es-ES_tradnl"/>
              </w:rPr>
              <w:t xml:space="preserve">Fortalecimiento de la sostenibilidad fiscal que contemple, entre otros: </w:t>
            </w:r>
          </w:p>
          <w:p w14:paraId="1E51A136" w14:textId="38FA39CD" w:rsidR="00206423" w:rsidRPr="00206423" w:rsidRDefault="00206423" w:rsidP="00206423">
            <w:pPr>
              <w:spacing w:before="20" w:after="40"/>
              <w:ind w:left="293" w:hanging="360"/>
              <w:rPr>
                <w:rFonts w:ascii="Arial" w:hAnsi="Arial" w:cs="Arial"/>
                <w:sz w:val="20"/>
                <w:szCs w:val="20"/>
                <w:lang w:val="es-ES_tradnl"/>
              </w:rPr>
            </w:pPr>
            <w:r w:rsidRPr="00206423">
              <w:rPr>
                <w:rFonts w:ascii="Arial" w:hAnsi="Arial" w:cs="Arial"/>
                <w:sz w:val="20"/>
                <w:szCs w:val="20"/>
                <w:lang w:val="es-ES_tradnl"/>
              </w:rPr>
              <w:t xml:space="preserve">(i)   </w:t>
            </w:r>
            <w:r>
              <w:rPr>
                <w:rFonts w:ascii="Arial" w:hAnsi="Arial" w:cs="Arial"/>
                <w:sz w:val="20"/>
                <w:szCs w:val="20"/>
                <w:lang w:val="es-ES_tradnl"/>
              </w:rPr>
              <w:t>F</w:t>
            </w:r>
            <w:r w:rsidRPr="00206423">
              <w:rPr>
                <w:rFonts w:ascii="Arial" w:hAnsi="Arial" w:cs="Arial"/>
                <w:sz w:val="20"/>
                <w:szCs w:val="20"/>
                <w:lang w:val="es-ES_tradnl"/>
              </w:rPr>
              <w:t xml:space="preserve">ormulación de un MFMP en el Presupuesto General de la Nación (PGN) con mayor alineamiento con buenas prácticas internacionales y recomendaciones del CFA. </w:t>
            </w:r>
          </w:p>
        </w:tc>
        <w:tc>
          <w:tcPr>
            <w:tcW w:w="822" w:type="pct"/>
            <w:tcBorders>
              <w:top w:val="single" w:sz="4" w:space="0" w:color="auto"/>
            </w:tcBorders>
          </w:tcPr>
          <w:p w14:paraId="7173AD9A" w14:textId="03321F56" w:rsidR="00206423" w:rsidRPr="00206423" w:rsidRDefault="00206423" w:rsidP="00206423">
            <w:pPr>
              <w:pStyle w:val="ListParagraph"/>
              <w:numPr>
                <w:ilvl w:val="0"/>
                <w:numId w:val="4"/>
              </w:numPr>
              <w:spacing w:before="20" w:after="40"/>
              <w:ind w:left="293"/>
              <w:contextualSpacing w:val="0"/>
              <w:rPr>
                <w:rFonts w:ascii="Arial" w:hAnsi="Arial" w:cs="Arial"/>
                <w:sz w:val="20"/>
                <w:szCs w:val="20"/>
                <w:lang w:val="es-ES_tradnl"/>
              </w:rPr>
            </w:pPr>
            <w:r w:rsidRPr="00206423">
              <w:rPr>
                <w:rFonts w:ascii="Arial" w:hAnsi="Arial" w:cs="Arial"/>
                <w:sz w:val="20"/>
                <w:szCs w:val="20"/>
                <w:lang w:val="es-ES_tradnl"/>
              </w:rPr>
              <w:t xml:space="preserve">(i) Copia de la Ley que aprueba el PGN. </w:t>
            </w:r>
          </w:p>
          <w:p w14:paraId="7DD7DB29" w14:textId="2B4BA583" w:rsidR="00206423" w:rsidRPr="00206423" w:rsidRDefault="00206423" w:rsidP="00206423">
            <w:pPr>
              <w:pStyle w:val="ListParagraph"/>
              <w:spacing w:before="20" w:after="40"/>
              <w:ind w:left="241"/>
              <w:contextualSpacing w:val="0"/>
              <w:rPr>
                <w:rFonts w:ascii="Arial" w:hAnsi="Arial" w:cs="Arial"/>
                <w:sz w:val="20"/>
                <w:szCs w:val="20"/>
                <w:lang w:val="es-ES_tradnl"/>
              </w:rPr>
            </w:pPr>
          </w:p>
        </w:tc>
      </w:tr>
      <w:tr w:rsidR="00206423" w:rsidRPr="00CD669B" w14:paraId="7C0C5153" w14:textId="77777777" w:rsidTr="000C6DCC">
        <w:trPr>
          <w:trHeight w:val="2304"/>
        </w:trPr>
        <w:tc>
          <w:tcPr>
            <w:tcW w:w="624" w:type="pct"/>
          </w:tcPr>
          <w:p w14:paraId="7F58921E" w14:textId="48E917CD" w:rsidR="00206423" w:rsidRPr="00206423" w:rsidRDefault="00206423" w:rsidP="00206423">
            <w:pPr>
              <w:spacing w:before="20" w:after="40"/>
              <w:ind w:left="-30" w:right="-105"/>
              <w:rPr>
                <w:rFonts w:ascii="Arial" w:hAnsi="Arial" w:cs="Arial"/>
                <w:sz w:val="20"/>
                <w:szCs w:val="20"/>
                <w:lang w:val="es-ES_tradnl"/>
              </w:rPr>
            </w:pPr>
          </w:p>
        </w:tc>
        <w:tc>
          <w:tcPr>
            <w:tcW w:w="1020" w:type="pct"/>
          </w:tcPr>
          <w:p w14:paraId="03EA8C67" w14:textId="143ECC13" w:rsidR="00206423" w:rsidRPr="00206423" w:rsidRDefault="00206423" w:rsidP="00206423">
            <w:pPr>
              <w:pStyle w:val="ListParagraph"/>
              <w:numPr>
                <w:ilvl w:val="5"/>
                <w:numId w:val="3"/>
              </w:numPr>
              <w:spacing w:before="20" w:after="40"/>
              <w:ind w:left="297"/>
              <w:contextualSpacing w:val="0"/>
              <w:rPr>
                <w:rFonts w:ascii="Arial" w:hAnsi="Arial" w:cs="Arial"/>
                <w:sz w:val="20"/>
                <w:szCs w:val="20"/>
                <w:lang w:val="es-ES_tradnl"/>
              </w:rPr>
            </w:pPr>
            <w:r>
              <w:rPr>
                <w:rFonts w:ascii="Arial" w:hAnsi="Arial" w:cs="Arial"/>
                <w:sz w:val="20"/>
                <w:szCs w:val="20"/>
                <w:lang w:val="es-ES_tradnl"/>
              </w:rPr>
              <w:t>E</w:t>
            </w:r>
            <w:r w:rsidRPr="00206423">
              <w:rPr>
                <w:rFonts w:ascii="Arial" w:hAnsi="Arial" w:cs="Arial"/>
                <w:sz w:val="20"/>
                <w:szCs w:val="20"/>
                <w:lang w:val="es-ES_tradnl"/>
              </w:rPr>
              <w:t>l diseño normativo de un fondo soberano de estabilización (FSE) alineado con buenas prácticas internacionales para reducir el efecto de la volatilidad de los ingresos en el gasto y favorecer la aplicación de políticas contra cíclicas.</w:t>
            </w:r>
          </w:p>
        </w:tc>
        <w:tc>
          <w:tcPr>
            <w:tcW w:w="856" w:type="pct"/>
            <w:tcBorders>
              <w:bottom w:val="single" w:sz="4" w:space="0" w:color="auto"/>
            </w:tcBorders>
          </w:tcPr>
          <w:p w14:paraId="5818F680" w14:textId="1FE59050" w:rsidR="00206423" w:rsidRPr="00206423" w:rsidRDefault="00206423" w:rsidP="00206423">
            <w:pPr>
              <w:spacing w:before="20" w:after="40"/>
              <w:rPr>
                <w:rFonts w:ascii="Arial" w:hAnsi="Arial" w:cs="Arial"/>
                <w:sz w:val="20"/>
                <w:szCs w:val="20"/>
                <w:lang w:val="es-ES_tradnl"/>
              </w:rPr>
            </w:pPr>
            <w:r w:rsidRPr="00206423">
              <w:rPr>
                <w:rFonts w:ascii="Arial" w:hAnsi="Arial" w:cs="Arial"/>
                <w:sz w:val="20"/>
                <w:szCs w:val="20"/>
                <w:lang w:val="es-ES_tradnl"/>
              </w:rPr>
              <w:t>(</w:t>
            </w:r>
            <w:proofErr w:type="spellStart"/>
            <w:r w:rsidRPr="00206423">
              <w:rPr>
                <w:rFonts w:ascii="Arial" w:hAnsi="Arial" w:cs="Arial"/>
                <w:sz w:val="20"/>
                <w:szCs w:val="20"/>
                <w:lang w:val="es-ES_tradnl"/>
              </w:rPr>
              <w:t>ii</w:t>
            </w:r>
            <w:proofErr w:type="spellEnd"/>
            <w:r w:rsidRPr="00206423">
              <w:rPr>
                <w:rFonts w:ascii="Arial" w:hAnsi="Arial" w:cs="Arial"/>
                <w:sz w:val="20"/>
                <w:szCs w:val="20"/>
                <w:lang w:val="es-ES_tradnl"/>
              </w:rPr>
              <w:t>) Nota del MH adjuntando copia de la propuesta de diseño normativo de un fondo de estabilización alineado con buenas prácticas internacionales para reducir el efecto de la volatilidad de los ingresos en el gasto y favorecer la aplicación de políticas contra cíclicas.</w:t>
            </w:r>
          </w:p>
        </w:tc>
        <w:tc>
          <w:tcPr>
            <w:tcW w:w="789" w:type="pct"/>
            <w:tcBorders>
              <w:bottom w:val="single" w:sz="4" w:space="0" w:color="auto"/>
            </w:tcBorders>
          </w:tcPr>
          <w:p w14:paraId="4FD8FD80" w14:textId="7F6BDE26" w:rsidR="00206423" w:rsidRPr="00206423" w:rsidRDefault="00206423" w:rsidP="00206423">
            <w:pPr>
              <w:spacing w:before="20" w:after="40"/>
              <w:ind w:left="-120" w:right="-60"/>
              <w:jc w:val="center"/>
              <w:rPr>
                <w:rFonts w:ascii="Arial" w:hAnsi="Arial" w:cs="Arial"/>
                <w:sz w:val="20"/>
                <w:szCs w:val="20"/>
                <w:lang w:val="es-AR"/>
              </w:rPr>
            </w:pPr>
            <w:r w:rsidRPr="00206423">
              <w:rPr>
                <w:rFonts w:ascii="Arial" w:hAnsi="Arial" w:cs="Arial"/>
                <w:sz w:val="20"/>
                <w:szCs w:val="20"/>
                <w:lang w:val="es-AR"/>
              </w:rPr>
              <w:t>Por cumplir</w:t>
            </w:r>
            <w:r w:rsidR="00EB4325">
              <w:rPr>
                <w:rFonts w:ascii="Arial" w:hAnsi="Arial" w:cs="Arial"/>
                <w:sz w:val="20"/>
                <w:szCs w:val="20"/>
                <w:lang w:val="es-AR"/>
              </w:rPr>
              <w:t xml:space="preserve"> (IV</w:t>
            </w:r>
            <w:r w:rsidR="002C5DB3">
              <w:rPr>
                <w:rFonts w:ascii="Arial" w:hAnsi="Arial" w:cs="Arial"/>
                <w:sz w:val="20"/>
                <w:szCs w:val="20"/>
                <w:lang w:val="es-AR"/>
              </w:rPr>
              <w:t xml:space="preserve"> Trimestre</w:t>
            </w:r>
            <w:r w:rsidR="00EB4325">
              <w:rPr>
                <w:rFonts w:ascii="Arial" w:hAnsi="Arial" w:cs="Arial"/>
                <w:sz w:val="20"/>
                <w:szCs w:val="20"/>
                <w:lang w:val="es-AR"/>
              </w:rPr>
              <w:t>/2019)</w:t>
            </w:r>
          </w:p>
          <w:p w14:paraId="50B57759" w14:textId="77777777" w:rsidR="00206423" w:rsidRPr="00206423" w:rsidRDefault="00206423" w:rsidP="00206423">
            <w:pPr>
              <w:spacing w:before="20" w:after="40"/>
              <w:ind w:left="-120" w:right="-60"/>
              <w:jc w:val="center"/>
              <w:rPr>
                <w:rFonts w:ascii="Arial" w:hAnsi="Arial" w:cs="Arial"/>
                <w:sz w:val="20"/>
                <w:szCs w:val="20"/>
                <w:lang w:val="es-AR"/>
              </w:rPr>
            </w:pPr>
          </w:p>
        </w:tc>
        <w:tc>
          <w:tcPr>
            <w:tcW w:w="889" w:type="pct"/>
            <w:tcBorders>
              <w:bottom w:val="single" w:sz="4" w:space="0" w:color="auto"/>
            </w:tcBorders>
          </w:tcPr>
          <w:p w14:paraId="5CB06BEB" w14:textId="5F6D305F" w:rsidR="00206423" w:rsidRPr="00206423" w:rsidRDefault="00206423" w:rsidP="00206423">
            <w:pPr>
              <w:spacing w:before="20" w:after="40"/>
              <w:ind w:left="293" w:hanging="360"/>
              <w:rPr>
                <w:rFonts w:ascii="Arial" w:hAnsi="Arial" w:cs="Arial"/>
                <w:sz w:val="20"/>
                <w:szCs w:val="20"/>
                <w:lang w:val="es-ES_tradnl"/>
              </w:rPr>
            </w:pPr>
            <w:r w:rsidRPr="00206423">
              <w:rPr>
                <w:rFonts w:ascii="Arial" w:hAnsi="Arial" w:cs="Arial"/>
                <w:sz w:val="20"/>
                <w:szCs w:val="20"/>
                <w:lang w:val="es-ES_tradnl"/>
              </w:rPr>
              <w:t>(</w:t>
            </w:r>
            <w:proofErr w:type="spellStart"/>
            <w:r w:rsidRPr="00206423">
              <w:rPr>
                <w:rFonts w:ascii="Arial" w:hAnsi="Arial" w:cs="Arial"/>
                <w:sz w:val="20"/>
                <w:szCs w:val="20"/>
                <w:lang w:val="es-ES_tradnl"/>
              </w:rPr>
              <w:t>ii</w:t>
            </w:r>
            <w:proofErr w:type="spellEnd"/>
            <w:r w:rsidRPr="00206423">
              <w:rPr>
                <w:rFonts w:ascii="Arial" w:hAnsi="Arial" w:cs="Arial"/>
                <w:sz w:val="20"/>
                <w:szCs w:val="20"/>
                <w:lang w:val="es-ES_tradnl"/>
              </w:rPr>
              <w:t xml:space="preserve">)  </w:t>
            </w:r>
            <w:r>
              <w:rPr>
                <w:rFonts w:ascii="Arial" w:hAnsi="Arial" w:cs="Arial"/>
                <w:sz w:val="20"/>
                <w:szCs w:val="20"/>
                <w:lang w:val="es-ES_tradnl"/>
              </w:rPr>
              <w:t>P</w:t>
            </w:r>
            <w:r w:rsidRPr="00206423">
              <w:rPr>
                <w:rFonts w:ascii="Arial" w:hAnsi="Arial" w:cs="Arial"/>
                <w:sz w:val="20"/>
                <w:szCs w:val="20"/>
                <w:lang w:val="es-ES_tradnl"/>
              </w:rPr>
              <w:t>resentación al Congreso del proyecto de ley que contemple, entre otros, la creación de un FSE alineado con buenas prácticas internacionales para reducir el efecto de la volatilidad de los ingresos en el gasto y favorecer la aplicación de políticas contra cíclicas.</w:t>
            </w:r>
          </w:p>
        </w:tc>
        <w:tc>
          <w:tcPr>
            <w:tcW w:w="822" w:type="pct"/>
            <w:tcBorders>
              <w:bottom w:val="single" w:sz="4" w:space="0" w:color="auto"/>
            </w:tcBorders>
          </w:tcPr>
          <w:p w14:paraId="7729075C" w14:textId="10196311" w:rsidR="00206423" w:rsidRPr="00206423" w:rsidRDefault="00206423" w:rsidP="00206423">
            <w:pPr>
              <w:spacing w:before="20" w:after="40"/>
              <w:rPr>
                <w:rFonts w:ascii="Arial" w:hAnsi="Arial" w:cs="Arial"/>
                <w:sz w:val="20"/>
                <w:szCs w:val="20"/>
                <w:lang w:val="es-ES_tradnl"/>
              </w:rPr>
            </w:pPr>
            <w:r w:rsidRPr="00206423">
              <w:rPr>
                <w:rFonts w:ascii="Arial" w:hAnsi="Arial" w:cs="Arial"/>
                <w:sz w:val="20"/>
                <w:szCs w:val="20"/>
                <w:lang w:val="es-ES_tradnl"/>
              </w:rPr>
              <w:t>(</w:t>
            </w:r>
            <w:proofErr w:type="spellStart"/>
            <w:r w:rsidRPr="00206423">
              <w:rPr>
                <w:rFonts w:ascii="Arial" w:hAnsi="Arial" w:cs="Arial"/>
                <w:sz w:val="20"/>
                <w:szCs w:val="20"/>
                <w:lang w:val="es-ES_tradnl"/>
              </w:rPr>
              <w:t>ii</w:t>
            </w:r>
            <w:proofErr w:type="spellEnd"/>
            <w:r w:rsidRPr="00206423">
              <w:rPr>
                <w:rFonts w:ascii="Arial" w:hAnsi="Arial" w:cs="Arial"/>
                <w:sz w:val="20"/>
                <w:szCs w:val="20"/>
                <w:lang w:val="es-ES_tradnl"/>
              </w:rPr>
              <w:t>) Notal del MH a la cual se adjunta copia del Mensaje del Poder Ejecutivo remitiendo el proyecto de ley al Congreso, y adjuntando dicho proyecto.</w:t>
            </w:r>
          </w:p>
        </w:tc>
      </w:tr>
      <w:tr w:rsidR="008C42F7" w:rsidRPr="00CD669B" w14:paraId="704CD735" w14:textId="77777777" w:rsidTr="000C6DCC">
        <w:trPr>
          <w:trHeight w:val="20"/>
        </w:trPr>
        <w:tc>
          <w:tcPr>
            <w:tcW w:w="624" w:type="pct"/>
          </w:tcPr>
          <w:p w14:paraId="59CC67E5" w14:textId="77777777" w:rsidR="006813A8" w:rsidRPr="00206423" w:rsidRDefault="006813A8" w:rsidP="00206423">
            <w:pPr>
              <w:spacing w:before="20" w:after="40"/>
              <w:ind w:left="-30" w:right="-105"/>
              <w:rPr>
                <w:rFonts w:ascii="Arial" w:hAnsi="Arial" w:cs="Arial"/>
                <w:sz w:val="20"/>
                <w:szCs w:val="20"/>
                <w:lang w:val="es-ES_tradnl"/>
              </w:rPr>
            </w:pPr>
            <w:r w:rsidRPr="00206423">
              <w:rPr>
                <w:rFonts w:ascii="Arial" w:hAnsi="Arial" w:cs="Arial"/>
                <w:sz w:val="20"/>
                <w:szCs w:val="20"/>
                <w:lang w:val="es-ES_tradnl"/>
              </w:rPr>
              <w:t>Modernizar la administración de la deuda pública</w:t>
            </w:r>
          </w:p>
        </w:tc>
        <w:tc>
          <w:tcPr>
            <w:tcW w:w="1020" w:type="pct"/>
          </w:tcPr>
          <w:p w14:paraId="65D0303B" w14:textId="30C77FF1" w:rsidR="006813A8" w:rsidRPr="00206423" w:rsidRDefault="006813A8" w:rsidP="00206423">
            <w:pPr>
              <w:pStyle w:val="ListParagraph"/>
              <w:numPr>
                <w:ilvl w:val="0"/>
                <w:numId w:val="5"/>
              </w:numPr>
              <w:spacing w:before="20" w:after="40"/>
              <w:ind w:left="297"/>
              <w:contextualSpacing w:val="0"/>
              <w:rPr>
                <w:rFonts w:ascii="Arial" w:hAnsi="Arial" w:cs="Arial"/>
                <w:sz w:val="20"/>
                <w:szCs w:val="20"/>
                <w:lang w:val="es-ES_tradnl"/>
              </w:rPr>
            </w:pPr>
            <w:r w:rsidRPr="00206423">
              <w:rPr>
                <w:rFonts w:ascii="Arial" w:hAnsi="Arial" w:cs="Arial"/>
                <w:color w:val="000000" w:themeColor="text1"/>
                <w:sz w:val="20"/>
                <w:szCs w:val="20"/>
                <w:lang w:val="es-ES_tradnl"/>
              </w:rPr>
              <w:t xml:space="preserve">Presentación en el Congreso del proyecto de ley que permita una administración más eficiente de la deuda pública, alineada con buenas prácticas internacionales. </w:t>
            </w:r>
          </w:p>
        </w:tc>
        <w:tc>
          <w:tcPr>
            <w:tcW w:w="856" w:type="pct"/>
            <w:tcBorders>
              <w:bottom w:val="single" w:sz="4" w:space="0" w:color="auto"/>
            </w:tcBorders>
          </w:tcPr>
          <w:p w14:paraId="11BAA671" w14:textId="67DEB4EF" w:rsidR="006813A8" w:rsidRPr="00206423" w:rsidRDefault="006813A8" w:rsidP="00206423">
            <w:pPr>
              <w:pStyle w:val="ListParagraph"/>
              <w:numPr>
                <w:ilvl w:val="0"/>
                <w:numId w:val="5"/>
              </w:numPr>
              <w:spacing w:before="20" w:after="40"/>
              <w:ind w:left="293"/>
              <w:contextualSpacing w:val="0"/>
              <w:rPr>
                <w:rFonts w:ascii="Arial" w:hAnsi="Arial" w:cs="Arial"/>
                <w:sz w:val="20"/>
                <w:szCs w:val="20"/>
                <w:lang w:val="es-ES_tradnl"/>
              </w:rPr>
            </w:pPr>
            <w:r w:rsidRPr="00206423">
              <w:rPr>
                <w:rFonts w:ascii="Arial" w:hAnsi="Arial" w:cs="Arial"/>
                <w:sz w:val="20"/>
                <w:szCs w:val="20"/>
                <w:lang w:val="es-ES_tradnl"/>
              </w:rPr>
              <w:t>Nota del MH a la cual se adjunta copia del Mensaje del Poder Ejecutivo remitiendo el proyecto de ley al congreso, y adjuntando dicho proyecto.</w:t>
            </w:r>
          </w:p>
        </w:tc>
        <w:tc>
          <w:tcPr>
            <w:tcW w:w="789" w:type="pct"/>
            <w:tcBorders>
              <w:bottom w:val="nil"/>
            </w:tcBorders>
          </w:tcPr>
          <w:p w14:paraId="2770380D" w14:textId="2869513D" w:rsidR="006813A8" w:rsidRPr="00206423" w:rsidRDefault="00AE647B" w:rsidP="00206423">
            <w:pPr>
              <w:spacing w:before="20" w:after="40"/>
              <w:ind w:left="-120" w:right="-60"/>
              <w:jc w:val="center"/>
              <w:rPr>
                <w:rFonts w:ascii="Arial" w:hAnsi="Arial" w:cs="Arial"/>
                <w:sz w:val="20"/>
                <w:szCs w:val="20"/>
                <w:lang w:val="es-ES_tradnl"/>
              </w:rPr>
            </w:pPr>
            <w:r w:rsidRPr="00206423">
              <w:rPr>
                <w:rFonts w:ascii="Arial" w:hAnsi="Arial" w:cs="Arial"/>
                <w:sz w:val="20"/>
                <w:szCs w:val="20"/>
                <w:lang w:val="es-AR"/>
              </w:rPr>
              <w:t>Por</w:t>
            </w:r>
            <w:r w:rsidRPr="00206423">
              <w:rPr>
                <w:rFonts w:ascii="Arial" w:hAnsi="Arial" w:cs="Arial"/>
                <w:sz w:val="20"/>
                <w:szCs w:val="20"/>
                <w:lang w:val="es-ES_tradnl"/>
              </w:rPr>
              <w:t xml:space="preserve"> cumplir</w:t>
            </w:r>
            <w:r w:rsidR="00EB4325">
              <w:rPr>
                <w:rFonts w:ascii="Arial" w:hAnsi="Arial" w:cs="Arial"/>
                <w:sz w:val="20"/>
                <w:szCs w:val="20"/>
                <w:lang w:val="es-ES_tradnl"/>
              </w:rPr>
              <w:t xml:space="preserve"> </w:t>
            </w:r>
            <w:r w:rsidR="00EB4325">
              <w:rPr>
                <w:rFonts w:ascii="Arial" w:hAnsi="Arial" w:cs="Arial"/>
                <w:sz w:val="20"/>
                <w:szCs w:val="20"/>
                <w:lang w:val="es-AR"/>
              </w:rPr>
              <w:t>(IV</w:t>
            </w:r>
            <w:r w:rsidR="002C5DB3">
              <w:rPr>
                <w:rFonts w:ascii="Arial" w:hAnsi="Arial" w:cs="Arial"/>
                <w:sz w:val="20"/>
                <w:szCs w:val="20"/>
                <w:lang w:val="es-AR"/>
              </w:rPr>
              <w:t xml:space="preserve"> Trimestre</w:t>
            </w:r>
            <w:r w:rsidR="00EB4325">
              <w:rPr>
                <w:rFonts w:ascii="Arial" w:hAnsi="Arial" w:cs="Arial"/>
                <w:sz w:val="20"/>
                <w:szCs w:val="20"/>
                <w:lang w:val="es-AR"/>
              </w:rPr>
              <w:t>/2019)</w:t>
            </w:r>
          </w:p>
        </w:tc>
        <w:tc>
          <w:tcPr>
            <w:tcW w:w="889" w:type="pct"/>
            <w:tcBorders>
              <w:bottom w:val="nil"/>
            </w:tcBorders>
          </w:tcPr>
          <w:p w14:paraId="3AA2FC26" w14:textId="04EAF1B8" w:rsidR="006813A8" w:rsidRPr="00206423" w:rsidRDefault="006813A8" w:rsidP="00206423">
            <w:pPr>
              <w:pStyle w:val="ListParagraph"/>
              <w:numPr>
                <w:ilvl w:val="0"/>
                <w:numId w:val="6"/>
              </w:numPr>
              <w:spacing w:before="20" w:after="40"/>
              <w:ind w:left="293"/>
              <w:contextualSpacing w:val="0"/>
              <w:rPr>
                <w:rFonts w:ascii="Arial" w:hAnsi="Arial" w:cs="Arial"/>
                <w:sz w:val="20"/>
                <w:szCs w:val="20"/>
                <w:lang w:val="es-ES_tradnl"/>
              </w:rPr>
            </w:pPr>
            <w:r w:rsidRPr="00206423">
              <w:rPr>
                <w:rFonts w:ascii="Arial" w:hAnsi="Arial" w:cs="Arial"/>
                <w:color w:val="000000" w:themeColor="text1"/>
                <w:sz w:val="20"/>
                <w:szCs w:val="20"/>
                <w:lang w:val="es-ES_tradnl"/>
              </w:rPr>
              <w:t xml:space="preserve">Promulgación y publicación de la ley que permita una administración más eficiente de la deuda pública, alineada con buenas prácticas internacionales.  </w:t>
            </w:r>
          </w:p>
        </w:tc>
        <w:tc>
          <w:tcPr>
            <w:tcW w:w="822" w:type="pct"/>
            <w:tcBorders>
              <w:top w:val="single" w:sz="4" w:space="0" w:color="auto"/>
              <w:bottom w:val="nil"/>
            </w:tcBorders>
          </w:tcPr>
          <w:p w14:paraId="40900642" w14:textId="3CA254FB" w:rsidR="006813A8" w:rsidRPr="00206423" w:rsidRDefault="006813A8" w:rsidP="00206423">
            <w:pPr>
              <w:pStyle w:val="ListParagraph"/>
              <w:numPr>
                <w:ilvl w:val="0"/>
                <w:numId w:val="6"/>
              </w:numPr>
              <w:spacing w:before="20" w:after="40"/>
              <w:ind w:left="293"/>
              <w:contextualSpacing w:val="0"/>
              <w:rPr>
                <w:rFonts w:ascii="Arial" w:hAnsi="Arial" w:cs="Arial"/>
                <w:sz w:val="20"/>
                <w:szCs w:val="20"/>
                <w:lang w:val="es-ES_tradnl"/>
              </w:rPr>
            </w:pPr>
            <w:r w:rsidRPr="00206423">
              <w:rPr>
                <w:rFonts w:ascii="Arial" w:hAnsi="Arial" w:cs="Arial"/>
                <w:sz w:val="20"/>
                <w:szCs w:val="20"/>
                <w:lang w:val="es-ES_tradnl"/>
              </w:rPr>
              <w:t xml:space="preserve">Publicación en la Gaceta Oficial de la República del Paraguay de </w:t>
            </w:r>
            <w:r w:rsidRPr="00206423">
              <w:rPr>
                <w:rFonts w:ascii="Arial" w:hAnsi="Arial" w:cs="Arial"/>
                <w:color w:val="000000" w:themeColor="text1"/>
                <w:sz w:val="20"/>
                <w:szCs w:val="20"/>
                <w:lang w:val="es-ES_tradnl"/>
              </w:rPr>
              <w:t>la ley que permita una administración más eficiente de la deuda pública, alineada con buenas prácticas internacionales.</w:t>
            </w:r>
          </w:p>
        </w:tc>
      </w:tr>
      <w:tr w:rsidR="006813A8" w:rsidRPr="00CD669B" w14:paraId="5C9E411D" w14:textId="77777777" w:rsidTr="00BC5621">
        <w:trPr>
          <w:trHeight w:val="20"/>
        </w:trPr>
        <w:tc>
          <w:tcPr>
            <w:tcW w:w="5000" w:type="pct"/>
            <w:gridSpan w:val="6"/>
            <w:shd w:val="clear" w:color="auto" w:fill="B4C6E7" w:themeFill="accent1" w:themeFillTint="66"/>
          </w:tcPr>
          <w:p w14:paraId="4EE90629" w14:textId="4827BDE2" w:rsidR="006813A8" w:rsidRPr="00206423" w:rsidRDefault="006813A8" w:rsidP="00206423">
            <w:pPr>
              <w:spacing w:before="20" w:after="40"/>
              <w:ind w:left="-30" w:right="-105"/>
              <w:rPr>
                <w:rFonts w:ascii="Arial" w:hAnsi="Arial" w:cs="Arial"/>
                <w:b/>
                <w:bCs/>
                <w:kern w:val="18"/>
                <w:sz w:val="20"/>
                <w:szCs w:val="20"/>
                <w:lang w:val="es-ES"/>
              </w:rPr>
            </w:pPr>
            <w:r w:rsidRPr="00206423">
              <w:rPr>
                <w:rFonts w:ascii="Arial" w:hAnsi="Arial" w:cs="Arial"/>
                <w:b/>
                <w:bCs/>
                <w:kern w:val="18"/>
                <w:sz w:val="20"/>
                <w:szCs w:val="20"/>
                <w:lang w:val="es-ES"/>
              </w:rPr>
              <w:t>Componente III. Fortalecer la política y la gestión tributaria</w:t>
            </w:r>
          </w:p>
        </w:tc>
      </w:tr>
      <w:tr w:rsidR="008C42F7" w:rsidRPr="00CD669B" w14:paraId="01DB4C8E" w14:textId="77777777" w:rsidTr="000C6DCC">
        <w:trPr>
          <w:trHeight w:val="20"/>
        </w:trPr>
        <w:tc>
          <w:tcPr>
            <w:tcW w:w="624" w:type="pct"/>
            <w:vMerge w:val="restart"/>
          </w:tcPr>
          <w:p w14:paraId="3E34D6CB" w14:textId="37AC5DCB" w:rsidR="006813A8" w:rsidRPr="00206423" w:rsidRDefault="006813A8" w:rsidP="00206423">
            <w:pPr>
              <w:spacing w:before="20" w:after="40"/>
              <w:ind w:left="-30" w:right="-105"/>
              <w:rPr>
                <w:rFonts w:ascii="Arial" w:hAnsi="Arial" w:cs="Arial"/>
                <w:color w:val="000000" w:themeColor="text1"/>
                <w:sz w:val="20"/>
                <w:szCs w:val="20"/>
                <w:lang w:val="es-ES_tradnl"/>
              </w:rPr>
            </w:pPr>
            <w:r w:rsidRPr="00206423">
              <w:rPr>
                <w:rFonts w:ascii="Arial" w:hAnsi="Arial" w:cs="Arial"/>
                <w:color w:val="000000" w:themeColor="text1"/>
                <w:sz w:val="20"/>
                <w:szCs w:val="20"/>
                <w:lang w:val="es-ES_tradnl"/>
              </w:rPr>
              <w:t>Modernizar el sistema tributario</w:t>
            </w:r>
          </w:p>
        </w:tc>
        <w:tc>
          <w:tcPr>
            <w:tcW w:w="1020" w:type="pct"/>
          </w:tcPr>
          <w:p w14:paraId="28D272AB" w14:textId="4A001888" w:rsidR="006813A8" w:rsidRPr="00F16187" w:rsidRDefault="00F16187" w:rsidP="00F16187">
            <w:pPr>
              <w:spacing w:before="20" w:after="40"/>
              <w:ind w:left="335" w:hanging="360"/>
              <w:rPr>
                <w:rFonts w:ascii="Arial" w:hAnsi="Arial" w:cs="Arial"/>
                <w:sz w:val="20"/>
                <w:szCs w:val="20"/>
                <w:lang w:val="es-ES_tradnl"/>
              </w:rPr>
            </w:pPr>
            <w:r>
              <w:rPr>
                <w:rFonts w:ascii="Arial" w:hAnsi="Arial" w:cs="Arial"/>
                <w:color w:val="000000" w:themeColor="text1"/>
                <w:sz w:val="20"/>
                <w:szCs w:val="20"/>
                <w:lang w:val="es-ES_tradnl" w:eastAsia="es-PY"/>
              </w:rPr>
              <w:t xml:space="preserve">3.1 </w:t>
            </w:r>
            <w:r w:rsidR="006813A8" w:rsidRPr="00F16187">
              <w:rPr>
                <w:rFonts w:ascii="Arial" w:hAnsi="Arial" w:cs="Arial"/>
                <w:color w:val="000000" w:themeColor="text1"/>
                <w:sz w:val="20"/>
                <w:szCs w:val="20"/>
                <w:lang w:val="es-ES_tradnl" w:eastAsia="es-PY"/>
              </w:rPr>
              <w:t xml:space="preserve">Creación de una Comisión Técnica Económica Tributaria que defina lineamientos para una propuesta de modernización y simplificación del sistema tributario nacional. </w:t>
            </w:r>
          </w:p>
        </w:tc>
        <w:tc>
          <w:tcPr>
            <w:tcW w:w="856" w:type="pct"/>
          </w:tcPr>
          <w:p w14:paraId="0C20FABF" w14:textId="6A9714A7" w:rsidR="006813A8" w:rsidRPr="00F16187" w:rsidRDefault="00F16187" w:rsidP="00F16187">
            <w:pPr>
              <w:spacing w:before="20" w:after="40"/>
              <w:ind w:left="338" w:hanging="360"/>
              <w:rPr>
                <w:rFonts w:ascii="Arial" w:hAnsi="Arial" w:cs="Arial"/>
                <w:sz w:val="20"/>
                <w:szCs w:val="20"/>
                <w:lang w:val="es-ES_tradnl"/>
              </w:rPr>
            </w:pPr>
            <w:r>
              <w:rPr>
                <w:rFonts w:ascii="Arial" w:hAnsi="Arial" w:cs="Arial"/>
                <w:sz w:val="20"/>
                <w:szCs w:val="20"/>
                <w:lang w:val="es-ES_tradnl"/>
              </w:rPr>
              <w:t xml:space="preserve">3.1 </w:t>
            </w:r>
            <w:r w:rsidR="006813A8" w:rsidRPr="00F16187">
              <w:rPr>
                <w:rFonts w:ascii="Arial" w:hAnsi="Arial" w:cs="Arial"/>
                <w:sz w:val="20"/>
                <w:szCs w:val="20"/>
                <w:lang w:val="es-ES_tradnl"/>
              </w:rPr>
              <w:t>Resolución del MH No.</w:t>
            </w:r>
            <w:r w:rsidR="00206423" w:rsidRPr="00F16187">
              <w:rPr>
                <w:rFonts w:ascii="Arial" w:hAnsi="Arial" w:cs="Arial"/>
                <w:sz w:val="20"/>
                <w:szCs w:val="20"/>
                <w:lang w:val="es-ES_tradnl"/>
              </w:rPr>
              <w:t> </w:t>
            </w:r>
            <w:r w:rsidR="006813A8" w:rsidRPr="00F16187">
              <w:rPr>
                <w:rFonts w:ascii="Arial" w:hAnsi="Arial" w:cs="Arial"/>
                <w:sz w:val="20"/>
                <w:szCs w:val="20"/>
                <w:lang w:val="es-ES_tradnl"/>
              </w:rPr>
              <w:t xml:space="preserve">231/2018 que crea la Comisión Técnica Económica Tributaria que defina lineamientos para una propuesta de modernización y simplificación del </w:t>
            </w:r>
            <w:r w:rsidR="006813A8" w:rsidRPr="00F16187">
              <w:rPr>
                <w:rFonts w:ascii="Arial" w:hAnsi="Arial" w:cs="Arial"/>
                <w:sz w:val="20"/>
                <w:szCs w:val="20"/>
                <w:lang w:val="es-ES_tradnl"/>
              </w:rPr>
              <w:lastRenderedPageBreak/>
              <w:t>sistema tributario nacional.</w:t>
            </w:r>
          </w:p>
        </w:tc>
        <w:tc>
          <w:tcPr>
            <w:tcW w:w="789" w:type="pct"/>
          </w:tcPr>
          <w:p w14:paraId="036EA097" w14:textId="410037B0" w:rsidR="006813A8" w:rsidRPr="00206423" w:rsidRDefault="00AE647B" w:rsidP="00206423">
            <w:pPr>
              <w:spacing w:before="20" w:after="40"/>
              <w:ind w:left="-120" w:right="-60"/>
              <w:jc w:val="center"/>
              <w:rPr>
                <w:rFonts w:ascii="Arial" w:hAnsi="Arial" w:cs="Arial"/>
                <w:sz w:val="20"/>
                <w:szCs w:val="20"/>
                <w:lang w:val="es-ES_tradnl"/>
              </w:rPr>
            </w:pPr>
            <w:r w:rsidRPr="00206423">
              <w:rPr>
                <w:rFonts w:ascii="Arial" w:hAnsi="Arial" w:cs="Arial"/>
                <w:sz w:val="20"/>
                <w:szCs w:val="20"/>
                <w:lang w:val="es-ES_tradnl"/>
              </w:rPr>
              <w:lastRenderedPageBreak/>
              <w:t>Cumplid</w:t>
            </w:r>
            <w:r w:rsidR="002C5DB3">
              <w:rPr>
                <w:rFonts w:ascii="Arial" w:hAnsi="Arial" w:cs="Arial"/>
                <w:sz w:val="20"/>
                <w:szCs w:val="20"/>
                <w:lang w:val="es-ES_tradnl"/>
              </w:rPr>
              <w:t>a</w:t>
            </w:r>
          </w:p>
        </w:tc>
        <w:tc>
          <w:tcPr>
            <w:tcW w:w="889" w:type="pct"/>
          </w:tcPr>
          <w:p w14:paraId="698F4721" w14:textId="5F5CAD9E" w:rsidR="006813A8" w:rsidRPr="00206423" w:rsidRDefault="006813A8" w:rsidP="00206423">
            <w:pPr>
              <w:spacing w:before="20" w:after="40"/>
              <w:ind w:left="293" w:hanging="360"/>
              <w:rPr>
                <w:rFonts w:ascii="Arial" w:hAnsi="Arial" w:cs="Arial"/>
                <w:sz w:val="20"/>
                <w:szCs w:val="20"/>
                <w:lang w:val="es-ES_tradnl"/>
              </w:rPr>
            </w:pPr>
            <w:r w:rsidRPr="00206423">
              <w:rPr>
                <w:rFonts w:ascii="Arial" w:hAnsi="Arial" w:cs="Arial"/>
                <w:color w:val="000000" w:themeColor="text1"/>
                <w:sz w:val="20"/>
                <w:szCs w:val="20"/>
                <w:lang w:val="es-ES_tradnl"/>
              </w:rPr>
              <w:t xml:space="preserve">3.1 Presentación del proyecto de ley de modernización y simplificación del sistema tributario nacional en el Congreso a fin de fortalecer la capacidad </w:t>
            </w:r>
            <w:r w:rsidRPr="00206423">
              <w:rPr>
                <w:rFonts w:ascii="Arial" w:hAnsi="Arial" w:cs="Arial"/>
                <w:color w:val="000000" w:themeColor="text1"/>
                <w:sz w:val="20"/>
                <w:szCs w:val="20"/>
                <w:lang w:val="es-ES_tradnl"/>
              </w:rPr>
              <w:lastRenderedPageBreak/>
              <w:t>recaudatoria y mejorar su progresividad, con foco en: (i) reducir deducciones y modificar el esquema de tasas y tramos del Impuesto a la Renta de las Personas Físicas (IRPF); (</w:t>
            </w:r>
            <w:proofErr w:type="spellStart"/>
            <w:r w:rsidRPr="00206423">
              <w:rPr>
                <w:rFonts w:ascii="Arial" w:hAnsi="Arial" w:cs="Arial"/>
                <w:color w:val="000000" w:themeColor="text1"/>
                <w:sz w:val="20"/>
                <w:szCs w:val="20"/>
                <w:lang w:val="es-ES_tradnl"/>
              </w:rPr>
              <w:t>ii</w:t>
            </w:r>
            <w:proofErr w:type="spellEnd"/>
            <w:r w:rsidRPr="00206423">
              <w:rPr>
                <w:rFonts w:ascii="Arial" w:hAnsi="Arial" w:cs="Arial"/>
                <w:color w:val="000000" w:themeColor="text1"/>
                <w:sz w:val="20"/>
                <w:szCs w:val="20"/>
                <w:lang w:val="es-ES_tradnl"/>
              </w:rPr>
              <w:t>) ampliación de bienes y servicios gravados a la tasa básica del Impuesto al Valor Agregado (IVA); y (</w:t>
            </w:r>
            <w:proofErr w:type="spellStart"/>
            <w:r w:rsidRPr="00206423">
              <w:rPr>
                <w:rFonts w:ascii="Arial" w:hAnsi="Arial" w:cs="Arial"/>
                <w:color w:val="000000" w:themeColor="text1"/>
                <w:sz w:val="20"/>
                <w:szCs w:val="20"/>
                <w:lang w:val="es-ES_tradnl"/>
              </w:rPr>
              <w:t>iii</w:t>
            </w:r>
            <w:proofErr w:type="spellEnd"/>
            <w:r w:rsidRPr="00206423">
              <w:rPr>
                <w:rFonts w:ascii="Arial" w:hAnsi="Arial" w:cs="Arial"/>
                <w:color w:val="000000" w:themeColor="text1"/>
                <w:sz w:val="20"/>
                <w:szCs w:val="20"/>
                <w:lang w:val="es-ES_tradnl"/>
              </w:rPr>
              <w:t>) simplificar impuestos selectivos al consumo e incrementar tasas de productos con externalidades negativas.</w:t>
            </w:r>
          </w:p>
        </w:tc>
        <w:tc>
          <w:tcPr>
            <w:tcW w:w="822" w:type="pct"/>
          </w:tcPr>
          <w:p w14:paraId="6840326C" w14:textId="2EE385C3" w:rsidR="006813A8" w:rsidRPr="00206423" w:rsidRDefault="006813A8" w:rsidP="00206423">
            <w:pPr>
              <w:pStyle w:val="ListParagraph"/>
              <w:numPr>
                <w:ilvl w:val="0"/>
                <w:numId w:val="8"/>
              </w:numPr>
              <w:spacing w:before="20" w:after="40"/>
              <w:ind w:left="293"/>
              <w:contextualSpacing w:val="0"/>
              <w:rPr>
                <w:rFonts w:ascii="Arial" w:hAnsi="Arial" w:cs="Arial"/>
                <w:sz w:val="20"/>
                <w:szCs w:val="20"/>
                <w:lang w:val="es-ES_tradnl"/>
              </w:rPr>
            </w:pPr>
            <w:r w:rsidRPr="00206423">
              <w:rPr>
                <w:rFonts w:ascii="Arial" w:hAnsi="Arial" w:cs="Arial"/>
                <w:sz w:val="20"/>
                <w:szCs w:val="20"/>
                <w:lang w:val="es-ES_tradnl"/>
              </w:rPr>
              <w:lastRenderedPageBreak/>
              <w:t xml:space="preserve">Nota del MH a la cual se adjunta copia del Mensaje del Poder Ejecutivo remitiendo el proyecto de ley al Congreso, y adjuntando dicho proyecto. </w:t>
            </w:r>
          </w:p>
        </w:tc>
      </w:tr>
      <w:tr w:rsidR="008C42F7" w:rsidRPr="00CD669B" w14:paraId="5AC627F7" w14:textId="77777777" w:rsidTr="000C6DCC">
        <w:trPr>
          <w:trHeight w:val="20"/>
        </w:trPr>
        <w:tc>
          <w:tcPr>
            <w:tcW w:w="624" w:type="pct"/>
            <w:vMerge/>
          </w:tcPr>
          <w:p w14:paraId="5514859A" w14:textId="77777777" w:rsidR="006813A8" w:rsidRPr="00206423" w:rsidRDefault="006813A8" w:rsidP="00206423">
            <w:pPr>
              <w:spacing w:before="20" w:after="40"/>
              <w:ind w:left="-30" w:right="-105"/>
              <w:rPr>
                <w:rFonts w:ascii="Arial" w:hAnsi="Arial" w:cs="Arial"/>
                <w:sz w:val="20"/>
                <w:szCs w:val="20"/>
                <w:lang w:val="es-ES_tradnl"/>
              </w:rPr>
            </w:pPr>
          </w:p>
        </w:tc>
        <w:tc>
          <w:tcPr>
            <w:tcW w:w="1020" w:type="pct"/>
          </w:tcPr>
          <w:p w14:paraId="26FD2C40" w14:textId="4181A676" w:rsidR="006813A8" w:rsidRPr="00F16187" w:rsidRDefault="00F16187" w:rsidP="00F16187">
            <w:pPr>
              <w:spacing w:before="20" w:after="40"/>
              <w:ind w:left="335" w:hanging="360"/>
              <w:rPr>
                <w:rFonts w:ascii="Arial" w:hAnsi="Arial" w:cs="Arial"/>
                <w:sz w:val="20"/>
                <w:szCs w:val="20"/>
                <w:lang w:val="es-ES_tradnl"/>
              </w:rPr>
            </w:pPr>
            <w:r>
              <w:rPr>
                <w:rFonts w:ascii="Arial" w:hAnsi="Arial" w:cs="Arial"/>
                <w:color w:val="000000" w:themeColor="text1"/>
                <w:sz w:val="20"/>
                <w:szCs w:val="20"/>
                <w:lang w:val="es-ES_tradnl" w:eastAsia="es-PY"/>
              </w:rPr>
              <w:t xml:space="preserve">3.2 </w:t>
            </w:r>
            <w:r w:rsidR="006813A8" w:rsidRPr="00F16187">
              <w:rPr>
                <w:rFonts w:ascii="Arial" w:hAnsi="Arial" w:cs="Arial"/>
                <w:color w:val="000000" w:themeColor="text1"/>
                <w:sz w:val="20"/>
                <w:szCs w:val="20"/>
                <w:lang w:val="es-ES_tradnl" w:eastAsia="es-PY"/>
              </w:rPr>
              <w:t xml:space="preserve">Creación y puesta en marcha del Sistema Integrado de Facturación Electrónica Nacional (SIFEN) a través del cual se emitirán y recibirán electrónicamente los comprobantes de ventas y documentos complementarios, comprobantes de retención y notas de remisión, y otros </w:t>
            </w:r>
            <w:r w:rsidR="006813A8" w:rsidRPr="00F16187">
              <w:rPr>
                <w:rFonts w:ascii="Arial" w:hAnsi="Arial" w:cs="Arial"/>
                <w:color w:val="000000" w:themeColor="text1"/>
                <w:sz w:val="20"/>
                <w:szCs w:val="20"/>
                <w:lang w:val="es-ES_tradnl" w:eastAsia="es-PY"/>
              </w:rPr>
              <w:lastRenderedPageBreak/>
              <w:t xml:space="preserve">documentos con incidencia tributaria que por su naturaleza puedan emitirse por vía electrónica. </w:t>
            </w:r>
          </w:p>
        </w:tc>
        <w:tc>
          <w:tcPr>
            <w:tcW w:w="856" w:type="pct"/>
            <w:tcBorders>
              <w:bottom w:val="single" w:sz="4" w:space="0" w:color="auto"/>
            </w:tcBorders>
          </w:tcPr>
          <w:p w14:paraId="0F56509F" w14:textId="74E87CE6" w:rsidR="006813A8" w:rsidRPr="00F16187" w:rsidRDefault="00F16187" w:rsidP="00F16187">
            <w:pPr>
              <w:spacing w:before="20" w:after="40"/>
              <w:ind w:left="338" w:hanging="360"/>
              <w:rPr>
                <w:rFonts w:ascii="Arial" w:hAnsi="Arial" w:cs="Arial"/>
                <w:color w:val="000000" w:themeColor="text1"/>
                <w:sz w:val="20"/>
                <w:szCs w:val="20"/>
                <w:lang w:val="es-ES_tradnl" w:eastAsia="es-PY"/>
              </w:rPr>
            </w:pPr>
            <w:r>
              <w:rPr>
                <w:rFonts w:ascii="Arial" w:hAnsi="Arial" w:cs="Arial"/>
                <w:sz w:val="20"/>
                <w:szCs w:val="20"/>
                <w:lang w:val="es-ES_tradnl"/>
              </w:rPr>
              <w:lastRenderedPageBreak/>
              <w:t xml:space="preserve">3.2 </w:t>
            </w:r>
            <w:r w:rsidR="006813A8" w:rsidRPr="00F16187">
              <w:rPr>
                <w:rFonts w:ascii="Arial" w:hAnsi="Arial" w:cs="Arial"/>
                <w:sz w:val="20"/>
                <w:szCs w:val="20"/>
                <w:lang w:val="es-ES_tradnl"/>
              </w:rPr>
              <w:t xml:space="preserve">Publicación en la Gaceta Oficial de la República del Paraguay del Decreto No. 7795, creando el SIFEN y </w:t>
            </w:r>
            <w:r w:rsidR="006813A8" w:rsidRPr="00F16187">
              <w:rPr>
                <w:rFonts w:ascii="Arial" w:hAnsi="Arial" w:cs="Arial"/>
                <w:color w:val="000000" w:themeColor="text1"/>
                <w:sz w:val="20"/>
                <w:szCs w:val="20"/>
                <w:lang w:val="es-ES_tradnl" w:eastAsia="es-PY"/>
              </w:rPr>
              <w:t xml:space="preserve">copia de la Resolución General 124 del MH, por la cual se designan las empresas participantes del plan piloto de </w:t>
            </w:r>
            <w:r w:rsidR="006813A8" w:rsidRPr="00F16187">
              <w:rPr>
                <w:rFonts w:ascii="Arial" w:hAnsi="Arial" w:cs="Arial"/>
                <w:color w:val="000000" w:themeColor="text1"/>
                <w:sz w:val="20"/>
                <w:szCs w:val="20"/>
                <w:lang w:val="es-ES_tradnl" w:eastAsia="es-PY"/>
              </w:rPr>
              <w:lastRenderedPageBreak/>
              <w:t>Implementación del SIFEN.</w:t>
            </w:r>
          </w:p>
        </w:tc>
        <w:tc>
          <w:tcPr>
            <w:tcW w:w="789" w:type="pct"/>
          </w:tcPr>
          <w:p w14:paraId="76063428" w14:textId="40653FCB" w:rsidR="006813A8" w:rsidRPr="00206423" w:rsidRDefault="00AE647B" w:rsidP="00206423">
            <w:pPr>
              <w:spacing w:before="20" w:after="40"/>
              <w:ind w:left="-120" w:right="-60"/>
              <w:jc w:val="center"/>
              <w:rPr>
                <w:rFonts w:ascii="Arial" w:hAnsi="Arial" w:cs="Arial"/>
                <w:color w:val="000000" w:themeColor="text1"/>
                <w:sz w:val="20"/>
                <w:szCs w:val="20"/>
                <w:lang w:val="es-ES_tradnl" w:eastAsia="es-PY"/>
              </w:rPr>
            </w:pPr>
            <w:r w:rsidRPr="00206423">
              <w:rPr>
                <w:rFonts w:ascii="Arial" w:hAnsi="Arial" w:cs="Arial"/>
                <w:color w:val="000000" w:themeColor="text1"/>
                <w:sz w:val="20"/>
                <w:szCs w:val="20"/>
                <w:lang w:val="es-ES_tradnl" w:eastAsia="es-PY"/>
              </w:rPr>
              <w:lastRenderedPageBreak/>
              <w:t>Cumplid</w:t>
            </w:r>
            <w:r w:rsidR="002C5DB3">
              <w:rPr>
                <w:rFonts w:ascii="Arial" w:hAnsi="Arial" w:cs="Arial"/>
                <w:color w:val="000000" w:themeColor="text1"/>
                <w:sz w:val="20"/>
                <w:szCs w:val="20"/>
                <w:lang w:val="es-ES_tradnl" w:eastAsia="es-PY"/>
              </w:rPr>
              <w:t>a</w:t>
            </w:r>
            <w:r w:rsidR="00EB4325">
              <w:rPr>
                <w:rFonts w:ascii="Arial" w:hAnsi="Arial" w:cs="Arial"/>
                <w:color w:val="000000" w:themeColor="text1"/>
                <w:sz w:val="20"/>
                <w:szCs w:val="20"/>
                <w:lang w:val="es-ES_tradnl" w:eastAsia="es-PY"/>
              </w:rPr>
              <w:t xml:space="preserve"> </w:t>
            </w:r>
          </w:p>
        </w:tc>
        <w:tc>
          <w:tcPr>
            <w:tcW w:w="889" w:type="pct"/>
          </w:tcPr>
          <w:p w14:paraId="3A07AE26" w14:textId="53401462" w:rsidR="006813A8" w:rsidRPr="00206423" w:rsidRDefault="006813A8" w:rsidP="00206423">
            <w:pPr>
              <w:spacing w:before="20" w:after="40"/>
              <w:ind w:left="293" w:hanging="360"/>
              <w:rPr>
                <w:rFonts w:ascii="Arial" w:hAnsi="Arial" w:cs="Arial"/>
                <w:color w:val="000000" w:themeColor="text1"/>
                <w:sz w:val="20"/>
                <w:szCs w:val="20"/>
                <w:lang w:val="es-ES_tradnl" w:eastAsia="es-PY"/>
              </w:rPr>
            </w:pPr>
            <w:r w:rsidRPr="00206423">
              <w:rPr>
                <w:rFonts w:ascii="Arial" w:hAnsi="Arial" w:cs="Arial"/>
                <w:color w:val="000000" w:themeColor="text1"/>
                <w:sz w:val="20"/>
                <w:szCs w:val="20"/>
                <w:lang w:val="es-ES_tradnl" w:eastAsia="es-PY"/>
              </w:rPr>
              <w:t xml:space="preserve">3.2 Reglamentación del Decreto No. 7795 de puesta en marcha del SIFEN, emitido por la Subsecretaría de Estado de Tributación (SET). </w:t>
            </w:r>
          </w:p>
        </w:tc>
        <w:tc>
          <w:tcPr>
            <w:tcW w:w="822" w:type="pct"/>
          </w:tcPr>
          <w:p w14:paraId="7D5FAEE9" w14:textId="38A8AD28" w:rsidR="006813A8" w:rsidRPr="00206423" w:rsidRDefault="006813A8" w:rsidP="00206423">
            <w:pPr>
              <w:pStyle w:val="ListParagraph"/>
              <w:numPr>
                <w:ilvl w:val="0"/>
                <w:numId w:val="10"/>
              </w:numPr>
              <w:spacing w:before="20" w:after="40"/>
              <w:ind w:left="293"/>
              <w:contextualSpacing w:val="0"/>
              <w:rPr>
                <w:rFonts w:ascii="Arial" w:hAnsi="Arial" w:cs="Arial"/>
                <w:color w:val="000000" w:themeColor="text1"/>
                <w:sz w:val="20"/>
                <w:szCs w:val="20"/>
                <w:lang w:val="es-ES_tradnl" w:eastAsia="es-PY"/>
              </w:rPr>
            </w:pPr>
            <w:r w:rsidRPr="00206423">
              <w:rPr>
                <w:rFonts w:ascii="Arial" w:hAnsi="Arial" w:cs="Arial"/>
                <w:color w:val="000000" w:themeColor="text1"/>
                <w:sz w:val="20"/>
                <w:szCs w:val="20"/>
                <w:lang w:val="es-ES_tradnl" w:eastAsia="es-PY"/>
              </w:rPr>
              <w:t>Copia de la Resolución Reglamentaria emitida por la SET, mediante la cual se reglamenta el Decreto No. 7795.</w:t>
            </w:r>
          </w:p>
        </w:tc>
      </w:tr>
      <w:tr w:rsidR="00BA0EB4" w:rsidRPr="00CD669B" w14:paraId="44B20254" w14:textId="77777777" w:rsidTr="000C6DCC">
        <w:trPr>
          <w:trHeight w:val="2240"/>
        </w:trPr>
        <w:tc>
          <w:tcPr>
            <w:tcW w:w="624" w:type="pct"/>
            <w:tcBorders>
              <w:top w:val="nil"/>
            </w:tcBorders>
          </w:tcPr>
          <w:p w14:paraId="7EF80A5D" w14:textId="1B8C1EAB" w:rsidR="00BA0EB4" w:rsidRPr="00206423" w:rsidRDefault="00BA0EB4" w:rsidP="00206423">
            <w:pPr>
              <w:spacing w:before="20" w:after="40"/>
              <w:ind w:left="-30" w:right="-105"/>
              <w:rPr>
                <w:rFonts w:ascii="Arial" w:hAnsi="Arial" w:cs="Arial"/>
                <w:sz w:val="20"/>
                <w:szCs w:val="20"/>
                <w:lang w:val="es-ES_tradnl"/>
              </w:rPr>
            </w:pPr>
            <w:r w:rsidRPr="00206423">
              <w:rPr>
                <w:rFonts w:ascii="Arial" w:hAnsi="Arial" w:cs="Arial"/>
                <w:sz w:val="20"/>
                <w:szCs w:val="20"/>
                <w:lang w:val="es-ES_tradnl"/>
              </w:rPr>
              <w:t xml:space="preserve">Fortalecimiento de la Transparencia y Rendición de Cuentas en </w:t>
            </w:r>
            <w:r w:rsidRPr="00206423">
              <w:rPr>
                <w:rFonts w:ascii="Arial" w:hAnsi="Arial" w:cs="Arial"/>
                <w:sz w:val="20"/>
                <w:szCs w:val="20"/>
                <w:lang w:val="es-ES_tradnl"/>
              </w:rPr>
              <w:br/>
            </w:r>
            <w:proofErr w:type="spellStart"/>
            <w:r w:rsidRPr="00206423">
              <w:rPr>
                <w:rFonts w:ascii="Arial" w:hAnsi="Arial" w:cs="Arial"/>
                <w:sz w:val="20"/>
                <w:szCs w:val="20"/>
                <w:lang w:val="es-ES_tradnl"/>
              </w:rPr>
              <w:t>EFyM</w:t>
            </w:r>
            <w:proofErr w:type="spellEnd"/>
          </w:p>
        </w:tc>
        <w:tc>
          <w:tcPr>
            <w:tcW w:w="1020" w:type="pct"/>
            <w:tcBorders>
              <w:top w:val="nil"/>
            </w:tcBorders>
          </w:tcPr>
          <w:p w14:paraId="2497742C" w14:textId="77777777" w:rsidR="00BA0EB4" w:rsidRPr="00206423" w:rsidRDefault="00BA0EB4" w:rsidP="00206423">
            <w:pPr>
              <w:pStyle w:val="ListParagraph"/>
              <w:numPr>
                <w:ilvl w:val="0"/>
                <w:numId w:val="24"/>
              </w:numPr>
              <w:spacing w:before="20" w:after="40"/>
              <w:ind w:left="297"/>
              <w:contextualSpacing w:val="0"/>
              <w:rPr>
                <w:rFonts w:ascii="Arial" w:hAnsi="Arial" w:cs="Arial"/>
                <w:color w:val="000000" w:themeColor="text1"/>
                <w:sz w:val="20"/>
                <w:szCs w:val="20"/>
                <w:lang w:val="es-ES_tradnl" w:eastAsia="es-PY"/>
              </w:rPr>
            </w:pPr>
            <w:r w:rsidRPr="00206423">
              <w:rPr>
                <w:rFonts w:ascii="Arial" w:hAnsi="Arial" w:cs="Arial"/>
                <w:sz w:val="20"/>
                <w:szCs w:val="20"/>
                <w:lang w:val="es-ES_tradnl"/>
              </w:rPr>
              <w:t>Adopción de los principios internacionalmente</w:t>
            </w:r>
            <w:r w:rsidRPr="00206423">
              <w:rPr>
                <w:rFonts w:ascii="Arial" w:hAnsi="Arial" w:cs="Arial"/>
                <w:color w:val="000000" w:themeColor="text1"/>
                <w:sz w:val="20"/>
                <w:szCs w:val="20"/>
                <w:lang w:val="es-ES_tradnl" w:eastAsia="es-PY"/>
              </w:rPr>
              <w:t xml:space="preserve"> aceptados en materia de transparencia tributaria del Foro Global de Transparencia e Intercambio de Información Tributaria, mediante la: </w:t>
            </w:r>
          </w:p>
          <w:p w14:paraId="1C55D5AD" w14:textId="0B557282" w:rsidR="00BA0EB4" w:rsidRPr="001C7BAD" w:rsidRDefault="001C7BAD" w:rsidP="005521C2">
            <w:pPr>
              <w:spacing w:before="20" w:after="40"/>
              <w:ind w:left="335" w:hanging="360"/>
              <w:rPr>
                <w:rFonts w:ascii="Arial" w:hAnsi="Arial" w:cs="Arial"/>
                <w:color w:val="000000" w:themeColor="text1"/>
                <w:sz w:val="20"/>
                <w:szCs w:val="20"/>
                <w:lang w:val="es-ES_tradnl" w:eastAsia="es-PY"/>
              </w:rPr>
            </w:pPr>
            <w:r>
              <w:rPr>
                <w:rFonts w:ascii="Arial" w:hAnsi="Arial" w:cs="Arial"/>
                <w:color w:val="000000" w:themeColor="text1"/>
                <w:sz w:val="20"/>
                <w:szCs w:val="20"/>
                <w:lang w:val="es-ES_tradnl" w:eastAsia="es-PY"/>
              </w:rPr>
              <w:t xml:space="preserve">(i) </w:t>
            </w:r>
            <w:r w:rsidR="005521C2">
              <w:rPr>
                <w:rFonts w:ascii="Arial" w:hAnsi="Arial" w:cs="Arial"/>
                <w:color w:val="000000" w:themeColor="text1"/>
                <w:sz w:val="20"/>
                <w:szCs w:val="20"/>
                <w:lang w:val="es-ES_tradnl" w:eastAsia="es-PY"/>
              </w:rPr>
              <w:t xml:space="preserve">  </w:t>
            </w:r>
            <w:r w:rsidR="00BA0EB4" w:rsidRPr="001C7BAD">
              <w:rPr>
                <w:rFonts w:ascii="Arial" w:hAnsi="Arial" w:cs="Arial"/>
                <w:color w:val="000000" w:themeColor="text1"/>
                <w:sz w:val="20"/>
                <w:szCs w:val="20"/>
                <w:lang w:val="es-ES_tradnl" w:eastAsia="es-PY"/>
              </w:rPr>
              <w:t>Promulgación y publicación de la ley que elimina las sociedades anónimas al portador.</w:t>
            </w:r>
          </w:p>
        </w:tc>
        <w:tc>
          <w:tcPr>
            <w:tcW w:w="856" w:type="pct"/>
            <w:tcBorders>
              <w:top w:val="nil"/>
            </w:tcBorders>
          </w:tcPr>
          <w:p w14:paraId="4F3ABB0F" w14:textId="20D7C084" w:rsidR="00BA0EB4" w:rsidRPr="0051698D" w:rsidRDefault="00BA0EB4" w:rsidP="0051698D">
            <w:pPr>
              <w:pStyle w:val="ListParagraph"/>
              <w:numPr>
                <w:ilvl w:val="0"/>
                <w:numId w:val="11"/>
              </w:numPr>
              <w:spacing w:before="20" w:after="40"/>
              <w:ind w:left="293"/>
              <w:contextualSpacing w:val="0"/>
              <w:rPr>
                <w:rFonts w:ascii="Arial" w:hAnsi="Arial" w:cs="Arial"/>
                <w:sz w:val="20"/>
                <w:szCs w:val="20"/>
                <w:lang w:val="es-ES_tradnl"/>
              </w:rPr>
            </w:pPr>
            <w:r w:rsidRPr="00206423">
              <w:rPr>
                <w:rFonts w:ascii="Arial" w:hAnsi="Arial" w:cs="Arial"/>
                <w:sz w:val="20"/>
                <w:szCs w:val="20"/>
                <w:lang w:val="es-ES_tradnl"/>
              </w:rPr>
              <w:t>(i) Publicación en la Gaceta Oficial de la República del Paraguay de la Ley No. 5895/2017 que elimina las sociedades anónimas al portador.</w:t>
            </w:r>
          </w:p>
        </w:tc>
        <w:tc>
          <w:tcPr>
            <w:tcW w:w="789" w:type="pct"/>
            <w:tcBorders>
              <w:top w:val="nil"/>
            </w:tcBorders>
          </w:tcPr>
          <w:p w14:paraId="4C8D88E9" w14:textId="3329B60C" w:rsidR="00BA0EB4" w:rsidRPr="00206423" w:rsidRDefault="00BA0EB4">
            <w:pPr>
              <w:spacing w:before="20" w:after="40"/>
              <w:ind w:left="-120" w:right="-60"/>
              <w:jc w:val="center"/>
              <w:rPr>
                <w:rFonts w:ascii="Arial" w:hAnsi="Arial" w:cs="Arial"/>
                <w:sz w:val="20"/>
                <w:szCs w:val="20"/>
                <w:lang w:val="es-ES_tradnl"/>
              </w:rPr>
            </w:pPr>
            <w:r w:rsidRPr="00206423">
              <w:rPr>
                <w:rFonts w:ascii="Arial" w:hAnsi="Arial" w:cs="Arial"/>
                <w:sz w:val="20"/>
                <w:szCs w:val="20"/>
                <w:lang w:val="es-ES_tradnl"/>
              </w:rPr>
              <w:t>Cumplid</w:t>
            </w:r>
            <w:r w:rsidR="002C5DB3">
              <w:rPr>
                <w:rFonts w:ascii="Arial" w:hAnsi="Arial" w:cs="Arial"/>
                <w:sz w:val="20"/>
                <w:szCs w:val="20"/>
                <w:lang w:val="es-ES_tradnl"/>
              </w:rPr>
              <w:t>a</w:t>
            </w:r>
          </w:p>
        </w:tc>
        <w:tc>
          <w:tcPr>
            <w:tcW w:w="889" w:type="pct"/>
            <w:tcBorders>
              <w:top w:val="nil"/>
            </w:tcBorders>
          </w:tcPr>
          <w:p w14:paraId="3EDF2A2A" w14:textId="66A4B9FB" w:rsidR="00BA0EB4" w:rsidRPr="00206423" w:rsidRDefault="00BA0EB4" w:rsidP="00206423">
            <w:pPr>
              <w:spacing w:before="20" w:after="40"/>
              <w:ind w:left="293" w:hanging="360"/>
              <w:rPr>
                <w:rFonts w:ascii="Arial" w:hAnsi="Arial" w:cs="Arial"/>
                <w:sz w:val="20"/>
                <w:szCs w:val="20"/>
                <w:lang w:val="es-ES_tradnl"/>
              </w:rPr>
            </w:pPr>
            <w:r w:rsidRPr="00206423">
              <w:rPr>
                <w:rFonts w:ascii="Arial" w:hAnsi="Arial" w:cs="Arial"/>
                <w:sz w:val="20"/>
                <w:szCs w:val="20"/>
                <w:lang w:val="es-ES_tradnl"/>
              </w:rPr>
              <w:t>3.3 Promulgación y publicación de la/s ley/es que adoptan los principios internacionalmente</w:t>
            </w:r>
            <w:r w:rsidRPr="00206423">
              <w:rPr>
                <w:rFonts w:ascii="Arial" w:hAnsi="Arial" w:cs="Arial"/>
                <w:color w:val="000000" w:themeColor="text1"/>
                <w:sz w:val="20"/>
                <w:szCs w:val="20"/>
                <w:lang w:val="es-ES_tradnl" w:eastAsia="es-PY"/>
              </w:rPr>
              <w:t xml:space="preserve"> aceptados en materia de transparencia tributaria: </w:t>
            </w:r>
            <w:r w:rsidRPr="00206423">
              <w:rPr>
                <w:rFonts w:ascii="Arial" w:hAnsi="Arial" w:cs="Arial"/>
                <w:sz w:val="20"/>
                <w:szCs w:val="20"/>
                <w:lang w:val="es-ES_tradnl"/>
              </w:rPr>
              <w:t>(a) </w:t>
            </w:r>
            <w:r w:rsidRPr="00206423">
              <w:rPr>
                <w:rFonts w:ascii="Arial" w:hAnsi="Arial" w:cs="Arial"/>
                <w:color w:val="000000" w:themeColor="text1"/>
                <w:sz w:val="20"/>
                <w:szCs w:val="20"/>
                <w:lang w:val="es-ES_tradnl" w:eastAsia="es-PY"/>
              </w:rPr>
              <w:t>el levantamiento del secreto bancario con fines tributarios</w:t>
            </w:r>
            <w:r w:rsidRPr="00206423">
              <w:rPr>
                <w:rFonts w:ascii="Arial" w:hAnsi="Arial" w:cs="Arial"/>
                <w:sz w:val="20"/>
                <w:szCs w:val="20"/>
                <w:lang w:val="es-ES_tradnl"/>
              </w:rPr>
              <w:t>; (b) ratificación legislativa de la CAM; y (c) regulación sobre el conocimiento del último beneficiario de la propiedad.</w:t>
            </w:r>
          </w:p>
        </w:tc>
        <w:tc>
          <w:tcPr>
            <w:tcW w:w="822" w:type="pct"/>
            <w:vMerge w:val="restart"/>
            <w:tcBorders>
              <w:top w:val="nil"/>
            </w:tcBorders>
          </w:tcPr>
          <w:p w14:paraId="1B271088" w14:textId="35B7CB30" w:rsidR="00BA0EB4" w:rsidRPr="00206423" w:rsidRDefault="00BA0EB4" w:rsidP="00206423">
            <w:pPr>
              <w:pStyle w:val="ListParagraph"/>
              <w:numPr>
                <w:ilvl w:val="0"/>
                <w:numId w:val="11"/>
              </w:numPr>
              <w:spacing w:before="20" w:after="40"/>
              <w:ind w:left="293"/>
              <w:contextualSpacing w:val="0"/>
              <w:rPr>
                <w:rFonts w:ascii="Arial" w:hAnsi="Arial" w:cs="Arial"/>
                <w:sz w:val="20"/>
                <w:szCs w:val="20"/>
                <w:lang w:val="es-ES_tradnl"/>
              </w:rPr>
            </w:pPr>
          </w:p>
        </w:tc>
      </w:tr>
      <w:tr w:rsidR="00BA0EB4" w:rsidRPr="00206423" w14:paraId="03B43378" w14:textId="77777777" w:rsidTr="000C6DCC">
        <w:trPr>
          <w:trHeight w:val="1152"/>
        </w:trPr>
        <w:tc>
          <w:tcPr>
            <w:tcW w:w="624" w:type="pct"/>
          </w:tcPr>
          <w:p w14:paraId="6E531CB5" w14:textId="77777777" w:rsidR="00BA0EB4" w:rsidRPr="00206423" w:rsidRDefault="00BA0EB4" w:rsidP="00206423">
            <w:pPr>
              <w:spacing w:before="20" w:after="40"/>
              <w:ind w:left="-30" w:right="-105"/>
              <w:rPr>
                <w:rFonts w:ascii="Arial" w:hAnsi="Arial" w:cs="Arial"/>
                <w:sz w:val="20"/>
                <w:szCs w:val="20"/>
                <w:lang w:val="es-ES_tradnl"/>
              </w:rPr>
            </w:pPr>
          </w:p>
        </w:tc>
        <w:tc>
          <w:tcPr>
            <w:tcW w:w="1020" w:type="pct"/>
            <w:tcBorders>
              <w:top w:val="nil"/>
            </w:tcBorders>
          </w:tcPr>
          <w:p w14:paraId="05813C86" w14:textId="62015C57" w:rsidR="00BA0EB4" w:rsidRPr="001C7BAD" w:rsidRDefault="001C7BAD" w:rsidP="005521C2">
            <w:pPr>
              <w:spacing w:before="20" w:after="40"/>
              <w:ind w:left="335" w:hanging="335"/>
              <w:rPr>
                <w:rFonts w:ascii="Arial" w:hAnsi="Arial" w:cs="Arial"/>
                <w:color w:val="000000" w:themeColor="text1"/>
                <w:sz w:val="20"/>
                <w:szCs w:val="20"/>
                <w:lang w:val="es-ES_tradnl" w:eastAsia="es-PY"/>
              </w:rPr>
            </w:pPr>
            <w:r>
              <w:rPr>
                <w:rFonts w:ascii="Arial" w:hAnsi="Arial" w:cs="Arial"/>
                <w:color w:val="000000" w:themeColor="text1"/>
                <w:sz w:val="20"/>
                <w:szCs w:val="20"/>
                <w:lang w:val="es-ES_tradnl" w:eastAsia="es-PY"/>
              </w:rPr>
              <w:t>(</w:t>
            </w:r>
            <w:proofErr w:type="spellStart"/>
            <w:r>
              <w:rPr>
                <w:rFonts w:ascii="Arial" w:hAnsi="Arial" w:cs="Arial"/>
                <w:color w:val="000000" w:themeColor="text1"/>
                <w:sz w:val="20"/>
                <w:szCs w:val="20"/>
                <w:lang w:val="es-ES_tradnl" w:eastAsia="es-PY"/>
              </w:rPr>
              <w:t>ii</w:t>
            </w:r>
            <w:proofErr w:type="spellEnd"/>
            <w:r>
              <w:rPr>
                <w:rFonts w:ascii="Arial" w:hAnsi="Arial" w:cs="Arial"/>
                <w:color w:val="000000" w:themeColor="text1"/>
                <w:sz w:val="20"/>
                <w:szCs w:val="20"/>
                <w:lang w:val="es-ES_tradnl" w:eastAsia="es-PY"/>
              </w:rPr>
              <w:t xml:space="preserve">) </w:t>
            </w:r>
            <w:r w:rsidR="005521C2">
              <w:rPr>
                <w:rFonts w:ascii="Arial" w:hAnsi="Arial" w:cs="Arial"/>
                <w:color w:val="000000" w:themeColor="text1"/>
                <w:sz w:val="20"/>
                <w:szCs w:val="20"/>
                <w:lang w:val="es-ES_tradnl" w:eastAsia="es-PY"/>
              </w:rPr>
              <w:t xml:space="preserve"> </w:t>
            </w:r>
            <w:r w:rsidR="00BA0EB4" w:rsidRPr="001C7BAD">
              <w:rPr>
                <w:rFonts w:ascii="Arial" w:hAnsi="Arial" w:cs="Arial"/>
                <w:color w:val="000000" w:themeColor="text1"/>
                <w:sz w:val="20"/>
                <w:szCs w:val="20"/>
                <w:lang w:val="es-ES_tradnl" w:eastAsia="es-PY"/>
              </w:rPr>
              <w:t>Suscripción de la Convención Multilateral de Asistencia Mutua en Materia Fiscal (CAM), cuya secretaria es la OCDE, sobre el intercambio automático de información con otras jurisdicciones signatarias.</w:t>
            </w:r>
          </w:p>
        </w:tc>
        <w:tc>
          <w:tcPr>
            <w:tcW w:w="856" w:type="pct"/>
          </w:tcPr>
          <w:p w14:paraId="5EFFD7C2" w14:textId="77777777" w:rsidR="00BA0EB4" w:rsidRPr="00206423" w:rsidRDefault="00BA0EB4" w:rsidP="0051698D">
            <w:pPr>
              <w:spacing w:before="20" w:after="40"/>
              <w:ind w:left="-22"/>
              <w:rPr>
                <w:rFonts w:ascii="Arial" w:hAnsi="Arial" w:cs="Arial"/>
                <w:sz w:val="20"/>
                <w:szCs w:val="20"/>
                <w:lang w:val="es-ES_tradnl"/>
              </w:rPr>
            </w:pPr>
            <w:r w:rsidRPr="00206423">
              <w:rPr>
                <w:rFonts w:ascii="Arial" w:hAnsi="Arial" w:cs="Arial"/>
                <w:sz w:val="20"/>
                <w:szCs w:val="20"/>
                <w:lang w:val="es-ES_tradnl"/>
              </w:rPr>
              <w:t>(</w:t>
            </w:r>
            <w:proofErr w:type="spellStart"/>
            <w:r w:rsidRPr="00206423">
              <w:rPr>
                <w:rFonts w:ascii="Arial" w:hAnsi="Arial" w:cs="Arial"/>
                <w:sz w:val="20"/>
                <w:szCs w:val="20"/>
                <w:lang w:val="es-ES_tradnl"/>
              </w:rPr>
              <w:t>ii</w:t>
            </w:r>
            <w:proofErr w:type="spellEnd"/>
            <w:r w:rsidRPr="00206423">
              <w:rPr>
                <w:rFonts w:ascii="Arial" w:hAnsi="Arial" w:cs="Arial"/>
                <w:sz w:val="20"/>
                <w:szCs w:val="20"/>
                <w:lang w:val="es-ES_tradnl"/>
              </w:rPr>
              <w:t xml:space="preserve">) Comunicación del MH, adjuntando reporte de la OCDE sobre la suscripción de la CAM. </w:t>
            </w:r>
          </w:p>
          <w:p w14:paraId="49FBA264" w14:textId="77777777" w:rsidR="00BA0EB4" w:rsidRPr="0051698D" w:rsidRDefault="00BA0EB4" w:rsidP="0051698D">
            <w:pPr>
              <w:spacing w:before="20" w:after="40"/>
              <w:rPr>
                <w:rFonts w:ascii="Arial" w:hAnsi="Arial" w:cs="Arial"/>
                <w:sz w:val="20"/>
                <w:szCs w:val="20"/>
                <w:lang w:val="es-ES_tradnl"/>
              </w:rPr>
            </w:pPr>
          </w:p>
        </w:tc>
        <w:tc>
          <w:tcPr>
            <w:tcW w:w="789" w:type="pct"/>
          </w:tcPr>
          <w:p w14:paraId="5591BBA1" w14:textId="66FAC242" w:rsidR="00BA0EB4" w:rsidRPr="00206423" w:rsidRDefault="00BA0EB4" w:rsidP="0051698D">
            <w:pPr>
              <w:spacing w:before="20" w:after="40"/>
              <w:ind w:left="-120" w:right="-60"/>
              <w:jc w:val="center"/>
              <w:rPr>
                <w:rFonts w:ascii="Arial" w:hAnsi="Arial" w:cs="Arial"/>
                <w:sz w:val="20"/>
                <w:szCs w:val="20"/>
                <w:lang w:val="es-ES_tradnl"/>
              </w:rPr>
            </w:pPr>
            <w:r w:rsidRPr="00206423">
              <w:rPr>
                <w:rFonts w:ascii="Arial" w:hAnsi="Arial" w:cs="Arial"/>
                <w:sz w:val="20"/>
                <w:szCs w:val="20"/>
                <w:lang w:val="es-ES_tradnl"/>
              </w:rPr>
              <w:t>Cumplid</w:t>
            </w:r>
            <w:r w:rsidR="002C5DB3">
              <w:rPr>
                <w:rFonts w:ascii="Arial" w:hAnsi="Arial" w:cs="Arial"/>
                <w:sz w:val="20"/>
                <w:szCs w:val="20"/>
                <w:lang w:val="es-ES_tradnl"/>
              </w:rPr>
              <w:t>a</w:t>
            </w:r>
          </w:p>
        </w:tc>
        <w:tc>
          <w:tcPr>
            <w:tcW w:w="889" w:type="pct"/>
          </w:tcPr>
          <w:p w14:paraId="52D7FF81" w14:textId="77777777" w:rsidR="00BA0EB4" w:rsidRPr="00206423" w:rsidRDefault="00BA0EB4" w:rsidP="00206423">
            <w:pPr>
              <w:spacing w:before="20" w:after="40"/>
              <w:ind w:left="293" w:hanging="360"/>
              <w:rPr>
                <w:rFonts w:ascii="Arial" w:hAnsi="Arial" w:cs="Arial"/>
                <w:sz w:val="20"/>
                <w:szCs w:val="20"/>
                <w:lang w:val="es-ES_tradnl"/>
              </w:rPr>
            </w:pPr>
          </w:p>
        </w:tc>
        <w:tc>
          <w:tcPr>
            <w:tcW w:w="822" w:type="pct"/>
            <w:vMerge/>
          </w:tcPr>
          <w:p w14:paraId="4371E6E8" w14:textId="77777777" w:rsidR="00BA0EB4" w:rsidRPr="0051698D" w:rsidRDefault="00BA0EB4" w:rsidP="0051698D">
            <w:pPr>
              <w:spacing w:before="20" w:after="40"/>
              <w:rPr>
                <w:rFonts w:ascii="Arial" w:hAnsi="Arial" w:cs="Arial"/>
                <w:sz w:val="20"/>
                <w:szCs w:val="20"/>
                <w:lang w:val="es-ES_tradnl"/>
              </w:rPr>
            </w:pPr>
          </w:p>
        </w:tc>
      </w:tr>
      <w:tr w:rsidR="00BA0EB4" w:rsidRPr="00206423" w14:paraId="0A6E2FD2" w14:textId="77777777" w:rsidTr="000C6DCC">
        <w:trPr>
          <w:trHeight w:val="3456"/>
        </w:trPr>
        <w:tc>
          <w:tcPr>
            <w:tcW w:w="624" w:type="pct"/>
          </w:tcPr>
          <w:p w14:paraId="33272643" w14:textId="77777777" w:rsidR="00BA0EB4" w:rsidRPr="00206423" w:rsidRDefault="00BA0EB4" w:rsidP="00206423">
            <w:pPr>
              <w:spacing w:before="20" w:after="40"/>
              <w:ind w:left="-30" w:right="-105"/>
              <w:rPr>
                <w:rFonts w:ascii="Arial" w:hAnsi="Arial" w:cs="Arial"/>
                <w:sz w:val="20"/>
                <w:szCs w:val="20"/>
                <w:lang w:val="es-ES_tradnl"/>
              </w:rPr>
            </w:pPr>
          </w:p>
        </w:tc>
        <w:tc>
          <w:tcPr>
            <w:tcW w:w="1020" w:type="pct"/>
            <w:tcBorders>
              <w:top w:val="nil"/>
            </w:tcBorders>
          </w:tcPr>
          <w:p w14:paraId="59219137" w14:textId="6EC3B2FE" w:rsidR="00BA0EB4" w:rsidRPr="001C7BAD" w:rsidRDefault="001C7BAD" w:rsidP="005521C2">
            <w:pPr>
              <w:spacing w:before="20" w:after="40"/>
              <w:ind w:left="335" w:hanging="335"/>
              <w:rPr>
                <w:rFonts w:ascii="Arial" w:hAnsi="Arial" w:cs="Arial"/>
                <w:color w:val="000000" w:themeColor="text1"/>
                <w:sz w:val="20"/>
                <w:szCs w:val="20"/>
                <w:lang w:val="es-ES_tradnl" w:eastAsia="es-PY"/>
              </w:rPr>
            </w:pPr>
            <w:r>
              <w:rPr>
                <w:rFonts w:ascii="Arial" w:hAnsi="Arial" w:cs="Arial"/>
                <w:color w:val="000000" w:themeColor="text1"/>
                <w:sz w:val="20"/>
                <w:szCs w:val="20"/>
                <w:lang w:val="es-ES_tradnl" w:eastAsia="es-PY"/>
              </w:rPr>
              <w:t>(</w:t>
            </w:r>
            <w:proofErr w:type="spellStart"/>
            <w:r>
              <w:rPr>
                <w:rFonts w:ascii="Arial" w:hAnsi="Arial" w:cs="Arial"/>
                <w:color w:val="000000" w:themeColor="text1"/>
                <w:sz w:val="20"/>
                <w:szCs w:val="20"/>
                <w:lang w:val="es-ES_tradnl" w:eastAsia="es-PY"/>
              </w:rPr>
              <w:t>iii</w:t>
            </w:r>
            <w:proofErr w:type="spellEnd"/>
            <w:r>
              <w:rPr>
                <w:rFonts w:ascii="Arial" w:hAnsi="Arial" w:cs="Arial"/>
                <w:color w:val="000000" w:themeColor="text1"/>
                <w:sz w:val="20"/>
                <w:szCs w:val="20"/>
                <w:lang w:val="es-ES_tradnl" w:eastAsia="es-PY"/>
              </w:rPr>
              <w:t xml:space="preserve">) </w:t>
            </w:r>
            <w:r w:rsidR="00BA0EB4" w:rsidRPr="001C7BAD">
              <w:rPr>
                <w:rFonts w:ascii="Arial" w:hAnsi="Arial" w:cs="Arial"/>
                <w:color w:val="000000" w:themeColor="text1"/>
                <w:sz w:val="20"/>
                <w:szCs w:val="20"/>
                <w:lang w:val="es-ES_tradnl" w:eastAsia="es-PY"/>
              </w:rPr>
              <w:t>Presentación al Congreso d</w:t>
            </w:r>
            <w:r w:rsidR="00BA0EB4" w:rsidRPr="001C7BAD">
              <w:rPr>
                <w:rFonts w:ascii="Arial" w:hAnsi="Arial" w:cs="Arial"/>
                <w:sz w:val="20"/>
                <w:szCs w:val="20"/>
                <w:lang w:val="es-ES_tradnl"/>
              </w:rPr>
              <w:t xml:space="preserve">el/los proyecto/s de ley incluyendo, entre otros: (a) </w:t>
            </w:r>
            <w:r w:rsidR="00BA0EB4" w:rsidRPr="001C7BAD">
              <w:rPr>
                <w:rFonts w:ascii="Arial" w:hAnsi="Arial" w:cs="Arial"/>
                <w:color w:val="000000" w:themeColor="text1"/>
                <w:sz w:val="20"/>
                <w:szCs w:val="20"/>
                <w:lang w:val="es-ES_tradnl" w:eastAsia="es-PY"/>
              </w:rPr>
              <w:t>el levantamiento del secreto bancario con fines tributarios</w:t>
            </w:r>
            <w:r w:rsidR="00BA0EB4" w:rsidRPr="001C7BAD">
              <w:rPr>
                <w:rFonts w:ascii="Arial" w:hAnsi="Arial" w:cs="Arial"/>
                <w:sz w:val="20"/>
                <w:szCs w:val="20"/>
                <w:lang w:val="es-ES_tradnl"/>
              </w:rPr>
              <w:t>; (b) ratificación legislativa de la CAM; y (c) regulación sobre el conocimiento del último beneficiario de la propiedad.</w:t>
            </w:r>
            <w:r w:rsidR="00BA0EB4" w:rsidRPr="001C7BAD">
              <w:rPr>
                <w:rFonts w:ascii="Arial" w:hAnsi="Arial" w:cs="Arial"/>
                <w:color w:val="000000" w:themeColor="text1"/>
                <w:sz w:val="20"/>
                <w:szCs w:val="20"/>
                <w:lang w:val="es-ES_tradnl" w:eastAsia="es-PY"/>
              </w:rPr>
              <w:t xml:space="preserve"> </w:t>
            </w:r>
          </w:p>
          <w:p w14:paraId="7FF39D7F" w14:textId="77777777" w:rsidR="00BA0EB4" w:rsidRPr="0051698D" w:rsidRDefault="00BA0EB4" w:rsidP="005521C2">
            <w:pPr>
              <w:spacing w:before="20" w:after="40"/>
              <w:ind w:left="335" w:hanging="335"/>
              <w:rPr>
                <w:rFonts w:ascii="Arial" w:hAnsi="Arial" w:cs="Arial"/>
                <w:sz w:val="20"/>
                <w:szCs w:val="20"/>
                <w:lang w:val="es-ES_tradnl"/>
              </w:rPr>
            </w:pPr>
          </w:p>
        </w:tc>
        <w:tc>
          <w:tcPr>
            <w:tcW w:w="856" w:type="pct"/>
          </w:tcPr>
          <w:p w14:paraId="3FEE0414" w14:textId="2C4228C8" w:rsidR="00BA0EB4" w:rsidRPr="0051698D" w:rsidRDefault="00BA0EB4" w:rsidP="0051698D">
            <w:pPr>
              <w:spacing w:before="20" w:after="40"/>
              <w:rPr>
                <w:rFonts w:ascii="Arial" w:hAnsi="Arial" w:cs="Arial"/>
                <w:sz w:val="20"/>
                <w:szCs w:val="20"/>
                <w:lang w:val="es-ES_tradnl"/>
              </w:rPr>
            </w:pPr>
            <w:r w:rsidRPr="00206423">
              <w:rPr>
                <w:rFonts w:ascii="Arial" w:hAnsi="Arial" w:cs="Arial"/>
                <w:sz w:val="20"/>
                <w:szCs w:val="20"/>
                <w:lang w:val="es-ES_tradnl"/>
              </w:rPr>
              <w:t>(</w:t>
            </w:r>
            <w:proofErr w:type="spellStart"/>
            <w:r w:rsidRPr="00206423">
              <w:rPr>
                <w:rFonts w:ascii="Arial" w:hAnsi="Arial" w:cs="Arial"/>
                <w:sz w:val="20"/>
                <w:szCs w:val="20"/>
                <w:lang w:val="es-ES_tradnl"/>
              </w:rPr>
              <w:t>iii</w:t>
            </w:r>
            <w:proofErr w:type="spellEnd"/>
            <w:r w:rsidRPr="00206423">
              <w:rPr>
                <w:rFonts w:ascii="Arial" w:hAnsi="Arial" w:cs="Arial"/>
                <w:sz w:val="20"/>
                <w:szCs w:val="20"/>
                <w:lang w:val="es-ES_tradnl"/>
              </w:rPr>
              <w:t xml:space="preserve">) Nota del MH a la cual se adjunta copia del Mensaje del Poder Ejecutivo remitiendo el/los proyecto/s de ley al Congreso, incluyendo, entre otros: (a) </w:t>
            </w:r>
            <w:r w:rsidRPr="00206423">
              <w:rPr>
                <w:rFonts w:ascii="Arial" w:hAnsi="Arial" w:cs="Arial"/>
                <w:color w:val="000000" w:themeColor="text1"/>
                <w:sz w:val="20"/>
                <w:szCs w:val="20"/>
                <w:lang w:val="es-ES_tradnl" w:eastAsia="es-PY"/>
              </w:rPr>
              <w:t>el levantamiento del secreto bancario con fines tributarios</w:t>
            </w:r>
            <w:r w:rsidRPr="00206423">
              <w:rPr>
                <w:rFonts w:ascii="Arial" w:hAnsi="Arial" w:cs="Arial"/>
                <w:sz w:val="20"/>
                <w:szCs w:val="20"/>
                <w:lang w:val="es-ES_tradnl"/>
              </w:rPr>
              <w:t>; (b) ratificación legislativa de la CAM; y (c) regulación sobre el conocimiento del último beneficiario de la propiedad.</w:t>
            </w:r>
          </w:p>
        </w:tc>
        <w:tc>
          <w:tcPr>
            <w:tcW w:w="789" w:type="pct"/>
          </w:tcPr>
          <w:p w14:paraId="560E41A7" w14:textId="7C9EED33" w:rsidR="00BA0EB4" w:rsidRPr="00206423" w:rsidRDefault="00BA0EB4" w:rsidP="0051698D">
            <w:pPr>
              <w:spacing w:before="20" w:after="40"/>
              <w:ind w:left="-120" w:right="-60"/>
              <w:jc w:val="center"/>
              <w:rPr>
                <w:rFonts w:ascii="Arial" w:hAnsi="Arial" w:cs="Arial"/>
                <w:sz w:val="20"/>
                <w:szCs w:val="20"/>
                <w:lang w:val="es-ES_tradnl"/>
              </w:rPr>
            </w:pPr>
            <w:r w:rsidRPr="00206423">
              <w:rPr>
                <w:rFonts w:ascii="Arial" w:hAnsi="Arial" w:cs="Arial"/>
                <w:sz w:val="20"/>
                <w:szCs w:val="20"/>
                <w:lang w:val="es-ES_tradnl"/>
              </w:rPr>
              <w:t>Por cumplir</w:t>
            </w:r>
            <w:r w:rsidR="00EB4325">
              <w:rPr>
                <w:rFonts w:ascii="Arial" w:hAnsi="Arial" w:cs="Arial"/>
                <w:sz w:val="20"/>
                <w:szCs w:val="20"/>
                <w:lang w:val="es-ES_tradnl"/>
              </w:rPr>
              <w:t xml:space="preserve"> </w:t>
            </w:r>
            <w:r w:rsidR="00EB4325">
              <w:rPr>
                <w:rFonts w:ascii="Arial" w:hAnsi="Arial" w:cs="Arial"/>
                <w:sz w:val="20"/>
                <w:szCs w:val="20"/>
                <w:lang w:val="es-AR"/>
              </w:rPr>
              <w:t>(IV</w:t>
            </w:r>
            <w:r w:rsidR="002C5DB3">
              <w:rPr>
                <w:rFonts w:ascii="Arial" w:hAnsi="Arial" w:cs="Arial"/>
                <w:sz w:val="20"/>
                <w:szCs w:val="20"/>
                <w:lang w:val="es-AR"/>
              </w:rPr>
              <w:t xml:space="preserve"> Trimestre</w:t>
            </w:r>
            <w:r w:rsidR="00EB4325">
              <w:rPr>
                <w:rFonts w:ascii="Arial" w:hAnsi="Arial" w:cs="Arial"/>
                <w:sz w:val="20"/>
                <w:szCs w:val="20"/>
                <w:lang w:val="es-AR"/>
              </w:rPr>
              <w:t>/2019)</w:t>
            </w:r>
          </w:p>
          <w:p w14:paraId="291F3F52" w14:textId="77777777" w:rsidR="00BA0EB4" w:rsidRPr="00206423" w:rsidRDefault="00BA0EB4" w:rsidP="00BA0EB4">
            <w:pPr>
              <w:spacing w:before="20" w:after="40"/>
              <w:ind w:left="-120" w:right="-60"/>
              <w:rPr>
                <w:rFonts w:ascii="Arial" w:hAnsi="Arial" w:cs="Arial"/>
                <w:sz w:val="20"/>
                <w:szCs w:val="20"/>
                <w:lang w:val="es-ES_tradnl"/>
              </w:rPr>
            </w:pPr>
          </w:p>
        </w:tc>
        <w:tc>
          <w:tcPr>
            <w:tcW w:w="889" w:type="pct"/>
          </w:tcPr>
          <w:p w14:paraId="2ECCEE47" w14:textId="77777777" w:rsidR="00BA0EB4" w:rsidRPr="00206423" w:rsidRDefault="00BA0EB4" w:rsidP="00206423">
            <w:pPr>
              <w:spacing w:before="20" w:after="40"/>
              <w:ind w:left="293" w:hanging="360"/>
              <w:rPr>
                <w:rFonts w:ascii="Arial" w:hAnsi="Arial" w:cs="Arial"/>
                <w:sz w:val="20"/>
                <w:szCs w:val="20"/>
                <w:lang w:val="es-ES_tradnl"/>
              </w:rPr>
            </w:pPr>
          </w:p>
        </w:tc>
        <w:tc>
          <w:tcPr>
            <w:tcW w:w="822" w:type="pct"/>
            <w:vMerge/>
          </w:tcPr>
          <w:p w14:paraId="06DDEA32" w14:textId="77777777" w:rsidR="00BA0EB4" w:rsidRPr="0051698D" w:rsidRDefault="00BA0EB4" w:rsidP="0051698D">
            <w:pPr>
              <w:spacing w:before="20" w:after="40"/>
              <w:rPr>
                <w:rFonts w:ascii="Arial" w:hAnsi="Arial" w:cs="Arial"/>
                <w:sz w:val="20"/>
                <w:szCs w:val="20"/>
                <w:lang w:val="es-ES_tradnl"/>
              </w:rPr>
            </w:pPr>
          </w:p>
        </w:tc>
      </w:tr>
      <w:tr w:rsidR="006813A8" w:rsidRPr="00CD669B" w14:paraId="1432AB5A" w14:textId="77777777" w:rsidTr="00BC5621">
        <w:trPr>
          <w:trHeight w:val="20"/>
        </w:trPr>
        <w:tc>
          <w:tcPr>
            <w:tcW w:w="5000" w:type="pct"/>
            <w:gridSpan w:val="6"/>
            <w:shd w:val="clear" w:color="auto" w:fill="B4C6E7" w:themeFill="accent1" w:themeFillTint="66"/>
          </w:tcPr>
          <w:p w14:paraId="7C1030F2" w14:textId="3CFB454E" w:rsidR="006813A8" w:rsidRPr="00206423" w:rsidRDefault="006813A8" w:rsidP="00206423">
            <w:pPr>
              <w:spacing w:before="20" w:after="40"/>
              <w:ind w:left="-30" w:right="-105"/>
              <w:rPr>
                <w:rFonts w:ascii="Arial" w:hAnsi="Arial" w:cs="Arial"/>
                <w:b/>
                <w:bCs/>
                <w:kern w:val="18"/>
                <w:sz w:val="20"/>
                <w:szCs w:val="20"/>
                <w:lang w:val="es-ES"/>
              </w:rPr>
            </w:pPr>
            <w:r w:rsidRPr="00206423">
              <w:rPr>
                <w:rFonts w:ascii="Arial" w:hAnsi="Arial" w:cs="Arial"/>
                <w:b/>
                <w:bCs/>
                <w:kern w:val="18"/>
                <w:sz w:val="20"/>
                <w:szCs w:val="20"/>
                <w:lang w:val="es-ES"/>
              </w:rPr>
              <w:t>Componente IV. Mejorar la gestión del gasto público</w:t>
            </w:r>
          </w:p>
        </w:tc>
      </w:tr>
      <w:tr w:rsidR="008C42F7" w:rsidRPr="00CD669B" w14:paraId="3F07F476" w14:textId="77777777" w:rsidTr="000C6DCC">
        <w:trPr>
          <w:trHeight w:val="20"/>
        </w:trPr>
        <w:tc>
          <w:tcPr>
            <w:tcW w:w="624" w:type="pct"/>
            <w:tcBorders>
              <w:top w:val="nil"/>
            </w:tcBorders>
          </w:tcPr>
          <w:p w14:paraId="128DE2B2" w14:textId="0E9E8753" w:rsidR="006813A8" w:rsidRPr="00206423" w:rsidRDefault="006813A8" w:rsidP="00206423">
            <w:pPr>
              <w:spacing w:before="20" w:after="40"/>
              <w:ind w:left="-30" w:right="-105"/>
              <w:rPr>
                <w:rFonts w:ascii="Arial" w:hAnsi="Arial" w:cs="Arial"/>
                <w:sz w:val="20"/>
                <w:szCs w:val="20"/>
                <w:lang w:val="es-ES_tradnl"/>
              </w:rPr>
            </w:pPr>
            <w:r w:rsidRPr="00206423">
              <w:rPr>
                <w:rFonts w:ascii="Arial" w:hAnsi="Arial" w:cs="Arial"/>
                <w:sz w:val="20"/>
                <w:szCs w:val="20"/>
                <w:lang w:val="es-ES_tradnl"/>
              </w:rPr>
              <w:t>Mayor orientación estratégica a la gestión del gasto público</w:t>
            </w:r>
          </w:p>
        </w:tc>
        <w:tc>
          <w:tcPr>
            <w:tcW w:w="1020" w:type="pct"/>
            <w:tcBorders>
              <w:top w:val="nil"/>
            </w:tcBorders>
          </w:tcPr>
          <w:p w14:paraId="20545E47" w14:textId="544231CD" w:rsidR="006813A8" w:rsidRPr="0013787C" w:rsidRDefault="0013787C" w:rsidP="00B10D83">
            <w:pPr>
              <w:spacing w:before="20" w:after="40"/>
              <w:ind w:left="335" w:hanging="360"/>
              <w:rPr>
                <w:rFonts w:ascii="Arial" w:hAnsi="Arial" w:cs="Arial"/>
                <w:sz w:val="20"/>
                <w:szCs w:val="20"/>
                <w:lang w:val="es-ES_tradnl"/>
              </w:rPr>
            </w:pPr>
            <w:r>
              <w:rPr>
                <w:rFonts w:ascii="Arial" w:hAnsi="Arial" w:cs="Arial"/>
                <w:sz w:val="20"/>
                <w:szCs w:val="20"/>
                <w:lang w:val="es-ES_tradnl"/>
              </w:rPr>
              <w:t xml:space="preserve">4.1 </w:t>
            </w:r>
            <w:r w:rsidR="006813A8" w:rsidRPr="0013787C">
              <w:rPr>
                <w:rFonts w:ascii="Arial" w:hAnsi="Arial" w:cs="Arial"/>
                <w:sz w:val="20"/>
                <w:szCs w:val="20"/>
                <w:lang w:val="es-ES_tradnl"/>
              </w:rPr>
              <w:t xml:space="preserve">Creación </w:t>
            </w:r>
            <w:r w:rsidR="006813A8" w:rsidRPr="0013787C">
              <w:rPr>
                <w:rFonts w:ascii="Arial" w:hAnsi="Arial" w:cs="Arial"/>
                <w:color w:val="000000" w:themeColor="text1"/>
                <w:sz w:val="20"/>
                <w:szCs w:val="20"/>
                <w:lang w:val="es-ES_tradnl" w:eastAsia="es-PY"/>
              </w:rPr>
              <w:t>de una Comisión Técnica de Gasto Público, de conformación público-privada, que analice el gasto público y defina lineamientos para una propuesta de asignación más eficiente y eficaz del mismo.</w:t>
            </w:r>
          </w:p>
        </w:tc>
        <w:tc>
          <w:tcPr>
            <w:tcW w:w="856" w:type="pct"/>
            <w:tcBorders>
              <w:top w:val="nil"/>
            </w:tcBorders>
          </w:tcPr>
          <w:p w14:paraId="683E8C6C" w14:textId="603DDEF4" w:rsidR="006813A8" w:rsidRPr="0013787C" w:rsidRDefault="0013787C" w:rsidP="00B10D83">
            <w:pPr>
              <w:spacing w:before="20" w:after="40"/>
              <w:ind w:left="335" w:hanging="360"/>
              <w:rPr>
                <w:rFonts w:ascii="Arial" w:hAnsi="Arial" w:cs="Arial"/>
                <w:sz w:val="20"/>
                <w:szCs w:val="20"/>
                <w:lang w:val="es-ES_tradnl"/>
              </w:rPr>
            </w:pPr>
            <w:r>
              <w:rPr>
                <w:rFonts w:ascii="Arial" w:hAnsi="Arial" w:cs="Arial"/>
                <w:sz w:val="20"/>
                <w:szCs w:val="20"/>
                <w:lang w:val="es-ES_tradnl"/>
              </w:rPr>
              <w:t xml:space="preserve">4.1 </w:t>
            </w:r>
            <w:r w:rsidR="006813A8" w:rsidRPr="0013787C">
              <w:rPr>
                <w:rFonts w:ascii="Arial" w:hAnsi="Arial" w:cs="Arial"/>
                <w:sz w:val="20"/>
                <w:szCs w:val="20"/>
                <w:lang w:val="es-ES_tradnl"/>
              </w:rPr>
              <w:t>Resolución del MH que crea la Comisión Técnica de Gasto Público.</w:t>
            </w:r>
          </w:p>
        </w:tc>
        <w:tc>
          <w:tcPr>
            <w:tcW w:w="789" w:type="pct"/>
            <w:tcBorders>
              <w:top w:val="nil"/>
            </w:tcBorders>
          </w:tcPr>
          <w:p w14:paraId="4955902E" w14:textId="7CDD1A76" w:rsidR="006813A8" w:rsidRPr="00206423" w:rsidRDefault="00AE647B" w:rsidP="00206423">
            <w:pPr>
              <w:spacing w:before="20" w:after="40"/>
              <w:ind w:left="-120" w:right="-60"/>
              <w:jc w:val="center"/>
              <w:rPr>
                <w:rFonts w:ascii="Arial" w:hAnsi="Arial" w:cs="Arial"/>
                <w:sz w:val="20"/>
                <w:szCs w:val="20"/>
                <w:lang w:val="es-ES_tradnl"/>
              </w:rPr>
            </w:pPr>
            <w:r w:rsidRPr="00206423">
              <w:rPr>
                <w:rFonts w:ascii="Arial" w:hAnsi="Arial" w:cs="Arial"/>
                <w:sz w:val="20"/>
                <w:szCs w:val="20"/>
                <w:lang w:val="es-ES_tradnl"/>
              </w:rPr>
              <w:t>Por cumplir</w:t>
            </w:r>
            <w:r w:rsidR="00EB4325">
              <w:rPr>
                <w:rFonts w:ascii="Arial" w:hAnsi="Arial" w:cs="Arial"/>
                <w:sz w:val="20"/>
                <w:szCs w:val="20"/>
                <w:lang w:val="es-ES_tradnl"/>
              </w:rPr>
              <w:t xml:space="preserve"> </w:t>
            </w:r>
            <w:r w:rsidR="00EB4325">
              <w:rPr>
                <w:rFonts w:ascii="Arial" w:hAnsi="Arial" w:cs="Arial"/>
                <w:sz w:val="20"/>
                <w:szCs w:val="20"/>
                <w:lang w:val="es-AR"/>
              </w:rPr>
              <w:t>(IV</w:t>
            </w:r>
            <w:r w:rsidR="002C5DB3">
              <w:rPr>
                <w:rFonts w:ascii="Arial" w:hAnsi="Arial" w:cs="Arial"/>
                <w:sz w:val="20"/>
                <w:szCs w:val="20"/>
                <w:lang w:val="es-AR"/>
              </w:rPr>
              <w:t xml:space="preserve"> Trimestre</w:t>
            </w:r>
            <w:r w:rsidR="00EB4325">
              <w:rPr>
                <w:rFonts w:ascii="Arial" w:hAnsi="Arial" w:cs="Arial"/>
                <w:sz w:val="20"/>
                <w:szCs w:val="20"/>
                <w:lang w:val="es-AR"/>
              </w:rPr>
              <w:t>/2019)</w:t>
            </w:r>
          </w:p>
        </w:tc>
        <w:tc>
          <w:tcPr>
            <w:tcW w:w="889" w:type="pct"/>
            <w:tcBorders>
              <w:top w:val="nil"/>
            </w:tcBorders>
          </w:tcPr>
          <w:p w14:paraId="448F43E2" w14:textId="597884D6" w:rsidR="006813A8" w:rsidRPr="00206423" w:rsidRDefault="006813A8" w:rsidP="00460BBF">
            <w:pPr>
              <w:spacing w:before="20" w:after="40"/>
              <w:ind w:left="293" w:hanging="360"/>
              <w:rPr>
                <w:rFonts w:ascii="Arial" w:hAnsi="Arial" w:cs="Arial"/>
                <w:sz w:val="20"/>
                <w:szCs w:val="20"/>
                <w:lang w:val="es-ES_tradnl"/>
              </w:rPr>
            </w:pPr>
            <w:r w:rsidRPr="00206423">
              <w:rPr>
                <w:rFonts w:ascii="Arial" w:hAnsi="Arial" w:cs="Arial"/>
                <w:sz w:val="20"/>
                <w:szCs w:val="20"/>
                <w:lang w:val="es-ES_tradnl"/>
              </w:rPr>
              <w:t>4.1 Documento de propuestas de la Comisión Técnica de Gasto Público para una asignación más eficiente y eficaz del gasto público.</w:t>
            </w:r>
          </w:p>
        </w:tc>
        <w:tc>
          <w:tcPr>
            <w:tcW w:w="822" w:type="pct"/>
            <w:tcBorders>
              <w:top w:val="nil"/>
            </w:tcBorders>
          </w:tcPr>
          <w:p w14:paraId="429DE932" w14:textId="5971398E" w:rsidR="006813A8" w:rsidRPr="00E148B5" w:rsidRDefault="00E148B5" w:rsidP="00460BBF">
            <w:pPr>
              <w:spacing w:before="20" w:after="40"/>
              <w:ind w:left="293" w:hanging="360"/>
              <w:rPr>
                <w:rFonts w:ascii="Arial" w:hAnsi="Arial" w:cs="Arial"/>
                <w:sz w:val="20"/>
                <w:szCs w:val="20"/>
                <w:lang w:val="es-ES_tradnl"/>
              </w:rPr>
            </w:pPr>
            <w:r>
              <w:rPr>
                <w:rFonts w:ascii="Arial" w:hAnsi="Arial" w:cs="Arial"/>
                <w:sz w:val="20"/>
                <w:szCs w:val="20"/>
                <w:lang w:val="es-ES_tradnl"/>
              </w:rPr>
              <w:t xml:space="preserve">4.1 </w:t>
            </w:r>
            <w:r w:rsidR="006813A8" w:rsidRPr="00E148B5">
              <w:rPr>
                <w:rFonts w:ascii="Arial" w:hAnsi="Arial" w:cs="Arial"/>
                <w:sz w:val="20"/>
                <w:szCs w:val="20"/>
                <w:lang w:val="es-ES_tradnl"/>
              </w:rPr>
              <w:t>Nota del MH a la cual se adjunta copia del documento de propuestas emitido por la Comisión Técnica de Gasto Público.</w:t>
            </w:r>
          </w:p>
        </w:tc>
      </w:tr>
      <w:tr w:rsidR="00BA0EB4" w:rsidRPr="00CD669B" w14:paraId="299E5353" w14:textId="77777777" w:rsidTr="000C6DCC">
        <w:trPr>
          <w:trHeight w:val="20"/>
        </w:trPr>
        <w:tc>
          <w:tcPr>
            <w:tcW w:w="624" w:type="pct"/>
            <w:tcBorders>
              <w:top w:val="nil"/>
            </w:tcBorders>
          </w:tcPr>
          <w:p w14:paraId="76E463D9" w14:textId="72BA214A" w:rsidR="00BA0EB4" w:rsidRPr="00206423" w:rsidRDefault="00BA0EB4" w:rsidP="00206423">
            <w:pPr>
              <w:spacing w:before="20" w:after="40"/>
              <w:ind w:left="-30" w:right="-105"/>
              <w:rPr>
                <w:rFonts w:ascii="Arial" w:hAnsi="Arial" w:cs="Arial"/>
                <w:sz w:val="20"/>
                <w:szCs w:val="20"/>
                <w:lang w:val="es-ES_tradnl"/>
              </w:rPr>
            </w:pPr>
            <w:r w:rsidRPr="00206423">
              <w:rPr>
                <w:rFonts w:ascii="Arial" w:hAnsi="Arial" w:cs="Arial"/>
                <w:sz w:val="20"/>
                <w:szCs w:val="20"/>
                <w:lang w:val="es-ES_tradnl"/>
              </w:rPr>
              <w:t>Mejorar la gestión financiera y la transparencia nacional y municipal</w:t>
            </w:r>
          </w:p>
        </w:tc>
        <w:tc>
          <w:tcPr>
            <w:tcW w:w="1020" w:type="pct"/>
            <w:tcBorders>
              <w:top w:val="nil"/>
            </w:tcBorders>
          </w:tcPr>
          <w:p w14:paraId="3BB45CF9" w14:textId="492A51BA" w:rsidR="00BA0EB4" w:rsidRPr="00E148B5" w:rsidRDefault="00E148B5" w:rsidP="00B10D83">
            <w:pPr>
              <w:spacing w:before="20" w:after="40"/>
              <w:ind w:left="335" w:hanging="360"/>
              <w:rPr>
                <w:rFonts w:ascii="Arial" w:hAnsi="Arial" w:cs="Arial"/>
                <w:sz w:val="20"/>
                <w:szCs w:val="20"/>
                <w:lang w:val="es-ES_tradnl"/>
              </w:rPr>
            </w:pPr>
            <w:r>
              <w:rPr>
                <w:rFonts w:ascii="Arial" w:hAnsi="Arial" w:cs="Arial"/>
                <w:sz w:val="20"/>
                <w:szCs w:val="20"/>
                <w:lang w:val="es-ES_tradnl"/>
              </w:rPr>
              <w:t xml:space="preserve">4.2 </w:t>
            </w:r>
            <w:r w:rsidR="00BA0EB4" w:rsidRPr="00E148B5">
              <w:rPr>
                <w:rFonts w:ascii="Arial" w:hAnsi="Arial" w:cs="Arial"/>
                <w:sz w:val="20"/>
                <w:szCs w:val="20"/>
                <w:lang w:val="es-ES_tradnl"/>
              </w:rPr>
              <w:t xml:space="preserve">(i) Diseño e implementación del módulo de inventario inicial de bienes del Sistema Integrado de Administración de Recursos del Estado (SIARE) en cinco instituciones piloto. </w:t>
            </w:r>
          </w:p>
        </w:tc>
        <w:tc>
          <w:tcPr>
            <w:tcW w:w="856" w:type="pct"/>
            <w:tcBorders>
              <w:top w:val="nil"/>
            </w:tcBorders>
          </w:tcPr>
          <w:p w14:paraId="32D778F7" w14:textId="4002A185" w:rsidR="00BA0EB4" w:rsidRPr="00E148B5" w:rsidRDefault="00E148B5" w:rsidP="00B10D83">
            <w:pPr>
              <w:spacing w:before="20" w:after="40"/>
              <w:ind w:left="335" w:hanging="360"/>
              <w:rPr>
                <w:rFonts w:ascii="Arial" w:hAnsi="Arial" w:cs="Arial"/>
                <w:sz w:val="20"/>
                <w:szCs w:val="20"/>
                <w:lang w:val="es-ES_tradnl"/>
              </w:rPr>
            </w:pPr>
            <w:r>
              <w:rPr>
                <w:rFonts w:ascii="Arial" w:hAnsi="Arial" w:cs="Arial"/>
                <w:sz w:val="20"/>
                <w:szCs w:val="20"/>
                <w:lang w:val="es-ES_tradnl"/>
              </w:rPr>
              <w:t xml:space="preserve">4.2 </w:t>
            </w:r>
            <w:r w:rsidR="00BA0EB4" w:rsidRPr="00E148B5">
              <w:rPr>
                <w:rFonts w:ascii="Arial" w:hAnsi="Arial" w:cs="Arial"/>
                <w:sz w:val="20"/>
                <w:szCs w:val="20"/>
                <w:lang w:val="es-ES_tradnl"/>
              </w:rPr>
              <w:t xml:space="preserve">(i) Informe emitido por la Unidad Coordinadora de Proyectos del MH que dé cuenta de la implementación del módulo de inventarios del SIARE. </w:t>
            </w:r>
          </w:p>
          <w:p w14:paraId="0F485C66" w14:textId="699BFF2E" w:rsidR="00BA0EB4" w:rsidRPr="00206423" w:rsidRDefault="00BA0EB4" w:rsidP="00B10D83">
            <w:pPr>
              <w:spacing w:before="20" w:after="40"/>
              <w:ind w:left="335" w:hanging="360"/>
              <w:rPr>
                <w:rFonts w:ascii="Arial" w:hAnsi="Arial" w:cs="Arial"/>
                <w:sz w:val="20"/>
                <w:szCs w:val="20"/>
                <w:lang w:val="es-ES_tradnl"/>
              </w:rPr>
            </w:pPr>
          </w:p>
        </w:tc>
        <w:tc>
          <w:tcPr>
            <w:tcW w:w="789" w:type="pct"/>
            <w:tcBorders>
              <w:top w:val="nil"/>
            </w:tcBorders>
          </w:tcPr>
          <w:p w14:paraId="7524820E" w14:textId="657475C8" w:rsidR="00BA0EB4" w:rsidRPr="00206423" w:rsidRDefault="00BA0EB4" w:rsidP="00206423">
            <w:pPr>
              <w:spacing w:before="20" w:after="40"/>
              <w:ind w:left="-120" w:right="-60"/>
              <w:jc w:val="center"/>
              <w:rPr>
                <w:rFonts w:ascii="Arial" w:hAnsi="Arial" w:cs="Arial"/>
                <w:sz w:val="20"/>
                <w:szCs w:val="20"/>
                <w:lang w:val="es-ES_tradnl"/>
              </w:rPr>
            </w:pPr>
            <w:r w:rsidRPr="00206423">
              <w:rPr>
                <w:rFonts w:ascii="Arial" w:hAnsi="Arial" w:cs="Arial"/>
                <w:sz w:val="20"/>
                <w:szCs w:val="20"/>
                <w:lang w:val="es-ES_tradnl"/>
              </w:rPr>
              <w:lastRenderedPageBreak/>
              <w:t>Por cumplir</w:t>
            </w:r>
            <w:r w:rsidR="00EB4325">
              <w:rPr>
                <w:rFonts w:ascii="Arial" w:hAnsi="Arial" w:cs="Arial"/>
                <w:sz w:val="20"/>
                <w:szCs w:val="20"/>
                <w:lang w:val="es-ES_tradnl"/>
              </w:rPr>
              <w:t xml:space="preserve"> </w:t>
            </w:r>
            <w:r w:rsidR="00EB4325">
              <w:rPr>
                <w:rFonts w:ascii="Arial" w:hAnsi="Arial" w:cs="Arial"/>
                <w:sz w:val="20"/>
                <w:szCs w:val="20"/>
                <w:lang w:val="es-AR"/>
              </w:rPr>
              <w:t>(IV</w:t>
            </w:r>
            <w:r w:rsidR="002C5DB3">
              <w:rPr>
                <w:rFonts w:ascii="Arial" w:hAnsi="Arial" w:cs="Arial"/>
                <w:sz w:val="20"/>
                <w:szCs w:val="20"/>
                <w:lang w:val="es-AR"/>
              </w:rPr>
              <w:t xml:space="preserve"> Trimestre</w:t>
            </w:r>
            <w:r w:rsidR="00EB4325">
              <w:rPr>
                <w:rFonts w:ascii="Arial" w:hAnsi="Arial" w:cs="Arial"/>
                <w:sz w:val="20"/>
                <w:szCs w:val="20"/>
                <w:lang w:val="es-AR"/>
              </w:rPr>
              <w:t>/2019)</w:t>
            </w:r>
          </w:p>
          <w:p w14:paraId="0D289E1B" w14:textId="74F90075" w:rsidR="00BA0EB4" w:rsidRPr="00206423" w:rsidRDefault="00BA0EB4" w:rsidP="00BA0EB4">
            <w:pPr>
              <w:spacing w:before="20" w:after="40"/>
              <w:ind w:right="-60"/>
              <w:rPr>
                <w:rFonts w:ascii="Arial" w:hAnsi="Arial" w:cs="Arial"/>
                <w:sz w:val="20"/>
                <w:szCs w:val="20"/>
                <w:lang w:val="es-ES_tradnl"/>
              </w:rPr>
            </w:pPr>
          </w:p>
        </w:tc>
        <w:tc>
          <w:tcPr>
            <w:tcW w:w="889" w:type="pct"/>
            <w:tcBorders>
              <w:top w:val="nil"/>
            </w:tcBorders>
          </w:tcPr>
          <w:p w14:paraId="7DF5DFDC" w14:textId="77DE4CCD" w:rsidR="00BA0EB4" w:rsidRPr="00E148B5" w:rsidRDefault="00E148B5" w:rsidP="00460BBF">
            <w:pPr>
              <w:spacing w:before="20" w:after="40"/>
              <w:ind w:left="293" w:hanging="360"/>
              <w:rPr>
                <w:rFonts w:ascii="Arial" w:hAnsi="Arial" w:cs="Arial"/>
                <w:sz w:val="20"/>
                <w:szCs w:val="20"/>
                <w:lang w:val="es-ES_tradnl"/>
              </w:rPr>
            </w:pPr>
            <w:r>
              <w:rPr>
                <w:rFonts w:ascii="Arial" w:hAnsi="Arial" w:cs="Arial"/>
                <w:sz w:val="20"/>
                <w:szCs w:val="20"/>
                <w:lang w:val="es-ES_tradnl"/>
              </w:rPr>
              <w:t xml:space="preserve">4.2 </w:t>
            </w:r>
            <w:r w:rsidR="00BA0EB4" w:rsidRPr="00E148B5">
              <w:rPr>
                <w:rFonts w:ascii="Arial" w:hAnsi="Arial" w:cs="Arial"/>
                <w:sz w:val="20"/>
                <w:szCs w:val="20"/>
                <w:lang w:val="es-ES_tradnl"/>
              </w:rPr>
              <w:t>(i) Diseño e implementación del módulo de formulación presupuestaria del SIARE en la Administración Central.</w:t>
            </w:r>
          </w:p>
        </w:tc>
        <w:tc>
          <w:tcPr>
            <w:tcW w:w="822" w:type="pct"/>
            <w:tcBorders>
              <w:top w:val="nil"/>
            </w:tcBorders>
          </w:tcPr>
          <w:p w14:paraId="2A08AB3F" w14:textId="53E16775" w:rsidR="00BA0EB4" w:rsidRPr="00E148B5" w:rsidRDefault="00E148B5" w:rsidP="00460BBF">
            <w:pPr>
              <w:spacing w:before="20" w:after="40"/>
              <w:ind w:left="293" w:hanging="360"/>
              <w:rPr>
                <w:rFonts w:ascii="Arial" w:hAnsi="Arial" w:cs="Arial"/>
                <w:sz w:val="20"/>
                <w:szCs w:val="20"/>
                <w:lang w:val="es-ES_tradnl"/>
              </w:rPr>
            </w:pPr>
            <w:r>
              <w:rPr>
                <w:rFonts w:ascii="Arial" w:hAnsi="Arial" w:cs="Arial"/>
                <w:sz w:val="20"/>
                <w:szCs w:val="20"/>
                <w:lang w:val="es-ES_tradnl"/>
              </w:rPr>
              <w:t xml:space="preserve">4.2 </w:t>
            </w:r>
            <w:r w:rsidR="00BA0EB4" w:rsidRPr="00E148B5">
              <w:rPr>
                <w:rFonts w:ascii="Arial" w:hAnsi="Arial" w:cs="Arial"/>
                <w:sz w:val="20"/>
                <w:szCs w:val="20"/>
                <w:lang w:val="es-ES_tradnl"/>
              </w:rPr>
              <w:t xml:space="preserve">(i) Informe emitido por la Unidad Coordinadora de Proyectos del MH que dé cuenta de la implementación del módulo de formulación </w:t>
            </w:r>
            <w:r w:rsidR="00BA0EB4" w:rsidRPr="00E148B5">
              <w:rPr>
                <w:rFonts w:ascii="Arial" w:hAnsi="Arial" w:cs="Arial"/>
                <w:sz w:val="20"/>
                <w:szCs w:val="20"/>
                <w:lang w:val="es-ES_tradnl"/>
              </w:rPr>
              <w:lastRenderedPageBreak/>
              <w:t xml:space="preserve">presupuestaria del SIARE. </w:t>
            </w:r>
          </w:p>
        </w:tc>
      </w:tr>
      <w:tr w:rsidR="00BA0EB4" w:rsidRPr="00CD669B" w14:paraId="5C6C9937" w14:textId="77777777" w:rsidTr="000C6DCC">
        <w:trPr>
          <w:trHeight w:val="20"/>
        </w:trPr>
        <w:tc>
          <w:tcPr>
            <w:tcW w:w="624" w:type="pct"/>
          </w:tcPr>
          <w:p w14:paraId="56BCB6F7" w14:textId="77777777" w:rsidR="00BA0EB4" w:rsidRPr="00206423" w:rsidRDefault="00BA0EB4" w:rsidP="00206423">
            <w:pPr>
              <w:spacing w:before="20" w:after="40"/>
              <w:ind w:left="-30" w:right="-105"/>
              <w:rPr>
                <w:rFonts w:ascii="Arial" w:hAnsi="Arial" w:cs="Arial"/>
                <w:sz w:val="20"/>
                <w:szCs w:val="20"/>
                <w:lang w:val="es-ES_tradnl"/>
              </w:rPr>
            </w:pPr>
          </w:p>
        </w:tc>
        <w:tc>
          <w:tcPr>
            <w:tcW w:w="1020" w:type="pct"/>
            <w:tcBorders>
              <w:top w:val="nil"/>
            </w:tcBorders>
          </w:tcPr>
          <w:p w14:paraId="20C3F521" w14:textId="51C92469" w:rsidR="00BA0EB4" w:rsidRPr="00BA0EB4" w:rsidRDefault="00BA0EB4" w:rsidP="00525CC5">
            <w:pPr>
              <w:spacing w:before="20" w:after="40"/>
              <w:ind w:left="245"/>
              <w:rPr>
                <w:rFonts w:ascii="Arial" w:hAnsi="Arial" w:cs="Arial"/>
                <w:sz w:val="20"/>
                <w:szCs w:val="20"/>
                <w:lang w:val="es-ES_tradnl"/>
              </w:rPr>
            </w:pPr>
            <w:r w:rsidRPr="00206423">
              <w:rPr>
                <w:rFonts w:ascii="Arial" w:hAnsi="Arial" w:cs="Arial"/>
                <w:sz w:val="20"/>
                <w:szCs w:val="20"/>
                <w:lang w:val="es-ES_tradnl"/>
              </w:rPr>
              <w:t>(</w:t>
            </w:r>
            <w:proofErr w:type="spellStart"/>
            <w:r w:rsidRPr="00206423">
              <w:rPr>
                <w:rFonts w:ascii="Arial" w:hAnsi="Arial" w:cs="Arial"/>
                <w:sz w:val="20"/>
                <w:szCs w:val="20"/>
                <w:lang w:val="es-ES_tradnl"/>
              </w:rPr>
              <w:t>ii</w:t>
            </w:r>
            <w:proofErr w:type="spellEnd"/>
            <w:r w:rsidRPr="00206423">
              <w:rPr>
                <w:rFonts w:ascii="Arial" w:hAnsi="Arial" w:cs="Arial"/>
                <w:sz w:val="20"/>
                <w:szCs w:val="20"/>
                <w:lang w:val="es-ES_tradnl"/>
              </w:rPr>
              <w:t>) Promulgación y publicación de la ley que dispone la adopción del Sistema Integrado de Administración Financiera (SIAF) a nivel municipal.</w:t>
            </w:r>
          </w:p>
        </w:tc>
        <w:tc>
          <w:tcPr>
            <w:tcW w:w="856" w:type="pct"/>
          </w:tcPr>
          <w:p w14:paraId="189FACD6" w14:textId="00F385D0" w:rsidR="00BA0EB4" w:rsidRPr="00BA0EB4" w:rsidRDefault="00BA0EB4" w:rsidP="00525CC5">
            <w:pPr>
              <w:spacing w:before="20" w:after="40"/>
              <w:ind w:left="338"/>
              <w:rPr>
                <w:rFonts w:ascii="Arial" w:hAnsi="Arial" w:cs="Arial"/>
                <w:sz w:val="20"/>
                <w:szCs w:val="20"/>
                <w:lang w:val="es-ES_tradnl"/>
              </w:rPr>
            </w:pPr>
            <w:r w:rsidRPr="00206423">
              <w:rPr>
                <w:rFonts w:ascii="Arial" w:hAnsi="Arial" w:cs="Arial"/>
                <w:sz w:val="20"/>
                <w:szCs w:val="20"/>
                <w:lang w:val="es-ES_tradnl"/>
              </w:rPr>
              <w:t>(</w:t>
            </w:r>
            <w:proofErr w:type="spellStart"/>
            <w:r w:rsidRPr="00206423">
              <w:rPr>
                <w:rFonts w:ascii="Arial" w:hAnsi="Arial" w:cs="Arial"/>
                <w:sz w:val="20"/>
                <w:szCs w:val="20"/>
                <w:lang w:val="es-ES_tradnl"/>
              </w:rPr>
              <w:t>ii</w:t>
            </w:r>
            <w:proofErr w:type="spellEnd"/>
            <w:r w:rsidRPr="00206423">
              <w:rPr>
                <w:rFonts w:ascii="Arial" w:hAnsi="Arial" w:cs="Arial"/>
                <w:sz w:val="20"/>
                <w:szCs w:val="20"/>
                <w:lang w:val="es-ES_tradnl"/>
              </w:rPr>
              <w:t xml:space="preserve">) Publicación en </w:t>
            </w:r>
            <w:r w:rsidRPr="00206423">
              <w:rPr>
                <w:rFonts w:ascii="Arial" w:eastAsia="Times New Roman" w:hAnsi="Arial" w:cs="Arial"/>
                <w:sz w:val="20"/>
                <w:szCs w:val="20"/>
                <w:lang w:val="es-ES_tradnl"/>
              </w:rPr>
              <w:t xml:space="preserve">la Gaceta Oficial de la República del Paraguay </w:t>
            </w:r>
            <w:r w:rsidRPr="00206423">
              <w:rPr>
                <w:rFonts w:ascii="Arial" w:hAnsi="Arial" w:cs="Arial"/>
                <w:sz w:val="20"/>
                <w:szCs w:val="20"/>
                <w:lang w:val="es-ES_tradnl"/>
              </w:rPr>
              <w:t>de la Ley que dispone la adopción del SIAF.</w:t>
            </w:r>
          </w:p>
        </w:tc>
        <w:tc>
          <w:tcPr>
            <w:tcW w:w="789" w:type="pct"/>
          </w:tcPr>
          <w:p w14:paraId="40B649E9" w14:textId="0F937B26" w:rsidR="00BA0EB4" w:rsidRPr="00206423" w:rsidRDefault="00BA0EB4" w:rsidP="00206423">
            <w:pPr>
              <w:spacing w:before="20" w:after="40"/>
              <w:ind w:left="-120" w:right="-60"/>
              <w:jc w:val="center"/>
              <w:rPr>
                <w:rFonts w:ascii="Arial" w:hAnsi="Arial" w:cs="Arial"/>
                <w:sz w:val="20"/>
                <w:szCs w:val="20"/>
                <w:lang w:val="es-ES_tradnl"/>
              </w:rPr>
            </w:pPr>
            <w:r w:rsidRPr="00206423">
              <w:rPr>
                <w:rFonts w:ascii="Arial" w:hAnsi="Arial" w:cs="Arial"/>
                <w:sz w:val="20"/>
                <w:szCs w:val="20"/>
                <w:lang w:val="es-ES_tradnl"/>
              </w:rPr>
              <w:t>Cumplida</w:t>
            </w:r>
          </w:p>
        </w:tc>
        <w:tc>
          <w:tcPr>
            <w:tcW w:w="889" w:type="pct"/>
          </w:tcPr>
          <w:p w14:paraId="2C3E4404" w14:textId="4B553FE6" w:rsidR="00BA0EB4" w:rsidRPr="00BA0EB4" w:rsidRDefault="00BA0EB4" w:rsidP="00525CC5">
            <w:pPr>
              <w:spacing w:before="20" w:after="40"/>
              <w:ind w:left="335"/>
              <w:rPr>
                <w:rFonts w:ascii="Arial" w:hAnsi="Arial" w:cs="Arial"/>
                <w:sz w:val="20"/>
                <w:szCs w:val="20"/>
                <w:lang w:val="es-ES_tradnl"/>
              </w:rPr>
            </w:pPr>
            <w:r w:rsidRPr="00206423">
              <w:rPr>
                <w:rFonts w:ascii="Arial" w:hAnsi="Arial" w:cs="Arial"/>
                <w:sz w:val="20"/>
                <w:szCs w:val="20"/>
                <w:lang w:val="es-ES_tradnl"/>
              </w:rPr>
              <w:t>(</w:t>
            </w:r>
            <w:proofErr w:type="spellStart"/>
            <w:r w:rsidRPr="00206423">
              <w:rPr>
                <w:rFonts w:ascii="Arial" w:hAnsi="Arial" w:cs="Arial"/>
                <w:sz w:val="20"/>
                <w:szCs w:val="20"/>
                <w:lang w:val="es-ES_tradnl"/>
              </w:rPr>
              <w:t>ii</w:t>
            </w:r>
            <w:proofErr w:type="spellEnd"/>
            <w:r w:rsidRPr="00206423">
              <w:rPr>
                <w:rFonts w:ascii="Arial" w:hAnsi="Arial" w:cs="Arial"/>
                <w:sz w:val="20"/>
                <w:szCs w:val="20"/>
                <w:lang w:val="es-ES_tradnl"/>
              </w:rPr>
              <w:t>) Emisión de normas y procedimientos vinculados en la forma en que deben adoptar los municipios el SIAF.</w:t>
            </w:r>
          </w:p>
        </w:tc>
        <w:tc>
          <w:tcPr>
            <w:tcW w:w="822" w:type="pct"/>
          </w:tcPr>
          <w:p w14:paraId="6BC41528" w14:textId="072FEB9A" w:rsidR="00BA0EB4" w:rsidRPr="00BA0EB4" w:rsidRDefault="00BA0EB4" w:rsidP="00525CC5">
            <w:pPr>
              <w:spacing w:before="20" w:after="40"/>
              <w:ind w:left="335"/>
              <w:rPr>
                <w:rFonts w:ascii="Arial" w:hAnsi="Arial" w:cs="Arial"/>
                <w:sz w:val="20"/>
                <w:szCs w:val="20"/>
                <w:lang w:val="es-ES_tradnl"/>
              </w:rPr>
            </w:pPr>
            <w:r w:rsidRPr="00206423">
              <w:rPr>
                <w:rFonts w:ascii="Arial" w:hAnsi="Arial" w:cs="Arial"/>
                <w:sz w:val="20"/>
                <w:szCs w:val="20"/>
                <w:lang w:val="es-ES_tradnl"/>
              </w:rPr>
              <w:t>(</w:t>
            </w:r>
            <w:proofErr w:type="spellStart"/>
            <w:r w:rsidRPr="00206423">
              <w:rPr>
                <w:rFonts w:ascii="Arial" w:hAnsi="Arial" w:cs="Arial"/>
                <w:sz w:val="20"/>
                <w:szCs w:val="20"/>
                <w:lang w:val="es-ES_tradnl"/>
              </w:rPr>
              <w:t>ii</w:t>
            </w:r>
            <w:proofErr w:type="spellEnd"/>
            <w:r w:rsidRPr="00206423">
              <w:rPr>
                <w:rFonts w:ascii="Arial" w:hAnsi="Arial" w:cs="Arial"/>
                <w:sz w:val="20"/>
                <w:szCs w:val="20"/>
                <w:lang w:val="es-ES_tradnl"/>
              </w:rPr>
              <w:t>) Copia de las normas y procedimientos vinculados en la forma en que deben estar conectadas e incorporados los municipios al SIAF.</w:t>
            </w:r>
          </w:p>
        </w:tc>
      </w:tr>
      <w:tr w:rsidR="008C42F7" w:rsidRPr="00CD669B" w14:paraId="1D96EA39" w14:textId="77777777" w:rsidTr="000C6DCC">
        <w:trPr>
          <w:trHeight w:val="20"/>
        </w:trPr>
        <w:tc>
          <w:tcPr>
            <w:tcW w:w="624" w:type="pct"/>
          </w:tcPr>
          <w:p w14:paraId="39EF5CE9" w14:textId="24A0DA27" w:rsidR="006813A8" w:rsidRPr="00206423" w:rsidRDefault="006813A8" w:rsidP="00206423">
            <w:pPr>
              <w:spacing w:before="20" w:after="40"/>
              <w:ind w:left="-30" w:right="-105"/>
              <w:rPr>
                <w:rFonts w:ascii="Arial" w:hAnsi="Arial" w:cs="Arial"/>
                <w:sz w:val="20"/>
                <w:szCs w:val="20"/>
                <w:lang w:val="es-ES_tradnl"/>
              </w:rPr>
            </w:pPr>
            <w:r w:rsidRPr="00206423">
              <w:rPr>
                <w:rFonts w:ascii="Arial" w:hAnsi="Arial" w:cs="Arial"/>
                <w:sz w:val="20"/>
                <w:szCs w:val="20"/>
                <w:lang w:val="es-ES_tradnl"/>
              </w:rPr>
              <w:t xml:space="preserve">Mejorar la calidad del gasto en sectores prioritarios para </w:t>
            </w:r>
            <w:r w:rsidR="00525CC5">
              <w:rPr>
                <w:rFonts w:ascii="Arial" w:hAnsi="Arial" w:cs="Arial"/>
                <w:sz w:val="20"/>
                <w:szCs w:val="20"/>
                <w:lang w:val="es-ES_tradnl"/>
              </w:rPr>
              <w:br/>
            </w:r>
            <w:r w:rsidRPr="00206423">
              <w:rPr>
                <w:rFonts w:ascii="Arial" w:hAnsi="Arial" w:cs="Arial"/>
                <w:sz w:val="20"/>
                <w:szCs w:val="20"/>
                <w:lang w:val="es-ES_tradnl"/>
              </w:rPr>
              <w:t>el desarrollo económico</w:t>
            </w:r>
          </w:p>
        </w:tc>
        <w:tc>
          <w:tcPr>
            <w:tcW w:w="1020" w:type="pct"/>
          </w:tcPr>
          <w:p w14:paraId="1C0168AE" w14:textId="513FBDF3" w:rsidR="006813A8" w:rsidRPr="00105C6B" w:rsidRDefault="00105C6B" w:rsidP="00B10D83">
            <w:pPr>
              <w:spacing w:before="20" w:after="40"/>
              <w:ind w:left="335" w:hanging="360"/>
              <w:rPr>
                <w:rFonts w:ascii="Arial" w:hAnsi="Arial" w:cs="Arial"/>
                <w:sz w:val="20"/>
                <w:szCs w:val="20"/>
                <w:lang w:val="es-ES_tradnl"/>
              </w:rPr>
            </w:pPr>
            <w:r>
              <w:rPr>
                <w:rFonts w:ascii="Arial" w:hAnsi="Arial" w:cs="Arial"/>
                <w:sz w:val="20"/>
                <w:szCs w:val="20"/>
                <w:lang w:val="es-ES_tradnl"/>
              </w:rPr>
              <w:t xml:space="preserve">4.3 </w:t>
            </w:r>
            <w:r w:rsidR="006813A8" w:rsidRPr="00105C6B">
              <w:rPr>
                <w:rFonts w:ascii="Arial" w:hAnsi="Arial" w:cs="Arial"/>
                <w:sz w:val="20"/>
                <w:szCs w:val="20"/>
                <w:lang w:val="es-ES_tradnl"/>
              </w:rPr>
              <w:t>Adecuación al nuevo marco metodológico de los programas de presupuesto por resultados (PPR) en sectores prioritarios (educación, salud y protección social), incluyendo información y metas desagregadas en materia de género.</w:t>
            </w:r>
          </w:p>
        </w:tc>
        <w:tc>
          <w:tcPr>
            <w:tcW w:w="856" w:type="pct"/>
          </w:tcPr>
          <w:p w14:paraId="2ECC349B" w14:textId="71E77563" w:rsidR="006813A8" w:rsidRPr="00105C6B" w:rsidRDefault="00105C6B" w:rsidP="00B10D83">
            <w:pPr>
              <w:spacing w:before="20" w:after="40"/>
              <w:ind w:left="335" w:hanging="360"/>
              <w:rPr>
                <w:rFonts w:ascii="Arial" w:hAnsi="Arial" w:cs="Arial"/>
                <w:sz w:val="20"/>
                <w:szCs w:val="20"/>
                <w:lang w:val="es-ES_tradnl"/>
              </w:rPr>
            </w:pPr>
            <w:r>
              <w:rPr>
                <w:rFonts w:ascii="Arial" w:hAnsi="Arial" w:cs="Arial"/>
                <w:sz w:val="20"/>
                <w:szCs w:val="20"/>
                <w:lang w:val="es-ES_tradnl"/>
              </w:rPr>
              <w:t xml:space="preserve">4.3 </w:t>
            </w:r>
            <w:r w:rsidR="006813A8" w:rsidRPr="00105C6B">
              <w:rPr>
                <w:rFonts w:ascii="Arial" w:hAnsi="Arial" w:cs="Arial"/>
                <w:sz w:val="20"/>
                <w:szCs w:val="20"/>
                <w:lang w:val="es-ES_tradnl"/>
              </w:rPr>
              <w:t>Decreto de Lineamientos del Presupuesto General de la Nación que valide el nuevo marco metodológico publicado en la Gaceta Oficial de la República del Paraguay.</w:t>
            </w:r>
          </w:p>
        </w:tc>
        <w:tc>
          <w:tcPr>
            <w:tcW w:w="789" w:type="pct"/>
          </w:tcPr>
          <w:p w14:paraId="23920AD8" w14:textId="77CD9B25" w:rsidR="006813A8" w:rsidRPr="00206423" w:rsidRDefault="00AE647B" w:rsidP="00206423">
            <w:pPr>
              <w:spacing w:before="20" w:after="40"/>
              <w:ind w:left="-120" w:right="-60"/>
              <w:jc w:val="center"/>
              <w:rPr>
                <w:rFonts w:ascii="Arial" w:hAnsi="Arial" w:cs="Arial"/>
                <w:sz w:val="20"/>
                <w:szCs w:val="20"/>
                <w:lang w:val="es-ES_tradnl"/>
              </w:rPr>
            </w:pPr>
            <w:r w:rsidRPr="00206423">
              <w:rPr>
                <w:rFonts w:ascii="Arial" w:hAnsi="Arial" w:cs="Arial"/>
                <w:sz w:val="20"/>
                <w:szCs w:val="20"/>
                <w:lang w:val="es-ES_tradnl"/>
              </w:rPr>
              <w:t>Por cumplir</w:t>
            </w:r>
            <w:r w:rsidR="00EB4325">
              <w:rPr>
                <w:rFonts w:ascii="Arial" w:hAnsi="Arial" w:cs="Arial"/>
                <w:sz w:val="20"/>
                <w:szCs w:val="20"/>
                <w:lang w:val="es-ES_tradnl"/>
              </w:rPr>
              <w:t xml:space="preserve"> </w:t>
            </w:r>
            <w:r w:rsidR="00EB4325">
              <w:rPr>
                <w:rFonts w:ascii="Arial" w:hAnsi="Arial" w:cs="Arial"/>
                <w:sz w:val="20"/>
                <w:szCs w:val="20"/>
                <w:lang w:val="es-AR"/>
              </w:rPr>
              <w:t>(IV</w:t>
            </w:r>
            <w:r w:rsidR="002C5DB3">
              <w:rPr>
                <w:rFonts w:ascii="Arial" w:hAnsi="Arial" w:cs="Arial"/>
                <w:sz w:val="20"/>
                <w:szCs w:val="20"/>
                <w:lang w:val="es-AR"/>
              </w:rPr>
              <w:t xml:space="preserve"> Trimestre</w:t>
            </w:r>
            <w:r w:rsidR="00EB4325">
              <w:rPr>
                <w:rFonts w:ascii="Arial" w:hAnsi="Arial" w:cs="Arial"/>
                <w:sz w:val="20"/>
                <w:szCs w:val="20"/>
                <w:lang w:val="es-AR"/>
              </w:rPr>
              <w:t>/2019)</w:t>
            </w:r>
          </w:p>
        </w:tc>
        <w:tc>
          <w:tcPr>
            <w:tcW w:w="889" w:type="pct"/>
          </w:tcPr>
          <w:p w14:paraId="1AF0449D" w14:textId="7AF54903" w:rsidR="006813A8" w:rsidRPr="00206423" w:rsidRDefault="006813A8" w:rsidP="00B10D83">
            <w:pPr>
              <w:spacing w:before="20" w:after="40"/>
              <w:ind w:left="293" w:hanging="318"/>
              <w:rPr>
                <w:rFonts w:ascii="Arial" w:hAnsi="Arial" w:cs="Arial"/>
                <w:sz w:val="20"/>
                <w:szCs w:val="20"/>
                <w:lang w:val="es-ES_tradnl"/>
              </w:rPr>
            </w:pPr>
            <w:r w:rsidRPr="00206423">
              <w:rPr>
                <w:rFonts w:ascii="Arial" w:hAnsi="Arial" w:cs="Arial"/>
                <w:sz w:val="20"/>
                <w:szCs w:val="20"/>
                <w:lang w:val="es-ES_tradnl"/>
              </w:rPr>
              <w:t xml:space="preserve">4.3 Evaluación de diseño de los programas presupuestales aplicando el nuevo marco metodológico en sectores prioritarios (educación, salud y protección social), incluyendo información y metas desagregadas en materia de género. </w:t>
            </w:r>
          </w:p>
        </w:tc>
        <w:tc>
          <w:tcPr>
            <w:tcW w:w="822" w:type="pct"/>
          </w:tcPr>
          <w:p w14:paraId="6B0AEF9A" w14:textId="72514B8B" w:rsidR="006813A8" w:rsidRPr="00FA26D5" w:rsidRDefault="00FA26D5" w:rsidP="00B10D83">
            <w:pPr>
              <w:spacing w:before="20" w:after="40"/>
              <w:ind w:left="293" w:hanging="318"/>
              <w:rPr>
                <w:rFonts w:ascii="Arial" w:hAnsi="Arial" w:cs="Arial"/>
                <w:sz w:val="20"/>
                <w:szCs w:val="20"/>
                <w:lang w:val="es-ES_tradnl"/>
              </w:rPr>
            </w:pPr>
            <w:r>
              <w:rPr>
                <w:rFonts w:ascii="Arial" w:hAnsi="Arial" w:cs="Arial"/>
                <w:sz w:val="20"/>
                <w:szCs w:val="20"/>
                <w:lang w:val="es-ES_tradnl"/>
              </w:rPr>
              <w:t xml:space="preserve">4.3 </w:t>
            </w:r>
            <w:r w:rsidR="006813A8" w:rsidRPr="00FA26D5">
              <w:rPr>
                <w:rFonts w:ascii="Arial" w:hAnsi="Arial" w:cs="Arial"/>
                <w:sz w:val="20"/>
                <w:szCs w:val="20"/>
                <w:lang w:val="es-ES_tradnl"/>
              </w:rPr>
              <w:t xml:space="preserve">Informes de evaluación de diseño de los programas presupuestales aplicando el nuevo marco metodológico aprobados por la DGP. </w:t>
            </w:r>
          </w:p>
        </w:tc>
      </w:tr>
      <w:tr w:rsidR="008C42F7" w:rsidRPr="00CD669B" w14:paraId="1709CCDA" w14:textId="77777777" w:rsidTr="000C6DCC">
        <w:trPr>
          <w:trHeight w:val="20"/>
        </w:trPr>
        <w:tc>
          <w:tcPr>
            <w:tcW w:w="624" w:type="pct"/>
          </w:tcPr>
          <w:p w14:paraId="41A4492D" w14:textId="49DDBE18" w:rsidR="006813A8" w:rsidRPr="00206423" w:rsidRDefault="006813A8" w:rsidP="00206423">
            <w:pPr>
              <w:pStyle w:val="ListParagraph"/>
              <w:spacing w:before="20" w:after="40"/>
              <w:ind w:left="-30" w:right="-105"/>
              <w:contextualSpacing w:val="0"/>
              <w:rPr>
                <w:rFonts w:ascii="Arial" w:hAnsi="Arial" w:cs="Arial"/>
                <w:sz w:val="20"/>
                <w:szCs w:val="20"/>
                <w:lang w:val="es-AR"/>
              </w:rPr>
            </w:pPr>
            <w:r w:rsidRPr="00206423">
              <w:rPr>
                <w:rFonts w:ascii="Arial" w:hAnsi="Arial" w:cs="Arial"/>
                <w:sz w:val="20"/>
                <w:szCs w:val="20"/>
                <w:lang w:val="es-AR"/>
              </w:rPr>
              <w:t>Mejorar la calidad de la inversión pública</w:t>
            </w:r>
          </w:p>
        </w:tc>
        <w:tc>
          <w:tcPr>
            <w:tcW w:w="1020" w:type="pct"/>
          </w:tcPr>
          <w:p w14:paraId="598C3BB6" w14:textId="00A7A82D" w:rsidR="006813A8" w:rsidRPr="00105C6B" w:rsidRDefault="00105C6B" w:rsidP="00B10D83">
            <w:pPr>
              <w:spacing w:before="20" w:after="40"/>
              <w:ind w:left="335" w:hanging="360"/>
              <w:rPr>
                <w:rFonts w:ascii="Arial" w:hAnsi="Arial" w:cs="Arial"/>
                <w:sz w:val="20"/>
                <w:szCs w:val="20"/>
                <w:lang w:val="es-ES_tradnl"/>
              </w:rPr>
            </w:pPr>
            <w:r>
              <w:rPr>
                <w:rFonts w:ascii="Arial" w:hAnsi="Arial" w:cs="Arial"/>
                <w:sz w:val="20"/>
                <w:szCs w:val="20"/>
                <w:lang w:val="es-ES_tradnl"/>
              </w:rPr>
              <w:t xml:space="preserve">4.4 </w:t>
            </w:r>
            <w:r w:rsidR="006813A8" w:rsidRPr="00105C6B">
              <w:rPr>
                <w:rFonts w:ascii="Arial" w:hAnsi="Arial" w:cs="Arial"/>
                <w:sz w:val="20"/>
                <w:szCs w:val="20"/>
                <w:lang w:val="es-ES_tradnl"/>
              </w:rPr>
              <w:t xml:space="preserve">Promulgación y publicación de la Ley de Inversión Pública, que incluya, entre otros, el diseño de un plan de inversiones; y la conformación de un fondo de </w:t>
            </w:r>
            <w:proofErr w:type="spellStart"/>
            <w:r w:rsidR="006813A8" w:rsidRPr="00105C6B">
              <w:rPr>
                <w:rFonts w:ascii="Arial" w:hAnsi="Arial" w:cs="Arial"/>
                <w:sz w:val="20"/>
                <w:szCs w:val="20"/>
                <w:lang w:val="es-ES_tradnl"/>
              </w:rPr>
              <w:t>preinversión</w:t>
            </w:r>
            <w:proofErr w:type="spellEnd"/>
            <w:r w:rsidR="006813A8" w:rsidRPr="00105C6B">
              <w:rPr>
                <w:rFonts w:ascii="Arial" w:hAnsi="Arial" w:cs="Arial"/>
                <w:sz w:val="20"/>
                <w:szCs w:val="20"/>
                <w:lang w:val="es-ES_tradnl"/>
              </w:rPr>
              <w:t xml:space="preserve">, con el propósito de dotar de recursos a los </w:t>
            </w:r>
            <w:r w:rsidR="006813A8" w:rsidRPr="00105C6B">
              <w:rPr>
                <w:rFonts w:ascii="Arial" w:hAnsi="Arial" w:cs="Arial"/>
                <w:sz w:val="20"/>
                <w:szCs w:val="20"/>
                <w:lang w:val="es-ES_tradnl"/>
              </w:rPr>
              <w:lastRenderedPageBreak/>
              <w:t>Organismos y Entidades del Estado (OEE) para formular proyectos de inversión pública siguiendo las metodologías del Sistema Nacional de Inversión Pública (SNIP).</w:t>
            </w:r>
          </w:p>
        </w:tc>
        <w:tc>
          <w:tcPr>
            <w:tcW w:w="856" w:type="pct"/>
          </w:tcPr>
          <w:p w14:paraId="56980D3A" w14:textId="6FEAD210" w:rsidR="006813A8" w:rsidRPr="00105C6B" w:rsidRDefault="00105C6B" w:rsidP="00B10D83">
            <w:pPr>
              <w:spacing w:before="20" w:after="40"/>
              <w:ind w:left="335" w:hanging="360"/>
              <w:rPr>
                <w:rFonts w:ascii="Arial" w:hAnsi="Arial" w:cs="Arial"/>
                <w:sz w:val="20"/>
                <w:szCs w:val="20"/>
                <w:lang w:val="es-ES_tradnl"/>
              </w:rPr>
            </w:pPr>
            <w:r>
              <w:rPr>
                <w:rFonts w:ascii="Arial" w:hAnsi="Arial" w:cs="Arial"/>
                <w:sz w:val="20"/>
                <w:szCs w:val="20"/>
                <w:lang w:val="es-ES_tradnl"/>
              </w:rPr>
              <w:lastRenderedPageBreak/>
              <w:t xml:space="preserve">4.4 </w:t>
            </w:r>
            <w:r w:rsidR="006813A8" w:rsidRPr="00105C6B">
              <w:rPr>
                <w:rFonts w:ascii="Arial" w:hAnsi="Arial" w:cs="Arial"/>
                <w:sz w:val="20"/>
                <w:szCs w:val="20"/>
                <w:lang w:val="es-ES_tradnl"/>
              </w:rPr>
              <w:t>Publicación en la Gaceta Oficial de la República del Paraguay de la Ley de Inversión Pública.</w:t>
            </w:r>
          </w:p>
        </w:tc>
        <w:tc>
          <w:tcPr>
            <w:tcW w:w="789" w:type="pct"/>
          </w:tcPr>
          <w:p w14:paraId="62D9BD4A" w14:textId="321F3580" w:rsidR="006813A8" w:rsidRPr="00206423" w:rsidRDefault="00AE647B" w:rsidP="00206423">
            <w:pPr>
              <w:spacing w:before="20" w:after="40"/>
              <w:ind w:left="-120" w:right="-60"/>
              <w:jc w:val="center"/>
              <w:rPr>
                <w:rFonts w:ascii="Arial" w:hAnsi="Arial" w:cs="Arial"/>
                <w:sz w:val="20"/>
                <w:szCs w:val="20"/>
                <w:lang w:val="es-ES_tradnl"/>
              </w:rPr>
            </w:pPr>
            <w:r w:rsidRPr="00206423">
              <w:rPr>
                <w:rFonts w:ascii="Arial" w:hAnsi="Arial" w:cs="Arial"/>
                <w:sz w:val="20"/>
                <w:szCs w:val="20"/>
                <w:lang w:val="es-ES_tradnl"/>
              </w:rPr>
              <w:t>Por cumplir</w:t>
            </w:r>
            <w:r w:rsidR="00EB4325">
              <w:rPr>
                <w:rFonts w:ascii="Arial" w:hAnsi="Arial" w:cs="Arial"/>
                <w:sz w:val="20"/>
                <w:szCs w:val="20"/>
                <w:lang w:val="es-ES_tradnl"/>
              </w:rPr>
              <w:t xml:space="preserve"> </w:t>
            </w:r>
            <w:r w:rsidR="00EB4325">
              <w:rPr>
                <w:rFonts w:ascii="Arial" w:hAnsi="Arial" w:cs="Arial"/>
                <w:sz w:val="20"/>
                <w:szCs w:val="20"/>
                <w:lang w:val="es-AR"/>
              </w:rPr>
              <w:t>(IV</w:t>
            </w:r>
            <w:r w:rsidR="002C5DB3">
              <w:rPr>
                <w:rFonts w:ascii="Arial" w:hAnsi="Arial" w:cs="Arial"/>
                <w:sz w:val="20"/>
                <w:szCs w:val="20"/>
                <w:lang w:val="es-AR"/>
              </w:rPr>
              <w:t xml:space="preserve"> Trimestre</w:t>
            </w:r>
            <w:r w:rsidR="00EB4325">
              <w:rPr>
                <w:rFonts w:ascii="Arial" w:hAnsi="Arial" w:cs="Arial"/>
                <w:sz w:val="20"/>
                <w:szCs w:val="20"/>
                <w:lang w:val="es-AR"/>
              </w:rPr>
              <w:t>/2019)</w:t>
            </w:r>
          </w:p>
        </w:tc>
        <w:tc>
          <w:tcPr>
            <w:tcW w:w="889" w:type="pct"/>
          </w:tcPr>
          <w:p w14:paraId="20E95949" w14:textId="6DC9EEE0" w:rsidR="006813A8" w:rsidRPr="00206423" w:rsidRDefault="006813A8" w:rsidP="00B10D83">
            <w:pPr>
              <w:spacing w:before="20" w:after="40"/>
              <w:ind w:left="293" w:hanging="318"/>
              <w:rPr>
                <w:rFonts w:ascii="Arial" w:hAnsi="Arial" w:cs="Arial"/>
                <w:sz w:val="20"/>
                <w:szCs w:val="20"/>
                <w:lang w:val="es-ES_tradnl"/>
              </w:rPr>
            </w:pPr>
            <w:r w:rsidRPr="00206423">
              <w:rPr>
                <w:rFonts w:ascii="Arial" w:hAnsi="Arial" w:cs="Arial"/>
                <w:sz w:val="20"/>
                <w:szCs w:val="20"/>
                <w:lang w:val="es-ES_tradnl"/>
              </w:rPr>
              <w:t xml:space="preserve">4.4 Aprobación del reglamento de la Ley de Inversión Pública, que incluya, entre otros, el diseño de un plan de inversiones; y la conformación de un fondo de </w:t>
            </w:r>
            <w:proofErr w:type="spellStart"/>
            <w:r w:rsidRPr="00206423">
              <w:rPr>
                <w:rFonts w:ascii="Arial" w:hAnsi="Arial" w:cs="Arial"/>
                <w:sz w:val="20"/>
                <w:szCs w:val="20"/>
                <w:lang w:val="es-ES_tradnl"/>
              </w:rPr>
              <w:t>preinversión</w:t>
            </w:r>
            <w:proofErr w:type="spellEnd"/>
            <w:r w:rsidRPr="00206423">
              <w:rPr>
                <w:rFonts w:ascii="Arial" w:hAnsi="Arial" w:cs="Arial"/>
                <w:sz w:val="20"/>
                <w:szCs w:val="20"/>
                <w:lang w:val="es-ES_tradnl"/>
              </w:rPr>
              <w:t xml:space="preserve">, con el </w:t>
            </w:r>
            <w:r w:rsidRPr="00206423">
              <w:rPr>
                <w:rFonts w:ascii="Arial" w:hAnsi="Arial" w:cs="Arial"/>
                <w:sz w:val="20"/>
                <w:szCs w:val="20"/>
                <w:lang w:val="es-ES_tradnl"/>
              </w:rPr>
              <w:lastRenderedPageBreak/>
              <w:t>propósito de dotar de recursos a los OEE para formular proyectos de inversión pública siguiendo las metodologías del SNIP.</w:t>
            </w:r>
          </w:p>
        </w:tc>
        <w:tc>
          <w:tcPr>
            <w:tcW w:w="822" w:type="pct"/>
          </w:tcPr>
          <w:p w14:paraId="224047A8" w14:textId="648ACF03" w:rsidR="006813A8" w:rsidRPr="00FA26D5" w:rsidRDefault="00FA26D5" w:rsidP="00B10D83">
            <w:pPr>
              <w:spacing w:before="20" w:after="40"/>
              <w:ind w:left="293" w:hanging="318"/>
              <w:rPr>
                <w:rFonts w:ascii="Arial" w:hAnsi="Arial" w:cs="Arial"/>
                <w:sz w:val="20"/>
                <w:szCs w:val="20"/>
                <w:lang w:val="es-ES_tradnl"/>
              </w:rPr>
            </w:pPr>
            <w:r>
              <w:rPr>
                <w:rFonts w:ascii="Arial" w:hAnsi="Arial" w:cs="Arial"/>
                <w:sz w:val="20"/>
                <w:szCs w:val="20"/>
                <w:lang w:val="es-ES_tradnl"/>
              </w:rPr>
              <w:lastRenderedPageBreak/>
              <w:t xml:space="preserve">4.4 </w:t>
            </w:r>
            <w:r w:rsidR="006813A8" w:rsidRPr="00FA26D5">
              <w:rPr>
                <w:rFonts w:ascii="Arial" w:hAnsi="Arial" w:cs="Arial"/>
                <w:sz w:val="20"/>
                <w:szCs w:val="20"/>
                <w:lang w:val="es-ES_tradnl"/>
              </w:rPr>
              <w:t>Publicación en la Gaceta Oficial de la República del Paraguay del Decreto del Ejecutivo que reglamenta la Ley de Inversión Pública.</w:t>
            </w:r>
          </w:p>
        </w:tc>
      </w:tr>
    </w:tbl>
    <w:p w14:paraId="6E049259" w14:textId="77777777" w:rsidR="001C4570" w:rsidRPr="009C5F26" w:rsidRDefault="001C4570" w:rsidP="001646AC">
      <w:pPr>
        <w:rPr>
          <w:lang w:val="es-ES_tradnl"/>
        </w:rPr>
      </w:pPr>
    </w:p>
    <w:sectPr w:rsidR="001C4570" w:rsidRPr="009C5F26" w:rsidSect="00BC5621">
      <w:headerReference w:type="even" r:id="rId8"/>
      <w:headerReference w:type="default" r:id="rId9"/>
      <w:headerReference w:type="first" r:id="rId10"/>
      <w:pgSz w:w="15840" w:h="12240" w:orient="landscape"/>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48DCAD" w14:textId="77777777" w:rsidR="008117BF" w:rsidRDefault="008117BF" w:rsidP="009C5F26">
      <w:pPr>
        <w:spacing w:after="0" w:line="240" w:lineRule="auto"/>
      </w:pPr>
      <w:r>
        <w:separator/>
      </w:r>
    </w:p>
  </w:endnote>
  <w:endnote w:type="continuationSeparator" w:id="0">
    <w:p w14:paraId="0FC0D874" w14:textId="77777777" w:rsidR="008117BF" w:rsidRDefault="008117BF" w:rsidP="009C5F26">
      <w:pPr>
        <w:spacing w:after="0" w:line="240" w:lineRule="auto"/>
      </w:pPr>
      <w:r>
        <w:continuationSeparator/>
      </w:r>
    </w:p>
  </w:endnote>
  <w:endnote w:type="continuationNotice" w:id="1">
    <w:p w14:paraId="51C13BB1" w14:textId="77777777" w:rsidR="008117BF" w:rsidRDefault="008117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C33320" w14:textId="77777777" w:rsidR="008117BF" w:rsidRDefault="008117BF" w:rsidP="009C5F26">
      <w:pPr>
        <w:spacing w:after="0" w:line="240" w:lineRule="auto"/>
      </w:pPr>
      <w:r>
        <w:separator/>
      </w:r>
    </w:p>
  </w:footnote>
  <w:footnote w:type="continuationSeparator" w:id="0">
    <w:p w14:paraId="7D6C16E3" w14:textId="77777777" w:rsidR="008117BF" w:rsidRDefault="008117BF" w:rsidP="009C5F26">
      <w:pPr>
        <w:spacing w:after="0" w:line="240" w:lineRule="auto"/>
      </w:pPr>
      <w:r>
        <w:continuationSeparator/>
      </w:r>
    </w:p>
  </w:footnote>
  <w:footnote w:type="continuationNotice" w:id="1">
    <w:p w14:paraId="26EB207D" w14:textId="77777777" w:rsidR="008117BF" w:rsidRDefault="008117BF">
      <w:pPr>
        <w:spacing w:after="0" w:line="240" w:lineRule="auto"/>
      </w:pPr>
    </w:p>
  </w:footnote>
  <w:footnote w:id="2">
    <w:p w14:paraId="3D0ABE9D" w14:textId="2B06CED1" w:rsidR="00787B83" w:rsidRPr="00BC5621" w:rsidRDefault="00787B83" w:rsidP="00BC5621">
      <w:pPr>
        <w:pStyle w:val="FootnoteText"/>
        <w:ind w:left="180" w:hanging="180"/>
        <w:jc w:val="both"/>
        <w:rPr>
          <w:rFonts w:ascii="Arial" w:hAnsi="Arial" w:cs="Arial"/>
          <w:sz w:val="18"/>
          <w:lang w:val="es-ES_tradnl"/>
        </w:rPr>
      </w:pPr>
      <w:r w:rsidRPr="00BC5621">
        <w:rPr>
          <w:rStyle w:val="FootnoteReference"/>
          <w:rFonts w:ascii="Arial" w:hAnsi="Arial" w:cs="Arial"/>
          <w:sz w:val="18"/>
        </w:rPr>
        <w:footnoteRef/>
      </w:r>
      <w:r w:rsidRPr="00BC5621">
        <w:rPr>
          <w:rFonts w:ascii="Arial" w:hAnsi="Arial" w:cs="Arial"/>
          <w:sz w:val="18"/>
          <w:lang w:val="es-419"/>
        </w:rPr>
        <w:t xml:space="preserve"> </w:t>
      </w:r>
      <w:r w:rsidRPr="00BC5621">
        <w:rPr>
          <w:rFonts w:ascii="Arial" w:hAnsi="Arial" w:cs="Arial"/>
          <w:sz w:val="18"/>
          <w:lang w:val="es-419"/>
        </w:rPr>
        <w:tab/>
      </w:r>
      <w:r w:rsidRPr="00BC5621">
        <w:rPr>
          <w:rFonts w:ascii="Arial" w:hAnsi="Arial" w:cs="Arial"/>
          <w:sz w:val="18"/>
          <w:lang w:val="es-ES_tradnl" w:eastAsia="zh-CN"/>
        </w:rPr>
        <w:t>La presente información es de carácter meramente indicativo a la fecha del presente documento.</w:t>
      </w:r>
      <w:r w:rsidR="00BC5621">
        <w:rPr>
          <w:rFonts w:ascii="Arial" w:hAnsi="Arial" w:cs="Arial"/>
          <w:sz w:val="18"/>
          <w:lang w:val="es-ES_tradnl" w:eastAsia="zh-CN"/>
        </w:rPr>
        <w:t xml:space="preserve"> </w:t>
      </w:r>
      <w:r w:rsidRPr="00BC5621">
        <w:rPr>
          <w:rFonts w:ascii="Arial" w:hAnsi="Arial" w:cs="Arial"/>
          <w:sz w:val="18"/>
          <w:lang w:val="es-ES_tradnl" w:eastAsia="zh-CN"/>
        </w:rPr>
        <w:t xml:space="preserve">De conformidad con lo establecido en el documento </w:t>
      </w:r>
      <w:r w:rsidR="00FD5FF8">
        <w:rPr>
          <w:rFonts w:ascii="Arial" w:hAnsi="Arial" w:cs="Arial"/>
          <w:sz w:val="18"/>
          <w:lang w:val="es-ES_tradnl" w:eastAsia="zh-CN"/>
        </w:rPr>
        <w:t>CS</w:t>
      </w:r>
      <w:r w:rsidRPr="00BC5621">
        <w:rPr>
          <w:rFonts w:ascii="Arial" w:hAnsi="Arial" w:cs="Arial"/>
          <w:sz w:val="18"/>
          <w:lang w:val="es-ES_tradnl" w:eastAsia="zh-CN"/>
        </w:rPr>
        <w:t>-3633-2 (Préstamos en Apoyo de Reformas de Política: Directrices sobre Preparación y Aplicación), el cumplimiento de todas las condiciones especificadas para el desembolso, incluido el mantenimiento de un marco apropiado de política macroeconómica, será verificado por el Banco al momento de la solicitud del correspondiente desembolso por el Prestatario y reflejado oportunamente en el memorando de elegibilidad para desembolso</w:t>
      </w:r>
      <w:r w:rsidR="000C6DCC">
        <w:rPr>
          <w:rFonts w:ascii="Arial" w:hAnsi="Arial" w:cs="Arial"/>
          <w:sz w:val="18"/>
          <w:lang w:val="es-ES_tradnl" w:eastAsia="zh-C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3E84A0" w14:textId="77777777" w:rsidR="00563106" w:rsidRPr="00563106" w:rsidRDefault="00563106" w:rsidP="00563106">
    <w:pPr>
      <w:pStyle w:val="Header"/>
      <w:rPr>
        <w:rFonts w:ascii="Arial" w:hAnsi="Arial" w:cs="Arial"/>
        <w:bCs/>
        <w:sz w:val="20"/>
        <w:szCs w:val="20"/>
        <w:lang w:val="pt-BR"/>
      </w:rPr>
    </w:pPr>
    <w:r w:rsidRPr="00563106">
      <w:rPr>
        <w:rFonts w:ascii="Arial" w:hAnsi="Arial" w:cs="Arial"/>
        <w:bCs/>
        <w:sz w:val="20"/>
        <w:szCs w:val="20"/>
        <w:lang w:val="pt-BR"/>
      </w:rPr>
      <w:t>EER#3 – PR-L1151</w:t>
    </w:r>
  </w:p>
  <w:p w14:paraId="1E72D920" w14:textId="77777777" w:rsidR="00563106" w:rsidRPr="00563106" w:rsidRDefault="00563106" w:rsidP="00563106">
    <w:pPr>
      <w:pStyle w:val="Header"/>
      <w:rPr>
        <w:rStyle w:val="PageNumber"/>
        <w:rFonts w:ascii="Arial" w:hAnsi="Arial" w:cs="Arial"/>
        <w:sz w:val="20"/>
        <w:szCs w:val="20"/>
        <w:lang w:val="pt-BR"/>
      </w:rPr>
    </w:pPr>
    <w:r w:rsidRPr="00563106">
      <w:rPr>
        <w:rFonts w:ascii="Arial" w:hAnsi="Arial" w:cs="Arial"/>
        <w:sz w:val="20"/>
        <w:szCs w:val="20"/>
        <w:lang w:val="pt-BR"/>
      </w:rPr>
      <w:t xml:space="preserve">Página </w:t>
    </w:r>
    <w:r w:rsidRPr="00A27112">
      <w:rPr>
        <w:rStyle w:val="PageNumber"/>
        <w:rFonts w:ascii="Arial" w:hAnsi="Arial" w:cs="Arial"/>
        <w:sz w:val="20"/>
        <w:szCs w:val="20"/>
        <w:lang w:val="es-AR"/>
      </w:rPr>
      <w:fldChar w:fldCharType="begin"/>
    </w:r>
    <w:r w:rsidRPr="00563106">
      <w:rPr>
        <w:rStyle w:val="PageNumber"/>
        <w:rFonts w:ascii="Arial" w:hAnsi="Arial" w:cs="Arial"/>
        <w:sz w:val="20"/>
        <w:szCs w:val="20"/>
        <w:lang w:val="pt-BR"/>
      </w:rPr>
      <w:instrText xml:space="preserve"> PAGE </w:instrText>
    </w:r>
    <w:r w:rsidRPr="00A27112">
      <w:rPr>
        <w:rStyle w:val="PageNumber"/>
        <w:rFonts w:ascii="Arial" w:hAnsi="Arial" w:cs="Arial"/>
        <w:sz w:val="20"/>
        <w:szCs w:val="20"/>
        <w:lang w:val="es-AR"/>
      </w:rPr>
      <w:fldChar w:fldCharType="separate"/>
    </w:r>
    <w:r w:rsidRPr="00563106">
      <w:rPr>
        <w:rStyle w:val="PageNumber"/>
        <w:rFonts w:ascii="Arial" w:hAnsi="Arial" w:cs="Arial"/>
        <w:lang w:val="pt-BR"/>
      </w:rPr>
      <w:t>1</w:t>
    </w:r>
    <w:r w:rsidRPr="00A27112">
      <w:rPr>
        <w:rStyle w:val="PageNumber"/>
        <w:rFonts w:ascii="Arial" w:hAnsi="Arial" w:cs="Arial"/>
        <w:sz w:val="20"/>
        <w:szCs w:val="20"/>
        <w:lang w:val="es-AR"/>
      </w:rPr>
      <w:fldChar w:fldCharType="end"/>
    </w:r>
    <w:r w:rsidRPr="00563106">
      <w:rPr>
        <w:rStyle w:val="PageNumber"/>
        <w:rFonts w:ascii="Arial" w:hAnsi="Arial" w:cs="Arial"/>
        <w:sz w:val="20"/>
        <w:szCs w:val="20"/>
        <w:lang w:val="pt-BR"/>
      </w:rPr>
      <w:t xml:space="preserve"> de </w:t>
    </w:r>
    <w:r w:rsidRPr="00A27112">
      <w:rPr>
        <w:rStyle w:val="PageNumber"/>
        <w:rFonts w:ascii="Arial" w:hAnsi="Arial" w:cs="Arial"/>
        <w:sz w:val="20"/>
        <w:szCs w:val="20"/>
        <w:lang w:val="es-AR"/>
      </w:rPr>
      <w:fldChar w:fldCharType="begin"/>
    </w:r>
    <w:r w:rsidRPr="00563106">
      <w:rPr>
        <w:rStyle w:val="PageNumber"/>
        <w:rFonts w:ascii="Arial" w:hAnsi="Arial" w:cs="Arial"/>
        <w:sz w:val="20"/>
        <w:szCs w:val="20"/>
        <w:lang w:val="pt-BR"/>
      </w:rPr>
      <w:instrText xml:space="preserve"> NUMPAGES </w:instrText>
    </w:r>
    <w:r w:rsidRPr="00A27112">
      <w:rPr>
        <w:rStyle w:val="PageNumber"/>
        <w:rFonts w:ascii="Arial" w:hAnsi="Arial" w:cs="Arial"/>
        <w:sz w:val="20"/>
        <w:szCs w:val="20"/>
        <w:lang w:val="es-AR"/>
      </w:rPr>
      <w:fldChar w:fldCharType="separate"/>
    </w:r>
    <w:r w:rsidRPr="00563106">
      <w:rPr>
        <w:rStyle w:val="PageNumber"/>
        <w:rFonts w:ascii="Arial" w:hAnsi="Arial" w:cs="Arial"/>
        <w:lang w:val="pt-BR"/>
      </w:rPr>
      <w:t>3</w:t>
    </w:r>
    <w:r w:rsidRPr="00A27112">
      <w:rPr>
        <w:rStyle w:val="PageNumber"/>
        <w:rFonts w:ascii="Arial" w:hAnsi="Arial" w:cs="Arial"/>
        <w:sz w:val="20"/>
        <w:szCs w:val="20"/>
        <w:lang w:val="es-AR"/>
      </w:rPr>
      <w:fldChar w:fldCharType="end"/>
    </w:r>
  </w:p>
  <w:p w14:paraId="370062CA" w14:textId="77777777" w:rsidR="0031143D" w:rsidRPr="00DE1A9C" w:rsidRDefault="008117BF">
    <w:pPr>
      <w:pStyle w:val="Header"/>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CD9DB" w14:textId="68CC720A" w:rsidR="00563106" w:rsidRPr="00563106" w:rsidRDefault="001646AC" w:rsidP="00563106">
    <w:pPr>
      <w:pStyle w:val="Header"/>
      <w:jc w:val="right"/>
      <w:rPr>
        <w:rFonts w:ascii="Arial" w:hAnsi="Arial" w:cs="Arial"/>
        <w:bCs/>
        <w:sz w:val="20"/>
        <w:szCs w:val="20"/>
        <w:lang w:val="pt-BR"/>
      </w:rPr>
    </w:pPr>
    <w:r>
      <w:rPr>
        <w:rFonts w:ascii="Arial" w:hAnsi="Arial" w:cs="Arial"/>
        <w:bCs/>
        <w:sz w:val="20"/>
        <w:szCs w:val="20"/>
        <w:lang w:val="pt-BR"/>
      </w:rPr>
      <w:t>E</w:t>
    </w:r>
    <w:r w:rsidR="00CD669B">
      <w:rPr>
        <w:rFonts w:ascii="Arial" w:hAnsi="Arial" w:cs="Arial"/>
        <w:bCs/>
        <w:sz w:val="20"/>
        <w:szCs w:val="20"/>
        <w:lang w:val="pt-BR"/>
      </w:rPr>
      <w:t>ER</w:t>
    </w:r>
    <w:r w:rsidR="00CD669B" w:rsidRPr="00CD669B">
      <w:rPr>
        <w:rFonts w:ascii="Arial" w:hAnsi="Arial" w:cs="Arial"/>
        <w:bCs/>
        <w:sz w:val="20"/>
        <w:szCs w:val="20"/>
        <w:lang w:val="pt-BR"/>
      </w:rPr>
      <w:t>#3</w:t>
    </w:r>
    <w:r w:rsidR="00563106" w:rsidRPr="00563106">
      <w:rPr>
        <w:rFonts w:ascii="Arial" w:hAnsi="Arial" w:cs="Arial"/>
        <w:bCs/>
        <w:sz w:val="20"/>
        <w:szCs w:val="20"/>
        <w:lang w:val="pt-BR"/>
      </w:rPr>
      <w:t xml:space="preserve"> – PR-L1151</w:t>
    </w:r>
  </w:p>
  <w:p w14:paraId="3ABE97DA" w14:textId="77777777" w:rsidR="00563106" w:rsidRPr="00563106" w:rsidRDefault="00563106" w:rsidP="00563106">
    <w:pPr>
      <w:pStyle w:val="Header"/>
      <w:jc w:val="right"/>
      <w:rPr>
        <w:rStyle w:val="PageNumber"/>
        <w:rFonts w:ascii="Arial" w:hAnsi="Arial" w:cs="Arial"/>
        <w:sz w:val="20"/>
        <w:szCs w:val="20"/>
        <w:lang w:val="pt-BR"/>
      </w:rPr>
    </w:pPr>
    <w:r w:rsidRPr="00563106">
      <w:rPr>
        <w:rFonts w:ascii="Arial" w:hAnsi="Arial" w:cs="Arial"/>
        <w:sz w:val="20"/>
        <w:szCs w:val="20"/>
        <w:lang w:val="pt-BR"/>
      </w:rPr>
      <w:t xml:space="preserve">Página </w:t>
    </w:r>
    <w:r w:rsidRPr="00A27112">
      <w:rPr>
        <w:rStyle w:val="PageNumber"/>
        <w:rFonts w:ascii="Arial" w:hAnsi="Arial" w:cs="Arial"/>
        <w:sz w:val="20"/>
        <w:szCs w:val="20"/>
        <w:lang w:val="es-AR"/>
      </w:rPr>
      <w:fldChar w:fldCharType="begin"/>
    </w:r>
    <w:r w:rsidRPr="00563106">
      <w:rPr>
        <w:rStyle w:val="PageNumber"/>
        <w:rFonts w:ascii="Arial" w:hAnsi="Arial" w:cs="Arial"/>
        <w:sz w:val="20"/>
        <w:szCs w:val="20"/>
        <w:lang w:val="pt-BR"/>
      </w:rPr>
      <w:instrText xml:space="preserve"> PAGE </w:instrText>
    </w:r>
    <w:r w:rsidRPr="00A27112">
      <w:rPr>
        <w:rStyle w:val="PageNumber"/>
        <w:rFonts w:ascii="Arial" w:hAnsi="Arial" w:cs="Arial"/>
        <w:sz w:val="20"/>
        <w:szCs w:val="20"/>
        <w:lang w:val="es-AR"/>
      </w:rPr>
      <w:fldChar w:fldCharType="separate"/>
    </w:r>
    <w:r w:rsidRPr="00563106">
      <w:rPr>
        <w:rStyle w:val="PageNumber"/>
        <w:rFonts w:ascii="Arial" w:hAnsi="Arial" w:cs="Arial"/>
        <w:lang w:val="pt-BR"/>
      </w:rPr>
      <w:t>1</w:t>
    </w:r>
    <w:r w:rsidRPr="00A27112">
      <w:rPr>
        <w:rStyle w:val="PageNumber"/>
        <w:rFonts w:ascii="Arial" w:hAnsi="Arial" w:cs="Arial"/>
        <w:sz w:val="20"/>
        <w:szCs w:val="20"/>
        <w:lang w:val="es-AR"/>
      </w:rPr>
      <w:fldChar w:fldCharType="end"/>
    </w:r>
    <w:r w:rsidRPr="00563106">
      <w:rPr>
        <w:rStyle w:val="PageNumber"/>
        <w:rFonts w:ascii="Arial" w:hAnsi="Arial" w:cs="Arial"/>
        <w:sz w:val="20"/>
        <w:szCs w:val="20"/>
        <w:lang w:val="pt-BR"/>
      </w:rPr>
      <w:t xml:space="preserve"> de </w:t>
    </w:r>
    <w:r w:rsidRPr="00A27112">
      <w:rPr>
        <w:rStyle w:val="PageNumber"/>
        <w:rFonts w:ascii="Arial" w:hAnsi="Arial" w:cs="Arial"/>
        <w:sz w:val="20"/>
        <w:szCs w:val="20"/>
        <w:lang w:val="es-AR"/>
      </w:rPr>
      <w:fldChar w:fldCharType="begin"/>
    </w:r>
    <w:r w:rsidRPr="00563106">
      <w:rPr>
        <w:rStyle w:val="PageNumber"/>
        <w:rFonts w:ascii="Arial" w:hAnsi="Arial" w:cs="Arial"/>
        <w:sz w:val="20"/>
        <w:szCs w:val="20"/>
        <w:lang w:val="pt-BR"/>
      </w:rPr>
      <w:instrText xml:space="preserve"> NUMPAGES </w:instrText>
    </w:r>
    <w:r w:rsidRPr="00A27112">
      <w:rPr>
        <w:rStyle w:val="PageNumber"/>
        <w:rFonts w:ascii="Arial" w:hAnsi="Arial" w:cs="Arial"/>
        <w:sz w:val="20"/>
        <w:szCs w:val="20"/>
        <w:lang w:val="es-AR"/>
      </w:rPr>
      <w:fldChar w:fldCharType="separate"/>
    </w:r>
    <w:r w:rsidRPr="00563106">
      <w:rPr>
        <w:rStyle w:val="PageNumber"/>
        <w:rFonts w:ascii="Arial" w:hAnsi="Arial" w:cs="Arial"/>
        <w:lang w:val="pt-BR"/>
      </w:rPr>
      <w:t>3</w:t>
    </w:r>
    <w:r w:rsidRPr="00A27112">
      <w:rPr>
        <w:rStyle w:val="PageNumber"/>
        <w:rFonts w:ascii="Arial" w:hAnsi="Arial" w:cs="Arial"/>
        <w:sz w:val="20"/>
        <w:szCs w:val="20"/>
        <w:lang w:val="es-AR"/>
      </w:rPr>
      <w:fldChar w:fldCharType="end"/>
    </w:r>
  </w:p>
  <w:p w14:paraId="3CD45240" w14:textId="77777777" w:rsidR="009C128E" w:rsidRPr="009C128E" w:rsidRDefault="008117BF">
    <w:pPr>
      <w:pStyle w:val="Header"/>
      <w:rPr>
        <w:lang w:val="pt-B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957D0E" w14:textId="77777777" w:rsidR="00DE1A9C" w:rsidRPr="007C4E3C" w:rsidRDefault="00D53CDF" w:rsidP="00DE1A9C">
    <w:pPr>
      <w:pStyle w:val="Header"/>
      <w:jc w:val="right"/>
      <w:rPr>
        <w:rFonts w:ascii="Arial" w:hAnsi="Arial" w:cs="Arial"/>
        <w:bCs/>
        <w:sz w:val="20"/>
        <w:szCs w:val="20"/>
        <w:lang w:val="pt-BR"/>
      </w:rPr>
    </w:pPr>
    <w:r w:rsidRPr="007C4E3C">
      <w:rPr>
        <w:rFonts w:ascii="Arial" w:hAnsi="Arial" w:cs="Arial"/>
        <w:bCs/>
        <w:sz w:val="20"/>
        <w:szCs w:val="20"/>
        <w:lang w:val="pt-BR"/>
      </w:rPr>
      <w:t xml:space="preserve">EER#3 – </w:t>
    </w:r>
    <w:r w:rsidR="00537678" w:rsidRPr="007C4E3C">
      <w:rPr>
        <w:rFonts w:ascii="Arial" w:hAnsi="Arial" w:cs="Arial"/>
        <w:bCs/>
        <w:sz w:val="20"/>
        <w:szCs w:val="20"/>
        <w:lang w:val="pt-BR"/>
      </w:rPr>
      <w:t>PR-L1151</w:t>
    </w:r>
  </w:p>
  <w:p w14:paraId="25EB7E78" w14:textId="77777777" w:rsidR="00DE1A9C" w:rsidRPr="007C4E3C" w:rsidRDefault="00D53CDF" w:rsidP="00DE1A9C">
    <w:pPr>
      <w:pStyle w:val="Header"/>
      <w:jc w:val="right"/>
      <w:rPr>
        <w:rStyle w:val="PageNumber"/>
        <w:rFonts w:ascii="Arial" w:hAnsi="Arial" w:cs="Arial"/>
        <w:sz w:val="20"/>
        <w:szCs w:val="20"/>
        <w:lang w:val="pt-BR"/>
      </w:rPr>
    </w:pPr>
    <w:r w:rsidRPr="007C4E3C">
      <w:rPr>
        <w:rFonts w:ascii="Arial" w:hAnsi="Arial" w:cs="Arial"/>
        <w:sz w:val="20"/>
        <w:szCs w:val="20"/>
        <w:lang w:val="pt-BR"/>
      </w:rPr>
      <w:t xml:space="preserve">Página </w:t>
    </w:r>
    <w:r w:rsidRPr="00A27112">
      <w:rPr>
        <w:rStyle w:val="PageNumber"/>
        <w:rFonts w:ascii="Arial" w:hAnsi="Arial" w:cs="Arial"/>
        <w:sz w:val="20"/>
        <w:szCs w:val="20"/>
        <w:lang w:val="es-AR"/>
      </w:rPr>
      <w:fldChar w:fldCharType="begin"/>
    </w:r>
    <w:r w:rsidRPr="007C4E3C">
      <w:rPr>
        <w:rStyle w:val="PageNumber"/>
        <w:rFonts w:ascii="Arial" w:hAnsi="Arial" w:cs="Arial"/>
        <w:sz w:val="20"/>
        <w:szCs w:val="20"/>
        <w:lang w:val="pt-BR"/>
      </w:rPr>
      <w:instrText xml:space="preserve"> PAGE </w:instrText>
    </w:r>
    <w:r w:rsidRPr="00A27112">
      <w:rPr>
        <w:rStyle w:val="PageNumber"/>
        <w:rFonts w:ascii="Arial" w:hAnsi="Arial" w:cs="Arial"/>
        <w:sz w:val="20"/>
        <w:szCs w:val="20"/>
        <w:lang w:val="es-AR"/>
      </w:rPr>
      <w:fldChar w:fldCharType="separate"/>
    </w:r>
    <w:r w:rsidRPr="007C4E3C">
      <w:rPr>
        <w:rStyle w:val="PageNumber"/>
        <w:rFonts w:ascii="Arial" w:hAnsi="Arial" w:cs="Arial"/>
        <w:noProof/>
        <w:sz w:val="20"/>
        <w:szCs w:val="20"/>
        <w:lang w:val="pt-BR"/>
      </w:rPr>
      <w:t>1</w:t>
    </w:r>
    <w:r w:rsidRPr="00A27112">
      <w:rPr>
        <w:rStyle w:val="PageNumber"/>
        <w:rFonts w:ascii="Arial" w:hAnsi="Arial" w:cs="Arial"/>
        <w:sz w:val="20"/>
        <w:szCs w:val="20"/>
        <w:lang w:val="es-AR"/>
      </w:rPr>
      <w:fldChar w:fldCharType="end"/>
    </w:r>
    <w:r w:rsidRPr="007C4E3C">
      <w:rPr>
        <w:rStyle w:val="PageNumber"/>
        <w:rFonts w:ascii="Arial" w:hAnsi="Arial" w:cs="Arial"/>
        <w:sz w:val="20"/>
        <w:szCs w:val="20"/>
        <w:lang w:val="pt-BR"/>
      </w:rPr>
      <w:t xml:space="preserve"> de </w:t>
    </w:r>
    <w:r w:rsidRPr="00A27112">
      <w:rPr>
        <w:rStyle w:val="PageNumber"/>
        <w:rFonts w:ascii="Arial" w:hAnsi="Arial" w:cs="Arial"/>
        <w:sz w:val="20"/>
        <w:szCs w:val="20"/>
        <w:lang w:val="es-AR"/>
      </w:rPr>
      <w:fldChar w:fldCharType="begin"/>
    </w:r>
    <w:r w:rsidRPr="007C4E3C">
      <w:rPr>
        <w:rStyle w:val="PageNumber"/>
        <w:rFonts w:ascii="Arial" w:hAnsi="Arial" w:cs="Arial"/>
        <w:sz w:val="20"/>
        <w:szCs w:val="20"/>
        <w:lang w:val="pt-BR"/>
      </w:rPr>
      <w:instrText xml:space="preserve"> NUMPAGES </w:instrText>
    </w:r>
    <w:r w:rsidRPr="00A27112">
      <w:rPr>
        <w:rStyle w:val="PageNumber"/>
        <w:rFonts w:ascii="Arial" w:hAnsi="Arial" w:cs="Arial"/>
        <w:sz w:val="20"/>
        <w:szCs w:val="20"/>
        <w:lang w:val="es-AR"/>
      </w:rPr>
      <w:fldChar w:fldCharType="separate"/>
    </w:r>
    <w:r w:rsidRPr="007C4E3C">
      <w:rPr>
        <w:rStyle w:val="PageNumber"/>
        <w:rFonts w:ascii="Arial" w:hAnsi="Arial" w:cs="Arial"/>
        <w:noProof/>
        <w:sz w:val="20"/>
        <w:szCs w:val="20"/>
        <w:lang w:val="pt-BR"/>
      </w:rPr>
      <w:t>3</w:t>
    </w:r>
    <w:r w:rsidRPr="00A27112">
      <w:rPr>
        <w:rStyle w:val="PageNumber"/>
        <w:rFonts w:ascii="Arial" w:hAnsi="Arial" w:cs="Arial"/>
        <w:sz w:val="20"/>
        <w:szCs w:val="20"/>
        <w:lang w:val="es-AR"/>
      </w:rPr>
      <w:fldChar w:fldCharType="end"/>
    </w:r>
  </w:p>
  <w:p w14:paraId="565F8926" w14:textId="77777777" w:rsidR="0031143D" w:rsidRPr="007C4E3C" w:rsidRDefault="008117BF">
    <w:pPr>
      <w:pStyle w:val="Header"/>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83ED8"/>
    <w:multiLevelType w:val="multilevel"/>
    <w:tmpl w:val="909C183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395998"/>
    <w:multiLevelType w:val="multilevel"/>
    <w:tmpl w:val="716217BC"/>
    <w:lvl w:ilvl="0">
      <w:start w:val="1"/>
      <w:numFmt w:val="none"/>
      <w:lvlText w:val="2.2"/>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2"/>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69D6515"/>
    <w:multiLevelType w:val="multilevel"/>
    <w:tmpl w:val="74847F4C"/>
    <w:lvl w:ilvl="0">
      <w:start w:val="1"/>
      <w:numFmt w:val="none"/>
      <w:lvlText w:val="3.3"/>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9756F5B"/>
    <w:multiLevelType w:val="multilevel"/>
    <w:tmpl w:val="0284EE00"/>
    <w:lvl w:ilvl="0">
      <w:start w:val="4"/>
      <w:numFmt w:val="decimal"/>
      <w:lvlText w:val="%1"/>
      <w:lvlJc w:val="left"/>
      <w:pPr>
        <w:ind w:left="360" w:hanging="360"/>
      </w:pPr>
      <w:rPr>
        <w:rFonts w:hint="default"/>
      </w:rPr>
    </w:lvl>
    <w:lvl w:ilvl="1">
      <w:start w:val="1"/>
      <w:numFmt w:val="decimal"/>
      <w:lvlText w:val="%1.%2"/>
      <w:lvlJc w:val="left"/>
      <w:pPr>
        <w:ind w:left="720" w:hanging="360"/>
      </w:pPr>
      <w:rPr>
        <w:rFonts w:ascii="Arial" w:hAnsi="Arial" w:cs="Arial" w:hint="default"/>
        <w:sz w:val="18"/>
        <w:szCs w:val="18"/>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CB9591B"/>
    <w:multiLevelType w:val="multilevel"/>
    <w:tmpl w:val="7422B7F0"/>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1C2700"/>
    <w:multiLevelType w:val="multilevel"/>
    <w:tmpl w:val="EF5AF016"/>
    <w:lvl w:ilvl="0">
      <w:start w:val="1"/>
      <w:numFmt w:val="none"/>
      <w:lvlText w:val="3.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2"/>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15524B8"/>
    <w:multiLevelType w:val="multilevel"/>
    <w:tmpl w:val="DD78DBFE"/>
    <w:lvl w:ilvl="0">
      <w:start w:val="1"/>
      <w:numFmt w:val="none"/>
      <w:lvlText w:val="2.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2"/>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3A37AE2"/>
    <w:multiLevelType w:val="multilevel"/>
    <w:tmpl w:val="EC06580C"/>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7D57991"/>
    <w:multiLevelType w:val="hybridMultilevel"/>
    <w:tmpl w:val="63D43D66"/>
    <w:lvl w:ilvl="0" w:tplc="B51EDAD2">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CC6D92"/>
    <w:multiLevelType w:val="multilevel"/>
    <w:tmpl w:val="F334991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AA27BB4"/>
    <w:multiLevelType w:val="multilevel"/>
    <w:tmpl w:val="3E8A8558"/>
    <w:lvl w:ilvl="0">
      <w:start w:val="1"/>
      <w:numFmt w:val="none"/>
      <w:lvlText w:val="3.3"/>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C5F0F2D"/>
    <w:multiLevelType w:val="multilevel"/>
    <w:tmpl w:val="F334991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CFD3F56"/>
    <w:multiLevelType w:val="multilevel"/>
    <w:tmpl w:val="29D8C67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DEE5CDB"/>
    <w:multiLevelType w:val="multilevel"/>
    <w:tmpl w:val="0E2CEFD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lowerLetter"/>
      <w:lvlText w:val="%1.%2.a."/>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1E5261AB"/>
    <w:multiLevelType w:val="multilevel"/>
    <w:tmpl w:val="FE8AA49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FC90995"/>
    <w:multiLevelType w:val="multilevel"/>
    <w:tmpl w:val="B10C94E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A5C46CF"/>
    <w:multiLevelType w:val="multilevel"/>
    <w:tmpl w:val="C9FEC102"/>
    <w:lvl w:ilvl="0">
      <w:start w:val="1"/>
      <w:numFmt w:val="none"/>
      <w:lvlText w:val="2.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2"/>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D153F08"/>
    <w:multiLevelType w:val="multilevel"/>
    <w:tmpl w:val="9AE2521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62721F8"/>
    <w:multiLevelType w:val="multilevel"/>
    <w:tmpl w:val="DEF289E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1D55809"/>
    <w:multiLevelType w:val="multilevel"/>
    <w:tmpl w:val="C732831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2632106"/>
    <w:multiLevelType w:val="multilevel"/>
    <w:tmpl w:val="E9D88CD0"/>
    <w:lvl w:ilvl="0">
      <w:start w:val="1"/>
      <w:numFmt w:val="none"/>
      <w:lvlText w:val="3.2"/>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39609B3"/>
    <w:multiLevelType w:val="multilevel"/>
    <w:tmpl w:val="25D4B58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5755FF2"/>
    <w:multiLevelType w:val="multilevel"/>
    <w:tmpl w:val="3124C0A8"/>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110471"/>
    <w:multiLevelType w:val="multilevel"/>
    <w:tmpl w:val="392CC0E4"/>
    <w:lvl w:ilvl="0">
      <w:start w:val="1"/>
      <w:numFmt w:val="none"/>
      <w:lvlText w:val="2.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2"/>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48C20EFD"/>
    <w:multiLevelType w:val="multilevel"/>
    <w:tmpl w:val="3E8A8558"/>
    <w:lvl w:ilvl="0">
      <w:start w:val="1"/>
      <w:numFmt w:val="none"/>
      <w:lvlText w:val="3.3"/>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4AD1079B"/>
    <w:multiLevelType w:val="multilevel"/>
    <w:tmpl w:val="22AA1950"/>
    <w:lvl w:ilvl="0">
      <w:start w:val="1"/>
      <w:numFmt w:val="none"/>
      <w:lvlText w:val="2.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4D434F9A"/>
    <w:multiLevelType w:val="multilevel"/>
    <w:tmpl w:val="1BB66BB0"/>
    <w:lvl w:ilvl="0">
      <w:start w:val="1"/>
      <w:numFmt w:val="none"/>
      <w:lvlText w:val="2.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2"/>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F2A465F"/>
    <w:multiLevelType w:val="multilevel"/>
    <w:tmpl w:val="EEA4B72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41C0CDF"/>
    <w:multiLevelType w:val="multilevel"/>
    <w:tmpl w:val="D88AA58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B0807CE"/>
    <w:multiLevelType w:val="multilevel"/>
    <w:tmpl w:val="F334991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DFA1566"/>
    <w:multiLevelType w:val="multilevel"/>
    <w:tmpl w:val="39AE3E12"/>
    <w:lvl w:ilvl="0">
      <w:start w:val="1"/>
      <w:numFmt w:val="none"/>
      <w:lvlText w:val="2.2"/>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2"/>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5F5C220A"/>
    <w:multiLevelType w:val="multilevel"/>
    <w:tmpl w:val="2F7C2FA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1722ECE"/>
    <w:multiLevelType w:val="multilevel"/>
    <w:tmpl w:val="B0D8C7DC"/>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5622B83"/>
    <w:multiLevelType w:val="multilevel"/>
    <w:tmpl w:val="E4201F5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E6600AA"/>
    <w:multiLevelType w:val="multilevel"/>
    <w:tmpl w:val="13BC8518"/>
    <w:lvl w:ilvl="0">
      <w:start w:val="1"/>
      <w:numFmt w:val="none"/>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61265BA"/>
    <w:multiLevelType w:val="multilevel"/>
    <w:tmpl w:val="D88AA58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AC64538"/>
    <w:multiLevelType w:val="multilevel"/>
    <w:tmpl w:val="551A391A"/>
    <w:lvl w:ilvl="0">
      <w:start w:val="1"/>
      <w:numFmt w:val="decimal"/>
      <w:lvlText w:val="%1."/>
      <w:lvlJc w:val="left"/>
      <w:pPr>
        <w:ind w:left="360" w:hanging="360"/>
      </w:pPr>
      <w:rPr>
        <w:rFonts w:eastAsiaTheme="minorHAnsi" w:hint="default"/>
        <w:color w:val="000000"/>
      </w:rPr>
    </w:lvl>
    <w:lvl w:ilvl="1">
      <w:start w:val="1"/>
      <w:numFmt w:val="decimal"/>
      <w:lvlText w:val="%1.%2."/>
      <w:lvlJc w:val="left"/>
      <w:pPr>
        <w:ind w:left="360" w:hanging="360"/>
      </w:pPr>
      <w:rPr>
        <w:rFonts w:eastAsiaTheme="minorHAnsi" w:hint="default"/>
        <w:color w:val="000000"/>
      </w:rPr>
    </w:lvl>
    <w:lvl w:ilvl="2">
      <w:start w:val="1"/>
      <w:numFmt w:val="lowerLetter"/>
      <w:lvlText w:val="%1.%2.%3."/>
      <w:lvlJc w:val="left"/>
      <w:pPr>
        <w:ind w:left="720" w:hanging="720"/>
      </w:pPr>
      <w:rPr>
        <w:rFonts w:eastAsiaTheme="minorHAnsi" w:hint="default"/>
        <w:color w:val="000000"/>
      </w:rPr>
    </w:lvl>
    <w:lvl w:ilvl="3">
      <w:start w:val="1"/>
      <w:numFmt w:val="decimal"/>
      <w:lvlText w:val="%1.%2.%3.%4."/>
      <w:lvlJc w:val="left"/>
      <w:pPr>
        <w:ind w:left="720" w:hanging="720"/>
      </w:pPr>
      <w:rPr>
        <w:rFonts w:eastAsiaTheme="minorHAnsi" w:hint="default"/>
        <w:color w:val="000000"/>
      </w:rPr>
    </w:lvl>
    <w:lvl w:ilvl="4">
      <w:start w:val="1"/>
      <w:numFmt w:val="decimal"/>
      <w:lvlText w:val="%1.%2.%3.%4.%5."/>
      <w:lvlJc w:val="left"/>
      <w:pPr>
        <w:ind w:left="1080" w:hanging="1080"/>
      </w:pPr>
      <w:rPr>
        <w:rFonts w:eastAsiaTheme="minorHAnsi" w:hint="default"/>
        <w:color w:val="000000"/>
      </w:rPr>
    </w:lvl>
    <w:lvl w:ilvl="5">
      <w:start w:val="1"/>
      <w:numFmt w:val="decimal"/>
      <w:lvlText w:val="%1.%2.%3.%4.%5.%6."/>
      <w:lvlJc w:val="left"/>
      <w:pPr>
        <w:ind w:left="1080" w:hanging="1080"/>
      </w:pPr>
      <w:rPr>
        <w:rFonts w:eastAsiaTheme="minorHAnsi" w:hint="default"/>
        <w:color w:val="000000"/>
      </w:rPr>
    </w:lvl>
    <w:lvl w:ilvl="6">
      <w:start w:val="1"/>
      <w:numFmt w:val="decimal"/>
      <w:lvlText w:val="%1.%2.%3.%4.%5.%6.%7."/>
      <w:lvlJc w:val="left"/>
      <w:pPr>
        <w:ind w:left="1080" w:hanging="1080"/>
      </w:pPr>
      <w:rPr>
        <w:rFonts w:eastAsiaTheme="minorHAnsi" w:hint="default"/>
        <w:color w:val="000000"/>
      </w:rPr>
    </w:lvl>
    <w:lvl w:ilvl="7">
      <w:start w:val="1"/>
      <w:numFmt w:val="decimal"/>
      <w:lvlText w:val="%1.%2.%3.%4.%5.%6.%7.%8."/>
      <w:lvlJc w:val="left"/>
      <w:pPr>
        <w:ind w:left="1440" w:hanging="1440"/>
      </w:pPr>
      <w:rPr>
        <w:rFonts w:eastAsiaTheme="minorHAnsi" w:hint="default"/>
        <w:color w:val="000000"/>
      </w:rPr>
    </w:lvl>
    <w:lvl w:ilvl="8">
      <w:start w:val="1"/>
      <w:numFmt w:val="decimal"/>
      <w:lvlText w:val="%1.%2.%3.%4.%5.%6.%7.%8.%9."/>
      <w:lvlJc w:val="left"/>
      <w:pPr>
        <w:ind w:left="1440" w:hanging="1440"/>
      </w:pPr>
      <w:rPr>
        <w:rFonts w:eastAsiaTheme="minorHAnsi" w:hint="default"/>
        <w:color w:val="000000"/>
      </w:rPr>
    </w:lvl>
  </w:abstractNum>
  <w:abstractNum w:abstractNumId="37" w15:restartNumberingAfterBreak="0">
    <w:nsid w:val="7E2D499C"/>
    <w:multiLevelType w:val="multilevel"/>
    <w:tmpl w:val="3E8A8558"/>
    <w:lvl w:ilvl="0">
      <w:start w:val="1"/>
      <w:numFmt w:val="none"/>
      <w:lvlText w:val="3.3"/>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7EA438C9"/>
    <w:multiLevelType w:val="multilevel"/>
    <w:tmpl w:val="6A98DA24"/>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EB6542D"/>
    <w:multiLevelType w:val="multilevel"/>
    <w:tmpl w:val="ABDCC4F2"/>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4"/>
  </w:num>
  <w:num w:numId="2">
    <w:abstractNumId w:val="23"/>
  </w:num>
  <w:num w:numId="3">
    <w:abstractNumId w:val="6"/>
  </w:num>
  <w:num w:numId="4">
    <w:abstractNumId w:val="16"/>
  </w:num>
  <w:num w:numId="5">
    <w:abstractNumId w:val="30"/>
  </w:num>
  <w:num w:numId="6">
    <w:abstractNumId w:val="1"/>
  </w:num>
  <w:num w:numId="7">
    <w:abstractNumId w:val="27"/>
  </w:num>
  <w:num w:numId="8">
    <w:abstractNumId w:val="5"/>
  </w:num>
  <w:num w:numId="9">
    <w:abstractNumId w:val="15"/>
  </w:num>
  <w:num w:numId="10">
    <w:abstractNumId w:val="20"/>
  </w:num>
  <w:num w:numId="11">
    <w:abstractNumId w:val="2"/>
  </w:num>
  <w:num w:numId="12">
    <w:abstractNumId w:val="26"/>
  </w:num>
  <w:num w:numId="13">
    <w:abstractNumId w:val="28"/>
  </w:num>
  <w:num w:numId="14">
    <w:abstractNumId w:val="8"/>
  </w:num>
  <w:num w:numId="15">
    <w:abstractNumId w:val="9"/>
  </w:num>
  <w:num w:numId="16">
    <w:abstractNumId w:val="4"/>
  </w:num>
  <w:num w:numId="17">
    <w:abstractNumId w:val="39"/>
  </w:num>
  <w:num w:numId="18">
    <w:abstractNumId w:val="19"/>
  </w:num>
  <w:num w:numId="19">
    <w:abstractNumId w:val="21"/>
  </w:num>
  <w:num w:numId="20">
    <w:abstractNumId w:val="35"/>
  </w:num>
  <w:num w:numId="21">
    <w:abstractNumId w:val="29"/>
  </w:num>
  <w:num w:numId="22">
    <w:abstractNumId w:val="36"/>
  </w:num>
  <w:num w:numId="23">
    <w:abstractNumId w:val="25"/>
  </w:num>
  <w:num w:numId="24">
    <w:abstractNumId w:val="37"/>
  </w:num>
  <w:num w:numId="25">
    <w:abstractNumId w:val="3"/>
  </w:num>
  <w:num w:numId="26">
    <w:abstractNumId w:val="33"/>
  </w:num>
  <w:num w:numId="27">
    <w:abstractNumId w:val="38"/>
  </w:num>
  <w:num w:numId="28">
    <w:abstractNumId w:val="13"/>
  </w:num>
  <w:num w:numId="29">
    <w:abstractNumId w:val="11"/>
  </w:num>
  <w:num w:numId="30">
    <w:abstractNumId w:val="32"/>
  </w:num>
  <w:num w:numId="31">
    <w:abstractNumId w:val="31"/>
  </w:num>
  <w:num w:numId="32">
    <w:abstractNumId w:val="0"/>
  </w:num>
  <w:num w:numId="33">
    <w:abstractNumId w:val="14"/>
  </w:num>
  <w:num w:numId="34">
    <w:abstractNumId w:val="22"/>
  </w:num>
  <w:num w:numId="35">
    <w:abstractNumId w:val="7"/>
  </w:num>
  <w:num w:numId="36">
    <w:abstractNumId w:val="10"/>
  </w:num>
  <w:num w:numId="37">
    <w:abstractNumId w:val="24"/>
  </w:num>
  <w:num w:numId="38">
    <w:abstractNumId w:val="18"/>
  </w:num>
  <w:num w:numId="39">
    <w:abstractNumId w:val="12"/>
  </w:num>
  <w:num w:numId="40">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trackRevisions/>
  <w:defaultTabStop w:val="720"/>
  <w:hyphenationZone w:val="425"/>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F26"/>
    <w:rsid w:val="0000707D"/>
    <w:rsid w:val="0006547C"/>
    <w:rsid w:val="000C6DCC"/>
    <w:rsid w:val="000D48CD"/>
    <w:rsid w:val="00102D34"/>
    <w:rsid w:val="001044E2"/>
    <w:rsid w:val="00105C6B"/>
    <w:rsid w:val="0013787C"/>
    <w:rsid w:val="001646AC"/>
    <w:rsid w:val="00172540"/>
    <w:rsid w:val="001B4AE3"/>
    <w:rsid w:val="001C4570"/>
    <w:rsid w:val="001C7BAD"/>
    <w:rsid w:val="001D5713"/>
    <w:rsid w:val="001E536B"/>
    <w:rsid w:val="00206423"/>
    <w:rsid w:val="00292FBA"/>
    <w:rsid w:val="002C5DB3"/>
    <w:rsid w:val="002E020C"/>
    <w:rsid w:val="003263B7"/>
    <w:rsid w:val="00371638"/>
    <w:rsid w:val="003D3DA2"/>
    <w:rsid w:val="003F64C3"/>
    <w:rsid w:val="00460BBF"/>
    <w:rsid w:val="004B6878"/>
    <w:rsid w:val="004E2BC8"/>
    <w:rsid w:val="004F66DF"/>
    <w:rsid w:val="0051225D"/>
    <w:rsid w:val="0051698D"/>
    <w:rsid w:val="00525CC5"/>
    <w:rsid w:val="00531B57"/>
    <w:rsid w:val="00537678"/>
    <w:rsid w:val="005521C2"/>
    <w:rsid w:val="00562F7F"/>
    <w:rsid w:val="00563106"/>
    <w:rsid w:val="005848C9"/>
    <w:rsid w:val="005D1ADD"/>
    <w:rsid w:val="0063066E"/>
    <w:rsid w:val="006312D2"/>
    <w:rsid w:val="006813A8"/>
    <w:rsid w:val="006D761B"/>
    <w:rsid w:val="00710A6B"/>
    <w:rsid w:val="007539D7"/>
    <w:rsid w:val="0076033D"/>
    <w:rsid w:val="00787B83"/>
    <w:rsid w:val="007918F2"/>
    <w:rsid w:val="007C4E3C"/>
    <w:rsid w:val="00803503"/>
    <w:rsid w:val="008117BF"/>
    <w:rsid w:val="00835BF5"/>
    <w:rsid w:val="008B04AB"/>
    <w:rsid w:val="008C42F7"/>
    <w:rsid w:val="009C5F26"/>
    <w:rsid w:val="009C71ED"/>
    <w:rsid w:val="009D4CED"/>
    <w:rsid w:val="009E0BF5"/>
    <w:rsid w:val="009F27E8"/>
    <w:rsid w:val="00A9139B"/>
    <w:rsid w:val="00AE647B"/>
    <w:rsid w:val="00AF2A1F"/>
    <w:rsid w:val="00B00E7E"/>
    <w:rsid w:val="00B10D83"/>
    <w:rsid w:val="00B13C18"/>
    <w:rsid w:val="00B9111C"/>
    <w:rsid w:val="00BA0EB4"/>
    <w:rsid w:val="00BC5621"/>
    <w:rsid w:val="00BD0FBE"/>
    <w:rsid w:val="00BE0A82"/>
    <w:rsid w:val="00BE56E3"/>
    <w:rsid w:val="00BE6D64"/>
    <w:rsid w:val="00C133FB"/>
    <w:rsid w:val="00C160AC"/>
    <w:rsid w:val="00C231D7"/>
    <w:rsid w:val="00C36E83"/>
    <w:rsid w:val="00C71A63"/>
    <w:rsid w:val="00CC030B"/>
    <w:rsid w:val="00CD2B6A"/>
    <w:rsid w:val="00CD669B"/>
    <w:rsid w:val="00D05460"/>
    <w:rsid w:val="00D26D69"/>
    <w:rsid w:val="00D53CDF"/>
    <w:rsid w:val="00D640C3"/>
    <w:rsid w:val="00D65876"/>
    <w:rsid w:val="00D662FC"/>
    <w:rsid w:val="00D70EFC"/>
    <w:rsid w:val="00DC5F1A"/>
    <w:rsid w:val="00DE5231"/>
    <w:rsid w:val="00E12186"/>
    <w:rsid w:val="00E148B5"/>
    <w:rsid w:val="00E42EA3"/>
    <w:rsid w:val="00E55790"/>
    <w:rsid w:val="00E64B02"/>
    <w:rsid w:val="00E8317B"/>
    <w:rsid w:val="00EB07A3"/>
    <w:rsid w:val="00EB4325"/>
    <w:rsid w:val="00EC3006"/>
    <w:rsid w:val="00F16187"/>
    <w:rsid w:val="00F201E9"/>
    <w:rsid w:val="00F5075F"/>
    <w:rsid w:val="00F67686"/>
    <w:rsid w:val="00FA26D5"/>
    <w:rsid w:val="00FD5F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FE974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5F2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9C5F26"/>
    <w:pPr>
      <w:tabs>
        <w:tab w:val="center" w:pos="4680"/>
        <w:tab w:val="right" w:pos="9360"/>
      </w:tabs>
      <w:spacing w:after="0" w:line="240" w:lineRule="auto"/>
    </w:pPr>
  </w:style>
  <w:style w:type="character" w:customStyle="1" w:styleId="HeaderChar">
    <w:name w:val="Header Char"/>
    <w:basedOn w:val="DefaultParagraphFont"/>
    <w:link w:val="Header"/>
    <w:rsid w:val="009C5F26"/>
  </w:style>
  <w:style w:type="character" w:styleId="PageNumber">
    <w:name w:val="page number"/>
    <w:basedOn w:val="DefaultParagraphFont"/>
    <w:rsid w:val="009C5F26"/>
  </w:style>
  <w:style w:type="table" w:styleId="TableGrid">
    <w:name w:val="Table Grid"/>
    <w:basedOn w:val="TableNormal"/>
    <w:uiPriority w:val="39"/>
    <w:rsid w:val="009C5F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C5F26"/>
    <w:pPr>
      <w:spacing w:after="0" w:line="240" w:lineRule="auto"/>
      <w:ind w:left="720"/>
      <w:contextualSpacing/>
    </w:pPr>
    <w:rPr>
      <w:rFonts w:ascii="Times New Roman" w:eastAsia="Times New Roman" w:hAnsi="Times New Roman" w:cs="Times New Roman"/>
      <w:sz w:val="24"/>
      <w:szCs w:val="24"/>
    </w:rPr>
  </w:style>
  <w:style w:type="paragraph" w:styleId="FootnoteText">
    <w:name w:val="footnote text"/>
    <w:aliases w:val="fn"/>
    <w:basedOn w:val="Normal"/>
    <w:link w:val="FootnoteTextChar"/>
    <w:rsid w:val="009C5F26"/>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fn Char"/>
    <w:basedOn w:val="DefaultParagraphFont"/>
    <w:link w:val="FootnoteText"/>
    <w:rsid w:val="009C5F26"/>
    <w:rPr>
      <w:rFonts w:ascii="Times New Roman" w:eastAsia="Times New Roman" w:hAnsi="Times New Roman" w:cs="Times New Roman"/>
      <w:sz w:val="20"/>
      <w:szCs w:val="20"/>
    </w:rPr>
  </w:style>
  <w:style w:type="character" w:styleId="FootnoteReference">
    <w:name w:val="footnote reference"/>
    <w:basedOn w:val="DefaultParagraphFont"/>
    <w:rsid w:val="009C5F26"/>
    <w:rPr>
      <w:vertAlign w:val="superscript"/>
    </w:rPr>
  </w:style>
  <w:style w:type="paragraph" w:styleId="Footer">
    <w:name w:val="footer"/>
    <w:basedOn w:val="Normal"/>
    <w:link w:val="FooterChar"/>
    <w:uiPriority w:val="99"/>
    <w:unhideWhenUsed/>
    <w:rsid w:val="005376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7678"/>
  </w:style>
  <w:style w:type="paragraph" w:styleId="BalloonText">
    <w:name w:val="Balloon Text"/>
    <w:basedOn w:val="Normal"/>
    <w:link w:val="BalloonTextChar"/>
    <w:uiPriority w:val="99"/>
    <w:semiHidden/>
    <w:unhideWhenUsed/>
    <w:rsid w:val="003716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1638"/>
    <w:rPr>
      <w:rFonts w:ascii="Segoe UI" w:hAnsi="Segoe UI" w:cs="Segoe UI"/>
      <w:sz w:val="18"/>
      <w:szCs w:val="18"/>
    </w:rPr>
  </w:style>
  <w:style w:type="character" w:styleId="CommentReference">
    <w:name w:val="annotation reference"/>
    <w:basedOn w:val="DefaultParagraphFont"/>
    <w:uiPriority w:val="99"/>
    <w:semiHidden/>
    <w:unhideWhenUsed/>
    <w:rsid w:val="00BE6D64"/>
    <w:rPr>
      <w:sz w:val="16"/>
      <w:szCs w:val="16"/>
    </w:rPr>
  </w:style>
  <w:style w:type="paragraph" w:styleId="CommentText">
    <w:name w:val="annotation text"/>
    <w:basedOn w:val="Normal"/>
    <w:link w:val="CommentTextChar"/>
    <w:uiPriority w:val="99"/>
    <w:semiHidden/>
    <w:unhideWhenUsed/>
    <w:rsid w:val="00BE6D64"/>
    <w:pPr>
      <w:spacing w:line="240" w:lineRule="auto"/>
    </w:pPr>
    <w:rPr>
      <w:sz w:val="20"/>
      <w:szCs w:val="20"/>
    </w:rPr>
  </w:style>
  <w:style w:type="character" w:customStyle="1" w:styleId="CommentTextChar">
    <w:name w:val="Comment Text Char"/>
    <w:basedOn w:val="DefaultParagraphFont"/>
    <w:link w:val="CommentText"/>
    <w:uiPriority w:val="99"/>
    <w:semiHidden/>
    <w:rsid w:val="00BE6D64"/>
    <w:rPr>
      <w:sz w:val="20"/>
      <w:szCs w:val="20"/>
    </w:rPr>
  </w:style>
  <w:style w:type="paragraph" w:styleId="CommentSubject">
    <w:name w:val="annotation subject"/>
    <w:basedOn w:val="CommentText"/>
    <w:next w:val="CommentText"/>
    <w:link w:val="CommentSubjectChar"/>
    <w:uiPriority w:val="99"/>
    <w:semiHidden/>
    <w:unhideWhenUsed/>
    <w:rsid w:val="00BE6D64"/>
    <w:rPr>
      <w:b/>
      <w:bCs/>
    </w:rPr>
  </w:style>
  <w:style w:type="character" w:customStyle="1" w:styleId="CommentSubjectChar">
    <w:name w:val="Comment Subject Char"/>
    <w:basedOn w:val="CommentTextChar"/>
    <w:link w:val="CommentSubject"/>
    <w:uiPriority w:val="99"/>
    <w:semiHidden/>
    <w:rsid w:val="00BE6D6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18" Type="http://schemas.openxmlformats.org/officeDocument/2006/relationships/customXml" Target="../customXml/item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3.xml"/><Relationship Id="rId19" Type="http://schemas.openxmlformats.org/officeDocument/2006/relationships/customXml" Target="../customXml/item8.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EB0C0A2F051BE4FB0DF2560CE144E19" ma:contentTypeVersion="203" ma:contentTypeDescription="A content type to manage public (operations) IDB documents" ma:contentTypeScope="" ma:versionID="3f2a3798d1f1220726b6f0779ef5bfb1">
  <xsd:schema xmlns:xsd="http://www.w3.org/2001/XMLSchema" xmlns:xs="http://www.w3.org/2001/XMLSchema" xmlns:p="http://schemas.microsoft.com/office/2006/metadata/properties" xmlns:ns2="cdc7663a-08f0-4737-9e8c-148ce897a09c" targetNamespace="http://schemas.microsoft.com/office/2006/metadata/properties" ma:root="true" ma:fieldsID="e3b5001e410288e4dc1d04bdbd0691a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R-L115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ACF722E9F6B0B149B0CD8BE2560A6672"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R0002888287</Record_x0020_Number>
    <Key_x0020_Document xmlns="cdc7663a-08f0-4737-9e8c-148ce897a09c">false</Key_x0020_Document>
    <Division_x0020_or_x0020_Unit xmlns="cdc7663a-08f0-4737-9e8c-148ce897a09c">IFD/FMM</Division_x0020_or_x0020_Unit>
    <Document_x0020_Author xmlns="cdc7663a-08f0-4737-9e8c-148ce897a09c">Radics, Gustavo Axel</Document_x0020_Author>
    <_dlc_DocId xmlns="cdc7663a-08f0-4737-9e8c-148ce897a09c">EZSHARE-436601733-20</_dlc_DocId>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Paraguay</TermName>
          <TermId xmlns="http://schemas.microsoft.com/office/infopath/2007/PartnerControls">50282442-27e7-4526-9d04-55bf5da33a10</TermId>
        </TermInfo>
      </Terms>
    </ic46d7e087fd4a108fb86518ca413cc6>
    <Operation_x0020_Type xmlns="cdc7663a-08f0-4737-9e8c-148ce897a09c">Loan Operation</Operation_x0020_Type>
    <TaxCatchAll xmlns="cdc7663a-08f0-4737-9e8c-148ce897a09c">
      <Value>24</Value>
      <Value>3</Value>
      <Value>36</Value>
      <Value>29</Value>
      <Value>37</Value>
    </TaxCatchAll>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PR-L1151</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Life Cycle</Business_x0020_Area>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Access_x0020_to_x0020_Information_x00a0_Policy xmlns="cdc7663a-08f0-4737-9e8c-148ce897a09c">Public - Simultaneous Disclosure</Access_x0020_to_x0020_Information_x00a0_Policy>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FISCAL POLICY FOR SUSTAINABILITY AND GROWTH</TermName>
          <TermId xmlns="http://schemas.microsoft.com/office/infopath/2007/PartnerControls">6e15b5e0-ae82-4b06-920a-eef6dd27cc8b</TermId>
        </TermInfo>
      </Terms>
    </b2ec7cfb18674cb8803df6b262e8b107>
    <Document_x0020_Language_x0020_IDB xmlns="cdc7663a-08f0-4737-9e8c-148ce897a09c">Spanish</Document_x0020_Language_x0020_IDB>
    <_dlc_DocIdUrl xmlns="cdc7663a-08f0-4737-9e8c-148ce897a09c">
      <Url>https://idbg.sharepoint.com/teams/EZ-PR-LON/PR-L1151/_layouts/15/DocIdRedir.aspx?ID=EZSHARE-436601733-20</Url>
      <Description>EZSHARE-436601733-20</Description>
    </_dlc_DocIdUrl>
    <Phase xmlns="cdc7663a-08f0-4737-9e8c-148ce897a09c">ACTIVE</Phase>
    <Other_x0020_Author xmlns="cdc7663a-08f0-4737-9e8c-148ce897a09c">Susana Roman Sanchez</Other_x0020_Author>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1238BE88-2547-4DDE-9B45-097205E1C764}">
  <ds:schemaRefs>
    <ds:schemaRef ds:uri="http://schemas.openxmlformats.org/officeDocument/2006/bibliography"/>
  </ds:schemaRefs>
</ds:datastoreItem>
</file>

<file path=customXml/itemProps2.xml><?xml version="1.0" encoding="utf-8"?>
<ds:datastoreItem xmlns:ds="http://schemas.openxmlformats.org/officeDocument/2006/customXml" ds:itemID="{45FD730A-DE84-464D-913F-24696D5B7A13}"/>
</file>

<file path=customXml/itemProps3.xml><?xml version="1.0" encoding="utf-8"?>
<ds:datastoreItem xmlns:ds="http://schemas.openxmlformats.org/officeDocument/2006/customXml" ds:itemID="{7B09B4D4-0F0D-430E-AD0E-940D851F8BFA}"/>
</file>

<file path=customXml/itemProps4.xml><?xml version="1.0" encoding="utf-8"?>
<ds:datastoreItem xmlns:ds="http://schemas.openxmlformats.org/officeDocument/2006/customXml" ds:itemID="{2F83781F-5ECE-4537-9B66-AAA94D7D8B63}"/>
</file>

<file path=customXml/itemProps5.xml><?xml version="1.0" encoding="utf-8"?>
<ds:datastoreItem xmlns:ds="http://schemas.openxmlformats.org/officeDocument/2006/customXml" ds:itemID="{2BBE0FB4-5948-4957-B669-5CA46C6D032A}"/>
</file>

<file path=customXml/itemProps6.xml><?xml version="1.0" encoding="utf-8"?>
<ds:datastoreItem xmlns:ds="http://schemas.openxmlformats.org/officeDocument/2006/customXml" ds:itemID="{6557B798-68D1-4DFE-9138-40D32DDD95F6}"/>
</file>

<file path=customXml/itemProps7.xml><?xml version="1.0" encoding="utf-8"?>
<ds:datastoreItem xmlns:ds="http://schemas.openxmlformats.org/officeDocument/2006/customXml" ds:itemID="{29F18C30-7B01-4F64-A3EB-6247BE3EE618}"/>
</file>

<file path=customXml/itemProps8.xml><?xml version="1.0" encoding="utf-8"?>
<ds:datastoreItem xmlns:ds="http://schemas.openxmlformats.org/officeDocument/2006/customXml" ds:itemID="{1728A4BF-742B-46FF-82A3-4ABB87889B65}"/>
</file>

<file path=docProps/app.xml><?xml version="1.0" encoding="utf-8"?>
<Properties xmlns="http://schemas.openxmlformats.org/officeDocument/2006/extended-properties" xmlns:vt="http://schemas.openxmlformats.org/officeDocument/2006/docPropsVTypes">
  <Template>Normal.dotm</Template>
  <TotalTime>0</TotalTime>
  <Pages>7</Pages>
  <Words>1614</Words>
  <Characters>9206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2018-10-22T15:25:00Z</dcterms:created>
  <dcterms:modified xsi:type="dcterms:W3CDTF">2018-10-22T15:26:00Z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37;#FISCAL POLICY FOR SUSTAINABILITY AND GROWTH|6e15b5e0-ae82-4b06-920a-eef6dd27cc8b</vt:lpwstr>
  </property>
  <property fmtid="{D5CDD505-2E9C-101B-9397-08002B2CF9AE}" pid="7" name="Country">
    <vt:lpwstr>24;#Paraguay|50282442-27e7-4526-9d04-55bf5da33a10</vt:lpwstr>
  </property>
  <property fmtid="{D5CDD505-2E9C-101B-9397-08002B2CF9AE}" pid="8" name="Fund IDB">
    <vt:lpwstr>29;#ORC|c028a4b2-ad8b-4cf4-9cac-a2ae6a778e23</vt:lpwstr>
  </property>
  <property fmtid="{D5CDD505-2E9C-101B-9397-08002B2CF9AE}" pid="9" name="_dlc_DocIdItemGuid">
    <vt:lpwstr>b62e26d0-75a1-4738-98fb-ef8651b936cf</vt:lpwstr>
  </property>
  <property fmtid="{D5CDD505-2E9C-101B-9397-08002B2CF9AE}" pid="10" name="Sector IDB">
    <vt:lpwstr>36;#REFORM / MODERNIZATION OF THE STATE|c8fda4a7-691a-4c65-b227-9825197b5cd2</vt:lpwstr>
  </property>
  <property fmtid="{D5CDD505-2E9C-101B-9397-08002B2CF9AE}" pid="11" name="Function Operations IDB">
    <vt:lpwstr>3;#Monitoring and Reporting|df3c2aa1-d63e-41aa-b1f5-bb15dee691ca</vt:lpwstr>
  </property>
  <property fmtid="{D5CDD505-2E9C-101B-9397-08002B2CF9AE}" pid="12" name="ContentTypeId">
    <vt:lpwstr>0x0101001A458A224826124E8B45B1D613300CFC003EB0C0A2F051BE4FB0DF2560CE144E19</vt:lpwstr>
  </property>
</Properties>
</file>