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F0917" w14:textId="77777777" w:rsidR="00155EEA" w:rsidRDefault="3384491E" w:rsidP="3384491E">
      <w:pPr>
        <w:pStyle w:val="SubSubPar"/>
        <w:numPr>
          <w:ilvl w:val="3"/>
          <w:numId w:val="0"/>
        </w:numPr>
        <w:spacing w:after="0"/>
        <w:jc w:val="center"/>
        <w:rPr>
          <w:rFonts w:ascii="Arial" w:hAnsi="Arial" w:cs="Arial"/>
          <w:smallCaps/>
          <w:sz w:val="22"/>
          <w:szCs w:val="22"/>
          <w:lang w:val="es-ES"/>
        </w:rPr>
      </w:pPr>
      <w:r w:rsidRPr="3384491E">
        <w:rPr>
          <w:rFonts w:ascii="Arial" w:hAnsi="Arial" w:cs="Arial"/>
          <w:smallCaps/>
          <w:sz w:val="22"/>
          <w:szCs w:val="22"/>
          <w:lang w:val="es-ES"/>
        </w:rPr>
        <w:t>Documento del Banco Interamericano de Desarrollo</w:t>
      </w:r>
    </w:p>
    <w:p w14:paraId="5E8C631D" w14:textId="77777777" w:rsidR="00155EEA" w:rsidRDefault="00155EEA">
      <w:pPr>
        <w:tabs>
          <w:tab w:val="left" w:pos="1440"/>
          <w:tab w:val="left" w:pos="3060"/>
        </w:tabs>
        <w:jc w:val="center"/>
        <w:rPr>
          <w:rFonts w:ascii="Arial" w:hAnsi="Arial" w:cs="Arial"/>
          <w:smallCaps/>
          <w:sz w:val="22"/>
          <w:szCs w:val="22"/>
          <w:lang w:val="es-ES"/>
        </w:rPr>
      </w:pPr>
    </w:p>
    <w:p w14:paraId="4AC32C60" w14:textId="77777777" w:rsidR="00155EEA" w:rsidRDefault="00155EEA">
      <w:pPr>
        <w:tabs>
          <w:tab w:val="left" w:pos="1440"/>
          <w:tab w:val="left" w:pos="3060"/>
        </w:tabs>
        <w:jc w:val="center"/>
        <w:rPr>
          <w:rFonts w:ascii="Arial" w:hAnsi="Arial" w:cs="Arial"/>
          <w:smallCaps/>
          <w:sz w:val="22"/>
          <w:szCs w:val="22"/>
          <w:lang w:val="es-ES"/>
        </w:rPr>
      </w:pPr>
    </w:p>
    <w:p w14:paraId="3C8A2B61" w14:textId="77777777" w:rsidR="00155EEA" w:rsidRDefault="00155EEA">
      <w:pPr>
        <w:tabs>
          <w:tab w:val="left" w:pos="1440"/>
          <w:tab w:val="left" w:pos="3060"/>
        </w:tabs>
        <w:jc w:val="center"/>
        <w:rPr>
          <w:rFonts w:ascii="Arial" w:hAnsi="Arial" w:cs="Arial"/>
          <w:smallCaps/>
          <w:sz w:val="22"/>
          <w:szCs w:val="22"/>
          <w:lang w:val="es-ES"/>
        </w:rPr>
      </w:pPr>
    </w:p>
    <w:p w14:paraId="1BAEED2D" w14:textId="77777777" w:rsidR="00155EEA" w:rsidRDefault="00155EEA">
      <w:pPr>
        <w:tabs>
          <w:tab w:val="left" w:pos="1440"/>
          <w:tab w:val="left" w:pos="3060"/>
        </w:tabs>
        <w:jc w:val="center"/>
        <w:rPr>
          <w:rFonts w:ascii="Arial" w:hAnsi="Arial" w:cs="Arial"/>
          <w:smallCaps/>
          <w:sz w:val="22"/>
          <w:szCs w:val="22"/>
          <w:lang w:val="es-ES"/>
        </w:rPr>
      </w:pPr>
    </w:p>
    <w:p w14:paraId="20CD8F06" w14:textId="77777777" w:rsidR="00155EEA" w:rsidRDefault="00155EEA">
      <w:pPr>
        <w:tabs>
          <w:tab w:val="left" w:pos="1440"/>
          <w:tab w:val="left" w:pos="3060"/>
        </w:tabs>
        <w:jc w:val="center"/>
        <w:rPr>
          <w:rFonts w:ascii="Arial" w:hAnsi="Arial" w:cs="Arial"/>
          <w:smallCaps/>
          <w:sz w:val="22"/>
          <w:szCs w:val="22"/>
          <w:lang w:val="es-ES"/>
        </w:rPr>
      </w:pPr>
    </w:p>
    <w:p w14:paraId="08F48B16" w14:textId="77777777" w:rsidR="00155EEA" w:rsidRDefault="00155EEA">
      <w:pPr>
        <w:tabs>
          <w:tab w:val="left" w:pos="1440"/>
          <w:tab w:val="left" w:pos="3060"/>
        </w:tabs>
        <w:jc w:val="center"/>
        <w:rPr>
          <w:rFonts w:ascii="Arial" w:hAnsi="Arial" w:cs="Arial"/>
          <w:smallCaps/>
          <w:sz w:val="22"/>
          <w:szCs w:val="22"/>
          <w:lang w:val="es-ES"/>
        </w:rPr>
      </w:pPr>
    </w:p>
    <w:p w14:paraId="28887D6C" w14:textId="77777777" w:rsidR="00155EEA" w:rsidRDefault="00155EEA">
      <w:pPr>
        <w:tabs>
          <w:tab w:val="left" w:pos="1440"/>
          <w:tab w:val="left" w:pos="3060"/>
        </w:tabs>
        <w:jc w:val="center"/>
        <w:rPr>
          <w:rFonts w:ascii="Arial" w:hAnsi="Arial" w:cs="Arial"/>
          <w:smallCaps/>
          <w:sz w:val="22"/>
          <w:szCs w:val="22"/>
          <w:lang w:val="es-ES"/>
        </w:rPr>
      </w:pPr>
    </w:p>
    <w:p w14:paraId="17405514" w14:textId="77777777" w:rsidR="00155EEA" w:rsidRDefault="00155EEA">
      <w:pPr>
        <w:tabs>
          <w:tab w:val="left" w:pos="1440"/>
          <w:tab w:val="left" w:pos="3060"/>
        </w:tabs>
        <w:jc w:val="center"/>
        <w:rPr>
          <w:rFonts w:ascii="Arial" w:hAnsi="Arial" w:cs="Arial"/>
          <w:smallCaps/>
          <w:sz w:val="22"/>
          <w:szCs w:val="22"/>
          <w:lang w:val="es-ES"/>
        </w:rPr>
      </w:pPr>
    </w:p>
    <w:p w14:paraId="1A0CA6A0" w14:textId="77777777" w:rsidR="00155EEA" w:rsidRDefault="00E06623">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Paraguay</w:t>
      </w:r>
    </w:p>
    <w:p w14:paraId="7261111A" w14:textId="77777777" w:rsidR="00155EEA" w:rsidRDefault="00155EEA">
      <w:pPr>
        <w:tabs>
          <w:tab w:val="left" w:pos="1440"/>
          <w:tab w:val="left" w:pos="3060"/>
        </w:tabs>
        <w:jc w:val="center"/>
        <w:rPr>
          <w:rFonts w:ascii="Arial" w:hAnsi="Arial" w:cs="Arial"/>
          <w:b/>
          <w:smallCaps/>
          <w:sz w:val="28"/>
          <w:szCs w:val="28"/>
          <w:lang w:val="es-ES"/>
        </w:rPr>
      </w:pPr>
    </w:p>
    <w:p w14:paraId="10DA0F81" w14:textId="77777777" w:rsidR="00155EEA" w:rsidRDefault="00155EEA">
      <w:pPr>
        <w:tabs>
          <w:tab w:val="left" w:pos="1440"/>
          <w:tab w:val="left" w:pos="3060"/>
        </w:tabs>
        <w:jc w:val="center"/>
        <w:rPr>
          <w:rFonts w:ascii="Arial" w:hAnsi="Arial" w:cs="Arial"/>
          <w:b/>
          <w:smallCaps/>
          <w:sz w:val="28"/>
          <w:szCs w:val="28"/>
          <w:lang w:val="es-ES"/>
        </w:rPr>
      </w:pPr>
    </w:p>
    <w:p w14:paraId="1891817C" w14:textId="77777777" w:rsidR="00155EEA" w:rsidRDefault="00155EEA">
      <w:pPr>
        <w:tabs>
          <w:tab w:val="left" w:pos="1440"/>
          <w:tab w:val="left" w:pos="3060"/>
        </w:tabs>
        <w:jc w:val="center"/>
        <w:rPr>
          <w:rFonts w:ascii="Arial" w:hAnsi="Arial" w:cs="Arial"/>
          <w:b/>
          <w:smallCaps/>
          <w:sz w:val="28"/>
          <w:szCs w:val="28"/>
          <w:lang w:val="es-ES"/>
        </w:rPr>
      </w:pPr>
    </w:p>
    <w:p w14:paraId="21213FAD" w14:textId="77777777" w:rsidR="00155EEA" w:rsidRDefault="00155EEA">
      <w:pPr>
        <w:tabs>
          <w:tab w:val="left" w:pos="1440"/>
          <w:tab w:val="left" w:pos="3060"/>
        </w:tabs>
        <w:rPr>
          <w:rFonts w:ascii="Arial" w:hAnsi="Arial" w:cs="Arial"/>
          <w:smallCaps/>
          <w:sz w:val="22"/>
          <w:szCs w:val="22"/>
          <w:lang w:val="es-ES"/>
        </w:rPr>
      </w:pPr>
    </w:p>
    <w:p w14:paraId="13948A38" w14:textId="77777777" w:rsidR="00155EEA" w:rsidRDefault="00155EEA">
      <w:pPr>
        <w:tabs>
          <w:tab w:val="left" w:pos="1440"/>
          <w:tab w:val="left" w:pos="3060"/>
        </w:tabs>
        <w:rPr>
          <w:rFonts w:ascii="Arial" w:hAnsi="Arial" w:cs="Arial"/>
          <w:smallCaps/>
          <w:sz w:val="22"/>
          <w:szCs w:val="22"/>
          <w:lang w:val="es-ES"/>
        </w:rPr>
      </w:pPr>
    </w:p>
    <w:p w14:paraId="44874CED" w14:textId="77777777" w:rsidR="00155EEA" w:rsidRDefault="00155EEA">
      <w:pPr>
        <w:tabs>
          <w:tab w:val="left" w:pos="1440"/>
          <w:tab w:val="left" w:pos="3060"/>
        </w:tabs>
        <w:rPr>
          <w:rFonts w:ascii="Arial" w:hAnsi="Arial" w:cs="Arial"/>
          <w:smallCaps/>
          <w:sz w:val="22"/>
          <w:szCs w:val="22"/>
          <w:lang w:val="es-ES"/>
        </w:rPr>
      </w:pPr>
    </w:p>
    <w:p w14:paraId="159EFDFC" w14:textId="77777777" w:rsidR="00155EEA" w:rsidRDefault="00155EEA">
      <w:pPr>
        <w:tabs>
          <w:tab w:val="left" w:pos="1440"/>
          <w:tab w:val="left" w:pos="3060"/>
        </w:tabs>
        <w:rPr>
          <w:rFonts w:ascii="Arial" w:hAnsi="Arial" w:cs="Arial"/>
          <w:smallCaps/>
          <w:sz w:val="22"/>
          <w:szCs w:val="22"/>
          <w:lang w:val="es-ES"/>
        </w:rPr>
      </w:pPr>
    </w:p>
    <w:p w14:paraId="0F8276E1" w14:textId="77777777" w:rsidR="00155EEA" w:rsidRDefault="00155EEA">
      <w:pPr>
        <w:tabs>
          <w:tab w:val="left" w:pos="1440"/>
          <w:tab w:val="left" w:pos="3060"/>
        </w:tabs>
        <w:rPr>
          <w:rFonts w:ascii="Arial" w:hAnsi="Arial" w:cs="Arial"/>
          <w:smallCaps/>
          <w:sz w:val="22"/>
          <w:szCs w:val="22"/>
          <w:lang w:val="es-ES"/>
        </w:rPr>
      </w:pPr>
    </w:p>
    <w:p w14:paraId="1B175069" w14:textId="77777777" w:rsidR="00155EEA" w:rsidRDefault="00E06623">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Finanzas Públicas para el Desarrollo Sostenible</w:t>
      </w:r>
    </w:p>
    <w:p w14:paraId="6874883C" w14:textId="77777777" w:rsidR="00155EEA" w:rsidRDefault="00C2392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w:t>
      </w:r>
      <w:r w:rsidR="00E06623">
        <w:rPr>
          <w:rFonts w:ascii="Arial" w:hAnsi="Arial" w:cs="Arial"/>
          <w:b/>
          <w:smallCaps/>
          <w:sz w:val="28"/>
          <w:szCs w:val="28"/>
          <w:lang w:val="es-ES"/>
        </w:rPr>
        <w:t>PR</w:t>
      </w:r>
      <w:r>
        <w:rPr>
          <w:rFonts w:ascii="Arial" w:hAnsi="Arial" w:cs="Arial"/>
          <w:b/>
          <w:smallCaps/>
          <w:sz w:val="28"/>
          <w:szCs w:val="28"/>
          <w:lang w:val="es-ES"/>
        </w:rPr>
        <w:t>-L1</w:t>
      </w:r>
      <w:r w:rsidR="00E06623">
        <w:rPr>
          <w:rFonts w:ascii="Arial" w:hAnsi="Arial" w:cs="Arial"/>
          <w:b/>
          <w:smallCaps/>
          <w:sz w:val="28"/>
          <w:szCs w:val="28"/>
          <w:lang w:val="es-ES"/>
        </w:rPr>
        <w:t>151</w:t>
      </w:r>
      <w:r>
        <w:rPr>
          <w:rFonts w:ascii="Arial" w:hAnsi="Arial" w:cs="Arial"/>
          <w:b/>
          <w:smallCaps/>
          <w:sz w:val="28"/>
          <w:szCs w:val="28"/>
          <w:lang w:val="es-ES"/>
        </w:rPr>
        <w:t>)</w:t>
      </w:r>
    </w:p>
    <w:p w14:paraId="599B598F" w14:textId="77777777" w:rsidR="00155EEA" w:rsidRDefault="00155EEA">
      <w:pPr>
        <w:tabs>
          <w:tab w:val="left" w:pos="1440"/>
          <w:tab w:val="left" w:pos="3060"/>
        </w:tabs>
        <w:jc w:val="center"/>
        <w:rPr>
          <w:rFonts w:ascii="Arial" w:hAnsi="Arial" w:cs="Arial"/>
          <w:b/>
          <w:smallCaps/>
          <w:sz w:val="28"/>
          <w:szCs w:val="28"/>
          <w:lang w:val="es-ES"/>
        </w:rPr>
      </w:pPr>
    </w:p>
    <w:p w14:paraId="37C7B524" w14:textId="77777777" w:rsidR="00155EEA" w:rsidRDefault="00155EEA">
      <w:pPr>
        <w:tabs>
          <w:tab w:val="left" w:pos="1440"/>
          <w:tab w:val="left" w:pos="3060"/>
        </w:tabs>
        <w:jc w:val="center"/>
        <w:rPr>
          <w:rFonts w:ascii="Arial" w:hAnsi="Arial" w:cs="Arial"/>
          <w:b/>
          <w:smallCaps/>
          <w:sz w:val="28"/>
          <w:szCs w:val="28"/>
          <w:lang w:val="es-ES"/>
        </w:rPr>
      </w:pPr>
    </w:p>
    <w:p w14:paraId="037CF907" w14:textId="77777777" w:rsidR="00155EEA" w:rsidRDefault="00C2392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 xml:space="preserve">Plan de Monitoreo y Evaluación </w:t>
      </w:r>
    </w:p>
    <w:p w14:paraId="6C6A37F0" w14:textId="77777777" w:rsidR="00155EEA" w:rsidRDefault="00155EEA">
      <w:pPr>
        <w:tabs>
          <w:tab w:val="left" w:pos="1440"/>
          <w:tab w:val="left" w:pos="3060"/>
        </w:tabs>
        <w:jc w:val="center"/>
        <w:rPr>
          <w:rFonts w:ascii="Arial" w:hAnsi="Arial" w:cs="Arial"/>
          <w:b/>
          <w:smallCaps/>
          <w:sz w:val="28"/>
          <w:szCs w:val="28"/>
          <w:lang w:val="es-ES"/>
        </w:rPr>
      </w:pPr>
    </w:p>
    <w:p w14:paraId="41F0ED72" w14:textId="77777777" w:rsidR="00155EEA" w:rsidRDefault="00155EEA">
      <w:pPr>
        <w:pStyle w:val="Newpage"/>
        <w:rPr>
          <w:rFonts w:ascii="Arial" w:hAnsi="Arial" w:cs="Arial"/>
          <w:b w:val="0"/>
          <w:caps/>
          <w:smallCaps w:val="0"/>
          <w:sz w:val="22"/>
          <w:szCs w:val="22"/>
        </w:rPr>
      </w:pPr>
    </w:p>
    <w:p w14:paraId="52D2009C" w14:textId="77777777" w:rsidR="00155EEA" w:rsidRDefault="00155EEA">
      <w:pPr>
        <w:tabs>
          <w:tab w:val="left" w:pos="1440"/>
          <w:tab w:val="left" w:pos="3060"/>
        </w:tabs>
        <w:jc w:val="center"/>
        <w:rPr>
          <w:rFonts w:ascii="Arial" w:hAnsi="Arial" w:cs="Arial"/>
          <w:b/>
          <w:smallCaps/>
          <w:sz w:val="22"/>
          <w:szCs w:val="22"/>
          <w:lang w:val="es-ES"/>
        </w:rPr>
      </w:pPr>
    </w:p>
    <w:p w14:paraId="5D6E447A" w14:textId="77777777" w:rsidR="00155EEA" w:rsidRDefault="00155EEA">
      <w:pPr>
        <w:tabs>
          <w:tab w:val="left" w:pos="1440"/>
          <w:tab w:val="left" w:pos="3060"/>
        </w:tabs>
        <w:jc w:val="center"/>
        <w:rPr>
          <w:rFonts w:ascii="Arial" w:hAnsi="Arial" w:cs="Arial"/>
          <w:smallCaps/>
          <w:sz w:val="22"/>
          <w:szCs w:val="22"/>
          <w:lang w:val="es-ES"/>
        </w:rPr>
      </w:pPr>
    </w:p>
    <w:p w14:paraId="6A45D40F" w14:textId="77777777" w:rsidR="00155EEA" w:rsidRDefault="00155EEA">
      <w:pPr>
        <w:tabs>
          <w:tab w:val="left" w:pos="1440"/>
          <w:tab w:val="left" w:pos="3060"/>
        </w:tabs>
        <w:jc w:val="center"/>
        <w:rPr>
          <w:rFonts w:ascii="Arial" w:hAnsi="Arial" w:cs="Arial"/>
          <w:smallCaps/>
          <w:sz w:val="22"/>
          <w:szCs w:val="22"/>
          <w:lang w:val="es-ES"/>
        </w:rPr>
      </w:pPr>
    </w:p>
    <w:p w14:paraId="13E53831" w14:textId="77777777" w:rsidR="00155EEA" w:rsidRDefault="00155EEA">
      <w:pPr>
        <w:tabs>
          <w:tab w:val="left" w:pos="1440"/>
          <w:tab w:val="left" w:pos="3060"/>
        </w:tabs>
        <w:jc w:val="center"/>
        <w:rPr>
          <w:rFonts w:ascii="Arial" w:hAnsi="Arial" w:cs="Arial"/>
          <w:smallCaps/>
          <w:sz w:val="22"/>
          <w:szCs w:val="22"/>
          <w:lang w:val="es-ES"/>
        </w:rPr>
      </w:pPr>
    </w:p>
    <w:p w14:paraId="5BA96320" w14:textId="77777777" w:rsidR="00155EEA" w:rsidRDefault="00155EEA">
      <w:pPr>
        <w:tabs>
          <w:tab w:val="left" w:pos="1440"/>
          <w:tab w:val="left" w:pos="3060"/>
        </w:tabs>
        <w:jc w:val="center"/>
        <w:rPr>
          <w:rFonts w:ascii="Arial" w:hAnsi="Arial" w:cs="Arial"/>
          <w:sz w:val="22"/>
          <w:szCs w:val="22"/>
          <w:lang w:val="es-ES"/>
        </w:rPr>
      </w:pPr>
    </w:p>
    <w:p w14:paraId="0C4CACBA" w14:textId="77777777" w:rsidR="00155EEA" w:rsidRDefault="00155EEA">
      <w:pPr>
        <w:tabs>
          <w:tab w:val="left" w:pos="1440"/>
          <w:tab w:val="left" w:pos="3060"/>
        </w:tabs>
        <w:jc w:val="center"/>
        <w:rPr>
          <w:rFonts w:ascii="Arial" w:hAnsi="Arial" w:cs="Arial"/>
          <w:sz w:val="22"/>
          <w:szCs w:val="22"/>
          <w:lang w:val="es-ES"/>
        </w:rPr>
      </w:pPr>
    </w:p>
    <w:p w14:paraId="748B16D6" w14:textId="77777777" w:rsidR="00155EEA" w:rsidRDefault="00155EEA">
      <w:pPr>
        <w:tabs>
          <w:tab w:val="left" w:pos="1440"/>
          <w:tab w:val="left" w:pos="3060"/>
        </w:tabs>
        <w:jc w:val="center"/>
        <w:rPr>
          <w:rFonts w:ascii="Arial" w:hAnsi="Arial" w:cs="Arial"/>
          <w:sz w:val="22"/>
          <w:szCs w:val="22"/>
          <w:lang w:val="es-ES"/>
        </w:rPr>
      </w:pPr>
    </w:p>
    <w:p w14:paraId="16F80396" w14:textId="77777777" w:rsidR="00155EEA" w:rsidRDefault="00155EEA">
      <w:pPr>
        <w:tabs>
          <w:tab w:val="left" w:pos="1440"/>
          <w:tab w:val="left" w:pos="3060"/>
        </w:tabs>
        <w:jc w:val="center"/>
        <w:rPr>
          <w:rFonts w:ascii="Arial" w:hAnsi="Arial" w:cs="Arial"/>
          <w:sz w:val="22"/>
          <w:szCs w:val="22"/>
          <w:lang w:val="es-ES"/>
        </w:rPr>
      </w:pPr>
    </w:p>
    <w:p w14:paraId="43AE3E13" w14:textId="77777777" w:rsidR="00155EEA" w:rsidRDefault="00155EEA">
      <w:pPr>
        <w:tabs>
          <w:tab w:val="left" w:pos="1440"/>
          <w:tab w:val="left" w:pos="3060"/>
        </w:tabs>
        <w:jc w:val="center"/>
        <w:rPr>
          <w:rFonts w:ascii="Arial" w:hAnsi="Arial" w:cs="Arial"/>
          <w:sz w:val="22"/>
          <w:szCs w:val="22"/>
          <w:lang w:val="es-ES"/>
        </w:rPr>
      </w:pPr>
    </w:p>
    <w:p w14:paraId="0E903BAB" w14:textId="77777777" w:rsidR="00155EEA" w:rsidRDefault="00155EEA">
      <w:pPr>
        <w:tabs>
          <w:tab w:val="left" w:pos="1440"/>
          <w:tab w:val="left" w:pos="3060"/>
        </w:tabs>
        <w:jc w:val="center"/>
        <w:rPr>
          <w:rFonts w:ascii="Arial" w:hAnsi="Arial" w:cs="Arial"/>
          <w:sz w:val="22"/>
          <w:szCs w:val="22"/>
          <w:lang w:val="es-ES"/>
        </w:rPr>
      </w:pPr>
    </w:p>
    <w:p w14:paraId="4E4DBDA7" w14:textId="77777777" w:rsidR="00155EEA" w:rsidRDefault="00155EEA">
      <w:pPr>
        <w:tabs>
          <w:tab w:val="left" w:pos="1440"/>
          <w:tab w:val="left" w:pos="3060"/>
        </w:tabs>
        <w:jc w:val="center"/>
        <w:rPr>
          <w:rFonts w:ascii="Arial" w:hAnsi="Arial" w:cs="Arial"/>
          <w:sz w:val="22"/>
          <w:szCs w:val="22"/>
          <w:lang w:val="es-ES"/>
        </w:rPr>
      </w:pPr>
    </w:p>
    <w:p w14:paraId="177181CB" w14:textId="77777777" w:rsidR="00155EEA" w:rsidRDefault="00155EEA">
      <w:pPr>
        <w:tabs>
          <w:tab w:val="left" w:pos="1440"/>
          <w:tab w:val="left" w:pos="3060"/>
        </w:tabs>
        <w:jc w:val="center"/>
        <w:rPr>
          <w:rFonts w:ascii="Arial" w:hAnsi="Arial" w:cs="Arial"/>
          <w:sz w:val="22"/>
          <w:szCs w:val="22"/>
          <w:lang w:val="es-ES"/>
        </w:rPr>
      </w:pPr>
    </w:p>
    <w:p w14:paraId="788CFF37" w14:textId="77777777" w:rsidR="00155EEA" w:rsidRDefault="00155EEA">
      <w:pPr>
        <w:tabs>
          <w:tab w:val="left" w:pos="1440"/>
          <w:tab w:val="left" w:pos="3060"/>
        </w:tabs>
        <w:jc w:val="center"/>
        <w:rPr>
          <w:rFonts w:ascii="Arial" w:hAnsi="Arial" w:cs="Arial"/>
          <w:sz w:val="22"/>
          <w:szCs w:val="22"/>
          <w:lang w:val="es-ES"/>
        </w:rPr>
      </w:pPr>
    </w:p>
    <w:p w14:paraId="5427E334" w14:textId="77777777" w:rsidR="00155EEA" w:rsidRDefault="00155EEA">
      <w:pPr>
        <w:tabs>
          <w:tab w:val="left" w:pos="1440"/>
          <w:tab w:val="left" w:pos="3060"/>
        </w:tabs>
        <w:jc w:val="center"/>
        <w:rPr>
          <w:rFonts w:ascii="Arial" w:hAnsi="Arial" w:cs="Arial"/>
          <w:sz w:val="22"/>
          <w:szCs w:val="22"/>
          <w:lang w:val="es-ES"/>
        </w:rPr>
      </w:pPr>
    </w:p>
    <w:p w14:paraId="19443668" w14:textId="77777777" w:rsidR="00155EEA" w:rsidRDefault="00155EEA">
      <w:pPr>
        <w:tabs>
          <w:tab w:val="left" w:pos="1440"/>
          <w:tab w:val="left" w:pos="3060"/>
        </w:tabs>
        <w:jc w:val="center"/>
        <w:rPr>
          <w:rFonts w:ascii="Arial" w:hAnsi="Arial" w:cs="Arial"/>
          <w:sz w:val="22"/>
          <w:szCs w:val="22"/>
          <w:lang w:val="es-ES"/>
        </w:rPr>
      </w:pPr>
    </w:p>
    <w:p w14:paraId="68E7F890" w14:textId="77777777" w:rsidR="00155EEA" w:rsidRDefault="00155EEA">
      <w:pPr>
        <w:tabs>
          <w:tab w:val="left" w:pos="1440"/>
          <w:tab w:val="left" w:pos="3060"/>
        </w:tabs>
        <w:jc w:val="center"/>
        <w:rPr>
          <w:rFonts w:ascii="Arial" w:hAnsi="Arial" w:cs="Arial"/>
          <w:sz w:val="22"/>
          <w:szCs w:val="22"/>
          <w:lang w:val="es-ES"/>
        </w:rPr>
      </w:pPr>
    </w:p>
    <w:p w14:paraId="2637A2C7" w14:textId="77777777" w:rsidR="00155EEA" w:rsidRDefault="00155EEA">
      <w:pPr>
        <w:tabs>
          <w:tab w:val="left" w:pos="1440"/>
          <w:tab w:val="left" w:pos="3060"/>
        </w:tabs>
        <w:jc w:val="center"/>
        <w:rPr>
          <w:rFonts w:ascii="Arial" w:hAnsi="Arial" w:cs="Arial"/>
          <w:sz w:val="22"/>
          <w:szCs w:val="22"/>
          <w:lang w:val="es-ES"/>
        </w:rPr>
      </w:pPr>
    </w:p>
    <w:p w14:paraId="3F6C6670" w14:textId="46DCCC3A" w:rsidR="00155EEA" w:rsidRDefault="00C2392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2"/>
          <w:szCs w:val="22"/>
          <w:lang w:val="es-ES"/>
        </w:rPr>
      </w:pPr>
      <w:r>
        <w:rPr>
          <w:rFonts w:ascii="Arial" w:hAnsi="Arial" w:cs="Arial"/>
          <w:sz w:val="22"/>
          <w:szCs w:val="22"/>
          <w:lang w:val="es-ES"/>
        </w:rPr>
        <w:t xml:space="preserve">Este </w:t>
      </w:r>
      <w:r>
        <w:rPr>
          <w:rFonts w:ascii="Arial" w:hAnsi="Arial" w:cs="Arial"/>
          <w:sz w:val="22"/>
          <w:szCs w:val="22"/>
          <w:lang w:val="es-AR"/>
        </w:rPr>
        <w:t xml:space="preserve">documento fue preparado por: </w:t>
      </w:r>
      <w:r w:rsidR="00000942">
        <w:rPr>
          <w:rFonts w:ascii="Arial" w:hAnsi="Arial" w:cs="Arial"/>
          <w:sz w:val="22"/>
          <w:szCs w:val="22"/>
          <w:lang w:val="es-AR"/>
        </w:rPr>
        <w:t>Axel Radics</w:t>
      </w:r>
      <w:r>
        <w:rPr>
          <w:rFonts w:ascii="Arial" w:hAnsi="Arial" w:cs="Arial"/>
          <w:sz w:val="22"/>
          <w:szCs w:val="22"/>
          <w:lang w:val="es-AR"/>
        </w:rPr>
        <w:t xml:space="preserve"> (IFD/FMM</w:t>
      </w:r>
      <w:r w:rsidR="00605C80">
        <w:rPr>
          <w:rFonts w:ascii="Arial" w:hAnsi="Arial" w:cs="Arial"/>
          <w:sz w:val="22"/>
          <w:szCs w:val="22"/>
          <w:lang w:val="es-AR"/>
        </w:rPr>
        <w:t>), Alberto</w:t>
      </w:r>
      <w:r w:rsidR="00000942">
        <w:rPr>
          <w:rFonts w:ascii="Arial" w:hAnsi="Arial" w:cs="Arial"/>
          <w:sz w:val="22"/>
          <w:szCs w:val="22"/>
          <w:lang w:val="es-AR"/>
        </w:rPr>
        <w:t xml:space="preserve"> Barreix </w:t>
      </w:r>
      <w:r>
        <w:rPr>
          <w:rFonts w:ascii="Arial" w:hAnsi="Arial" w:cs="Arial"/>
          <w:sz w:val="22"/>
          <w:szCs w:val="22"/>
          <w:lang w:val="es-AR"/>
        </w:rPr>
        <w:t>(IFD/FMM)</w:t>
      </w:r>
      <w:r w:rsidR="009B718C">
        <w:rPr>
          <w:rFonts w:ascii="Arial" w:hAnsi="Arial" w:cs="Arial"/>
          <w:sz w:val="22"/>
          <w:szCs w:val="22"/>
          <w:lang w:val="es-AR"/>
        </w:rPr>
        <w:t xml:space="preserve"> y Gastón Pierri (SPD/SDV)</w:t>
      </w:r>
      <w:r>
        <w:rPr>
          <w:rFonts w:ascii="Arial" w:hAnsi="Arial" w:cs="Arial"/>
          <w:sz w:val="22"/>
          <w:szCs w:val="22"/>
          <w:lang w:val="es-AR"/>
        </w:rPr>
        <w:t>.</w:t>
      </w:r>
      <w:r>
        <w:rPr>
          <w:rFonts w:ascii="Arial" w:hAnsi="Arial" w:cs="Arial"/>
          <w:sz w:val="22"/>
          <w:szCs w:val="22"/>
          <w:lang w:val="es-ES"/>
        </w:rPr>
        <w:t xml:space="preserve"> </w:t>
      </w:r>
    </w:p>
    <w:p w14:paraId="3CA2AEBB" w14:textId="77777777" w:rsidR="00155EEA" w:rsidRDefault="00155EEA">
      <w:pPr>
        <w:tabs>
          <w:tab w:val="left" w:pos="1440"/>
          <w:tab w:val="left" w:pos="3060"/>
        </w:tabs>
        <w:outlineLvl w:val="0"/>
        <w:rPr>
          <w:rFonts w:ascii="Arial" w:hAnsi="Arial" w:cs="Arial"/>
          <w:sz w:val="20"/>
          <w:lang w:val="es-ES"/>
        </w:rPr>
      </w:pPr>
    </w:p>
    <w:p w14:paraId="4815FFD2" w14:textId="77777777" w:rsidR="00155EEA" w:rsidRDefault="00155EEA">
      <w:pPr>
        <w:tabs>
          <w:tab w:val="left" w:pos="1440"/>
          <w:tab w:val="left" w:pos="3060"/>
        </w:tabs>
        <w:outlineLvl w:val="0"/>
        <w:rPr>
          <w:rFonts w:ascii="Arial" w:hAnsi="Arial" w:cs="Arial"/>
          <w:sz w:val="22"/>
          <w:szCs w:val="22"/>
          <w:lang w:val="es-ES"/>
        </w:rPr>
        <w:sectPr w:rsidR="00155EEA">
          <w:headerReference w:type="even" r:id="rId14"/>
          <w:headerReference w:type="default" r:id="rId15"/>
          <w:footerReference w:type="even" r:id="rId16"/>
          <w:footerReference w:type="default" r:id="rId17"/>
          <w:headerReference w:type="first" r:id="rId18"/>
          <w:footerReference w:type="first" r:id="rId19"/>
          <w:pgSz w:w="12240" w:h="15840" w:code="1"/>
          <w:pgMar w:top="1440" w:right="1800" w:bottom="1440" w:left="1800" w:header="706" w:footer="706" w:gutter="0"/>
          <w:pgNumType w:fmt="lowerRoman" w:start="1"/>
          <w:cols w:space="720"/>
          <w:formProt w:val="0"/>
          <w:titlePg/>
        </w:sectPr>
      </w:pPr>
    </w:p>
    <w:p w14:paraId="0F03E47F" w14:textId="77777777" w:rsidR="00155EEA" w:rsidRDefault="00C2392C">
      <w:pPr>
        <w:pStyle w:val="Newpage"/>
        <w:rPr>
          <w:rFonts w:ascii="Arial" w:hAnsi="Arial" w:cs="Arial"/>
          <w:szCs w:val="24"/>
        </w:rPr>
      </w:pPr>
      <w:r>
        <w:rPr>
          <w:rFonts w:ascii="Arial" w:hAnsi="Arial" w:cs="Arial"/>
          <w:szCs w:val="24"/>
        </w:rPr>
        <w:lastRenderedPageBreak/>
        <w:t>Índice</w:t>
      </w:r>
    </w:p>
    <w:p w14:paraId="2361A15F" w14:textId="77777777" w:rsidR="00155EEA" w:rsidRDefault="00155EEA">
      <w:pPr>
        <w:pStyle w:val="Newpage"/>
        <w:rPr>
          <w:rFonts w:ascii="Arial" w:hAnsi="Arial" w:cs="Arial"/>
          <w:sz w:val="22"/>
          <w:szCs w:val="22"/>
        </w:rPr>
      </w:pPr>
    </w:p>
    <w:p w14:paraId="73788D0E" w14:textId="49FBAF6B" w:rsidR="00155EEA" w:rsidRDefault="00C2392C">
      <w:pPr>
        <w:pStyle w:val="TOC1"/>
        <w:rPr>
          <w:rFonts w:eastAsiaTheme="minorEastAsia"/>
          <w:b w:val="0"/>
          <w:smallCaps w:val="0"/>
          <w:sz w:val="22"/>
          <w:szCs w:val="22"/>
          <w:lang w:val="es-MX"/>
        </w:rPr>
      </w:pPr>
      <w:r>
        <w:rPr>
          <w:noProof w:val="0"/>
          <w:sz w:val="22"/>
          <w:szCs w:val="22"/>
          <w:lang w:val="es-ES"/>
        </w:rPr>
        <w:fldChar w:fldCharType="begin"/>
      </w:r>
      <w:r>
        <w:rPr>
          <w:noProof w:val="0"/>
          <w:sz w:val="22"/>
          <w:szCs w:val="22"/>
          <w:lang w:val="es-ES"/>
        </w:rPr>
        <w:instrText xml:space="preserve"> TOC \f \t "Chapter,1,FirstHeading,2,SecHeading,3" </w:instrText>
      </w:r>
      <w:r>
        <w:rPr>
          <w:noProof w:val="0"/>
          <w:sz w:val="22"/>
          <w:szCs w:val="22"/>
          <w:lang w:val="es-ES"/>
        </w:rPr>
        <w:fldChar w:fldCharType="separate"/>
      </w:r>
      <w:r>
        <w:rPr>
          <w:sz w:val="22"/>
          <w:szCs w:val="22"/>
        </w:rPr>
        <w:t>I.</w:t>
      </w:r>
      <w:r>
        <w:rPr>
          <w:rFonts w:eastAsiaTheme="minorEastAsia"/>
          <w:b w:val="0"/>
          <w:smallCaps w:val="0"/>
          <w:sz w:val="22"/>
          <w:szCs w:val="22"/>
          <w:lang w:val="es-MX"/>
        </w:rPr>
        <w:tab/>
      </w:r>
      <w:r>
        <w:rPr>
          <w:sz w:val="22"/>
          <w:szCs w:val="22"/>
        </w:rPr>
        <w:t>Introducción</w:t>
      </w:r>
      <w:r>
        <w:rPr>
          <w:sz w:val="22"/>
          <w:szCs w:val="22"/>
        </w:rPr>
        <w:tab/>
      </w:r>
      <w:r w:rsidR="00416162">
        <w:rPr>
          <w:sz w:val="22"/>
          <w:szCs w:val="22"/>
        </w:rPr>
        <w:t>1</w:t>
      </w:r>
    </w:p>
    <w:p w14:paraId="72C8403A" w14:textId="15FFAA89" w:rsidR="00155EEA" w:rsidRDefault="00C2392C">
      <w:pPr>
        <w:pStyle w:val="TOC1"/>
        <w:rPr>
          <w:rFonts w:eastAsiaTheme="minorEastAsia"/>
          <w:b w:val="0"/>
          <w:smallCaps w:val="0"/>
          <w:sz w:val="22"/>
          <w:szCs w:val="22"/>
          <w:lang w:val="es-MX"/>
        </w:rPr>
      </w:pPr>
      <w:r>
        <w:rPr>
          <w:sz w:val="22"/>
          <w:szCs w:val="22"/>
        </w:rPr>
        <w:t>II.</w:t>
      </w:r>
      <w:r>
        <w:rPr>
          <w:rFonts w:eastAsiaTheme="minorEastAsia"/>
          <w:b w:val="0"/>
          <w:smallCaps w:val="0"/>
          <w:sz w:val="22"/>
          <w:szCs w:val="22"/>
          <w:lang w:val="es-MX"/>
        </w:rPr>
        <w:tab/>
      </w:r>
      <w:r>
        <w:rPr>
          <w:sz w:val="22"/>
          <w:szCs w:val="22"/>
        </w:rPr>
        <w:t>Monitoreo</w:t>
      </w:r>
      <w:r>
        <w:rPr>
          <w:sz w:val="22"/>
          <w:szCs w:val="22"/>
        </w:rPr>
        <w:tab/>
      </w:r>
      <w:r>
        <w:rPr>
          <w:sz w:val="22"/>
          <w:szCs w:val="22"/>
        </w:rPr>
        <w:fldChar w:fldCharType="begin"/>
      </w:r>
      <w:r>
        <w:rPr>
          <w:sz w:val="22"/>
          <w:szCs w:val="22"/>
        </w:rPr>
        <w:instrText xml:space="preserve"> PAGEREF _Toc508105575 \h </w:instrText>
      </w:r>
      <w:r>
        <w:rPr>
          <w:sz w:val="22"/>
          <w:szCs w:val="22"/>
        </w:rPr>
      </w:r>
      <w:r>
        <w:rPr>
          <w:sz w:val="22"/>
          <w:szCs w:val="22"/>
        </w:rPr>
        <w:fldChar w:fldCharType="separate"/>
      </w:r>
      <w:r w:rsidR="00416162">
        <w:rPr>
          <w:sz w:val="22"/>
          <w:szCs w:val="22"/>
        </w:rPr>
        <w:t>3</w:t>
      </w:r>
      <w:r>
        <w:rPr>
          <w:sz w:val="22"/>
          <w:szCs w:val="22"/>
        </w:rPr>
        <w:fldChar w:fldCharType="end"/>
      </w:r>
    </w:p>
    <w:p w14:paraId="0754F1E0" w14:textId="444B277A" w:rsidR="00155EEA" w:rsidRDefault="00C2392C">
      <w:pPr>
        <w:pStyle w:val="TOC2"/>
        <w:rPr>
          <w:rFonts w:ascii="Arial" w:eastAsiaTheme="minorEastAsia" w:hAnsi="Arial" w:cs="Arial"/>
          <w:sz w:val="22"/>
          <w:szCs w:val="22"/>
          <w:lang w:val="es-MX"/>
        </w:rPr>
      </w:pPr>
      <w:r>
        <w:rPr>
          <w:rFonts w:ascii="Arial" w:hAnsi="Arial" w:cs="Arial"/>
          <w:sz w:val="22"/>
          <w:szCs w:val="22"/>
        </w:rPr>
        <w:t>A.</w:t>
      </w:r>
      <w:r>
        <w:rPr>
          <w:rFonts w:ascii="Arial" w:hAnsi="Arial" w:cs="Arial" w:eastAsiaTheme="minorEastAsia"/>
          <w:sz w:val="22"/>
          <w:szCs w:val="22"/>
          <w:lang w:val="es-MX"/>
        </w:rPr>
        <w:tab/>
      </w:r>
      <w:r>
        <w:rPr>
          <w:rFonts w:ascii="Arial" w:hAnsi="Arial" w:cs="Arial"/>
          <w:sz w:val="22"/>
          <w:szCs w:val="22"/>
        </w:rPr>
        <w:t>Indicadores</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_Toc508105576 \h </w:instrText>
      </w:r>
      <w:r>
        <w:rPr>
          <w:rFonts w:ascii="Arial" w:hAnsi="Arial" w:cs="Arial"/>
          <w:sz w:val="22"/>
          <w:szCs w:val="22"/>
        </w:rPr>
      </w:r>
      <w:r>
        <w:rPr>
          <w:rFonts w:ascii="Arial" w:hAnsi="Arial" w:cs="Arial"/>
          <w:sz w:val="22"/>
          <w:szCs w:val="22"/>
        </w:rPr>
        <w:fldChar w:fldCharType="separate"/>
      </w:r>
      <w:r w:rsidR="00416162">
        <w:rPr>
          <w:rFonts w:ascii="Arial" w:hAnsi="Arial" w:cs="Arial"/>
          <w:sz w:val="22"/>
          <w:szCs w:val="22"/>
        </w:rPr>
        <w:t>3</w:t>
      </w:r>
      <w:r>
        <w:rPr>
          <w:rFonts w:ascii="Arial" w:hAnsi="Arial" w:cs="Arial"/>
          <w:sz w:val="22"/>
          <w:szCs w:val="22"/>
        </w:rPr>
        <w:fldChar w:fldCharType="end"/>
      </w:r>
    </w:p>
    <w:p w14:paraId="60CFDB24" w14:textId="4854CE67" w:rsidR="00155EEA" w:rsidRDefault="00C2392C">
      <w:pPr>
        <w:pStyle w:val="TOC2"/>
        <w:rPr>
          <w:rFonts w:ascii="Arial" w:eastAsiaTheme="minorEastAsia" w:hAnsi="Arial" w:cs="Arial"/>
          <w:sz w:val="22"/>
          <w:szCs w:val="22"/>
          <w:lang w:val="es-MX"/>
        </w:rPr>
      </w:pPr>
      <w:r>
        <w:rPr>
          <w:rFonts w:ascii="Arial" w:hAnsi="Arial" w:cs="Arial"/>
          <w:sz w:val="22"/>
          <w:szCs w:val="22"/>
        </w:rPr>
        <w:t>B.</w:t>
      </w:r>
      <w:r>
        <w:rPr>
          <w:rFonts w:ascii="Arial" w:hAnsi="Arial" w:cs="Arial" w:eastAsiaTheme="minorEastAsia"/>
          <w:sz w:val="22"/>
          <w:szCs w:val="22"/>
          <w:lang w:val="es-MX"/>
        </w:rPr>
        <w:tab/>
      </w:r>
      <w:r>
        <w:rPr>
          <w:rFonts w:ascii="Arial" w:hAnsi="Arial" w:cs="Arial"/>
          <w:sz w:val="22"/>
          <w:szCs w:val="22"/>
        </w:rPr>
        <w:t>Recopilación de Datos e Instrumentos</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_Toc508105577 \h </w:instrText>
      </w:r>
      <w:r>
        <w:rPr>
          <w:rFonts w:ascii="Arial" w:hAnsi="Arial" w:cs="Arial"/>
          <w:sz w:val="22"/>
          <w:szCs w:val="22"/>
        </w:rPr>
      </w:r>
      <w:r>
        <w:rPr>
          <w:rFonts w:ascii="Arial" w:hAnsi="Arial" w:cs="Arial"/>
          <w:sz w:val="22"/>
          <w:szCs w:val="22"/>
        </w:rPr>
        <w:fldChar w:fldCharType="separate"/>
      </w:r>
      <w:r w:rsidR="00416162">
        <w:rPr>
          <w:rFonts w:ascii="Arial" w:hAnsi="Arial" w:cs="Arial"/>
          <w:sz w:val="22"/>
          <w:szCs w:val="22"/>
        </w:rPr>
        <w:t>9</w:t>
      </w:r>
      <w:r>
        <w:rPr>
          <w:rFonts w:ascii="Arial" w:hAnsi="Arial" w:cs="Arial"/>
          <w:sz w:val="22"/>
          <w:szCs w:val="22"/>
        </w:rPr>
        <w:fldChar w:fldCharType="end"/>
      </w:r>
    </w:p>
    <w:p w14:paraId="2116D9D5" w14:textId="3FFE973A" w:rsidR="00155EEA" w:rsidRDefault="00C2392C">
      <w:pPr>
        <w:pStyle w:val="TOC2"/>
        <w:rPr>
          <w:rFonts w:ascii="Arial" w:eastAsiaTheme="minorEastAsia" w:hAnsi="Arial" w:cs="Arial"/>
          <w:sz w:val="22"/>
          <w:szCs w:val="22"/>
          <w:lang w:val="es-MX"/>
        </w:rPr>
      </w:pPr>
      <w:r>
        <w:rPr>
          <w:rFonts w:ascii="Arial" w:hAnsi="Arial" w:cs="Arial"/>
          <w:sz w:val="22"/>
          <w:szCs w:val="22"/>
        </w:rPr>
        <w:t>C.</w:t>
      </w:r>
      <w:r>
        <w:rPr>
          <w:rFonts w:ascii="Arial" w:hAnsi="Arial" w:cs="Arial" w:eastAsiaTheme="minorEastAsia"/>
          <w:sz w:val="22"/>
          <w:szCs w:val="22"/>
          <w:lang w:val="es-MX"/>
        </w:rPr>
        <w:tab/>
      </w:r>
      <w:r>
        <w:rPr>
          <w:rFonts w:ascii="Arial" w:hAnsi="Arial" w:cs="Arial"/>
          <w:sz w:val="22"/>
          <w:szCs w:val="22"/>
        </w:rPr>
        <w:t>Presentación de Informes</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_Toc508105578 \h </w:instrText>
      </w:r>
      <w:r>
        <w:rPr>
          <w:rFonts w:ascii="Arial" w:hAnsi="Arial" w:cs="Arial"/>
          <w:sz w:val="22"/>
          <w:szCs w:val="22"/>
        </w:rPr>
      </w:r>
      <w:r>
        <w:rPr>
          <w:rFonts w:ascii="Arial" w:hAnsi="Arial" w:cs="Arial"/>
          <w:sz w:val="22"/>
          <w:szCs w:val="22"/>
        </w:rPr>
        <w:fldChar w:fldCharType="separate"/>
      </w:r>
      <w:r w:rsidR="00416162">
        <w:rPr>
          <w:rFonts w:ascii="Arial" w:hAnsi="Arial" w:cs="Arial"/>
          <w:sz w:val="22"/>
          <w:szCs w:val="22"/>
        </w:rPr>
        <w:t>9</w:t>
      </w:r>
      <w:r>
        <w:rPr>
          <w:rFonts w:ascii="Arial" w:hAnsi="Arial" w:cs="Arial"/>
          <w:sz w:val="22"/>
          <w:szCs w:val="22"/>
        </w:rPr>
        <w:fldChar w:fldCharType="end"/>
      </w:r>
    </w:p>
    <w:p w14:paraId="04AF8D7C" w14:textId="00C4B9FF" w:rsidR="00155EEA" w:rsidRDefault="00C2392C">
      <w:pPr>
        <w:pStyle w:val="TOC2"/>
        <w:rPr>
          <w:rFonts w:ascii="Arial" w:eastAsiaTheme="minorEastAsia" w:hAnsi="Arial" w:cs="Arial"/>
          <w:sz w:val="22"/>
          <w:szCs w:val="22"/>
          <w:lang w:val="es-MX"/>
        </w:rPr>
      </w:pPr>
      <w:r>
        <w:rPr>
          <w:rFonts w:ascii="Arial" w:hAnsi="Arial" w:cs="Arial"/>
          <w:sz w:val="22"/>
          <w:szCs w:val="22"/>
        </w:rPr>
        <w:t>D.</w:t>
      </w:r>
      <w:r>
        <w:rPr>
          <w:rFonts w:ascii="Arial" w:hAnsi="Arial" w:cs="Arial" w:eastAsiaTheme="minorEastAsia"/>
          <w:sz w:val="22"/>
          <w:szCs w:val="22"/>
          <w:lang w:val="es-MX"/>
        </w:rPr>
        <w:tab/>
      </w:r>
      <w:r>
        <w:rPr>
          <w:rFonts w:ascii="Arial" w:hAnsi="Arial" w:cs="Arial"/>
          <w:sz w:val="22"/>
          <w:szCs w:val="22"/>
        </w:rPr>
        <w:t>Coordinación, Plan de Trabajo y Presupuesto del Seguimiento</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_Toc508105579 \h </w:instrText>
      </w:r>
      <w:r>
        <w:rPr>
          <w:rFonts w:ascii="Arial" w:hAnsi="Arial" w:cs="Arial"/>
          <w:sz w:val="22"/>
          <w:szCs w:val="22"/>
        </w:rPr>
      </w:r>
      <w:r>
        <w:rPr>
          <w:rFonts w:ascii="Arial" w:hAnsi="Arial" w:cs="Arial"/>
          <w:sz w:val="22"/>
          <w:szCs w:val="22"/>
        </w:rPr>
        <w:fldChar w:fldCharType="separate"/>
      </w:r>
      <w:r w:rsidR="00416162">
        <w:rPr>
          <w:rFonts w:ascii="Arial" w:hAnsi="Arial" w:cs="Arial"/>
          <w:sz w:val="22"/>
          <w:szCs w:val="22"/>
        </w:rPr>
        <w:t>9</w:t>
      </w:r>
      <w:r>
        <w:rPr>
          <w:rFonts w:ascii="Arial" w:hAnsi="Arial" w:cs="Arial"/>
          <w:sz w:val="22"/>
          <w:szCs w:val="22"/>
        </w:rPr>
        <w:fldChar w:fldCharType="end"/>
      </w:r>
    </w:p>
    <w:p w14:paraId="5DD37E00" w14:textId="668D8D47" w:rsidR="00155EEA" w:rsidRDefault="00C2392C">
      <w:pPr>
        <w:pStyle w:val="TOC1"/>
        <w:rPr>
          <w:rFonts w:eastAsiaTheme="minorEastAsia"/>
          <w:b w:val="0"/>
          <w:smallCaps w:val="0"/>
          <w:sz w:val="22"/>
          <w:szCs w:val="22"/>
          <w:lang w:val="es-MX"/>
        </w:rPr>
      </w:pPr>
      <w:r>
        <w:rPr>
          <w:sz w:val="22"/>
          <w:szCs w:val="22"/>
        </w:rPr>
        <w:t>III.</w:t>
      </w:r>
      <w:r>
        <w:rPr>
          <w:rFonts w:eastAsiaTheme="minorEastAsia"/>
          <w:b w:val="0"/>
          <w:smallCaps w:val="0"/>
          <w:sz w:val="22"/>
          <w:szCs w:val="22"/>
          <w:lang w:val="es-MX"/>
        </w:rPr>
        <w:tab/>
      </w:r>
      <w:r>
        <w:rPr>
          <w:sz w:val="22"/>
          <w:szCs w:val="22"/>
        </w:rPr>
        <w:t>Evaluación</w:t>
      </w:r>
      <w:r>
        <w:rPr>
          <w:sz w:val="22"/>
          <w:szCs w:val="22"/>
        </w:rPr>
        <w:tab/>
      </w:r>
      <w:r>
        <w:rPr>
          <w:sz w:val="22"/>
          <w:szCs w:val="22"/>
        </w:rPr>
        <w:fldChar w:fldCharType="begin"/>
      </w:r>
      <w:r>
        <w:rPr>
          <w:sz w:val="22"/>
          <w:szCs w:val="22"/>
        </w:rPr>
        <w:instrText xml:space="preserve"> PAGEREF _Toc508105580 \h </w:instrText>
      </w:r>
      <w:r>
        <w:rPr>
          <w:sz w:val="22"/>
          <w:szCs w:val="22"/>
        </w:rPr>
      </w:r>
      <w:r>
        <w:rPr>
          <w:sz w:val="22"/>
          <w:szCs w:val="22"/>
        </w:rPr>
        <w:fldChar w:fldCharType="separate"/>
      </w:r>
      <w:r w:rsidR="00416162">
        <w:rPr>
          <w:sz w:val="22"/>
          <w:szCs w:val="22"/>
        </w:rPr>
        <w:t>10</w:t>
      </w:r>
      <w:r>
        <w:rPr>
          <w:sz w:val="22"/>
          <w:szCs w:val="22"/>
        </w:rPr>
        <w:fldChar w:fldCharType="end"/>
      </w:r>
    </w:p>
    <w:p w14:paraId="1595A96F" w14:textId="2DCF0911" w:rsidR="00155EEA" w:rsidRDefault="00C2392C">
      <w:pPr>
        <w:pStyle w:val="TOC2"/>
        <w:rPr>
          <w:rFonts w:ascii="Arial" w:eastAsiaTheme="minorEastAsia" w:hAnsi="Arial" w:cs="Arial"/>
          <w:sz w:val="22"/>
          <w:szCs w:val="22"/>
          <w:lang w:val="es-MX"/>
        </w:rPr>
      </w:pPr>
      <w:r>
        <w:rPr>
          <w:rFonts w:ascii="Arial" w:hAnsi="Arial" w:cs="Arial"/>
          <w:sz w:val="22"/>
          <w:szCs w:val="22"/>
        </w:rPr>
        <w:t>A.</w:t>
      </w:r>
      <w:r>
        <w:rPr>
          <w:rFonts w:ascii="Arial" w:hAnsi="Arial" w:cs="Arial" w:eastAsiaTheme="minorEastAsia"/>
          <w:sz w:val="22"/>
          <w:szCs w:val="22"/>
          <w:lang w:val="es-MX"/>
        </w:rPr>
        <w:tab/>
      </w:r>
      <w:r>
        <w:rPr>
          <w:rFonts w:ascii="Arial" w:hAnsi="Arial" w:cs="Arial"/>
          <w:sz w:val="22"/>
          <w:szCs w:val="22"/>
        </w:rPr>
        <w:t>Principales Preguntas de la Evaluación</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_Toc508105581 \h </w:instrText>
      </w:r>
      <w:r>
        <w:rPr>
          <w:rFonts w:ascii="Arial" w:hAnsi="Arial" w:cs="Arial"/>
          <w:sz w:val="22"/>
          <w:szCs w:val="22"/>
        </w:rPr>
      </w:r>
      <w:r>
        <w:rPr>
          <w:rFonts w:ascii="Arial" w:hAnsi="Arial" w:cs="Arial"/>
          <w:sz w:val="22"/>
          <w:szCs w:val="22"/>
        </w:rPr>
        <w:fldChar w:fldCharType="separate"/>
      </w:r>
      <w:r w:rsidR="00416162">
        <w:rPr>
          <w:rFonts w:ascii="Arial" w:hAnsi="Arial" w:cs="Arial"/>
          <w:sz w:val="22"/>
          <w:szCs w:val="22"/>
        </w:rPr>
        <w:t>10</w:t>
      </w:r>
      <w:r>
        <w:rPr>
          <w:rFonts w:ascii="Arial" w:hAnsi="Arial" w:cs="Arial"/>
          <w:sz w:val="22"/>
          <w:szCs w:val="22"/>
        </w:rPr>
        <w:fldChar w:fldCharType="end"/>
      </w:r>
    </w:p>
    <w:p w14:paraId="2991BC3A" w14:textId="40FC8A20" w:rsidR="00155EEA" w:rsidRDefault="00C2392C">
      <w:pPr>
        <w:pStyle w:val="TOC2"/>
        <w:rPr>
          <w:rFonts w:ascii="Arial" w:eastAsiaTheme="minorEastAsia" w:hAnsi="Arial" w:cs="Arial"/>
          <w:sz w:val="22"/>
          <w:szCs w:val="22"/>
          <w:lang w:val="es-MX"/>
        </w:rPr>
      </w:pPr>
      <w:r>
        <w:rPr>
          <w:rFonts w:ascii="Arial" w:hAnsi="Arial" w:cs="Arial"/>
          <w:sz w:val="22"/>
          <w:szCs w:val="22"/>
        </w:rPr>
        <w:t>B.</w:t>
      </w:r>
      <w:r>
        <w:rPr>
          <w:rFonts w:ascii="Arial" w:hAnsi="Arial" w:cs="Arial" w:eastAsiaTheme="minorEastAsia"/>
          <w:sz w:val="22"/>
          <w:szCs w:val="22"/>
          <w:lang w:val="es-MX"/>
        </w:rPr>
        <w:tab/>
      </w:r>
      <w:r>
        <w:rPr>
          <w:rFonts w:ascii="Arial" w:hAnsi="Arial" w:cs="Arial"/>
          <w:sz w:val="22"/>
          <w:szCs w:val="22"/>
        </w:rPr>
        <w:t>Conocimiento Existente</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_Toc508105582 \h </w:instrText>
      </w:r>
      <w:r>
        <w:rPr>
          <w:rFonts w:ascii="Arial" w:hAnsi="Arial" w:cs="Arial"/>
          <w:sz w:val="22"/>
          <w:szCs w:val="22"/>
        </w:rPr>
      </w:r>
      <w:r>
        <w:rPr>
          <w:rFonts w:ascii="Arial" w:hAnsi="Arial" w:cs="Arial"/>
          <w:sz w:val="22"/>
          <w:szCs w:val="22"/>
        </w:rPr>
        <w:fldChar w:fldCharType="separate"/>
      </w:r>
      <w:r w:rsidR="00416162">
        <w:rPr>
          <w:rFonts w:ascii="Arial" w:hAnsi="Arial" w:cs="Arial"/>
          <w:sz w:val="22"/>
          <w:szCs w:val="22"/>
        </w:rPr>
        <w:t>13</w:t>
      </w:r>
      <w:r>
        <w:rPr>
          <w:rFonts w:ascii="Arial" w:hAnsi="Arial" w:cs="Arial"/>
          <w:sz w:val="22"/>
          <w:szCs w:val="22"/>
        </w:rPr>
        <w:fldChar w:fldCharType="end"/>
      </w:r>
    </w:p>
    <w:p w14:paraId="56EEB9B0" w14:textId="7D24726B" w:rsidR="00155EEA" w:rsidRDefault="00C2392C">
      <w:pPr>
        <w:pStyle w:val="TOC2"/>
        <w:rPr>
          <w:rFonts w:ascii="Arial" w:eastAsiaTheme="minorEastAsia" w:hAnsi="Arial" w:cs="Arial"/>
          <w:sz w:val="22"/>
          <w:szCs w:val="22"/>
          <w:lang w:val="es-MX"/>
        </w:rPr>
      </w:pPr>
      <w:r>
        <w:rPr>
          <w:rFonts w:ascii="Arial" w:hAnsi="Arial" w:cs="Arial"/>
          <w:sz w:val="22"/>
          <w:szCs w:val="22"/>
        </w:rPr>
        <w:t>C.</w:t>
      </w:r>
      <w:r>
        <w:rPr>
          <w:rFonts w:ascii="Arial" w:hAnsi="Arial" w:cs="Arial" w:eastAsiaTheme="minorEastAsia"/>
          <w:sz w:val="22"/>
          <w:szCs w:val="22"/>
          <w:lang w:val="es-MX"/>
        </w:rPr>
        <w:tab/>
      </w:r>
      <w:r>
        <w:rPr>
          <w:rFonts w:ascii="Arial" w:hAnsi="Arial" w:cs="Arial"/>
          <w:sz w:val="22"/>
          <w:szCs w:val="22"/>
        </w:rPr>
        <w:t>Metodología de la Evaluación Ex-Post</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_Toc508105583 \h </w:instrText>
      </w:r>
      <w:r>
        <w:rPr>
          <w:rFonts w:ascii="Arial" w:hAnsi="Arial" w:cs="Arial"/>
          <w:sz w:val="22"/>
          <w:szCs w:val="22"/>
        </w:rPr>
      </w:r>
      <w:r>
        <w:rPr>
          <w:rFonts w:ascii="Arial" w:hAnsi="Arial" w:cs="Arial"/>
          <w:sz w:val="22"/>
          <w:szCs w:val="22"/>
        </w:rPr>
        <w:fldChar w:fldCharType="separate"/>
      </w:r>
      <w:r w:rsidR="00416162">
        <w:rPr>
          <w:rFonts w:ascii="Arial" w:hAnsi="Arial" w:cs="Arial"/>
          <w:sz w:val="22"/>
          <w:szCs w:val="22"/>
        </w:rPr>
        <w:t>16</w:t>
      </w:r>
      <w:r>
        <w:rPr>
          <w:rFonts w:ascii="Arial" w:hAnsi="Arial" w:cs="Arial"/>
          <w:sz w:val="22"/>
          <w:szCs w:val="22"/>
        </w:rPr>
        <w:fldChar w:fldCharType="end"/>
      </w:r>
    </w:p>
    <w:p w14:paraId="1F566CC1" w14:textId="7860D82F" w:rsidR="00155EEA" w:rsidRDefault="00C2392C">
      <w:pPr>
        <w:pStyle w:val="TOC2"/>
        <w:rPr>
          <w:rFonts w:ascii="Arial" w:eastAsiaTheme="minorEastAsia" w:hAnsi="Arial" w:cs="Arial"/>
          <w:sz w:val="22"/>
          <w:szCs w:val="22"/>
          <w:lang w:val="es-MX"/>
        </w:rPr>
      </w:pPr>
      <w:r>
        <w:rPr>
          <w:rFonts w:ascii="Arial" w:hAnsi="Arial" w:cs="Arial"/>
          <w:sz w:val="22"/>
          <w:szCs w:val="22"/>
        </w:rPr>
        <w:t>D.</w:t>
      </w:r>
      <w:r>
        <w:rPr>
          <w:rFonts w:ascii="Arial" w:hAnsi="Arial" w:cs="Arial" w:eastAsiaTheme="minorEastAsia"/>
          <w:sz w:val="22"/>
          <w:szCs w:val="22"/>
          <w:lang w:val="es-MX"/>
        </w:rPr>
        <w:tab/>
      </w:r>
      <w:r>
        <w:rPr>
          <w:rFonts w:ascii="Arial" w:hAnsi="Arial" w:cs="Arial"/>
          <w:sz w:val="22"/>
          <w:szCs w:val="22"/>
        </w:rPr>
        <w:t>Aspectos Técnicos de la Metodología Seleccionada</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_Toc508105584 \h </w:instrText>
      </w:r>
      <w:r>
        <w:rPr>
          <w:rFonts w:ascii="Arial" w:hAnsi="Arial" w:cs="Arial"/>
          <w:sz w:val="22"/>
          <w:szCs w:val="22"/>
        </w:rPr>
      </w:r>
      <w:r>
        <w:rPr>
          <w:rFonts w:ascii="Arial" w:hAnsi="Arial" w:cs="Arial"/>
          <w:sz w:val="22"/>
          <w:szCs w:val="22"/>
        </w:rPr>
        <w:fldChar w:fldCharType="separate"/>
      </w:r>
      <w:r w:rsidR="00416162">
        <w:rPr>
          <w:rFonts w:ascii="Arial" w:hAnsi="Arial" w:cs="Arial"/>
          <w:sz w:val="22"/>
          <w:szCs w:val="22"/>
        </w:rPr>
        <w:t>17</w:t>
      </w:r>
      <w:r>
        <w:rPr>
          <w:rFonts w:ascii="Arial" w:hAnsi="Arial" w:cs="Arial"/>
          <w:sz w:val="22"/>
          <w:szCs w:val="22"/>
        </w:rPr>
        <w:fldChar w:fldCharType="end"/>
      </w:r>
    </w:p>
    <w:p w14:paraId="5196FD75" w14:textId="77777777" w:rsidR="00155EEA" w:rsidRDefault="00C2392C">
      <w:pPr>
        <w:pStyle w:val="TOC3"/>
        <w:rPr>
          <w:rFonts w:ascii="Arial" w:hAnsi="Arial" w:cs="Arial"/>
          <w:sz w:val="22"/>
          <w:szCs w:val="22"/>
        </w:rPr>
      </w:pPr>
      <w:r>
        <w:rPr>
          <w:rFonts w:ascii="Arial" w:hAnsi="Arial" w:cs="Arial"/>
          <w:sz w:val="22"/>
          <w:szCs w:val="22"/>
        </w:rPr>
        <w:fldChar w:fldCharType="end"/>
      </w:r>
    </w:p>
    <w:p w14:paraId="28864713" w14:textId="77777777" w:rsidR="00155EEA" w:rsidRDefault="00155EEA">
      <w:pPr>
        <w:rPr>
          <w:lang w:val="es-ES"/>
        </w:rPr>
      </w:pPr>
    </w:p>
    <w:p w14:paraId="42616803" w14:textId="77777777" w:rsidR="00155EEA" w:rsidRDefault="00155EEA">
      <w:pPr>
        <w:rPr>
          <w:rFonts w:ascii="Arial" w:hAnsi="Arial" w:cs="Arial"/>
          <w:sz w:val="22"/>
          <w:szCs w:val="22"/>
          <w:lang w:val="es-ES"/>
        </w:rPr>
      </w:pPr>
    </w:p>
    <w:p w14:paraId="2DE01934" w14:textId="77777777" w:rsidR="00155EEA" w:rsidRDefault="00C2392C">
      <w:pPr>
        <w:spacing w:after="200" w:line="276" w:lineRule="auto"/>
        <w:rPr>
          <w:rFonts w:ascii="Arial" w:hAnsi="Arial" w:cs="Arial"/>
          <w:sz w:val="22"/>
          <w:szCs w:val="22"/>
          <w:lang w:val="es-ES"/>
        </w:rPr>
      </w:pPr>
      <w:r>
        <w:rPr>
          <w:rFonts w:ascii="Arial" w:hAnsi="Arial" w:cs="Arial"/>
          <w:sz w:val="22"/>
          <w:szCs w:val="22"/>
          <w:lang w:val="es-ES"/>
        </w:rPr>
        <w:br w:type="page"/>
      </w:r>
    </w:p>
    <w:p w14:paraId="093398C4" w14:textId="77777777" w:rsidR="00155EEA" w:rsidRDefault="00155EEA">
      <w:pPr>
        <w:rPr>
          <w:rFonts w:ascii="Arial" w:hAnsi="Arial" w:cs="Arial"/>
          <w:sz w:val="22"/>
          <w:szCs w:val="22"/>
          <w:lang w:val="es-ES"/>
        </w:rPr>
      </w:pPr>
    </w:p>
    <w:p w14:paraId="1B784583" w14:textId="77777777" w:rsidR="00155EEA" w:rsidRDefault="00155EEA">
      <w:pPr>
        <w:rPr>
          <w:rFonts w:ascii="Arial" w:hAnsi="Arial" w:cs="Arial"/>
          <w:sz w:val="22"/>
          <w:szCs w:val="22"/>
          <w:lang w:val="es-ES"/>
        </w:rPr>
      </w:pPr>
    </w:p>
    <w:tbl>
      <w:tblPr>
        <w:tblW w:w="8640" w:type="dxa"/>
        <w:tblInd w:w="108" w:type="dxa"/>
        <w:tblLook w:val="01E0" w:firstRow="1" w:lastRow="1" w:firstColumn="1" w:lastColumn="1" w:noHBand="0" w:noVBand="0"/>
      </w:tblPr>
      <w:tblGrid>
        <w:gridCol w:w="1512"/>
        <w:gridCol w:w="7128"/>
      </w:tblGrid>
      <w:tr w:rsidR="00155EEA" w14:paraId="1B411B0A" w14:textId="77777777">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00F6FCE" w14:textId="77777777" w:rsidR="00155EEA" w:rsidRDefault="00C2392C">
            <w:pPr>
              <w:spacing w:before="20" w:after="20"/>
              <w:jc w:val="center"/>
              <w:rPr>
                <w:rFonts w:ascii="Arial" w:eastAsia="Arial Unicode MS" w:hAnsi="Arial" w:cs="Arial"/>
                <w:b/>
                <w:bCs/>
                <w:smallCaps/>
                <w:sz w:val="22"/>
                <w:szCs w:val="22"/>
                <w:lang w:val="es-ES"/>
              </w:rPr>
            </w:pPr>
            <w:r>
              <w:rPr>
                <w:rFonts w:ascii="Arial" w:hAnsi="Arial" w:eastAsia="Arial Unicode MS" w:cs="Arial"/>
                <w:b/>
                <w:bCs/>
                <w:smallCaps/>
                <w:sz w:val="22"/>
                <w:szCs w:val="22"/>
                <w:lang w:val="es-ES"/>
              </w:rPr>
              <w:t>Abreviaturas</w:t>
            </w:r>
          </w:p>
        </w:tc>
      </w:tr>
      <w:tr w:rsidR="00155EEA" w14:paraId="1CBEC845" w14:textId="77777777">
        <w:trPr>
          <w:cantSplit/>
        </w:trPr>
        <w:tc>
          <w:tcPr>
            <w:tcW w:w="1512" w:type="dxa"/>
            <w:tcBorders>
              <w:top w:val="single" w:sz="4" w:space="0" w:color="auto"/>
              <w:left w:val="single" w:sz="4" w:space="0" w:color="auto"/>
            </w:tcBorders>
          </w:tcPr>
          <w:p w14:paraId="2BB70302" w14:textId="77777777" w:rsidR="00155EEA" w:rsidRDefault="00155EEA">
            <w:pPr>
              <w:spacing w:before="20" w:after="20"/>
              <w:rPr>
                <w:rFonts w:ascii="Arial" w:hAnsi="Arial" w:cs="Arial"/>
                <w:sz w:val="4"/>
                <w:szCs w:val="4"/>
                <w:highlight w:val="yellow"/>
                <w:lang w:val="en-US"/>
              </w:rPr>
            </w:pPr>
          </w:p>
          <w:p w14:paraId="0F44D78D" w14:textId="77777777" w:rsidR="00155EEA" w:rsidRDefault="00C2392C">
            <w:pPr>
              <w:spacing w:before="20" w:after="20"/>
              <w:rPr>
                <w:rFonts w:ascii="Arial" w:hAnsi="Arial" w:cs="Arial"/>
                <w:sz w:val="22"/>
                <w:szCs w:val="22"/>
                <w:lang w:val="en-US"/>
              </w:rPr>
            </w:pPr>
            <w:r>
              <w:rPr>
                <w:rFonts w:ascii="Arial" w:hAnsi="Arial" w:cs="Arial"/>
                <w:sz w:val="22"/>
                <w:szCs w:val="22"/>
                <w:lang w:val="en-US"/>
              </w:rPr>
              <w:t>BID</w:t>
            </w:r>
          </w:p>
          <w:p w14:paraId="5F0DE894" w14:textId="07E087BD" w:rsidR="00155EEA" w:rsidRDefault="009F0802">
            <w:pPr>
              <w:spacing w:before="20" w:after="20"/>
              <w:rPr>
                <w:rFonts w:ascii="Arial" w:hAnsi="Arial" w:cs="Arial"/>
                <w:sz w:val="22"/>
                <w:szCs w:val="22"/>
                <w:lang w:val="en-US"/>
              </w:rPr>
            </w:pPr>
            <w:r>
              <w:rPr>
                <w:rFonts w:ascii="Arial" w:hAnsi="Arial" w:cs="Arial"/>
                <w:sz w:val="22"/>
                <w:szCs w:val="22"/>
                <w:lang w:val="en-US"/>
              </w:rPr>
              <w:t>CFA</w:t>
            </w:r>
          </w:p>
          <w:p w14:paraId="4E22FCEF" w14:textId="6543988F" w:rsidR="007055AD" w:rsidRDefault="007055AD">
            <w:pPr>
              <w:spacing w:before="20" w:after="20"/>
              <w:rPr>
                <w:rFonts w:ascii="Arial" w:hAnsi="Arial" w:cs="Arial"/>
                <w:sz w:val="22"/>
                <w:szCs w:val="22"/>
                <w:lang w:val="en-US"/>
              </w:rPr>
            </w:pPr>
            <w:r>
              <w:rPr>
                <w:rFonts w:ascii="Arial" w:hAnsi="Arial" w:cs="Arial"/>
                <w:sz w:val="22"/>
                <w:szCs w:val="22"/>
                <w:lang w:val="en-US"/>
              </w:rPr>
              <w:t>FE</w:t>
            </w:r>
          </w:p>
          <w:p w14:paraId="33A063FC" w14:textId="0743C681" w:rsidR="00155EEA" w:rsidRDefault="00C2392C">
            <w:pPr>
              <w:spacing w:before="20" w:after="20"/>
              <w:rPr>
                <w:rFonts w:ascii="Arial" w:hAnsi="Arial" w:cs="Arial"/>
                <w:sz w:val="22"/>
                <w:szCs w:val="22"/>
                <w:lang w:val="en-US"/>
              </w:rPr>
            </w:pPr>
            <w:r>
              <w:rPr>
                <w:rFonts w:ascii="Arial" w:hAnsi="Arial" w:cs="Arial"/>
                <w:sz w:val="22"/>
                <w:szCs w:val="22"/>
                <w:lang w:val="en-US"/>
              </w:rPr>
              <w:t>FMI</w:t>
            </w:r>
          </w:p>
        </w:tc>
        <w:tc>
          <w:tcPr>
            <w:tcW w:w="7128" w:type="dxa"/>
            <w:tcBorders>
              <w:top w:val="single" w:sz="4" w:space="0" w:color="auto"/>
              <w:right w:val="single" w:sz="4" w:space="0" w:color="auto"/>
            </w:tcBorders>
          </w:tcPr>
          <w:p w14:paraId="2B289BCE" w14:textId="77777777" w:rsidR="00155EEA" w:rsidRDefault="00155EEA">
            <w:pPr>
              <w:spacing w:before="20" w:after="20"/>
              <w:rPr>
                <w:rFonts w:ascii="Arial" w:eastAsiaTheme="minorHAnsi" w:hAnsi="Arial" w:cs="Arial"/>
                <w:sz w:val="4"/>
                <w:szCs w:val="4"/>
                <w:highlight w:val="yellow"/>
                <w:lang w:val="es-MX"/>
              </w:rPr>
            </w:pPr>
          </w:p>
          <w:p w14:paraId="785618C7" w14:textId="77777777" w:rsidR="00155EEA" w:rsidRDefault="00C2392C">
            <w:pPr>
              <w:spacing w:before="20" w:after="20"/>
              <w:rPr>
                <w:rFonts w:ascii="Arial" w:eastAsiaTheme="minorHAnsi" w:hAnsi="Arial" w:cs="Arial"/>
                <w:sz w:val="22"/>
                <w:szCs w:val="22"/>
                <w:lang w:val="es-MX"/>
              </w:rPr>
            </w:pPr>
            <w:r>
              <w:rPr>
                <w:rFonts w:ascii="Arial" w:hAnsi="Arial" w:cs="Arial" w:eastAsiaTheme="minorHAnsi"/>
                <w:sz w:val="22"/>
                <w:szCs w:val="22"/>
                <w:lang w:val="es-MX"/>
              </w:rPr>
              <w:t>Banco Interamericano de Desarrollo</w:t>
            </w:r>
          </w:p>
          <w:p w14:paraId="1A017D9C" w14:textId="3B1485EC" w:rsidR="00155EEA" w:rsidRDefault="009F0802">
            <w:pPr>
              <w:spacing w:before="20" w:after="20"/>
              <w:rPr>
                <w:rFonts w:ascii="Arial" w:eastAsiaTheme="minorHAnsi" w:hAnsi="Arial" w:cs="Arial"/>
                <w:sz w:val="22"/>
                <w:szCs w:val="22"/>
                <w:lang w:val="es-MX"/>
              </w:rPr>
            </w:pPr>
            <w:r>
              <w:rPr>
                <w:rFonts w:ascii="Arial" w:hAnsi="Arial" w:cs="Arial" w:eastAsiaTheme="minorHAnsi"/>
                <w:sz w:val="22"/>
                <w:szCs w:val="22"/>
                <w:lang w:val="es-MX"/>
              </w:rPr>
              <w:t>Consejo Fiscal Asesor</w:t>
            </w:r>
          </w:p>
          <w:p w14:paraId="61A67532" w14:textId="2A289F3B" w:rsidR="007055AD" w:rsidRDefault="007055AD">
            <w:pPr>
              <w:spacing w:before="20" w:after="20"/>
              <w:rPr>
                <w:rFonts w:ascii="Arial" w:hAnsi="Arial" w:cs="Arial"/>
                <w:sz w:val="22"/>
                <w:szCs w:val="22"/>
                <w:lang w:val="es-ES"/>
              </w:rPr>
            </w:pPr>
            <w:r>
              <w:rPr>
                <w:rFonts w:ascii="Arial" w:hAnsi="Arial" w:cs="Arial"/>
                <w:sz w:val="22"/>
                <w:szCs w:val="22"/>
                <w:lang w:val="es-ES"/>
              </w:rPr>
              <w:t>Factura Electrónica</w:t>
            </w:r>
          </w:p>
          <w:p w14:paraId="463C9221" w14:textId="6D409524" w:rsidR="00155EEA" w:rsidRDefault="00C2392C">
            <w:pPr>
              <w:spacing w:before="20" w:after="20"/>
              <w:rPr>
                <w:rFonts w:ascii="Arial" w:hAnsi="Arial" w:cs="Arial"/>
                <w:sz w:val="22"/>
                <w:szCs w:val="22"/>
                <w:lang w:val="es-ES"/>
              </w:rPr>
            </w:pPr>
            <w:r>
              <w:rPr>
                <w:rFonts w:ascii="Arial" w:hAnsi="Arial" w:cs="Arial"/>
                <w:sz w:val="22"/>
                <w:szCs w:val="22"/>
                <w:lang w:val="es-ES"/>
              </w:rPr>
              <w:t>Fondo Monetario Internacional</w:t>
            </w:r>
          </w:p>
        </w:tc>
      </w:tr>
      <w:tr w:rsidR="00155EEA" w14:paraId="74BD1846" w14:textId="77777777">
        <w:trPr>
          <w:cantSplit/>
        </w:trPr>
        <w:tc>
          <w:tcPr>
            <w:tcW w:w="1512" w:type="dxa"/>
            <w:tcBorders>
              <w:left w:val="single" w:sz="4" w:space="0" w:color="auto"/>
            </w:tcBorders>
          </w:tcPr>
          <w:p w14:paraId="5E15AF18" w14:textId="1D628B93" w:rsidR="00155EEA" w:rsidRDefault="00AD0684">
            <w:pPr>
              <w:spacing w:before="20" w:after="20"/>
              <w:rPr>
                <w:rFonts w:ascii="Arial" w:hAnsi="Arial" w:cs="Arial"/>
                <w:sz w:val="22"/>
                <w:szCs w:val="22"/>
              </w:rPr>
            </w:pPr>
            <w:r>
              <w:rPr>
                <w:rFonts w:ascii="Arial" w:hAnsi="Arial" w:cs="Arial"/>
                <w:sz w:val="22"/>
                <w:szCs w:val="22"/>
              </w:rPr>
              <w:t>IVA</w:t>
            </w:r>
          </w:p>
          <w:p w14:paraId="00EB161F" w14:textId="77777777" w:rsidR="00155EEA" w:rsidRDefault="00C2392C">
            <w:pPr>
              <w:spacing w:before="20" w:after="20"/>
              <w:rPr>
                <w:rFonts w:ascii="Arial" w:hAnsi="Arial" w:cs="Arial"/>
                <w:sz w:val="22"/>
                <w:szCs w:val="22"/>
              </w:rPr>
            </w:pPr>
            <w:r>
              <w:rPr>
                <w:rFonts w:ascii="Arial" w:hAnsi="Arial" w:cs="Arial"/>
                <w:sz w:val="22"/>
                <w:szCs w:val="22"/>
              </w:rPr>
              <w:t>MH</w:t>
            </w:r>
          </w:p>
          <w:p w14:paraId="34F0E6FD" w14:textId="26B3DAEC" w:rsidR="00155EEA" w:rsidRDefault="00C2392C">
            <w:pPr>
              <w:spacing w:before="20" w:after="20"/>
              <w:rPr>
                <w:rFonts w:ascii="Arial" w:hAnsi="Arial" w:cs="Arial"/>
                <w:sz w:val="22"/>
                <w:szCs w:val="22"/>
              </w:rPr>
            </w:pPr>
            <w:r>
              <w:rPr>
                <w:rFonts w:ascii="Arial" w:hAnsi="Arial" w:cs="Arial"/>
                <w:sz w:val="22"/>
                <w:szCs w:val="22"/>
              </w:rPr>
              <w:t>MFMP</w:t>
            </w:r>
          </w:p>
          <w:p w14:paraId="18DA57AC" w14:textId="77777777" w:rsidR="00155EEA" w:rsidRDefault="00C2392C">
            <w:pPr>
              <w:spacing w:before="20" w:after="20"/>
              <w:rPr>
                <w:rFonts w:ascii="Arial" w:hAnsi="Arial" w:cs="Arial"/>
                <w:sz w:val="22"/>
                <w:szCs w:val="22"/>
              </w:rPr>
            </w:pPr>
            <w:r>
              <w:rPr>
                <w:rFonts w:ascii="Arial" w:hAnsi="Arial" w:cs="Arial"/>
                <w:sz w:val="22"/>
                <w:szCs w:val="22"/>
              </w:rPr>
              <w:t>PCR</w:t>
            </w:r>
          </w:p>
          <w:p w14:paraId="0B621A35" w14:textId="77777777" w:rsidR="00155EEA" w:rsidRDefault="00C2392C">
            <w:pPr>
              <w:spacing w:before="20" w:after="20"/>
              <w:rPr>
                <w:rFonts w:ascii="Arial" w:hAnsi="Arial" w:cs="Arial"/>
                <w:sz w:val="22"/>
                <w:szCs w:val="22"/>
              </w:rPr>
            </w:pPr>
            <w:r>
              <w:rPr>
                <w:rFonts w:ascii="Arial" w:hAnsi="Arial" w:cs="Arial"/>
                <w:sz w:val="22"/>
                <w:szCs w:val="22"/>
              </w:rPr>
              <w:t>PIB</w:t>
            </w:r>
          </w:p>
        </w:tc>
        <w:tc>
          <w:tcPr>
            <w:tcW w:w="7128" w:type="dxa"/>
            <w:tcBorders>
              <w:right w:val="single" w:sz="4" w:space="0" w:color="auto"/>
            </w:tcBorders>
          </w:tcPr>
          <w:p w14:paraId="4D9429FC" w14:textId="5CE24695" w:rsidR="00155EEA" w:rsidRDefault="00AD0684">
            <w:pPr>
              <w:spacing w:before="20" w:after="20"/>
              <w:rPr>
                <w:rFonts w:ascii="Arial" w:hAnsi="Arial" w:cs="Arial"/>
                <w:sz w:val="22"/>
                <w:szCs w:val="22"/>
                <w:lang w:val="es-ES"/>
              </w:rPr>
            </w:pPr>
            <w:r>
              <w:rPr>
                <w:rFonts w:ascii="Arial" w:hAnsi="Arial" w:cs="Arial"/>
                <w:sz w:val="22"/>
                <w:szCs w:val="22"/>
              </w:rPr>
              <w:t>Impuesto al Valor Agregado</w:t>
            </w:r>
          </w:p>
          <w:p w14:paraId="481B945E" w14:textId="77777777" w:rsidR="00155EEA" w:rsidRDefault="00C2392C">
            <w:pPr>
              <w:spacing w:before="20" w:after="20"/>
              <w:rPr>
                <w:rFonts w:ascii="Arial" w:hAnsi="Arial" w:cs="Arial"/>
                <w:sz w:val="22"/>
                <w:szCs w:val="22"/>
                <w:lang w:val="es-MX"/>
              </w:rPr>
            </w:pPr>
            <w:r>
              <w:rPr>
                <w:rFonts w:ascii="Arial" w:hAnsi="Arial" w:cs="Arial"/>
                <w:sz w:val="22"/>
                <w:szCs w:val="22"/>
              </w:rPr>
              <w:t>Ministerio de Hacienda</w:t>
            </w:r>
          </w:p>
          <w:p w14:paraId="5B91495D" w14:textId="64C4CD5A" w:rsidR="00155EEA" w:rsidRDefault="00C2392C">
            <w:pPr>
              <w:spacing w:before="20" w:after="20"/>
              <w:rPr>
                <w:rFonts w:ascii="Arial" w:eastAsiaTheme="minorHAnsi" w:hAnsi="Arial" w:cs="Arial"/>
                <w:iCs/>
                <w:sz w:val="22"/>
                <w:szCs w:val="22"/>
                <w:lang w:val="es-MX"/>
              </w:rPr>
            </w:pPr>
            <w:r>
              <w:rPr>
                <w:rFonts w:ascii="Arial" w:hAnsi="Arial" w:cs="Arial" w:eastAsiaTheme="minorHAnsi"/>
                <w:iCs/>
                <w:sz w:val="22"/>
                <w:szCs w:val="22"/>
                <w:lang w:val="es-MX"/>
              </w:rPr>
              <w:t>Marco Fiscal de Mediano Plazo</w:t>
            </w:r>
          </w:p>
          <w:p w14:paraId="6FB85032" w14:textId="77777777" w:rsidR="00155EEA" w:rsidRDefault="00C2392C">
            <w:pPr>
              <w:spacing w:before="20" w:after="20"/>
              <w:rPr>
                <w:rFonts w:ascii="Arial" w:hAnsi="Arial" w:cs="Arial"/>
                <w:sz w:val="22"/>
                <w:szCs w:val="22"/>
                <w:lang w:val="es-MX"/>
              </w:rPr>
            </w:pPr>
            <w:r>
              <w:rPr>
                <w:rFonts w:ascii="Arial" w:hAnsi="Arial" w:cs="Arial"/>
                <w:sz w:val="22"/>
                <w:szCs w:val="22"/>
                <w:lang w:val="es-ES"/>
              </w:rPr>
              <w:t xml:space="preserve">Informe de Terminación de Proyecto (Project </w:t>
            </w:r>
            <w:r>
              <w:rPr>
                <w:rFonts w:ascii="Arial" w:hAnsi="Arial" w:cs="Arial"/>
                <w:sz w:val="22"/>
                <w:szCs w:val="22"/>
              </w:rPr>
              <w:t>Completion</w:t>
            </w:r>
            <w:r>
              <w:rPr>
                <w:rFonts w:ascii="Arial" w:hAnsi="Arial" w:cs="Arial"/>
                <w:sz w:val="22"/>
                <w:szCs w:val="22"/>
                <w:lang w:val="es-ES"/>
              </w:rPr>
              <w:t xml:space="preserve"> Report)</w:t>
            </w:r>
          </w:p>
          <w:p w14:paraId="0CE97F16" w14:textId="77777777" w:rsidR="00155EEA" w:rsidRDefault="00C2392C">
            <w:pPr>
              <w:spacing w:before="20" w:after="20"/>
              <w:rPr>
                <w:rFonts w:ascii="Arial" w:eastAsiaTheme="minorHAnsi" w:hAnsi="Arial" w:cs="Arial"/>
                <w:sz w:val="22"/>
                <w:szCs w:val="22"/>
                <w:lang w:val="es-MX"/>
              </w:rPr>
            </w:pPr>
            <w:r>
              <w:rPr>
                <w:rFonts w:ascii="Arial" w:hAnsi="Arial" w:cs="Arial" w:eastAsiaTheme="minorHAnsi"/>
                <w:sz w:val="22"/>
                <w:szCs w:val="22"/>
                <w:lang w:val="es-MX"/>
              </w:rPr>
              <w:t>Producto Interno Bruto</w:t>
            </w:r>
          </w:p>
        </w:tc>
      </w:tr>
      <w:tr w:rsidR="00155EEA" w14:paraId="70E07FB2" w14:textId="77777777">
        <w:trPr>
          <w:cantSplit/>
        </w:trPr>
        <w:tc>
          <w:tcPr>
            <w:tcW w:w="1512" w:type="dxa"/>
            <w:tcBorders>
              <w:left w:val="single" w:sz="4" w:space="0" w:color="auto"/>
              <w:bottom w:val="single" w:sz="4" w:space="0" w:color="auto"/>
            </w:tcBorders>
          </w:tcPr>
          <w:p w14:paraId="343368C6" w14:textId="16AF33EE" w:rsidR="00834916" w:rsidRDefault="00834916">
            <w:pPr>
              <w:spacing w:before="20" w:after="20"/>
              <w:rPr>
                <w:rFonts w:ascii="Arial" w:hAnsi="Arial" w:cs="Arial"/>
                <w:sz w:val="22"/>
                <w:szCs w:val="22"/>
                <w:lang w:val="es-ES"/>
              </w:rPr>
            </w:pPr>
            <w:r>
              <w:rPr>
                <w:rFonts w:ascii="Arial" w:hAnsi="Arial" w:cs="Arial"/>
                <w:sz w:val="22"/>
                <w:szCs w:val="22"/>
                <w:lang w:val="es-ES"/>
              </w:rPr>
              <w:t>PGN</w:t>
            </w:r>
          </w:p>
          <w:p w14:paraId="155938DB" w14:textId="59A18E8F" w:rsidR="00155EEA" w:rsidRDefault="00C2392C">
            <w:pPr>
              <w:spacing w:before="20" w:after="20"/>
              <w:rPr>
                <w:rFonts w:ascii="Arial" w:hAnsi="Arial" w:cs="Arial"/>
                <w:sz w:val="22"/>
                <w:szCs w:val="22"/>
                <w:lang w:val="es-ES"/>
              </w:rPr>
            </w:pPr>
            <w:r>
              <w:rPr>
                <w:rFonts w:ascii="Arial" w:hAnsi="Arial" w:cs="Arial"/>
                <w:sz w:val="22"/>
                <w:szCs w:val="22"/>
                <w:lang w:val="es-ES"/>
              </w:rPr>
              <w:t>POD</w:t>
            </w:r>
          </w:p>
          <w:p w14:paraId="25E6F10C" w14:textId="060FE4A9" w:rsidR="009F0802" w:rsidRDefault="009F0802">
            <w:pPr>
              <w:spacing w:before="20" w:after="20"/>
              <w:rPr>
                <w:rFonts w:ascii="Arial" w:hAnsi="Arial" w:cs="Arial"/>
                <w:sz w:val="22"/>
                <w:szCs w:val="22"/>
                <w:lang w:val="es-ES"/>
              </w:rPr>
            </w:pPr>
            <w:r>
              <w:rPr>
                <w:rFonts w:ascii="Arial" w:hAnsi="Arial" w:cs="Arial"/>
                <w:sz w:val="22"/>
                <w:szCs w:val="22"/>
                <w:lang w:val="es-ES"/>
              </w:rPr>
              <w:t>PPR</w:t>
            </w:r>
          </w:p>
          <w:p w14:paraId="61727F84" w14:textId="366CCF3A" w:rsidR="007055AD" w:rsidRDefault="007055AD">
            <w:pPr>
              <w:spacing w:before="20" w:after="20"/>
              <w:rPr>
                <w:rFonts w:ascii="Arial" w:hAnsi="Arial" w:cs="Arial"/>
                <w:sz w:val="22"/>
                <w:szCs w:val="22"/>
                <w:lang w:val="es-ES"/>
              </w:rPr>
            </w:pPr>
            <w:r>
              <w:rPr>
                <w:rFonts w:ascii="Arial" w:hAnsi="Arial" w:cs="Arial"/>
                <w:sz w:val="22"/>
                <w:szCs w:val="22"/>
                <w:lang w:val="es-ES"/>
              </w:rPr>
              <w:t>SIARE</w:t>
            </w:r>
          </w:p>
          <w:p w14:paraId="1AE6F41D" w14:textId="6D06D4ED" w:rsidR="00155EEA" w:rsidRDefault="00834916">
            <w:pPr>
              <w:spacing w:before="20" w:after="20"/>
              <w:rPr>
                <w:rFonts w:ascii="Arial" w:hAnsi="Arial" w:cs="Arial"/>
                <w:sz w:val="22"/>
                <w:szCs w:val="22"/>
                <w:highlight w:val="yellow"/>
                <w:lang w:val="es-ES"/>
              </w:rPr>
            </w:pPr>
            <w:r>
              <w:rPr>
                <w:rFonts w:ascii="Arial" w:hAnsi="Arial" w:cs="Arial"/>
                <w:sz w:val="22"/>
                <w:szCs w:val="22"/>
                <w:lang w:val="es-ES"/>
              </w:rPr>
              <w:t>SIFEN</w:t>
            </w:r>
          </w:p>
        </w:tc>
        <w:tc>
          <w:tcPr>
            <w:tcW w:w="7128" w:type="dxa"/>
            <w:tcBorders>
              <w:bottom w:val="single" w:sz="4" w:space="0" w:color="auto"/>
              <w:right w:val="single" w:sz="4" w:space="0" w:color="auto"/>
            </w:tcBorders>
          </w:tcPr>
          <w:p w14:paraId="50FDF60F" w14:textId="486ADE25" w:rsidR="00834916" w:rsidRDefault="00834916">
            <w:pPr>
              <w:spacing w:before="20" w:after="20"/>
              <w:rPr>
                <w:rFonts w:ascii="Arial" w:hAnsi="Arial" w:cs="Arial"/>
                <w:sz w:val="22"/>
                <w:szCs w:val="22"/>
                <w:lang w:val="es-ES"/>
              </w:rPr>
            </w:pPr>
            <w:r>
              <w:rPr>
                <w:rFonts w:ascii="Arial" w:hAnsi="Arial" w:cs="Arial"/>
                <w:sz w:val="22"/>
                <w:szCs w:val="22"/>
                <w:lang w:val="es-ES"/>
              </w:rPr>
              <w:t>Presupuesto General de la Nación</w:t>
            </w:r>
          </w:p>
          <w:p w14:paraId="292FCC1C" w14:textId="2AC3DC72" w:rsidR="00155EEA" w:rsidRDefault="00C2392C">
            <w:pPr>
              <w:spacing w:before="20" w:after="20"/>
              <w:rPr>
                <w:rFonts w:ascii="Arial" w:hAnsi="Arial" w:cs="Arial"/>
                <w:sz w:val="22"/>
                <w:szCs w:val="22"/>
                <w:lang w:val="es-ES"/>
              </w:rPr>
            </w:pPr>
            <w:r>
              <w:rPr>
                <w:rFonts w:ascii="Arial" w:hAnsi="Arial" w:cs="Arial"/>
                <w:sz w:val="22"/>
                <w:szCs w:val="22"/>
                <w:lang w:val="es-ES"/>
              </w:rPr>
              <w:t>Propuesta para el Desarrollo de la Operación</w:t>
            </w:r>
          </w:p>
          <w:p w14:paraId="36ECCBF8" w14:textId="233CA04D" w:rsidR="009F0802" w:rsidRDefault="009F0802">
            <w:pPr>
              <w:spacing w:before="20" w:after="20"/>
              <w:rPr>
                <w:rFonts w:ascii="Arial" w:hAnsi="Arial" w:cs="Arial"/>
                <w:sz w:val="22"/>
                <w:szCs w:val="22"/>
                <w:lang w:val="es-ES"/>
              </w:rPr>
            </w:pPr>
            <w:r>
              <w:rPr>
                <w:rFonts w:ascii="Arial" w:hAnsi="Arial" w:cs="Arial"/>
                <w:sz w:val="22"/>
                <w:szCs w:val="22"/>
                <w:lang w:val="es-ES"/>
              </w:rPr>
              <w:t>Presupuesto por Resultados</w:t>
            </w:r>
          </w:p>
          <w:p w14:paraId="238A1ECC" w14:textId="7144093B" w:rsidR="007055AD" w:rsidRDefault="007055AD">
            <w:pPr>
              <w:spacing w:before="20" w:after="20"/>
              <w:rPr>
                <w:rFonts w:ascii="Arial" w:hAnsi="Arial" w:cs="Arial"/>
                <w:sz w:val="22"/>
                <w:szCs w:val="22"/>
                <w:lang w:val="es-ES"/>
              </w:rPr>
            </w:pPr>
            <w:r>
              <w:rPr>
                <w:rFonts w:ascii="Arial" w:hAnsi="Arial" w:cs="Arial"/>
                <w:sz w:val="22"/>
                <w:szCs w:val="22"/>
                <w:lang w:val="es-ES"/>
              </w:rPr>
              <w:t>Sistema Integrado de Administración de Recursos del Estado</w:t>
            </w:r>
          </w:p>
          <w:p w14:paraId="29B62444" w14:textId="3A238321" w:rsidR="00155EEA" w:rsidRDefault="00834916">
            <w:pPr>
              <w:spacing w:before="20" w:after="20"/>
              <w:rPr>
                <w:rFonts w:ascii="Arial" w:hAnsi="Arial" w:cs="Arial"/>
                <w:sz w:val="22"/>
                <w:szCs w:val="22"/>
                <w:lang w:val="es-ES"/>
              </w:rPr>
            </w:pPr>
            <w:r>
              <w:rPr>
                <w:rFonts w:ascii="Arial" w:hAnsi="Arial" w:cs="Arial"/>
                <w:sz w:val="22"/>
                <w:szCs w:val="22"/>
                <w:lang w:val="es-ES"/>
              </w:rPr>
              <w:t>Sistema Integrado de Facturación Electrónica Nacional</w:t>
            </w:r>
          </w:p>
          <w:p w14:paraId="4B9A133A" w14:textId="77777777" w:rsidR="00155EEA" w:rsidRDefault="00155EEA">
            <w:pPr>
              <w:spacing w:before="20" w:after="20"/>
              <w:rPr>
                <w:rFonts w:ascii="Arial" w:hAnsi="Arial" w:cs="Arial"/>
                <w:i/>
                <w:sz w:val="4"/>
                <w:szCs w:val="4"/>
                <w:highlight w:val="yellow"/>
                <w:lang w:val="es-ES"/>
              </w:rPr>
            </w:pPr>
          </w:p>
        </w:tc>
      </w:tr>
    </w:tbl>
    <w:p w14:paraId="0284F6A3" w14:textId="77777777" w:rsidR="00416162" w:rsidRDefault="00416162" w:rsidP="00416162">
      <w:pPr>
        <w:pStyle w:val="Chapter"/>
        <w:numPr>
          <w:ilvl w:val="0"/>
          <w:numId w:val="0"/>
        </w:numPr>
        <w:tabs>
          <w:tab w:val="clear" w:pos="1440"/>
        </w:tabs>
        <w:spacing w:before="0"/>
        <w:ind w:left="18"/>
        <w:jc w:val="left"/>
        <w:rPr>
          <w:rFonts w:ascii="Arial" w:hAnsi="Arial" w:cs="Arial"/>
          <w:szCs w:val="22"/>
        </w:rPr>
        <w:sectPr w:rsidR="00416162" w:rsidSect="003F7D00">
          <w:headerReference w:type="even" r:id="rId20"/>
          <w:headerReference w:type="default" r:id="rId21"/>
          <w:headerReference w:type="first" r:id="rId22"/>
          <w:type w:val="continuous"/>
          <w:pgSz w:w="12240" w:h="15840" w:code="1"/>
          <w:pgMar w:top="1440" w:right="1800" w:bottom="1440" w:left="1800" w:header="706" w:footer="706" w:gutter="0"/>
          <w:pgNumType w:fmt="lowerRoman" w:start="1"/>
          <w:cols w:space="720"/>
          <w:formProt w:val="0"/>
          <w:titlePg/>
          <w:docGrid w:linePitch="326"/>
        </w:sectPr>
      </w:pPr>
      <w:bookmarkStart w:id="0" w:name="_Toc508105574"/>
    </w:p>
    <w:p w14:paraId="1177E248" w14:textId="664EF8EF" w:rsidR="00155EEA" w:rsidRDefault="00C2392C" w:rsidP="006930D9">
      <w:pPr>
        <w:pStyle w:val="Chapter"/>
        <w:tabs>
          <w:tab w:val="clear" w:pos="1440"/>
          <w:tab w:val="clear" w:pos="1800"/>
        </w:tabs>
        <w:spacing w:before="0"/>
        <w:ind w:left="0" w:firstLine="18"/>
        <w:rPr>
          <w:rFonts w:ascii="Arial" w:hAnsi="Arial" w:cs="Arial"/>
          <w:szCs w:val="22"/>
        </w:rPr>
      </w:pPr>
      <w:r>
        <w:rPr>
          <w:rFonts w:ascii="Arial" w:hAnsi="Arial" w:cs="Arial"/>
          <w:szCs w:val="22"/>
        </w:rPr>
        <w:lastRenderedPageBreak/>
        <w:t>Introducción</w:t>
      </w:r>
      <w:bookmarkEnd w:id="0"/>
      <w:r>
        <w:rPr>
          <w:rFonts w:ascii="Arial" w:hAnsi="Arial" w:cs="Arial"/>
          <w:szCs w:val="22"/>
        </w:rPr>
        <w:t xml:space="preserve"> </w:t>
      </w:r>
    </w:p>
    <w:p w14:paraId="3F308C8B" w14:textId="74998C67" w:rsidR="00155EEA" w:rsidRDefault="00C2392C" w:rsidP="006930D9">
      <w:pPr>
        <w:pStyle w:val="Paragraph"/>
        <w:tabs>
          <w:tab w:val="clear" w:pos="2448"/>
        </w:tabs>
        <w:ind w:left="720" w:hanging="720"/>
        <w:rPr>
          <w:rFonts w:ascii="Arial" w:hAnsi="Arial" w:cs="Arial"/>
          <w:sz w:val="22"/>
          <w:szCs w:val="22"/>
        </w:rPr>
      </w:pPr>
      <w:r>
        <w:rPr>
          <w:rFonts w:ascii="Arial" w:hAnsi="Arial" w:cs="Arial"/>
          <w:sz w:val="22"/>
          <w:szCs w:val="22"/>
        </w:rPr>
        <w:t>El objetivo de est</w:t>
      </w:r>
      <w:r w:rsidR="004A5C5B">
        <w:rPr>
          <w:rFonts w:ascii="Arial" w:hAnsi="Arial" w:cs="Arial"/>
          <w:sz w:val="22"/>
          <w:szCs w:val="22"/>
        </w:rPr>
        <w:t xml:space="preserve">e préstamo en apoyo de reformas de política </w:t>
      </w:r>
      <w:r w:rsidR="00043908">
        <w:rPr>
          <w:rFonts w:ascii="Arial" w:hAnsi="Arial" w:cs="Arial"/>
          <w:sz w:val="22"/>
          <w:szCs w:val="22"/>
        </w:rPr>
        <w:t xml:space="preserve">de dos tramos </w:t>
      </w:r>
      <w:r w:rsidR="004A5C5B">
        <w:rPr>
          <w:rFonts w:ascii="Arial" w:hAnsi="Arial" w:cs="Arial"/>
          <w:sz w:val="22"/>
          <w:szCs w:val="22"/>
        </w:rPr>
        <w:t xml:space="preserve">(PBL) es mejorar la gestión de las finanzas públicas a través de: (i) consolidar el marco </w:t>
      </w:r>
      <w:proofErr w:type="spellStart"/>
      <w:r w:rsidR="004A5C5B">
        <w:rPr>
          <w:rFonts w:ascii="Arial" w:hAnsi="Arial" w:cs="Arial"/>
          <w:sz w:val="22"/>
          <w:szCs w:val="22"/>
        </w:rPr>
        <w:t>macro-fiscal</w:t>
      </w:r>
      <w:proofErr w:type="spellEnd"/>
      <w:r w:rsidR="004A5C5B">
        <w:rPr>
          <w:rFonts w:ascii="Arial" w:hAnsi="Arial" w:cs="Arial"/>
          <w:sz w:val="22"/>
          <w:szCs w:val="22"/>
        </w:rPr>
        <w:t>; (</w:t>
      </w:r>
      <w:proofErr w:type="spellStart"/>
      <w:r w:rsidR="004A5C5B">
        <w:rPr>
          <w:rFonts w:ascii="Arial" w:hAnsi="Arial" w:cs="Arial"/>
          <w:sz w:val="22"/>
          <w:szCs w:val="22"/>
        </w:rPr>
        <w:t>ii</w:t>
      </w:r>
      <w:proofErr w:type="spellEnd"/>
      <w:r w:rsidR="004A5C5B">
        <w:rPr>
          <w:rFonts w:ascii="Arial" w:hAnsi="Arial" w:cs="Arial"/>
          <w:sz w:val="22"/>
          <w:szCs w:val="22"/>
        </w:rPr>
        <w:t>) fortalecer la política y la gestión tributaria; y (</w:t>
      </w:r>
      <w:proofErr w:type="spellStart"/>
      <w:r w:rsidR="004A5C5B">
        <w:rPr>
          <w:rFonts w:ascii="Arial" w:hAnsi="Arial" w:cs="Arial"/>
          <w:sz w:val="22"/>
          <w:szCs w:val="22"/>
        </w:rPr>
        <w:t>iii</w:t>
      </w:r>
      <w:proofErr w:type="spellEnd"/>
      <w:r w:rsidR="004A5C5B">
        <w:rPr>
          <w:rFonts w:ascii="Arial" w:hAnsi="Arial" w:cs="Arial"/>
          <w:sz w:val="22"/>
          <w:szCs w:val="22"/>
        </w:rPr>
        <w:t>) mejorar la gestión del gasto</w:t>
      </w:r>
      <w:r w:rsidR="00777AFC">
        <w:rPr>
          <w:rFonts w:ascii="Arial" w:hAnsi="Arial" w:cs="Arial"/>
          <w:sz w:val="22"/>
          <w:szCs w:val="22"/>
        </w:rPr>
        <w:t>.</w:t>
      </w:r>
      <w:r w:rsidR="004A5C5B">
        <w:rPr>
          <w:rFonts w:ascii="Arial" w:hAnsi="Arial" w:cs="Arial"/>
          <w:sz w:val="22"/>
          <w:szCs w:val="22"/>
        </w:rPr>
        <w:t xml:space="preserve"> </w:t>
      </w:r>
      <w:r w:rsidR="00777AFC">
        <w:rPr>
          <w:rFonts w:ascii="Arial" w:hAnsi="Arial" w:cs="Arial"/>
          <w:sz w:val="22"/>
          <w:szCs w:val="22"/>
        </w:rPr>
        <w:t>E</w:t>
      </w:r>
      <w:r w:rsidR="004A5C5B">
        <w:rPr>
          <w:rFonts w:ascii="Arial" w:hAnsi="Arial" w:cs="Arial"/>
          <w:sz w:val="22"/>
          <w:szCs w:val="22"/>
        </w:rPr>
        <w:t>sto permitirá consolidar la estabilidad macroeconómica, generar más recursos y aplicarlos de manera más efectiva, eficiente y transparente para contribuir al desarrollo sostenible de Paraguay</w:t>
      </w:r>
      <w:r>
        <w:rPr>
          <w:rFonts w:ascii="Arial" w:hAnsi="Arial" w:cs="Arial"/>
          <w:sz w:val="22"/>
          <w:szCs w:val="22"/>
          <w:lang w:val="es-ES_tradnl"/>
        </w:rPr>
        <w:t>.</w:t>
      </w:r>
    </w:p>
    <w:p w14:paraId="448C86AA" w14:textId="0B1FD607" w:rsidR="00155EEA" w:rsidRDefault="00C2392C" w:rsidP="006930D9">
      <w:pPr>
        <w:pStyle w:val="Paragraph"/>
        <w:tabs>
          <w:tab w:val="clear" w:pos="2448"/>
        </w:tabs>
        <w:ind w:left="720" w:hanging="720"/>
        <w:rPr>
          <w:rFonts w:ascii="Arial" w:hAnsi="Arial" w:cs="Arial"/>
          <w:sz w:val="22"/>
          <w:szCs w:val="22"/>
        </w:rPr>
      </w:pPr>
      <w:r>
        <w:rPr>
          <w:rFonts w:ascii="Arial" w:hAnsi="Arial" w:cs="Arial"/>
          <w:sz w:val="22"/>
          <w:szCs w:val="22"/>
        </w:rPr>
        <w:t xml:space="preserve">El </w:t>
      </w:r>
      <w:r w:rsidR="002E0A11">
        <w:rPr>
          <w:rFonts w:ascii="Arial" w:hAnsi="Arial" w:cs="Arial"/>
          <w:sz w:val="22"/>
          <w:szCs w:val="22"/>
        </w:rPr>
        <w:t xml:space="preserve">PBL </w:t>
      </w:r>
      <w:r>
        <w:rPr>
          <w:rFonts w:ascii="Arial" w:hAnsi="Arial" w:cs="Arial"/>
          <w:sz w:val="22"/>
          <w:szCs w:val="22"/>
        </w:rPr>
        <w:t xml:space="preserve">se estructura en </w:t>
      </w:r>
      <w:r w:rsidR="00FC3B58">
        <w:rPr>
          <w:rFonts w:ascii="Arial" w:hAnsi="Arial" w:cs="Arial"/>
          <w:sz w:val="22"/>
          <w:szCs w:val="22"/>
        </w:rPr>
        <w:t xml:space="preserve">cuatro </w:t>
      </w:r>
      <w:r>
        <w:rPr>
          <w:rFonts w:ascii="Arial" w:hAnsi="Arial" w:cs="Arial"/>
          <w:sz w:val="22"/>
          <w:szCs w:val="22"/>
        </w:rPr>
        <w:t>componentes</w:t>
      </w:r>
      <w:r>
        <w:rPr>
          <w:rFonts w:ascii="Arial" w:hAnsi="Arial" w:cs="Arial"/>
          <w:spacing w:val="-4"/>
          <w:sz w:val="22"/>
          <w:szCs w:val="22"/>
        </w:rPr>
        <w:t>. El primer</w:t>
      </w:r>
      <w:r w:rsidR="002E0A11">
        <w:rPr>
          <w:rFonts w:ascii="Arial" w:hAnsi="Arial" w:cs="Arial"/>
          <w:spacing w:val="-4"/>
          <w:sz w:val="22"/>
          <w:szCs w:val="22"/>
        </w:rPr>
        <w:t xml:space="preserve">o tiene </w:t>
      </w:r>
      <w:r w:rsidR="00845A5B">
        <w:rPr>
          <w:rFonts w:ascii="Arial" w:hAnsi="Arial" w:cs="Arial"/>
          <w:bCs/>
          <w:sz w:val="22"/>
          <w:szCs w:val="22"/>
        </w:rPr>
        <w:t xml:space="preserve">el </w:t>
      </w:r>
      <w:r>
        <w:rPr>
          <w:rFonts w:ascii="Arial" w:hAnsi="Arial" w:cs="Arial"/>
          <w:sz w:val="22"/>
          <w:szCs w:val="22"/>
        </w:rPr>
        <w:t xml:space="preserve">objetivo </w:t>
      </w:r>
      <w:r w:rsidR="00845A5B">
        <w:rPr>
          <w:rFonts w:ascii="Arial" w:hAnsi="Arial" w:cs="Arial"/>
          <w:sz w:val="22"/>
          <w:szCs w:val="22"/>
        </w:rPr>
        <w:t xml:space="preserve">de </w:t>
      </w:r>
      <w:r w:rsidR="00777AFC">
        <w:rPr>
          <w:rFonts w:ascii="Arial" w:hAnsi="Arial" w:cs="Arial"/>
          <w:sz w:val="22"/>
          <w:szCs w:val="22"/>
        </w:rPr>
        <w:t xml:space="preserve">mantener </w:t>
      </w:r>
      <w:r>
        <w:rPr>
          <w:rFonts w:ascii="Arial" w:hAnsi="Arial" w:cs="Arial"/>
          <w:sz w:val="22"/>
          <w:szCs w:val="22"/>
        </w:rPr>
        <w:t xml:space="preserve">un contexto macroeconómico </w:t>
      </w:r>
      <w:r w:rsidR="009B718C">
        <w:rPr>
          <w:rFonts w:ascii="Arial" w:hAnsi="Arial" w:cs="Arial"/>
          <w:sz w:val="22"/>
          <w:szCs w:val="22"/>
        </w:rPr>
        <w:t xml:space="preserve">apropiado y consistente </w:t>
      </w:r>
      <w:r>
        <w:rPr>
          <w:rFonts w:ascii="Arial" w:hAnsi="Arial" w:cs="Arial"/>
          <w:sz w:val="22"/>
          <w:szCs w:val="22"/>
        </w:rPr>
        <w:t xml:space="preserve">con los objetivos del </w:t>
      </w:r>
      <w:r w:rsidR="009B718C">
        <w:rPr>
          <w:rFonts w:ascii="Arial" w:hAnsi="Arial" w:cs="Arial"/>
          <w:sz w:val="22"/>
          <w:szCs w:val="22"/>
        </w:rPr>
        <w:t xml:space="preserve">programa </w:t>
      </w:r>
      <w:r>
        <w:rPr>
          <w:rFonts w:ascii="Arial" w:hAnsi="Arial" w:cs="Arial"/>
          <w:sz w:val="22"/>
          <w:szCs w:val="22"/>
        </w:rPr>
        <w:t xml:space="preserve">según establecido en </w:t>
      </w:r>
      <w:r w:rsidR="00777AFC">
        <w:rPr>
          <w:rFonts w:ascii="Arial" w:hAnsi="Arial" w:cs="Arial"/>
          <w:sz w:val="22"/>
          <w:szCs w:val="22"/>
        </w:rPr>
        <w:t xml:space="preserve">la </w:t>
      </w:r>
      <w:r>
        <w:rPr>
          <w:rFonts w:ascii="Arial" w:hAnsi="Arial" w:cs="Arial"/>
          <w:sz w:val="22"/>
          <w:szCs w:val="22"/>
        </w:rPr>
        <w:t>Matriz de Políticas</w:t>
      </w:r>
      <w:r w:rsidR="00777AFC">
        <w:rPr>
          <w:rFonts w:ascii="Arial" w:hAnsi="Arial" w:cs="Arial"/>
          <w:sz w:val="22"/>
          <w:szCs w:val="22"/>
        </w:rPr>
        <w:t xml:space="preserve"> y en la Carta de Política</w:t>
      </w:r>
      <w:r>
        <w:rPr>
          <w:rFonts w:ascii="Arial" w:hAnsi="Arial" w:cs="Arial"/>
          <w:sz w:val="22"/>
          <w:szCs w:val="22"/>
        </w:rPr>
        <w:t xml:space="preserve">. </w:t>
      </w:r>
    </w:p>
    <w:p w14:paraId="5E16FD40" w14:textId="485F4365" w:rsidR="00155EEA" w:rsidRDefault="00C2392C" w:rsidP="006930D9">
      <w:pPr>
        <w:pStyle w:val="Paragraph"/>
        <w:tabs>
          <w:tab w:val="clear" w:pos="2448"/>
        </w:tabs>
        <w:ind w:left="720" w:hanging="720"/>
        <w:rPr>
          <w:rFonts w:ascii="Arial" w:hAnsi="Arial" w:cs="Arial"/>
          <w:sz w:val="22"/>
          <w:szCs w:val="22"/>
        </w:rPr>
      </w:pPr>
      <w:r>
        <w:rPr>
          <w:rFonts w:ascii="Arial" w:hAnsi="Arial" w:cs="Arial"/>
          <w:sz w:val="22"/>
          <w:szCs w:val="22"/>
        </w:rPr>
        <w:t xml:space="preserve">El segundo componente </w:t>
      </w:r>
      <w:r w:rsidR="00777AFC">
        <w:rPr>
          <w:rFonts w:ascii="Arial" w:hAnsi="Arial" w:cs="Arial"/>
          <w:sz w:val="22"/>
          <w:szCs w:val="22"/>
        </w:rPr>
        <w:t xml:space="preserve">tiene como objetivo fortalecer los avances alcanzados por el país en materia macro fiscal: </w:t>
      </w:r>
      <w:r w:rsidR="00FC3B58">
        <w:rPr>
          <w:rFonts w:ascii="Arial" w:hAnsi="Arial" w:cs="Arial"/>
          <w:sz w:val="22"/>
          <w:szCs w:val="22"/>
        </w:rPr>
        <w:t xml:space="preserve">(i) </w:t>
      </w:r>
      <w:r w:rsidR="00FC3B58">
        <w:rPr>
          <w:rFonts w:ascii="Arial" w:hAnsi="Arial" w:cs="Arial"/>
          <w:i/>
          <w:sz w:val="22"/>
          <w:szCs w:val="22"/>
        </w:rPr>
        <w:t>consolida</w:t>
      </w:r>
      <w:r w:rsidR="009B718C">
        <w:rPr>
          <w:rFonts w:ascii="Arial" w:hAnsi="Arial" w:cs="Arial"/>
          <w:i/>
          <w:sz w:val="22"/>
          <w:szCs w:val="22"/>
        </w:rPr>
        <w:t>ción</w:t>
      </w:r>
      <w:r w:rsidR="00FC3B58">
        <w:rPr>
          <w:rFonts w:ascii="Arial" w:hAnsi="Arial" w:cs="Arial"/>
          <w:i/>
          <w:sz w:val="22"/>
          <w:szCs w:val="22"/>
        </w:rPr>
        <w:t xml:space="preserve"> </w:t>
      </w:r>
      <w:r w:rsidR="009B718C">
        <w:rPr>
          <w:rFonts w:ascii="Arial" w:hAnsi="Arial" w:cs="Arial"/>
          <w:i/>
          <w:sz w:val="22"/>
          <w:szCs w:val="22"/>
        </w:rPr>
        <w:t>d</w:t>
      </w:r>
      <w:r w:rsidR="00FC3B58">
        <w:rPr>
          <w:rFonts w:ascii="Arial" w:hAnsi="Arial" w:cs="Arial"/>
          <w:i/>
          <w:sz w:val="22"/>
          <w:szCs w:val="22"/>
        </w:rPr>
        <w:t xml:space="preserve">el marco de responsabilidad </w:t>
      </w:r>
      <w:r w:rsidR="00FC3B58" w:rsidRPr="00FC3B58">
        <w:rPr>
          <w:rFonts w:ascii="Arial" w:hAnsi="Arial" w:cs="Arial"/>
          <w:i/>
          <w:sz w:val="22"/>
          <w:szCs w:val="22"/>
        </w:rPr>
        <w:t>fiscal</w:t>
      </w:r>
      <w:r w:rsidR="00307D4B">
        <w:rPr>
          <w:rFonts w:ascii="Arial" w:hAnsi="Arial" w:cs="Arial"/>
          <w:sz w:val="22"/>
          <w:szCs w:val="22"/>
        </w:rPr>
        <w:t xml:space="preserve">, que </w:t>
      </w:r>
      <w:r w:rsidR="00043908">
        <w:rPr>
          <w:rFonts w:ascii="Arial" w:hAnsi="Arial" w:cs="Arial"/>
          <w:sz w:val="22"/>
          <w:szCs w:val="22"/>
        </w:rPr>
        <w:t xml:space="preserve">en el primer tramo </w:t>
      </w:r>
      <w:r w:rsidR="00307D4B">
        <w:rPr>
          <w:rFonts w:ascii="Arial" w:hAnsi="Arial" w:cs="Arial"/>
          <w:sz w:val="22"/>
          <w:szCs w:val="22"/>
        </w:rPr>
        <w:t xml:space="preserve">apoya </w:t>
      </w:r>
      <w:r w:rsidR="00043908">
        <w:rPr>
          <w:rFonts w:ascii="Arial" w:hAnsi="Arial" w:cs="Arial"/>
          <w:sz w:val="22"/>
          <w:szCs w:val="22"/>
        </w:rPr>
        <w:t xml:space="preserve">la </w:t>
      </w:r>
      <w:r w:rsidR="00307D4B">
        <w:rPr>
          <w:rFonts w:ascii="Arial" w:hAnsi="Arial" w:cs="Arial"/>
          <w:sz w:val="22"/>
          <w:szCs w:val="22"/>
        </w:rPr>
        <w:t xml:space="preserve">reglamentación del funcionamiento del Consejo Fiscal Asesor (CFA) del Ministerio de </w:t>
      </w:r>
      <w:r w:rsidR="007E1B23">
        <w:rPr>
          <w:rFonts w:ascii="Arial" w:hAnsi="Arial" w:cs="Arial"/>
          <w:sz w:val="22"/>
          <w:szCs w:val="22"/>
        </w:rPr>
        <w:t>Hacienda</w:t>
      </w:r>
      <w:r w:rsidR="00307D4B">
        <w:rPr>
          <w:rFonts w:ascii="Arial" w:hAnsi="Arial" w:cs="Arial"/>
          <w:sz w:val="22"/>
          <w:szCs w:val="22"/>
        </w:rPr>
        <w:t xml:space="preserve"> (MH) para mejorar la transparencia y el análisis técnico de la aplicación de la regla fiscal</w:t>
      </w:r>
      <w:r w:rsidR="00777AFC">
        <w:rPr>
          <w:rFonts w:ascii="Arial" w:hAnsi="Arial" w:cs="Arial"/>
          <w:sz w:val="22"/>
          <w:szCs w:val="22"/>
        </w:rPr>
        <w:t xml:space="preserve"> </w:t>
      </w:r>
      <w:r w:rsidR="00777AFC" w:rsidRPr="00D725C7">
        <w:rPr>
          <w:rFonts w:ascii="Arial" w:hAnsi="Arial" w:cs="Arial"/>
          <w:sz w:val="22"/>
          <w:szCs w:val="22"/>
        </w:rPr>
        <w:t>y las proyecciones macro fiscales incluidas en el MFMP</w:t>
      </w:r>
      <w:r w:rsidR="00307D4B">
        <w:rPr>
          <w:rFonts w:ascii="Arial" w:hAnsi="Arial" w:cs="Arial"/>
          <w:sz w:val="22"/>
          <w:szCs w:val="22"/>
        </w:rPr>
        <w:t xml:space="preserve">; </w:t>
      </w:r>
      <w:r w:rsidR="00043908">
        <w:rPr>
          <w:rFonts w:ascii="Arial" w:hAnsi="Arial" w:cs="Arial"/>
          <w:sz w:val="22"/>
          <w:szCs w:val="22"/>
        </w:rPr>
        <w:t xml:space="preserve">y </w:t>
      </w:r>
      <w:r w:rsidR="00777AFC">
        <w:rPr>
          <w:rFonts w:ascii="Arial" w:hAnsi="Arial" w:cs="Arial"/>
          <w:sz w:val="22"/>
          <w:szCs w:val="22"/>
        </w:rPr>
        <w:t xml:space="preserve">el </w:t>
      </w:r>
      <w:proofErr w:type="spellStart"/>
      <w:r w:rsidR="00307D4B" w:rsidRPr="00307D4B">
        <w:rPr>
          <w:rFonts w:ascii="Arial" w:hAnsi="Arial" w:cs="Arial"/>
          <w:sz w:val="22"/>
          <w:szCs w:val="22"/>
          <w:lang w:val="es-ES_tradnl"/>
        </w:rPr>
        <w:t>dise</w:t>
      </w:r>
      <w:proofErr w:type="spellEnd"/>
      <w:r w:rsidR="00307D4B">
        <w:rPr>
          <w:rFonts w:ascii="Arial" w:hAnsi="Arial" w:cs="Arial"/>
          <w:sz w:val="22"/>
          <w:szCs w:val="22"/>
          <w:lang w:val="es-419"/>
        </w:rPr>
        <w:t xml:space="preserve">ño </w:t>
      </w:r>
      <w:r w:rsidR="00777AFC">
        <w:rPr>
          <w:rFonts w:ascii="Arial" w:hAnsi="Arial" w:cs="Arial"/>
          <w:sz w:val="22"/>
          <w:szCs w:val="22"/>
          <w:lang w:val="es-419"/>
        </w:rPr>
        <w:t xml:space="preserve">normativo </w:t>
      </w:r>
      <w:r w:rsidR="00043908">
        <w:rPr>
          <w:rFonts w:ascii="Arial" w:hAnsi="Arial" w:cs="Arial"/>
          <w:sz w:val="22"/>
          <w:szCs w:val="22"/>
          <w:lang w:val="es-419"/>
        </w:rPr>
        <w:t xml:space="preserve">de un Fondo Soberano de Estabilización (FSE) </w:t>
      </w:r>
      <w:r w:rsidR="00777AFC">
        <w:rPr>
          <w:rFonts w:ascii="Arial" w:hAnsi="Arial" w:cs="Arial"/>
          <w:sz w:val="22"/>
          <w:szCs w:val="22"/>
          <w:lang w:val="es-419"/>
        </w:rPr>
        <w:t xml:space="preserve">alineado con buenas prácticas internacionales, para </w:t>
      </w:r>
      <w:r w:rsidR="00043908">
        <w:rPr>
          <w:rFonts w:ascii="Arial" w:hAnsi="Arial" w:cs="Arial"/>
          <w:sz w:val="22"/>
          <w:szCs w:val="22"/>
          <w:lang w:val="es-419"/>
        </w:rPr>
        <w:t>reducir el efecto de la volatilidad de los ingresos en el g</w:t>
      </w:r>
      <w:r w:rsidR="009B718C">
        <w:rPr>
          <w:rFonts w:ascii="Arial" w:hAnsi="Arial" w:cs="Arial"/>
          <w:sz w:val="22"/>
          <w:szCs w:val="22"/>
          <w:lang w:val="es-419"/>
        </w:rPr>
        <w:t>a</w:t>
      </w:r>
      <w:r w:rsidR="00043908">
        <w:rPr>
          <w:rFonts w:ascii="Arial" w:hAnsi="Arial" w:cs="Arial"/>
          <w:sz w:val="22"/>
          <w:szCs w:val="22"/>
          <w:lang w:val="es-419"/>
        </w:rPr>
        <w:t xml:space="preserve">sto y favorecer la aplicación de políticas </w:t>
      </w:r>
      <w:r w:rsidR="007E1B23">
        <w:rPr>
          <w:rFonts w:ascii="Arial" w:hAnsi="Arial" w:cs="Arial"/>
          <w:sz w:val="22"/>
          <w:szCs w:val="22"/>
          <w:lang w:val="es-419"/>
        </w:rPr>
        <w:t>contra cíclicas</w:t>
      </w:r>
      <w:r w:rsidR="00043908">
        <w:rPr>
          <w:rFonts w:ascii="Arial" w:hAnsi="Arial" w:cs="Arial"/>
          <w:sz w:val="22"/>
          <w:szCs w:val="22"/>
          <w:lang w:val="es-419"/>
        </w:rPr>
        <w:t xml:space="preserve">; y en segundo tramo incluye la </w:t>
      </w:r>
      <w:r w:rsidR="0065771F">
        <w:rPr>
          <w:rFonts w:ascii="Arial" w:hAnsi="Arial" w:cs="Arial"/>
          <w:sz w:val="22"/>
          <w:szCs w:val="22"/>
          <w:lang w:val="es-419"/>
        </w:rPr>
        <w:t>formulación de un marco fiscal de mediano plazo (MFMP) en el Presupuesto General de la Nación (PGN) con mayor alineamiento con buenas prácticas internacionales</w:t>
      </w:r>
      <w:r w:rsidR="00777AFC">
        <w:rPr>
          <w:rFonts w:ascii="Arial" w:hAnsi="Arial" w:cs="Arial"/>
          <w:sz w:val="22"/>
          <w:szCs w:val="22"/>
          <w:lang w:val="es-419"/>
        </w:rPr>
        <w:t xml:space="preserve"> y recomendaciones del CFA</w:t>
      </w:r>
      <w:r w:rsidR="00777AFC">
        <w:rPr>
          <w:rStyle w:val="FootnoteReference"/>
          <w:rFonts w:ascii="Arial" w:hAnsi="Arial" w:cs="Arial"/>
          <w:sz w:val="22"/>
          <w:szCs w:val="22"/>
        </w:rPr>
        <w:footnoteReference w:id="2"/>
      </w:r>
      <w:r w:rsidR="0065771F">
        <w:rPr>
          <w:rFonts w:ascii="Arial" w:hAnsi="Arial" w:cs="Arial"/>
          <w:sz w:val="22"/>
          <w:szCs w:val="22"/>
          <w:lang w:val="es-419"/>
        </w:rPr>
        <w:t xml:space="preserve">; y la </w:t>
      </w:r>
      <w:r w:rsidR="00307D4B">
        <w:rPr>
          <w:rFonts w:ascii="Arial" w:hAnsi="Arial" w:cs="Arial"/>
          <w:sz w:val="22"/>
          <w:szCs w:val="22"/>
          <w:lang w:val="es-419"/>
        </w:rPr>
        <w:t>presentación al Congreso de</w:t>
      </w:r>
      <w:r w:rsidR="00043908">
        <w:rPr>
          <w:rFonts w:ascii="Arial" w:hAnsi="Arial" w:cs="Arial"/>
          <w:sz w:val="22"/>
          <w:szCs w:val="22"/>
          <w:lang w:val="es-419"/>
        </w:rPr>
        <w:t xml:space="preserve">l </w:t>
      </w:r>
      <w:r w:rsidR="00307D4B">
        <w:rPr>
          <w:rFonts w:ascii="Arial" w:hAnsi="Arial" w:cs="Arial"/>
          <w:sz w:val="22"/>
          <w:szCs w:val="22"/>
          <w:lang w:val="es-419"/>
        </w:rPr>
        <w:t>proyecto de ley</w:t>
      </w:r>
      <w:r w:rsidR="00777AFC" w:rsidRPr="00777AFC">
        <w:rPr>
          <w:rFonts w:ascii="Arial" w:hAnsi="Arial" w:cs="Arial"/>
          <w:sz w:val="22"/>
          <w:szCs w:val="22"/>
        </w:rPr>
        <w:t xml:space="preserve"> </w:t>
      </w:r>
      <w:r w:rsidR="00777AFC" w:rsidRPr="00D725C7">
        <w:rPr>
          <w:rFonts w:ascii="Arial" w:hAnsi="Arial" w:cs="Arial"/>
          <w:sz w:val="22"/>
          <w:szCs w:val="22"/>
        </w:rPr>
        <w:t>que contemple, entre otros, la creación de un FSE alineado con buenas prácticas internacionales</w:t>
      </w:r>
      <w:r w:rsidR="00777AFC">
        <w:rPr>
          <w:rFonts w:ascii="Arial" w:hAnsi="Arial" w:cs="Arial"/>
          <w:sz w:val="22"/>
          <w:szCs w:val="22"/>
          <w:lang w:val="es-ES_tradnl"/>
        </w:rPr>
        <w:t xml:space="preserve"> para reducir el efecto de la volatilidad de los ingresos en el gasto y favorecer la aplicación de políticas contra cíclicas</w:t>
      </w:r>
      <w:r w:rsidR="00DF7750">
        <w:rPr>
          <w:rFonts w:ascii="Arial" w:hAnsi="Arial" w:cs="Arial"/>
          <w:sz w:val="22"/>
          <w:szCs w:val="22"/>
          <w:lang w:val="es-419"/>
        </w:rPr>
        <w:t>; y</w:t>
      </w:r>
      <w:r w:rsidR="00B2203C">
        <w:rPr>
          <w:rFonts w:ascii="Arial" w:hAnsi="Arial" w:cs="Arial"/>
          <w:sz w:val="22"/>
          <w:szCs w:val="22"/>
          <w:lang w:val="es-419"/>
        </w:rPr>
        <w:t xml:space="preserve"> (</w:t>
      </w:r>
      <w:proofErr w:type="spellStart"/>
      <w:r w:rsidR="00B2203C">
        <w:rPr>
          <w:rFonts w:ascii="Arial" w:hAnsi="Arial" w:cs="Arial"/>
          <w:sz w:val="22"/>
          <w:szCs w:val="22"/>
          <w:lang w:val="es-419"/>
        </w:rPr>
        <w:t>ii</w:t>
      </w:r>
      <w:proofErr w:type="spellEnd"/>
      <w:r w:rsidR="00B2203C">
        <w:rPr>
          <w:rFonts w:ascii="Arial" w:hAnsi="Arial" w:cs="Arial"/>
          <w:sz w:val="22"/>
          <w:szCs w:val="22"/>
          <w:lang w:val="es-419"/>
        </w:rPr>
        <w:t xml:space="preserve">) </w:t>
      </w:r>
      <w:r w:rsidR="00B2203C" w:rsidRPr="00FD61A1">
        <w:rPr>
          <w:rFonts w:ascii="Arial" w:hAnsi="Arial" w:cs="Arial"/>
          <w:sz w:val="22"/>
          <w:szCs w:val="22"/>
          <w:lang w:val="es-419"/>
        </w:rPr>
        <w:t>modernizar la administración de la deuda pública</w:t>
      </w:r>
      <w:r w:rsidR="00B2203C">
        <w:rPr>
          <w:rFonts w:ascii="Arial" w:hAnsi="Arial" w:cs="Arial"/>
          <w:sz w:val="22"/>
          <w:szCs w:val="22"/>
          <w:lang w:val="es-419"/>
        </w:rPr>
        <w:t xml:space="preserve">, </w:t>
      </w:r>
      <w:r w:rsidR="00B505C6">
        <w:rPr>
          <w:rFonts w:ascii="Arial" w:hAnsi="Arial" w:cs="Arial"/>
          <w:sz w:val="22"/>
          <w:szCs w:val="22"/>
          <w:lang w:val="es-419"/>
        </w:rPr>
        <w:t xml:space="preserve">que apoya </w:t>
      </w:r>
      <w:r w:rsidR="00DF7750">
        <w:rPr>
          <w:rFonts w:ascii="Arial" w:hAnsi="Arial" w:cs="Arial"/>
          <w:sz w:val="22"/>
          <w:szCs w:val="22"/>
          <w:lang w:val="es-419"/>
        </w:rPr>
        <w:t xml:space="preserve">en el primer tramo </w:t>
      </w:r>
      <w:r w:rsidR="00B505C6">
        <w:rPr>
          <w:rFonts w:ascii="Arial" w:hAnsi="Arial" w:cs="Arial"/>
          <w:sz w:val="22"/>
          <w:szCs w:val="22"/>
          <w:lang w:val="es-419"/>
        </w:rPr>
        <w:t xml:space="preserve">la presentación al Congreso </w:t>
      </w:r>
      <w:r w:rsidR="00DF7750">
        <w:rPr>
          <w:rFonts w:ascii="Arial" w:hAnsi="Arial" w:cs="Arial"/>
          <w:sz w:val="22"/>
          <w:szCs w:val="22"/>
          <w:lang w:val="es-419"/>
        </w:rPr>
        <w:t xml:space="preserve">del proyecto de ley que permita una administración más eficiente de la deuda pública, alineada con buenas prácticas internacionales; y en el segundo tramo la </w:t>
      </w:r>
      <w:r w:rsidR="00777AFC">
        <w:rPr>
          <w:rFonts w:ascii="Arial" w:hAnsi="Arial" w:cs="Arial"/>
          <w:sz w:val="22"/>
          <w:szCs w:val="22"/>
          <w:lang w:val="es-419"/>
        </w:rPr>
        <w:t xml:space="preserve">promulgación y publicación </w:t>
      </w:r>
      <w:r w:rsidR="00DF7750">
        <w:rPr>
          <w:rFonts w:ascii="Arial" w:hAnsi="Arial" w:cs="Arial"/>
          <w:sz w:val="22"/>
          <w:szCs w:val="22"/>
          <w:lang w:val="es-419"/>
        </w:rPr>
        <w:t>de dicha ley</w:t>
      </w:r>
      <w:r>
        <w:rPr>
          <w:rFonts w:ascii="Arial" w:hAnsi="Arial" w:cs="Arial"/>
          <w:sz w:val="22"/>
          <w:szCs w:val="22"/>
        </w:rPr>
        <w:t xml:space="preserve">. </w:t>
      </w:r>
    </w:p>
    <w:p w14:paraId="32FE63C2" w14:textId="58D748C8" w:rsidR="00155EEA" w:rsidRPr="00362A46" w:rsidRDefault="00C2392C" w:rsidP="006930D9">
      <w:pPr>
        <w:pStyle w:val="Paragraph"/>
        <w:tabs>
          <w:tab w:val="clear" w:pos="2448"/>
        </w:tabs>
        <w:ind w:left="720" w:hanging="720"/>
        <w:rPr>
          <w:rFonts w:ascii="Arial" w:hAnsi="Arial" w:cs="Arial"/>
          <w:sz w:val="22"/>
          <w:szCs w:val="22"/>
        </w:rPr>
      </w:pPr>
      <w:r>
        <w:rPr>
          <w:rFonts w:ascii="Arial" w:hAnsi="Arial" w:cs="Arial"/>
          <w:color w:val="000000"/>
          <w:spacing w:val="-4"/>
          <w:sz w:val="22"/>
          <w:szCs w:val="22"/>
        </w:rPr>
        <w:t xml:space="preserve">El tercer componente busca fortalecer </w:t>
      </w:r>
      <w:r>
        <w:rPr>
          <w:rFonts w:ascii="Arial" w:hAnsi="Arial" w:cs="Arial"/>
          <w:sz w:val="22"/>
          <w:szCs w:val="22"/>
          <w:lang w:val="es-MX"/>
        </w:rPr>
        <w:t xml:space="preserve">la </w:t>
      </w:r>
      <w:r w:rsidR="00EE1FA1">
        <w:rPr>
          <w:rFonts w:ascii="Arial" w:hAnsi="Arial" w:cs="Arial"/>
          <w:sz w:val="22"/>
          <w:szCs w:val="22"/>
          <w:lang w:val="es-MX"/>
        </w:rPr>
        <w:t>política y la gestión tributaria para mejorar la eficiencia, progresividad, capacidad recaudatoria y transparencia del sistema tributario</w:t>
      </w:r>
      <w:r w:rsidR="002A429F">
        <w:rPr>
          <w:rFonts w:ascii="Arial" w:hAnsi="Arial" w:cs="Arial"/>
          <w:sz w:val="22"/>
          <w:szCs w:val="22"/>
          <w:lang w:val="es-MX"/>
        </w:rPr>
        <w:t xml:space="preserve">, a través de: </w:t>
      </w:r>
      <w:r w:rsidR="00043908">
        <w:rPr>
          <w:rFonts w:ascii="Arial" w:hAnsi="Arial" w:cs="Arial"/>
          <w:sz w:val="22"/>
          <w:szCs w:val="22"/>
          <w:lang w:val="es-MX"/>
        </w:rPr>
        <w:t xml:space="preserve">(i) </w:t>
      </w:r>
      <w:r w:rsidR="00043908" w:rsidRPr="006930D9">
        <w:rPr>
          <w:rFonts w:ascii="Arial" w:hAnsi="Arial" w:cs="Arial"/>
          <w:sz w:val="22"/>
          <w:szCs w:val="22"/>
          <w:lang w:val="es-MX"/>
        </w:rPr>
        <w:t>modernizar el sistema tributario</w:t>
      </w:r>
      <w:r w:rsidR="00043908">
        <w:rPr>
          <w:rFonts w:ascii="Arial" w:hAnsi="Arial" w:cs="Arial"/>
          <w:sz w:val="22"/>
          <w:szCs w:val="22"/>
          <w:lang w:val="es-MX"/>
        </w:rPr>
        <w:t xml:space="preserve">, </w:t>
      </w:r>
      <w:r w:rsidR="007413F2">
        <w:rPr>
          <w:rFonts w:ascii="Arial" w:hAnsi="Arial" w:cs="Arial"/>
          <w:sz w:val="22"/>
          <w:szCs w:val="22"/>
          <w:lang w:val="es-MX"/>
        </w:rPr>
        <w:t xml:space="preserve">donde el primer tramo apoya </w:t>
      </w:r>
      <w:r w:rsidR="006D4172">
        <w:rPr>
          <w:rFonts w:ascii="Arial" w:hAnsi="Arial" w:cs="Arial"/>
          <w:sz w:val="22"/>
          <w:szCs w:val="22"/>
          <w:lang w:val="es-MX"/>
        </w:rPr>
        <w:t xml:space="preserve">(1) </w:t>
      </w:r>
      <w:r w:rsidR="007413F2">
        <w:rPr>
          <w:rFonts w:ascii="Arial" w:hAnsi="Arial" w:cs="Arial"/>
          <w:sz w:val="22"/>
          <w:szCs w:val="22"/>
          <w:lang w:val="es-MX"/>
        </w:rPr>
        <w:t xml:space="preserve">la creación de una Comisión Técnica Económica Tributaria que </w:t>
      </w:r>
      <w:r w:rsidR="001F6FA1">
        <w:rPr>
          <w:rFonts w:ascii="Arial" w:hAnsi="Arial" w:cs="Arial"/>
          <w:sz w:val="22"/>
          <w:szCs w:val="22"/>
          <w:lang w:val="es-MX"/>
        </w:rPr>
        <w:t xml:space="preserve">defina lineamientos para una propuesta de modernización y simplificación del sistema tributario nacional; </w:t>
      </w:r>
      <w:r w:rsidR="007413F2" w:rsidRPr="007413F2">
        <w:rPr>
          <w:rFonts w:ascii="Arial" w:hAnsi="Arial" w:cs="Arial"/>
          <w:sz w:val="22"/>
          <w:szCs w:val="22"/>
          <w:lang w:val="es-MX"/>
        </w:rPr>
        <w:t>y (</w:t>
      </w:r>
      <w:r w:rsidR="00777AFC">
        <w:rPr>
          <w:rFonts w:ascii="Arial" w:hAnsi="Arial" w:cs="Arial"/>
          <w:sz w:val="22"/>
          <w:szCs w:val="22"/>
          <w:lang w:val="es-MX"/>
        </w:rPr>
        <w:t>2</w:t>
      </w:r>
      <w:r w:rsidR="007413F2" w:rsidRPr="007413F2">
        <w:rPr>
          <w:rFonts w:ascii="Arial" w:hAnsi="Arial" w:cs="Arial"/>
          <w:sz w:val="22"/>
          <w:szCs w:val="22"/>
          <w:lang w:val="es-MX"/>
        </w:rPr>
        <w:t xml:space="preserve">) </w:t>
      </w:r>
      <w:r w:rsidR="007413F2">
        <w:rPr>
          <w:rFonts w:ascii="Arial" w:hAnsi="Arial" w:cs="Arial"/>
          <w:sz w:val="22"/>
          <w:szCs w:val="22"/>
          <w:lang w:val="es-MX"/>
        </w:rPr>
        <w:t xml:space="preserve">la </w:t>
      </w:r>
      <w:r w:rsidR="007413F2" w:rsidRPr="007413F2">
        <w:rPr>
          <w:rFonts w:ascii="Arial" w:hAnsi="Arial" w:cs="Arial"/>
          <w:sz w:val="22"/>
          <w:szCs w:val="22"/>
          <w:lang w:val="es-MX"/>
        </w:rPr>
        <w:t>creación y puesta en marcha del S</w:t>
      </w:r>
      <w:r w:rsidR="007413F2">
        <w:rPr>
          <w:rFonts w:ascii="Arial" w:hAnsi="Arial" w:cs="Arial"/>
          <w:sz w:val="22"/>
          <w:szCs w:val="22"/>
          <w:lang w:val="es-MX"/>
        </w:rPr>
        <w:t xml:space="preserve">istema Integrado de </w:t>
      </w:r>
      <w:r w:rsidR="007413F2" w:rsidRPr="007413F2">
        <w:rPr>
          <w:rFonts w:ascii="Arial" w:hAnsi="Arial" w:cs="Arial"/>
          <w:sz w:val="22"/>
          <w:szCs w:val="22"/>
          <w:lang w:val="es-MX"/>
        </w:rPr>
        <w:t>F</w:t>
      </w:r>
      <w:r w:rsidR="007413F2">
        <w:rPr>
          <w:rFonts w:ascii="Arial" w:hAnsi="Arial" w:cs="Arial"/>
          <w:sz w:val="22"/>
          <w:szCs w:val="22"/>
          <w:lang w:val="es-MX"/>
        </w:rPr>
        <w:t xml:space="preserve">acturación </w:t>
      </w:r>
      <w:r w:rsidR="007413F2" w:rsidRPr="007413F2">
        <w:rPr>
          <w:rFonts w:ascii="Arial" w:hAnsi="Arial" w:cs="Arial"/>
          <w:sz w:val="22"/>
          <w:szCs w:val="22"/>
          <w:lang w:val="es-MX"/>
        </w:rPr>
        <w:t>E</w:t>
      </w:r>
      <w:r w:rsidR="007413F2">
        <w:rPr>
          <w:rFonts w:ascii="Arial" w:hAnsi="Arial" w:cs="Arial"/>
          <w:sz w:val="22"/>
          <w:szCs w:val="22"/>
          <w:lang w:val="es-MX"/>
        </w:rPr>
        <w:t xml:space="preserve">lectrónica </w:t>
      </w:r>
      <w:r w:rsidR="007413F2" w:rsidRPr="007413F2">
        <w:rPr>
          <w:rFonts w:ascii="Arial" w:hAnsi="Arial" w:cs="Arial"/>
          <w:sz w:val="22"/>
          <w:szCs w:val="22"/>
          <w:lang w:val="es-MX"/>
        </w:rPr>
        <w:t>N</w:t>
      </w:r>
      <w:r w:rsidR="007413F2">
        <w:rPr>
          <w:rFonts w:ascii="Arial" w:hAnsi="Arial" w:cs="Arial"/>
          <w:sz w:val="22"/>
          <w:szCs w:val="22"/>
          <w:lang w:val="es-MX"/>
        </w:rPr>
        <w:t>acional (SIFEN)</w:t>
      </w:r>
      <w:r w:rsidR="007413F2" w:rsidRPr="007413F2">
        <w:rPr>
          <w:rFonts w:ascii="Arial" w:hAnsi="Arial" w:cs="Arial"/>
          <w:sz w:val="22"/>
          <w:szCs w:val="22"/>
          <w:lang w:val="es-MX"/>
        </w:rPr>
        <w:t>, a través del cual se emitirán y recibirán electrónicamente los comprobantes de ventas y documentos complementarios, comprobantes de retención y notas de remisión, y otros documentos con incidencia tributaria que por su naturaleza puedan emitirse por vía electrónica</w:t>
      </w:r>
      <w:r w:rsidR="006D4172">
        <w:rPr>
          <w:rFonts w:ascii="Arial" w:hAnsi="Arial" w:cs="Arial"/>
          <w:sz w:val="22"/>
          <w:szCs w:val="22"/>
          <w:lang w:val="es-MX"/>
        </w:rPr>
        <w:t>; en tanto e</w:t>
      </w:r>
      <w:r w:rsidR="007413F2" w:rsidRPr="007413F2">
        <w:rPr>
          <w:rFonts w:ascii="Arial" w:hAnsi="Arial" w:cs="Arial"/>
          <w:sz w:val="22"/>
          <w:szCs w:val="22"/>
          <w:lang w:val="es-MX"/>
        </w:rPr>
        <w:t xml:space="preserve">l segundo tramo apoya: (1) </w:t>
      </w:r>
      <w:r w:rsidR="001F6FA1">
        <w:rPr>
          <w:rFonts w:ascii="Arial" w:hAnsi="Arial" w:cs="Arial"/>
          <w:sz w:val="22"/>
          <w:szCs w:val="22"/>
        </w:rPr>
        <w:t>presentación del proyecto de ley de modernización y simplificación del sistema tributario nacional en el Congreso a fin de fortalecer la capacidad recaudatoria y mejorar su progresividad, con foco en: (i) reducir deducciones y modificar el esquema de tasas y tramos del IRPF; (</w:t>
      </w:r>
      <w:proofErr w:type="spellStart"/>
      <w:r w:rsidR="001F6FA1">
        <w:rPr>
          <w:rFonts w:ascii="Arial" w:hAnsi="Arial" w:cs="Arial"/>
          <w:sz w:val="22"/>
          <w:szCs w:val="22"/>
        </w:rPr>
        <w:t>ii</w:t>
      </w:r>
      <w:proofErr w:type="spellEnd"/>
      <w:r w:rsidR="001F6FA1">
        <w:rPr>
          <w:rFonts w:ascii="Arial" w:hAnsi="Arial" w:cs="Arial"/>
          <w:sz w:val="22"/>
          <w:szCs w:val="22"/>
        </w:rPr>
        <w:t xml:space="preserve">) </w:t>
      </w:r>
      <w:r w:rsidR="001F6FA1">
        <w:rPr>
          <w:rFonts w:ascii="Arial" w:hAnsi="Arial" w:cs="Arial"/>
          <w:sz w:val="22"/>
          <w:szCs w:val="22"/>
        </w:rPr>
        <w:lastRenderedPageBreak/>
        <w:t>ampliación de bienes y servicios gravados a la tasa básica del IVA; y (</w:t>
      </w:r>
      <w:proofErr w:type="spellStart"/>
      <w:r w:rsidR="001F6FA1">
        <w:rPr>
          <w:rFonts w:ascii="Arial" w:hAnsi="Arial" w:cs="Arial"/>
          <w:sz w:val="22"/>
          <w:szCs w:val="22"/>
        </w:rPr>
        <w:t>iii</w:t>
      </w:r>
      <w:proofErr w:type="spellEnd"/>
      <w:r w:rsidR="001F6FA1">
        <w:rPr>
          <w:rFonts w:ascii="Arial" w:hAnsi="Arial" w:cs="Arial"/>
          <w:sz w:val="22"/>
          <w:szCs w:val="22"/>
        </w:rPr>
        <w:t>) simplificar impuestos selectivos al consumo e incrementar tasas de productos con externalidades negativas</w:t>
      </w:r>
      <w:r w:rsidR="007413F2" w:rsidRPr="007413F2">
        <w:rPr>
          <w:rFonts w:ascii="Arial" w:hAnsi="Arial" w:cs="Arial"/>
          <w:sz w:val="22"/>
          <w:szCs w:val="22"/>
          <w:lang w:val="es-MX"/>
        </w:rPr>
        <w:t>; y (2) la reglamentación del Decreto No. 7795 de puesta en marcha del SIFEN</w:t>
      </w:r>
      <w:r w:rsidR="00A74FB8">
        <w:rPr>
          <w:rFonts w:ascii="Arial" w:hAnsi="Arial" w:cs="Arial"/>
          <w:sz w:val="22"/>
          <w:szCs w:val="22"/>
          <w:lang w:val="es-MX"/>
        </w:rPr>
        <w:t>; y (</w:t>
      </w:r>
      <w:proofErr w:type="spellStart"/>
      <w:r w:rsidR="00A74FB8">
        <w:rPr>
          <w:rFonts w:ascii="Arial" w:hAnsi="Arial" w:cs="Arial"/>
          <w:sz w:val="22"/>
          <w:szCs w:val="22"/>
          <w:lang w:val="es-MX"/>
        </w:rPr>
        <w:t>ii</w:t>
      </w:r>
      <w:proofErr w:type="spellEnd"/>
      <w:r w:rsidR="00A74FB8">
        <w:rPr>
          <w:rFonts w:ascii="Arial" w:hAnsi="Arial" w:cs="Arial"/>
          <w:sz w:val="22"/>
          <w:szCs w:val="22"/>
          <w:lang w:val="es-MX"/>
        </w:rPr>
        <w:t>)</w:t>
      </w:r>
      <w:r w:rsidR="007E1B23">
        <w:rPr>
          <w:rFonts w:ascii="Arial" w:hAnsi="Arial" w:cs="Arial"/>
          <w:sz w:val="22"/>
          <w:szCs w:val="22"/>
          <w:lang w:val="es-MX"/>
        </w:rPr>
        <w:t> </w:t>
      </w:r>
      <w:r w:rsidR="00A74FB8" w:rsidRPr="006930D9">
        <w:rPr>
          <w:rFonts w:ascii="Arial" w:hAnsi="Arial" w:cs="Arial"/>
          <w:sz w:val="22"/>
          <w:szCs w:val="22"/>
          <w:lang w:val="es-MX"/>
        </w:rPr>
        <w:t>fortalecer la transparencia tributaria</w:t>
      </w:r>
      <w:r w:rsidR="00A74FB8">
        <w:rPr>
          <w:rFonts w:ascii="Arial" w:hAnsi="Arial" w:cs="Arial"/>
          <w:sz w:val="22"/>
          <w:szCs w:val="22"/>
          <w:lang w:val="es-MX"/>
        </w:rPr>
        <w:t xml:space="preserve">, </w:t>
      </w:r>
      <w:r w:rsidR="006D4172">
        <w:rPr>
          <w:rFonts w:ascii="Arial" w:hAnsi="Arial" w:cs="Arial"/>
          <w:sz w:val="22"/>
          <w:szCs w:val="22"/>
          <w:lang w:val="es-MX"/>
        </w:rPr>
        <w:t xml:space="preserve">donde el primer tramo </w:t>
      </w:r>
      <w:r w:rsidR="00362A46" w:rsidRPr="00362A46">
        <w:rPr>
          <w:rFonts w:ascii="Arial" w:hAnsi="Arial" w:cs="Arial"/>
          <w:sz w:val="22"/>
          <w:szCs w:val="22"/>
          <w:lang w:val="es-MX"/>
        </w:rPr>
        <w:t xml:space="preserve">apoya la adopción de los principios internacionalmente aceptados en materia de transparencia tributaria del Foro Global, mediante la: (i) </w:t>
      </w:r>
      <w:r w:rsidR="00777AFC">
        <w:rPr>
          <w:rFonts w:ascii="Arial" w:hAnsi="Arial" w:cs="Arial"/>
          <w:sz w:val="22"/>
          <w:szCs w:val="22"/>
          <w:lang w:val="es-MX"/>
        </w:rPr>
        <w:t>promulgación y publicación</w:t>
      </w:r>
      <w:r w:rsidR="00777AFC" w:rsidRPr="00362A46">
        <w:rPr>
          <w:rFonts w:ascii="Arial" w:hAnsi="Arial" w:cs="Arial"/>
          <w:sz w:val="22"/>
          <w:szCs w:val="22"/>
          <w:lang w:val="es-MX"/>
        </w:rPr>
        <w:t xml:space="preserve"> </w:t>
      </w:r>
      <w:r w:rsidR="00362A46" w:rsidRPr="00362A46">
        <w:rPr>
          <w:rFonts w:ascii="Arial" w:hAnsi="Arial" w:cs="Arial"/>
          <w:sz w:val="22"/>
          <w:szCs w:val="22"/>
          <w:lang w:val="es-MX"/>
        </w:rPr>
        <w:t>de la ley que elimina las sociedades anónimas al portador; (</w:t>
      </w:r>
      <w:proofErr w:type="spellStart"/>
      <w:r w:rsidR="00362A46" w:rsidRPr="00362A46">
        <w:rPr>
          <w:rFonts w:ascii="Arial" w:hAnsi="Arial" w:cs="Arial"/>
          <w:sz w:val="22"/>
          <w:szCs w:val="22"/>
          <w:lang w:val="es-MX"/>
        </w:rPr>
        <w:t>ii</w:t>
      </w:r>
      <w:proofErr w:type="spellEnd"/>
      <w:r w:rsidR="00362A46" w:rsidRPr="00362A46">
        <w:rPr>
          <w:rFonts w:ascii="Arial" w:hAnsi="Arial" w:cs="Arial"/>
          <w:sz w:val="22"/>
          <w:szCs w:val="22"/>
          <w:lang w:val="es-MX"/>
        </w:rPr>
        <w:t>) suscripción de la Convención Multilateral de Asistencia Mutua (CAM), cuya secretaría es la OCDE, sobre el intercambio automático de información con otras jurisdicciones signatarias; y (</w:t>
      </w:r>
      <w:proofErr w:type="spellStart"/>
      <w:r w:rsidR="00362A46" w:rsidRPr="00362A46">
        <w:rPr>
          <w:rFonts w:ascii="Arial" w:hAnsi="Arial" w:cs="Arial"/>
          <w:sz w:val="22"/>
          <w:szCs w:val="22"/>
          <w:lang w:val="es-MX"/>
        </w:rPr>
        <w:t>iii</w:t>
      </w:r>
      <w:proofErr w:type="spellEnd"/>
      <w:r w:rsidR="00362A46" w:rsidRPr="00362A46">
        <w:rPr>
          <w:rFonts w:ascii="Arial" w:hAnsi="Arial" w:cs="Arial"/>
          <w:sz w:val="22"/>
          <w:szCs w:val="22"/>
          <w:lang w:val="es-MX"/>
        </w:rPr>
        <w:t xml:space="preserve">) presentación al Congreso del/los proyectos de ley incluyendo, entre otros, el levantamiento del secreto bancario con fines tributarios; ratificación legislativa de la CAM; y regulación sobre el conocimiento del último beneficiarios de la propiedad. </w:t>
      </w:r>
      <w:r w:rsidR="00362A46">
        <w:rPr>
          <w:rFonts w:ascii="Arial" w:hAnsi="Arial" w:cs="Arial"/>
          <w:sz w:val="22"/>
          <w:szCs w:val="22"/>
          <w:lang w:val="es-MX"/>
        </w:rPr>
        <w:t>En tanto e</w:t>
      </w:r>
      <w:r w:rsidR="00362A46" w:rsidRPr="00362A46">
        <w:rPr>
          <w:rFonts w:ascii="Arial" w:hAnsi="Arial" w:cs="Arial"/>
          <w:sz w:val="22"/>
          <w:szCs w:val="22"/>
          <w:lang w:val="es-MX"/>
        </w:rPr>
        <w:t xml:space="preserve">l segundo tramo consiste en la </w:t>
      </w:r>
      <w:r w:rsidR="00777AFC">
        <w:rPr>
          <w:rFonts w:ascii="Arial" w:hAnsi="Arial" w:cs="Arial"/>
          <w:sz w:val="22"/>
          <w:szCs w:val="22"/>
          <w:lang w:val="es-MX"/>
        </w:rPr>
        <w:t>promulgación y publicación</w:t>
      </w:r>
      <w:r w:rsidR="00777AFC" w:rsidRPr="00362A46">
        <w:rPr>
          <w:rFonts w:ascii="Arial" w:hAnsi="Arial" w:cs="Arial"/>
          <w:sz w:val="22"/>
          <w:szCs w:val="22"/>
          <w:lang w:val="es-MX"/>
        </w:rPr>
        <w:t xml:space="preserve"> </w:t>
      </w:r>
      <w:r w:rsidR="00362A46" w:rsidRPr="00362A46">
        <w:rPr>
          <w:rFonts w:ascii="Arial" w:hAnsi="Arial" w:cs="Arial"/>
          <w:sz w:val="22"/>
          <w:szCs w:val="22"/>
          <w:lang w:val="es-MX"/>
        </w:rPr>
        <w:t>de la/s ley/es que adoptan los principios internacionalmente aceptados en materia de transparencia tributaria.</w:t>
      </w:r>
      <w:r w:rsidR="00362A46">
        <w:rPr>
          <w:rFonts w:ascii="Arial" w:hAnsi="Arial" w:cs="Arial"/>
        </w:rPr>
        <w:t xml:space="preserve"> </w:t>
      </w:r>
    </w:p>
    <w:p w14:paraId="6445C558" w14:textId="2F0F3C5D" w:rsidR="00137C34" w:rsidRDefault="00DA4808" w:rsidP="006930D9">
      <w:pPr>
        <w:pStyle w:val="Paragraph"/>
        <w:numPr>
          <w:ilvl w:val="1"/>
          <w:numId w:val="33"/>
        </w:numPr>
        <w:tabs>
          <w:tab w:val="clear" w:pos="2736"/>
        </w:tabs>
        <w:ind w:left="720" w:hanging="720"/>
        <w:rPr>
          <w:rFonts w:ascii="Arial" w:hAnsi="Arial" w:cs="Arial"/>
        </w:rPr>
      </w:pPr>
      <w:r>
        <w:rPr>
          <w:rFonts w:ascii="Arial" w:hAnsi="Arial" w:cs="Arial"/>
          <w:color w:val="000000"/>
          <w:spacing w:val="-4"/>
          <w:sz w:val="22"/>
          <w:szCs w:val="22"/>
        </w:rPr>
        <w:t xml:space="preserve">El </w:t>
      </w:r>
      <w:r w:rsidR="0042004A">
        <w:rPr>
          <w:rFonts w:ascii="Arial" w:hAnsi="Arial" w:cs="Arial"/>
          <w:color w:val="000000"/>
          <w:spacing w:val="-4"/>
          <w:sz w:val="22"/>
          <w:szCs w:val="22"/>
        </w:rPr>
        <w:t xml:space="preserve">cuarto </w:t>
      </w:r>
      <w:r>
        <w:rPr>
          <w:rFonts w:ascii="Arial" w:hAnsi="Arial" w:cs="Arial"/>
          <w:color w:val="000000"/>
          <w:spacing w:val="-4"/>
          <w:sz w:val="22"/>
          <w:szCs w:val="22"/>
        </w:rPr>
        <w:t xml:space="preserve">componente busca </w:t>
      </w:r>
      <w:r w:rsidR="004B2BCD">
        <w:rPr>
          <w:rFonts w:ascii="Arial" w:hAnsi="Arial" w:cs="Arial"/>
          <w:color w:val="000000"/>
          <w:spacing w:val="-4"/>
          <w:sz w:val="22"/>
          <w:szCs w:val="22"/>
        </w:rPr>
        <w:t xml:space="preserve">mejorar la gestión del gasto, fortaleciendo su </w:t>
      </w:r>
      <w:r>
        <w:rPr>
          <w:rFonts w:ascii="Arial" w:hAnsi="Arial" w:cs="Arial"/>
          <w:sz w:val="22"/>
          <w:szCs w:val="22"/>
          <w:lang w:val="es-MX"/>
        </w:rPr>
        <w:t>eficiencia, efectividad y transparencia</w:t>
      </w:r>
      <w:r w:rsidR="00B7020F">
        <w:rPr>
          <w:rFonts w:ascii="Arial" w:hAnsi="Arial" w:cs="Arial"/>
          <w:sz w:val="22"/>
          <w:szCs w:val="22"/>
          <w:lang w:val="es-MX"/>
        </w:rPr>
        <w:t xml:space="preserve">, mediante: </w:t>
      </w:r>
      <w:r w:rsidR="000D5FC9">
        <w:rPr>
          <w:rFonts w:ascii="Arial" w:hAnsi="Arial" w:cs="Arial"/>
          <w:sz w:val="22"/>
          <w:szCs w:val="22"/>
          <w:lang w:val="es-MX"/>
        </w:rPr>
        <w:t xml:space="preserve">(i) </w:t>
      </w:r>
      <w:r w:rsidR="001F6FA1">
        <w:rPr>
          <w:rFonts w:ascii="Arial" w:hAnsi="Arial" w:cs="Arial"/>
          <w:sz w:val="22"/>
          <w:szCs w:val="22"/>
          <w:lang w:val="es-MX"/>
        </w:rPr>
        <w:t>mayor orientación estratégica a la gestión del gasto público, donde el primer tramo apoya la creación de una Comisión Técnica de Gasto Público, de conformación público-privada, que analice el gasto público y defina lineamientos para una propuesta de asignación más eficiente y eficaz del mismo. El segundo tramo consiste en la elaboración de un documento de propuestas de la Comisión Técnica de Gasto Público para hacer una asignación más eficiente y eficaz del gasto público; (</w:t>
      </w:r>
      <w:proofErr w:type="spellStart"/>
      <w:r w:rsidR="001F6FA1">
        <w:rPr>
          <w:rFonts w:ascii="Arial" w:hAnsi="Arial" w:cs="Arial"/>
          <w:sz w:val="22"/>
          <w:szCs w:val="22"/>
          <w:lang w:val="es-MX"/>
        </w:rPr>
        <w:t>ii</w:t>
      </w:r>
      <w:proofErr w:type="spellEnd"/>
      <w:r w:rsidR="001F6FA1">
        <w:rPr>
          <w:rFonts w:ascii="Arial" w:hAnsi="Arial" w:cs="Arial"/>
          <w:sz w:val="22"/>
          <w:szCs w:val="22"/>
          <w:lang w:val="es-MX"/>
        </w:rPr>
        <w:t xml:space="preserve">) </w:t>
      </w:r>
      <w:r w:rsidR="000D5FC9" w:rsidRPr="006930D9">
        <w:rPr>
          <w:rFonts w:ascii="Arial" w:hAnsi="Arial" w:cs="Arial"/>
          <w:sz w:val="22"/>
          <w:szCs w:val="22"/>
          <w:lang w:val="es-MX"/>
        </w:rPr>
        <w:t>mejorar la gestión financiera</w:t>
      </w:r>
      <w:r w:rsidR="004B2BCD" w:rsidRPr="006930D9">
        <w:rPr>
          <w:rFonts w:ascii="Arial" w:hAnsi="Arial" w:cs="Arial"/>
          <w:sz w:val="22"/>
          <w:szCs w:val="22"/>
          <w:lang w:val="es-MX"/>
        </w:rPr>
        <w:t xml:space="preserve"> y la </w:t>
      </w:r>
      <w:r w:rsidR="009709DA" w:rsidRPr="006930D9">
        <w:rPr>
          <w:rFonts w:ascii="Arial" w:hAnsi="Arial" w:cs="Arial"/>
          <w:sz w:val="22"/>
          <w:szCs w:val="22"/>
          <w:lang w:val="es-MX"/>
        </w:rPr>
        <w:t>transparencia nacional y municipal, donde el prim</w:t>
      </w:r>
      <w:r w:rsidR="009709DA">
        <w:rPr>
          <w:rFonts w:ascii="Arial" w:hAnsi="Arial" w:cs="Arial"/>
          <w:sz w:val="22"/>
          <w:szCs w:val="22"/>
          <w:lang w:val="es-MX"/>
        </w:rPr>
        <w:t xml:space="preserve">er tramo apoya (1) el </w:t>
      </w:r>
      <w:r w:rsidR="009709DA" w:rsidRPr="009709DA">
        <w:rPr>
          <w:rFonts w:ascii="Arial" w:hAnsi="Arial" w:cs="Arial"/>
          <w:sz w:val="22"/>
          <w:szCs w:val="22"/>
          <w:lang w:val="es-MX"/>
        </w:rPr>
        <w:t xml:space="preserve">diseño e implementación del módulo de inventario </w:t>
      </w:r>
      <w:r w:rsidR="00D1450C">
        <w:rPr>
          <w:rFonts w:ascii="Arial" w:hAnsi="Arial" w:cs="Arial"/>
          <w:sz w:val="22"/>
          <w:szCs w:val="22"/>
          <w:lang w:val="es-MX"/>
        </w:rPr>
        <w:t xml:space="preserve">inicial de bienes </w:t>
      </w:r>
      <w:r w:rsidR="009709DA" w:rsidRPr="009709DA">
        <w:rPr>
          <w:rFonts w:ascii="Arial" w:hAnsi="Arial" w:cs="Arial"/>
          <w:sz w:val="22"/>
          <w:szCs w:val="22"/>
          <w:lang w:val="es-MX"/>
        </w:rPr>
        <w:t>del SIARE</w:t>
      </w:r>
      <w:r w:rsidR="00D1450C">
        <w:rPr>
          <w:rFonts w:ascii="Arial" w:hAnsi="Arial" w:cs="Arial"/>
          <w:sz w:val="22"/>
          <w:szCs w:val="22"/>
          <w:lang w:val="es-MX"/>
        </w:rPr>
        <w:t xml:space="preserve"> en cinco instituciones piloto</w:t>
      </w:r>
      <w:r w:rsidR="009709DA" w:rsidRPr="009709DA">
        <w:rPr>
          <w:rFonts w:ascii="Arial" w:hAnsi="Arial" w:cs="Arial"/>
          <w:sz w:val="22"/>
          <w:szCs w:val="22"/>
          <w:lang w:val="es-MX"/>
        </w:rPr>
        <w:t xml:space="preserve">; y </w:t>
      </w:r>
      <w:r w:rsidR="009709DA">
        <w:rPr>
          <w:rFonts w:ascii="Arial" w:hAnsi="Arial" w:cs="Arial"/>
          <w:sz w:val="22"/>
          <w:szCs w:val="22"/>
          <w:lang w:val="es-MX"/>
        </w:rPr>
        <w:t xml:space="preserve">(2) </w:t>
      </w:r>
      <w:r w:rsidR="00D1450C">
        <w:rPr>
          <w:rFonts w:ascii="Arial" w:hAnsi="Arial" w:cs="Arial"/>
          <w:sz w:val="22"/>
          <w:szCs w:val="22"/>
          <w:lang w:val="es-MX"/>
        </w:rPr>
        <w:t xml:space="preserve">promulgación y publicación </w:t>
      </w:r>
      <w:r w:rsidR="009709DA" w:rsidRPr="009709DA">
        <w:rPr>
          <w:rFonts w:ascii="Arial" w:hAnsi="Arial" w:cs="Arial"/>
          <w:sz w:val="22"/>
          <w:szCs w:val="22"/>
          <w:lang w:val="es-MX"/>
        </w:rPr>
        <w:t xml:space="preserve">de </w:t>
      </w:r>
      <w:r w:rsidR="00D1450C">
        <w:rPr>
          <w:rFonts w:ascii="Arial" w:hAnsi="Arial" w:cs="Arial"/>
          <w:sz w:val="22"/>
          <w:szCs w:val="22"/>
          <w:lang w:val="es-MX"/>
        </w:rPr>
        <w:t xml:space="preserve">la </w:t>
      </w:r>
      <w:r w:rsidR="009709DA" w:rsidRPr="009709DA">
        <w:rPr>
          <w:rFonts w:ascii="Arial" w:hAnsi="Arial" w:cs="Arial"/>
          <w:sz w:val="22"/>
          <w:szCs w:val="22"/>
          <w:lang w:val="es-MX"/>
        </w:rPr>
        <w:t>ley que dispone la adopción del SIAF a nivel municipal. El segundo tramo consiste en: (</w:t>
      </w:r>
      <w:r w:rsidR="009709DA">
        <w:rPr>
          <w:rFonts w:ascii="Arial" w:hAnsi="Arial" w:cs="Arial"/>
          <w:sz w:val="22"/>
          <w:szCs w:val="22"/>
          <w:lang w:val="es-MX"/>
        </w:rPr>
        <w:t>1</w:t>
      </w:r>
      <w:r w:rsidR="009709DA" w:rsidRPr="009709DA">
        <w:rPr>
          <w:rFonts w:ascii="Arial" w:hAnsi="Arial" w:cs="Arial"/>
          <w:sz w:val="22"/>
          <w:szCs w:val="22"/>
          <w:lang w:val="es-MX"/>
        </w:rPr>
        <w:t>)</w:t>
      </w:r>
      <w:r w:rsidR="007E1B23">
        <w:rPr>
          <w:rFonts w:ascii="Arial" w:hAnsi="Arial" w:cs="Arial"/>
          <w:sz w:val="22"/>
          <w:szCs w:val="22"/>
          <w:lang w:val="es-MX"/>
        </w:rPr>
        <w:t> </w:t>
      </w:r>
      <w:r w:rsidR="009709DA" w:rsidRPr="009709DA">
        <w:rPr>
          <w:rFonts w:ascii="Arial" w:hAnsi="Arial" w:cs="Arial"/>
          <w:sz w:val="22"/>
          <w:szCs w:val="22"/>
          <w:lang w:val="es-MX"/>
        </w:rPr>
        <w:t>diseño e implementación del módulo de formulación presupuestaria del SIARE</w:t>
      </w:r>
      <w:r w:rsidR="00D1450C">
        <w:rPr>
          <w:rFonts w:ascii="Arial" w:hAnsi="Arial" w:cs="Arial"/>
          <w:sz w:val="22"/>
          <w:szCs w:val="22"/>
          <w:lang w:val="es-MX"/>
        </w:rPr>
        <w:t xml:space="preserve"> en la administración central</w:t>
      </w:r>
      <w:r w:rsidR="009709DA" w:rsidRPr="009709DA">
        <w:rPr>
          <w:rFonts w:ascii="Arial" w:hAnsi="Arial" w:cs="Arial"/>
          <w:sz w:val="22"/>
          <w:szCs w:val="22"/>
          <w:lang w:val="es-MX"/>
        </w:rPr>
        <w:t>; y (</w:t>
      </w:r>
      <w:r w:rsidR="009709DA">
        <w:rPr>
          <w:rFonts w:ascii="Arial" w:hAnsi="Arial" w:cs="Arial"/>
          <w:sz w:val="22"/>
          <w:szCs w:val="22"/>
          <w:lang w:val="es-MX"/>
        </w:rPr>
        <w:t>2</w:t>
      </w:r>
      <w:r w:rsidR="009709DA" w:rsidRPr="009709DA">
        <w:rPr>
          <w:rFonts w:ascii="Arial" w:hAnsi="Arial" w:cs="Arial"/>
          <w:sz w:val="22"/>
          <w:szCs w:val="22"/>
          <w:lang w:val="es-MX"/>
        </w:rPr>
        <w:t>) emisión de normas y procedimientos vinculados en la forma en que deben adoptar los municipios el SIAF</w:t>
      </w:r>
      <w:r w:rsidR="00137C34">
        <w:rPr>
          <w:rFonts w:ascii="Arial" w:hAnsi="Arial" w:cs="Arial"/>
          <w:sz w:val="22"/>
          <w:szCs w:val="22"/>
          <w:lang w:val="es-MX"/>
        </w:rPr>
        <w:t>; (</w:t>
      </w:r>
      <w:proofErr w:type="spellStart"/>
      <w:r w:rsidR="001F6FA1">
        <w:rPr>
          <w:rFonts w:ascii="Arial" w:hAnsi="Arial" w:cs="Arial"/>
          <w:sz w:val="22"/>
          <w:szCs w:val="22"/>
          <w:lang w:val="es-MX"/>
        </w:rPr>
        <w:t>i</w:t>
      </w:r>
      <w:r w:rsidR="00137C34">
        <w:rPr>
          <w:rFonts w:ascii="Arial" w:hAnsi="Arial" w:cs="Arial"/>
          <w:sz w:val="22"/>
          <w:szCs w:val="22"/>
          <w:lang w:val="es-MX"/>
        </w:rPr>
        <w:t>ii</w:t>
      </w:r>
      <w:proofErr w:type="spellEnd"/>
      <w:r w:rsidR="00137C34">
        <w:rPr>
          <w:rFonts w:ascii="Arial" w:hAnsi="Arial" w:cs="Arial"/>
          <w:sz w:val="22"/>
          <w:szCs w:val="22"/>
          <w:lang w:val="es-MX"/>
        </w:rPr>
        <w:t xml:space="preserve">) </w:t>
      </w:r>
      <w:r w:rsidR="00137C34" w:rsidRPr="006930D9">
        <w:rPr>
          <w:rFonts w:ascii="Arial" w:hAnsi="Arial" w:cs="Arial"/>
          <w:sz w:val="22"/>
          <w:szCs w:val="22"/>
          <w:lang w:val="es-MX"/>
        </w:rPr>
        <w:t>mejorar la calidad del gasto en sectores prioritarios para el desarrollo económico, c</w:t>
      </w:r>
      <w:r w:rsidR="00137C34">
        <w:rPr>
          <w:rFonts w:ascii="Arial" w:hAnsi="Arial" w:cs="Arial"/>
          <w:sz w:val="22"/>
          <w:szCs w:val="22"/>
          <w:lang w:val="es-MX"/>
        </w:rPr>
        <w:t>on un primer tramo que apoya la</w:t>
      </w:r>
      <w:r w:rsidR="00137C34" w:rsidRPr="00137C34">
        <w:rPr>
          <w:rFonts w:ascii="Arial" w:hAnsi="Arial" w:cs="Arial"/>
          <w:sz w:val="22"/>
          <w:szCs w:val="22"/>
          <w:lang w:val="es-MX"/>
        </w:rPr>
        <w:t xml:space="preserve"> </w:t>
      </w:r>
      <w:r w:rsidR="00D1450C">
        <w:rPr>
          <w:rFonts w:ascii="Arial" w:hAnsi="Arial" w:cs="Arial"/>
          <w:sz w:val="22"/>
          <w:szCs w:val="22"/>
          <w:lang w:val="es-MX"/>
        </w:rPr>
        <w:t xml:space="preserve">adecuación al nuevo marco normativo </w:t>
      </w:r>
      <w:r w:rsidR="00137C34" w:rsidRPr="00137C34">
        <w:rPr>
          <w:rFonts w:ascii="Arial" w:hAnsi="Arial" w:cs="Arial"/>
          <w:sz w:val="22"/>
          <w:szCs w:val="22"/>
          <w:lang w:val="es-MX"/>
        </w:rPr>
        <w:t>de los programas de P</w:t>
      </w:r>
      <w:r w:rsidR="00137C34">
        <w:rPr>
          <w:rFonts w:ascii="Arial" w:hAnsi="Arial" w:cs="Arial"/>
          <w:sz w:val="22"/>
          <w:szCs w:val="22"/>
          <w:lang w:val="es-MX"/>
        </w:rPr>
        <w:t xml:space="preserve">resupuesto por Resultados (PPR) </w:t>
      </w:r>
      <w:r w:rsidR="00137C34" w:rsidRPr="00137C34">
        <w:rPr>
          <w:rFonts w:ascii="Arial" w:hAnsi="Arial" w:cs="Arial"/>
          <w:sz w:val="22"/>
          <w:szCs w:val="22"/>
          <w:lang w:val="es-MX"/>
        </w:rPr>
        <w:t xml:space="preserve">en sectores prioritarios (educación, salud y protección social), incluyendo </w:t>
      </w:r>
      <w:r w:rsidR="0090667B">
        <w:rPr>
          <w:rFonts w:ascii="Arial" w:hAnsi="Arial" w:cs="Arial"/>
          <w:sz w:val="22"/>
          <w:szCs w:val="22"/>
          <w:lang w:val="es-MX"/>
        </w:rPr>
        <w:t xml:space="preserve">información y metas desagregadas en materia </w:t>
      </w:r>
      <w:r w:rsidR="00137C34" w:rsidRPr="00137C34">
        <w:rPr>
          <w:rFonts w:ascii="Arial" w:hAnsi="Arial" w:cs="Arial"/>
          <w:sz w:val="22"/>
          <w:szCs w:val="22"/>
          <w:lang w:val="es-MX"/>
        </w:rPr>
        <w:t>de género</w:t>
      </w:r>
      <w:r w:rsidR="00137C34">
        <w:rPr>
          <w:rFonts w:ascii="Arial" w:hAnsi="Arial" w:cs="Arial"/>
          <w:sz w:val="22"/>
          <w:szCs w:val="22"/>
          <w:lang w:val="es-MX"/>
        </w:rPr>
        <w:t xml:space="preserve">; y un </w:t>
      </w:r>
      <w:r w:rsidR="00137C34" w:rsidRPr="00137C34">
        <w:rPr>
          <w:rFonts w:ascii="Arial" w:hAnsi="Arial" w:cs="Arial"/>
          <w:sz w:val="22"/>
          <w:szCs w:val="22"/>
          <w:lang w:val="es-MX"/>
        </w:rPr>
        <w:t xml:space="preserve">segundo tramo </w:t>
      </w:r>
      <w:r w:rsidR="00137C34">
        <w:rPr>
          <w:rFonts w:ascii="Arial" w:hAnsi="Arial" w:cs="Arial"/>
          <w:sz w:val="22"/>
          <w:szCs w:val="22"/>
          <w:lang w:val="es-MX"/>
        </w:rPr>
        <w:t xml:space="preserve">que </w:t>
      </w:r>
      <w:r w:rsidR="00137C34" w:rsidRPr="00137C34">
        <w:rPr>
          <w:rFonts w:ascii="Arial" w:hAnsi="Arial" w:cs="Arial"/>
          <w:sz w:val="22"/>
          <w:szCs w:val="22"/>
          <w:lang w:val="es-MX"/>
        </w:rPr>
        <w:t xml:space="preserve">consiste en la evaluación de </w:t>
      </w:r>
      <w:proofErr w:type="spellStart"/>
      <w:r w:rsidR="00D1450C">
        <w:rPr>
          <w:rFonts w:ascii="Arial" w:hAnsi="Arial" w:cs="Arial"/>
          <w:sz w:val="22"/>
          <w:szCs w:val="22"/>
          <w:lang w:val="es-MX"/>
        </w:rPr>
        <w:t>dise</w:t>
      </w:r>
      <w:proofErr w:type="spellEnd"/>
      <w:r w:rsidR="00D1450C">
        <w:rPr>
          <w:rFonts w:ascii="Arial" w:hAnsi="Arial" w:cs="Arial"/>
          <w:sz w:val="22"/>
          <w:szCs w:val="22"/>
          <w:lang w:val="es-419"/>
        </w:rPr>
        <w:t xml:space="preserve">ño de </w:t>
      </w:r>
      <w:r w:rsidR="00137C34" w:rsidRPr="00137C34">
        <w:rPr>
          <w:rFonts w:ascii="Arial" w:hAnsi="Arial" w:cs="Arial"/>
          <w:sz w:val="22"/>
          <w:szCs w:val="22"/>
          <w:lang w:val="es-MX"/>
        </w:rPr>
        <w:t>dichos programas de PPR</w:t>
      </w:r>
      <w:r w:rsidR="00D1450C">
        <w:rPr>
          <w:rFonts w:ascii="Arial" w:hAnsi="Arial" w:cs="Arial"/>
          <w:sz w:val="22"/>
          <w:szCs w:val="22"/>
          <w:lang w:val="es-MX"/>
        </w:rPr>
        <w:t xml:space="preserve"> en sectores prioritarios (educación, salud y protección social) incluyendo información y metas desagregadas en materia de género</w:t>
      </w:r>
      <w:r w:rsidR="00137C34">
        <w:rPr>
          <w:rFonts w:ascii="Arial" w:hAnsi="Arial" w:cs="Arial"/>
          <w:sz w:val="22"/>
          <w:szCs w:val="22"/>
          <w:lang w:val="es-MX"/>
        </w:rPr>
        <w:t>; y (</w:t>
      </w:r>
      <w:proofErr w:type="spellStart"/>
      <w:r w:rsidR="00137C34">
        <w:rPr>
          <w:rFonts w:ascii="Arial" w:hAnsi="Arial" w:cs="Arial"/>
          <w:sz w:val="22"/>
          <w:szCs w:val="22"/>
          <w:lang w:val="es-MX"/>
        </w:rPr>
        <w:t>i</w:t>
      </w:r>
      <w:r w:rsidR="001F6FA1">
        <w:rPr>
          <w:rFonts w:ascii="Arial" w:hAnsi="Arial" w:cs="Arial"/>
          <w:sz w:val="22"/>
          <w:szCs w:val="22"/>
          <w:lang w:val="es-MX"/>
        </w:rPr>
        <w:t>v</w:t>
      </w:r>
      <w:proofErr w:type="spellEnd"/>
      <w:r w:rsidR="00137C34">
        <w:rPr>
          <w:rFonts w:ascii="Arial" w:hAnsi="Arial" w:cs="Arial"/>
          <w:sz w:val="22"/>
          <w:szCs w:val="22"/>
          <w:lang w:val="es-MX"/>
        </w:rPr>
        <w:t>)</w:t>
      </w:r>
      <w:r w:rsidR="007E1B23">
        <w:rPr>
          <w:rFonts w:ascii="Arial" w:hAnsi="Arial" w:cs="Arial"/>
          <w:sz w:val="22"/>
          <w:szCs w:val="22"/>
          <w:lang w:val="es-MX"/>
        </w:rPr>
        <w:t> </w:t>
      </w:r>
      <w:r w:rsidR="00DF5B20">
        <w:rPr>
          <w:rFonts w:ascii="Arial" w:hAnsi="Arial" w:cs="Arial"/>
          <w:i/>
          <w:sz w:val="22"/>
          <w:szCs w:val="22"/>
          <w:lang w:val="es-MX"/>
        </w:rPr>
        <w:t>mejorar la calidad de la inversión pública</w:t>
      </w:r>
      <w:r w:rsidR="00DF5B20">
        <w:rPr>
          <w:rFonts w:ascii="Arial" w:hAnsi="Arial" w:cs="Arial"/>
          <w:sz w:val="22"/>
          <w:szCs w:val="22"/>
          <w:lang w:val="es-MX"/>
        </w:rPr>
        <w:t xml:space="preserve">, </w:t>
      </w:r>
      <w:r w:rsidR="00FE3FCD">
        <w:rPr>
          <w:rFonts w:ascii="Arial" w:hAnsi="Arial" w:cs="Arial"/>
          <w:sz w:val="22"/>
          <w:szCs w:val="22"/>
          <w:lang w:val="es-MX"/>
        </w:rPr>
        <w:t xml:space="preserve">con un </w:t>
      </w:r>
      <w:r w:rsidR="00FE3FCD" w:rsidRPr="00FE3FCD">
        <w:rPr>
          <w:rFonts w:ascii="Arial" w:hAnsi="Arial" w:cs="Arial"/>
          <w:sz w:val="22"/>
          <w:szCs w:val="22"/>
          <w:lang w:val="es-MX"/>
        </w:rPr>
        <w:t xml:space="preserve">primer tramo </w:t>
      </w:r>
      <w:r w:rsidR="00FE3FCD">
        <w:rPr>
          <w:rFonts w:ascii="Arial" w:hAnsi="Arial" w:cs="Arial"/>
          <w:sz w:val="22"/>
          <w:szCs w:val="22"/>
          <w:lang w:val="es-MX"/>
        </w:rPr>
        <w:t xml:space="preserve">que </w:t>
      </w:r>
      <w:r w:rsidR="00FE3FCD" w:rsidRPr="00FE3FCD">
        <w:rPr>
          <w:rFonts w:ascii="Arial" w:hAnsi="Arial" w:cs="Arial"/>
          <w:sz w:val="22"/>
          <w:szCs w:val="22"/>
          <w:lang w:val="es-MX"/>
        </w:rPr>
        <w:t xml:space="preserve">apoya la </w:t>
      </w:r>
      <w:r w:rsidR="00D1450C">
        <w:rPr>
          <w:rFonts w:ascii="Arial" w:hAnsi="Arial" w:cs="Arial"/>
          <w:sz w:val="22"/>
          <w:szCs w:val="22"/>
          <w:lang w:val="es-MX"/>
        </w:rPr>
        <w:t>promulgación y publicación</w:t>
      </w:r>
      <w:r w:rsidR="00D1450C" w:rsidRPr="00FE3FCD">
        <w:rPr>
          <w:rFonts w:ascii="Arial" w:hAnsi="Arial" w:cs="Arial"/>
          <w:sz w:val="22"/>
          <w:szCs w:val="22"/>
          <w:lang w:val="es-MX"/>
        </w:rPr>
        <w:t xml:space="preserve"> </w:t>
      </w:r>
      <w:r w:rsidR="00FE3FCD" w:rsidRPr="00FE3FCD">
        <w:rPr>
          <w:rFonts w:ascii="Arial" w:hAnsi="Arial" w:cs="Arial"/>
          <w:sz w:val="22"/>
          <w:szCs w:val="22"/>
          <w:lang w:val="es-MX"/>
        </w:rPr>
        <w:t>de la ley de inversión pública, que incluya, entre otros, el diseño de un plan de inversiones; y la conformación de un fondo de pre inversión, con el propósito de dotar de recursos a los OEE para formular PIP siguiendo las metodologías del SNIP</w:t>
      </w:r>
      <w:r w:rsidR="00CC4AB7">
        <w:rPr>
          <w:rFonts w:ascii="Arial" w:hAnsi="Arial" w:cs="Arial"/>
          <w:sz w:val="22"/>
          <w:szCs w:val="22"/>
          <w:lang w:val="es-MX"/>
        </w:rPr>
        <w:t xml:space="preserve">; y un </w:t>
      </w:r>
      <w:r w:rsidR="00FE3FCD" w:rsidRPr="00FE3FCD">
        <w:rPr>
          <w:rFonts w:ascii="Arial" w:hAnsi="Arial" w:cs="Arial"/>
          <w:sz w:val="22"/>
          <w:szCs w:val="22"/>
          <w:lang w:val="es-MX"/>
        </w:rPr>
        <w:t xml:space="preserve">segundo tramo </w:t>
      </w:r>
      <w:r w:rsidR="00CC4AB7">
        <w:rPr>
          <w:rFonts w:ascii="Arial" w:hAnsi="Arial" w:cs="Arial"/>
          <w:sz w:val="22"/>
          <w:szCs w:val="22"/>
          <w:lang w:val="es-MX"/>
        </w:rPr>
        <w:t xml:space="preserve">que </w:t>
      </w:r>
      <w:r w:rsidR="00FE3FCD" w:rsidRPr="00FE3FCD">
        <w:rPr>
          <w:rFonts w:ascii="Arial" w:hAnsi="Arial" w:cs="Arial"/>
          <w:sz w:val="22"/>
          <w:szCs w:val="22"/>
          <w:lang w:val="es-MX"/>
        </w:rPr>
        <w:t>consiste en la aprobación del reglamento de dicha ley</w:t>
      </w:r>
      <w:r w:rsidR="00D1450C">
        <w:rPr>
          <w:rFonts w:ascii="Arial" w:hAnsi="Arial" w:cs="Arial"/>
          <w:sz w:val="22"/>
          <w:szCs w:val="22"/>
          <w:lang w:val="es-MX"/>
        </w:rPr>
        <w:t>.</w:t>
      </w:r>
      <w:r w:rsidR="00DF5B20">
        <w:rPr>
          <w:rFonts w:ascii="Arial" w:hAnsi="Arial" w:cs="Arial"/>
          <w:i/>
          <w:sz w:val="22"/>
          <w:szCs w:val="22"/>
          <w:lang w:val="es-MX"/>
        </w:rPr>
        <w:t xml:space="preserve"> </w:t>
      </w:r>
    </w:p>
    <w:p w14:paraId="63B09FD3" w14:textId="3106E296" w:rsidR="00155EEA" w:rsidRPr="006930D9" w:rsidRDefault="00C2392C" w:rsidP="006930D9">
      <w:pPr>
        <w:pStyle w:val="Paragraph"/>
        <w:numPr>
          <w:ilvl w:val="1"/>
          <w:numId w:val="39"/>
        </w:numPr>
        <w:tabs>
          <w:tab w:val="clear" w:pos="2448"/>
        </w:tabs>
        <w:ind w:left="720" w:hanging="720"/>
        <w:rPr>
          <w:rFonts w:ascii="Arial" w:hAnsi="Arial" w:cs="Arial"/>
          <w:sz w:val="22"/>
          <w:szCs w:val="22"/>
        </w:rPr>
      </w:pPr>
      <w:r w:rsidRPr="006930D9">
        <w:rPr>
          <w:rFonts w:ascii="Arial" w:hAnsi="Arial" w:cs="Arial"/>
          <w:sz w:val="22"/>
          <w:szCs w:val="22"/>
        </w:rPr>
        <w:t xml:space="preserve">El plan de monitoreo y evaluación de la presente operación consta </w:t>
      </w:r>
      <w:r w:rsidR="00343115" w:rsidRPr="006930D9">
        <w:rPr>
          <w:rFonts w:ascii="Arial" w:hAnsi="Arial" w:cs="Arial"/>
          <w:sz w:val="22"/>
          <w:szCs w:val="22"/>
        </w:rPr>
        <w:t xml:space="preserve">de </w:t>
      </w:r>
      <w:r w:rsidRPr="006930D9">
        <w:rPr>
          <w:rFonts w:ascii="Arial" w:hAnsi="Arial" w:cs="Arial"/>
          <w:sz w:val="22"/>
          <w:szCs w:val="22"/>
        </w:rPr>
        <w:t xml:space="preserve">dos secciones. La primera se refiere al monitoreo del programa, el que se realizará principalmente a través de informes oficiales que incluirán información detallada y presentarán la evidencia correspondiente al cumplimiento de las condiciones planteadas por el Programa. La segunda sección cubre la evaluación </w:t>
      </w:r>
      <w:proofErr w:type="spellStart"/>
      <w:r w:rsidRPr="006930D9">
        <w:rPr>
          <w:rFonts w:ascii="Arial" w:hAnsi="Arial" w:cs="Arial"/>
          <w:sz w:val="22"/>
          <w:szCs w:val="22"/>
        </w:rPr>
        <w:t>ex-post</w:t>
      </w:r>
      <w:proofErr w:type="spellEnd"/>
      <w:r w:rsidRPr="006930D9">
        <w:rPr>
          <w:rFonts w:ascii="Arial" w:hAnsi="Arial" w:cs="Arial"/>
          <w:sz w:val="22"/>
          <w:szCs w:val="22"/>
        </w:rPr>
        <w:t xml:space="preserve"> del proyecto. Las principales preguntas de la evaluación </w:t>
      </w:r>
      <w:proofErr w:type="spellStart"/>
      <w:r w:rsidRPr="006930D9">
        <w:rPr>
          <w:rFonts w:ascii="Arial" w:hAnsi="Arial" w:cs="Arial"/>
          <w:sz w:val="22"/>
          <w:szCs w:val="22"/>
        </w:rPr>
        <w:t>ex-post</w:t>
      </w:r>
      <w:proofErr w:type="spellEnd"/>
      <w:r w:rsidRPr="006930D9">
        <w:rPr>
          <w:rFonts w:ascii="Arial" w:hAnsi="Arial" w:cs="Arial"/>
          <w:sz w:val="22"/>
          <w:szCs w:val="22"/>
        </w:rPr>
        <w:t xml:space="preserve"> estarán referidas a </w:t>
      </w:r>
      <w:r w:rsidRPr="006930D9">
        <w:rPr>
          <w:rFonts w:ascii="Arial" w:hAnsi="Arial" w:cs="Arial"/>
          <w:sz w:val="22"/>
          <w:szCs w:val="22"/>
        </w:rPr>
        <w:lastRenderedPageBreak/>
        <w:t xml:space="preserve">si se lograron los impactos y resultados deseados en términos de </w:t>
      </w:r>
      <w:r w:rsidR="00FE78D4" w:rsidRPr="006930D9">
        <w:rPr>
          <w:rFonts w:ascii="Arial" w:hAnsi="Arial" w:cs="Arial"/>
          <w:sz w:val="22"/>
          <w:szCs w:val="22"/>
        </w:rPr>
        <w:t xml:space="preserve">consolidar el marco </w:t>
      </w:r>
      <w:proofErr w:type="spellStart"/>
      <w:r w:rsidR="00FE78D4" w:rsidRPr="006930D9">
        <w:rPr>
          <w:rFonts w:ascii="Arial" w:hAnsi="Arial" w:cs="Arial"/>
          <w:sz w:val="22"/>
          <w:szCs w:val="22"/>
        </w:rPr>
        <w:t>macro-fiscal</w:t>
      </w:r>
      <w:proofErr w:type="spellEnd"/>
      <w:r w:rsidR="00FE78D4" w:rsidRPr="006930D9">
        <w:rPr>
          <w:rFonts w:ascii="Arial" w:hAnsi="Arial" w:cs="Arial"/>
          <w:sz w:val="22"/>
          <w:szCs w:val="22"/>
        </w:rPr>
        <w:t xml:space="preserve">, fortalecer la política y la gestión tributaria y mejorar la gestión del gasto. </w:t>
      </w:r>
      <w:r w:rsidRPr="006930D9">
        <w:rPr>
          <w:rFonts w:ascii="Arial" w:hAnsi="Arial" w:cs="Arial"/>
          <w:sz w:val="22"/>
          <w:szCs w:val="22"/>
        </w:rPr>
        <w:t xml:space="preserve">A través del análisis realizado se tratará de identificar lecciones aprendidas para futuras operaciones del Banco Interamericano de Desarrollo (BID) en esta área. Asimismo, se evaluarán los resultados de algunas medidas de fortalecimiento de las finanzas públicas incorporadas en el </w:t>
      </w:r>
      <w:r w:rsidR="007E1B23" w:rsidRPr="006930D9">
        <w:rPr>
          <w:rFonts w:ascii="Arial" w:hAnsi="Arial" w:cs="Arial"/>
          <w:sz w:val="22"/>
          <w:szCs w:val="22"/>
        </w:rPr>
        <w:t>p</w:t>
      </w:r>
      <w:r w:rsidRPr="006930D9">
        <w:rPr>
          <w:rFonts w:ascii="Arial" w:hAnsi="Arial" w:cs="Arial"/>
          <w:sz w:val="22"/>
          <w:szCs w:val="22"/>
        </w:rPr>
        <w:t>rograma.</w:t>
      </w:r>
    </w:p>
    <w:p w14:paraId="09F06036" w14:textId="77777777" w:rsidR="00155EEA" w:rsidRDefault="00C2392C" w:rsidP="006930D9">
      <w:pPr>
        <w:pStyle w:val="Chapter"/>
        <w:keepNext w:val="0"/>
        <w:widowControl w:val="0"/>
        <w:tabs>
          <w:tab w:val="clear" w:pos="1440"/>
          <w:tab w:val="clear" w:pos="1800"/>
        </w:tabs>
        <w:ind w:left="0" w:firstLine="18"/>
        <w:rPr>
          <w:rFonts w:ascii="Arial" w:hAnsi="Arial" w:cs="Arial"/>
          <w:szCs w:val="22"/>
        </w:rPr>
      </w:pPr>
      <w:bookmarkStart w:id="1" w:name="_Toc508105575"/>
      <w:r>
        <w:rPr>
          <w:rFonts w:ascii="Arial" w:hAnsi="Arial" w:cs="Arial"/>
          <w:szCs w:val="22"/>
        </w:rPr>
        <w:t>Monitoreo</w:t>
      </w:r>
      <w:bookmarkEnd w:id="1"/>
    </w:p>
    <w:p w14:paraId="65A7A313" w14:textId="77777777" w:rsidR="00155EEA" w:rsidRDefault="00C2392C" w:rsidP="006930D9">
      <w:pPr>
        <w:pStyle w:val="FirstHeading"/>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SEQ "</w:instrText>
      </w:r>
      <w:r>
        <w:rPr>
          <w:rFonts w:ascii="Arial" w:hAnsi="Arial" w:cs="Arial"/>
          <w:sz w:val="22"/>
          <w:szCs w:val="22"/>
        </w:rPr>
        <w:fldChar w:fldCharType="begin"/>
      </w:r>
      <w:r>
        <w:rPr>
          <w:rFonts w:ascii="Arial" w:hAnsi="Arial" w:cs="Arial"/>
          <w:sz w:val="22"/>
          <w:szCs w:val="22"/>
        </w:rPr>
        <w:instrText xml:space="preserve"> SECTION  \* MERGEFORMAT </w:instrText>
      </w:r>
      <w:r>
        <w:rPr>
          <w:rFonts w:ascii="Arial" w:hAnsi="Arial" w:cs="Arial"/>
          <w:sz w:val="22"/>
          <w:szCs w:val="22"/>
        </w:rPr>
        <w:fldChar w:fldCharType="separate"/>
      </w:r>
      <w:r>
        <w:rPr>
          <w:rFonts w:ascii="Arial" w:hAnsi="Arial" w:cs="Arial"/>
          <w:sz w:val="22"/>
          <w:szCs w:val="22"/>
        </w:rPr>
        <w:instrText>5</w:instrText>
      </w:r>
      <w:r>
        <w:rPr>
          <w:rFonts w:ascii="Arial" w:hAnsi="Arial" w:cs="Arial"/>
          <w:sz w:val="22"/>
          <w:szCs w:val="22"/>
        </w:rPr>
        <w:fldChar w:fldCharType="end"/>
      </w:r>
      <w:r>
        <w:rPr>
          <w:rFonts w:ascii="Arial" w:hAnsi="Arial" w:cs="Arial"/>
          <w:sz w:val="22"/>
          <w:szCs w:val="22"/>
        </w:rPr>
        <w:instrText xml:space="preserve">#"\* ALPHABETIC \* MERGEFORMAT </w:instrText>
      </w:r>
      <w:r>
        <w:rPr>
          <w:rFonts w:ascii="Arial" w:hAnsi="Arial" w:cs="Arial"/>
          <w:sz w:val="22"/>
          <w:szCs w:val="22"/>
        </w:rPr>
        <w:fldChar w:fldCharType="separate"/>
      </w:r>
      <w:bookmarkStart w:id="2" w:name="_Toc508105576"/>
      <w:r>
        <w:rPr>
          <w:rFonts w:ascii="Arial" w:hAnsi="Arial" w:cs="Arial"/>
          <w:noProof/>
          <w:sz w:val="22"/>
          <w:szCs w:val="22"/>
        </w:rPr>
        <w:t>A</w:t>
      </w:r>
      <w:r>
        <w:rPr>
          <w:rFonts w:ascii="Arial" w:hAnsi="Arial" w:cs="Arial"/>
          <w:sz w:val="22"/>
          <w:szCs w:val="22"/>
        </w:rPr>
        <w:fldChar w:fldCharType="end"/>
      </w:r>
      <w:r>
        <w:rPr>
          <w:rFonts w:ascii="Arial" w:hAnsi="Arial" w:cs="Arial"/>
          <w:sz w:val="22"/>
          <w:szCs w:val="22"/>
        </w:rPr>
        <w:t>.</w:t>
      </w:r>
      <w:r>
        <w:rPr>
          <w:rFonts w:ascii="Arial" w:hAnsi="Arial" w:cs="Arial"/>
          <w:sz w:val="22"/>
          <w:szCs w:val="22"/>
        </w:rPr>
        <w:tab/>
      </w:r>
      <w:r>
        <w:rPr>
          <w:rFonts w:ascii="Arial" w:hAnsi="Arial" w:cs="Arial"/>
          <w:sz w:val="22"/>
          <w:szCs w:val="22"/>
        </w:rPr>
        <w:t>Indicadores</w:t>
      </w:r>
      <w:bookmarkEnd w:id="2"/>
    </w:p>
    <w:p w14:paraId="6B27F73A" w14:textId="77777777" w:rsidR="00155EEA" w:rsidRDefault="00C2392C" w:rsidP="006930D9">
      <w:pPr>
        <w:pStyle w:val="Paragraph"/>
        <w:tabs>
          <w:tab w:val="clear" w:pos="2448"/>
        </w:tabs>
        <w:ind w:left="720" w:hanging="720"/>
        <w:rPr>
          <w:rFonts w:ascii="Arial" w:hAnsi="Arial" w:cs="Arial"/>
          <w:sz w:val="22"/>
          <w:szCs w:val="22"/>
        </w:rPr>
      </w:pPr>
      <w:r>
        <w:rPr>
          <w:rFonts w:ascii="Arial" w:hAnsi="Arial" w:cs="Arial"/>
          <w:color w:val="000000"/>
          <w:sz w:val="22"/>
          <w:szCs w:val="22"/>
        </w:rPr>
        <w:t>A lo largo de la ejecución del</w:t>
      </w:r>
      <w:r w:rsidR="00FF5B3C">
        <w:rPr>
          <w:rFonts w:ascii="Arial" w:hAnsi="Arial" w:cs="Arial"/>
          <w:color w:val="000000"/>
          <w:sz w:val="22"/>
          <w:szCs w:val="22"/>
        </w:rPr>
        <w:t xml:space="preserve"> presente PBL</w:t>
      </w:r>
      <w:r>
        <w:rPr>
          <w:rFonts w:ascii="Arial" w:hAnsi="Arial" w:cs="Arial"/>
          <w:color w:val="000000"/>
          <w:sz w:val="22"/>
          <w:szCs w:val="22"/>
        </w:rPr>
        <w:t>, se hará seguimiento continuo a los indicadores de productos establecidos en la matriz de resultados. Dichos productos son claves, dado que coinciden con las condiciones establecidas en la Matriz de Políticas. El Cuadro 1 describe los indicadores de producto a los que se hará seguimiento durante la ejecución del programa, y una verificación final en el 202</w:t>
      </w:r>
      <w:r w:rsidR="007739AC">
        <w:rPr>
          <w:rFonts w:ascii="Arial" w:hAnsi="Arial" w:cs="Arial"/>
          <w:color w:val="000000"/>
          <w:sz w:val="22"/>
          <w:szCs w:val="22"/>
        </w:rPr>
        <w:t>1</w:t>
      </w:r>
      <w:r>
        <w:rPr>
          <w:rFonts w:ascii="Arial" w:hAnsi="Arial" w:cs="Arial"/>
          <w:color w:val="000000"/>
          <w:sz w:val="22"/>
          <w:szCs w:val="22"/>
        </w:rPr>
        <w:t xml:space="preserve">, cuando las reformas introducidas ya habrán terminado de generar los productos esperados. </w:t>
      </w:r>
    </w:p>
    <w:p w14:paraId="7744586A" w14:textId="77777777" w:rsidR="00155EEA" w:rsidRDefault="00155EEA">
      <w:pPr>
        <w:pStyle w:val="Chapter"/>
        <w:numPr>
          <w:ilvl w:val="0"/>
          <w:numId w:val="0"/>
        </w:numPr>
        <w:spacing w:after="120"/>
        <w:ind w:firstLine="288"/>
        <w:rPr>
          <w:rFonts w:ascii="Times New Roman Bold" w:hAnsi="Times New Roman Bold"/>
          <w:smallCaps w:val="0"/>
        </w:rPr>
        <w:sectPr w:rsidR="00155EEA" w:rsidSect="00416162">
          <w:pgSz w:w="12240" w:h="15840" w:code="1"/>
          <w:pgMar w:top="1440" w:right="1800" w:bottom="1440" w:left="1800" w:header="706" w:footer="706" w:gutter="0"/>
          <w:pgNumType w:start="1"/>
          <w:cols w:space="720"/>
          <w:formProt w:val="0"/>
          <w:docGrid w:linePitch="326"/>
        </w:sectPr>
      </w:pPr>
    </w:p>
    <w:p w14:paraId="1400CD87" w14:textId="718E7880" w:rsidR="00155EEA" w:rsidRDefault="00C2392C">
      <w:pPr>
        <w:pStyle w:val="Chapter"/>
        <w:numPr>
          <w:ilvl w:val="0"/>
          <w:numId w:val="0"/>
        </w:numPr>
        <w:spacing w:after="120"/>
        <w:ind w:firstLine="288"/>
        <w:rPr>
          <w:rFonts w:ascii="Arial" w:hAnsi="Arial" w:cs="Arial"/>
          <w:smallCaps w:val="0"/>
          <w:sz w:val="22"/>
        </w:rPr>
      </w:pPr>
      <w:r>
        <w:rPr>
          <w:rFonts w:ascii="Arial" w:hAnsi="Arial" w:cs="Arial"/>
          <w:smallCaps w:val="0"/>
          <w:sz w:val="22"/>
        </w:rPr>
        <w:lastRenderedPageBreak/>
        <w:t>Cuadro 1. Indicadores de Productos</w:t>
      </w:r>
    </w:p>
    <w:tbl>
      <w:tblPr>
        <w:tblW w:w="133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27"/>
        <w:gridCol w:w="1439"/>
        <w:gridCol w:w="900"/>
        <w:gridCol w:w="990"/>
        <w:gridCol w:w="900"/>
        <w:gridCol w:w="1348"/>
        <w:gridCol w:w="181"/>
        <w:gridCol w:w="2425"/>
        <w:gridCol w:w="10"/>
      </w:tblGrid>
      <w:tr w:rsidR="00F2727F" w:rsidRPr="00AE7D09" w14:paraId="502101FA" w14:textId="77777777" w:rsidTr="00BE5978">
        <w:trPr>
          <w:trHeight w:val="1070"/>
          <w:tblHeader/>
        </w:trPr>
        <w:tc>
          <w:tcPr>
            <w:tcW w:w="5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DD9609F" w14:textId="77777777" w:rsidR="00F2727F" w:rsidRPr="00AE7D09" w:rsidRDefault="00F2727F" w:rsidP="001865DF">
            <w:pPr>
              <w:jc w:val="center"/>
              <w:rPr>
                <w:rFonts w:ascii="Arial" w:hAnsi="Arial" w:cs="Arial"/>
                <w:b/>
                <w:sz w:val="20"/>
                <w:lang w:eastAsia="zh-CN"/>
              </w:rPr>
            </w:pPr>
            <w:r w:rsidRPr="00AE7D09">
              <w:rPr>
                <w:rFonts w:ascii="Arial" w:hAnsi="Arial" w:cs="Arial"/>
                <w:b/>
                <w:sz w:val="20"/>
                <w:lang w:eastAsia="zh-CN"/>
              </w:rPr>
              <w:t>Productos</w:t>
            </w:r>
          </w:p>
        </w:tc>
        <w:tc>
          <w:tcPr>
            <w:tcW w:w="14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75CB6E4" w14:textId="77777777" w:rsidR="00F2727F" w:rsidRPr="00AE7D09" w:rsidRDefault="00F2727F" w:rsidP="001865DF">
            <w:pPr>
              <w:jc w:val="center"/>
              <w:rPr>
                <w:rFonts w:ascii="Arial" w:hAnsi="Arial" w:cs="Arial"/>
                <w:b/>
                <w:sz w:val="20"/>
                <w:lang w:eastAsia="zh-CN"/>
              </w:rPr>
            </w:pPr>
            <w:r w:rsidRPr="00AE7D09">
              <w:rPr>
                <w:rFonts w:ascii="Arial" w:hAnsi="Arial" w:cs="Arial"/>
                <w:b/>
                <w:sz w:val="20"/>
                <w:lang w:eastAsia="zh-CN"/>
              </w:rPr>
              <w:t>Unidad de Medida</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AE0F782" w14:textId="77777777" w:rsidR="00F2727F" w:rsidRPr="00AE7D09" w:rsidRDefault="00F2727F" w:rsidP="001865DF">
            <w:pPr>
              <w:jc w:val="center"/>
              <w:rPr>
                <w:rFonts w:ascii="Arial" w:hAnsi="Arial" w:cs="Arial"/>
                <w:b/>
                <w:sz w:val="20"/>
                <w:lang w:eastAsia="zh-CN"/>
              </w:rPr>
            </w:pPr>
            <w:r w:rsidRPr="00AE7D09">
              <w:rPr>
                <w:rFonts w:ascii="Arial" w:hAnsi="Arial" w:cs="Arial"/>
                <w:b/>
                <w:sz w:val="20"/>
                <w:lang w:eastAsia="zh-CN"/>
              </w:rPr>
              <w:t xml:space="preserve">Línea de Base </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384164A" w14:textId="77777777" w:rsidR="00F2727F" w:rsidRPr="00AE7D09" w:rsidRDefault="00F2727F" w:rsidP="001865DF">
            <w:pPr>
              <w:jc w:val="center"/>
              <w:rPr>
                <w:rFonts w:ascii="Arial" w:hAnsi="Arial" w:cs="Arial"/>
                <w:b/>
                <w:sz w:val="20"/>
                <w:lang w:eastAsia="zh-CN"/>
              </w:rPr>
            </w:pPr>
            <w:r w:rsidRPr="00AE7D09">
              <w:rPr>
                <w:rFonts w:ascii="Arial" w:hAnsi="Arial" w:cs="Arial"/>
                <w:b/>
                <w:sz w:val="20"/>
                <w:lang w:eastAsia="zh-CN"/>
              </w:rPr>
              <w:t xml:space="preserve">Año </w:t>
            </w:r>
          </w:p>
          <w:p w14:paraId="7D57C31C" w14:textId="77777777" w:rsidR="00F2727F" w:rsidRPr="00AE7D09" w:rsidRDefault="00F2727F" w:rsidP="001865DF">
            <w:pPr>
              <w:jc w:val="center"/>
              <w:rPr>
                <w:rFonts w:ascii="Arial" w:hAnsi="Arial" w:cs="Arial"/>
                <w:b/>
                <w:sz w:val="20"/>
                <w:lang w:eastAsia="zh-CN"/>
              </w:rPr>
            </w:pPr>
            <w:r w:rsidRPr="00AE7D09">
              <w:rPr>
                <w:rFonts w:ascii="Arial" w:hAnsi="Arial" w:cs="Arial"/>
                <w:b/>
                <w:sz w:val="20"/>
                <w:lang w:eastAsia="zh-CN"/>
              </w:rPr>
              <w:t>Línea de Base</w:t>
            </w:r>
            <w:r w:rsidRPr="00AE7D09">
              <w:rPr>
                <w:rStyle w:val="FootnoteReference"/>
                <w:rFonts w:ascii="Arial" w:hAnsi="Arial" w:cs="Arial"/>
                <w:b/>
                <w:sz w:val="20"/>
                <w:lang w:eastAsia="zh-CN"/>
              </w:rPr>
              <w:footnoteReference w:id="3"/>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AE50C26" w14:textId="77777777" w:rsidR="00F2727F" w:rsidRPr="00AE7D09" w:rsidRDefault="00F2727F" w:rsidP="001865DF">
            <w:pPr>
              <w:rPr>
                <w:rFonts w:ascii="Arial" w:hAnsi="Arial" w:cs="Arial"/>
                <w:b/>
                <w:sz w:val="20"/>
                <w:lang w:eastAsia="zh-CN"/>
              </w:rPr>
            </w:pPr>
            <w:r w:rsidRPr="00AE7D09">
              <w:rPr>
                <w:rFonts w:ascii="Arial" w:hAnsi="Arial" w:cs="Arial"/>
                <w:b/>
                <w:sz w:val="20"/>
                <w:lang w:eastAsia="zh-CN"/>
              </w:rPr>
              <w:t>Meta Final</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00FD4C3" w14:textId="77777777" w:rsidR="00F2727F" w:rsidRPr="00AE7D09" w:rsidRDefault="00F2727F" w:rsidP="001865DF">
            <w:pPr>
              <w:jc w:val="center"/>
              <w:rPr>
                <w:rFonts w:ascii="Arial" w:hAnsi="Arial" w:cs="Arial"/>
                <w:b/>
                <w:sz w:val="20"/>
                <w:lang w:eastAsia="zh-CN"/>
              </w:rPr>
            </w:pPr>
            <w:r w:rsidRPr="00AE7D09">
              <w:rPr>
                <w:rFonts w:ascii="Arial" w:hAnsi="Arial" w:cs="Arial"/>
                <w:b/>
                <w:sz w:val="20"/>
                <w:lang w:eastAsia="zh-CN"/>
              </w:rPr>
              <w:t>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A621733" w14:textId="77777777" w:rsidR="00F2727F" w:rsidRPr="00AE7D09" w:rsidRDefault="00F2727F" w:rsidP="001865DF">
            <w:pPr>
              <w:jc w:val="center"/>
              <w:rPr>
                <w:rFonts w:ascii="Arial" w:hAnsi="Arial" w:cs="Arial"/>
                <w:b/>
                <w:sz w:val="20"/>
                <w:lang w:eastAsia="zh-CN"/>
              </w:rPr>
            </w:pPr>
            <w:r w:rsidRPr="00AE7D09">
              <w:rPr>
                <w:rFonts w:ascii="Arial" w:hAnsi="Arial" w:cs="Arial"/>
                <w:b/>
                <w:sz w:val="20"/>
                <w:lang w:eastAsia="zh-CN"/>
              </w:rPr>
              <w:t>Comentarios</w:t>
            </w:r>
          </w:p>
        </w:tc>
      </w:tr>
      <w:tr w:rsidR="00F2727F" w:rsidRPr="00831788" w14:paraId="7C4FCE6A" w14:textId="77777777" w:rsidTr="001865DF">
        <w:trPr>
          <w:trHeight w:val="64"/>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1D55B6BA" w14:textId="63A1B0AD" w:rsidR="00F2727F" w:rsidRPr="00AE7D09" w:rsidRDefault="00F2727F" w:rsidP="001865DF">
            <w:pPr>
              <w:spacing w:before="120" w:after="120"/>
              <w:rPr>
                <w:rFonts w:ascii="Arial" w:hAnsi="Arial" w:cs="Arial"/>
                <w:sz w:val="20"/>
                <w:lang w:eastAsia="zh-CN"/>
              </w:rPr>
            </w:pPr>
            <w:r w:rsidRPr="00AE7D09">
              <w:rPr>
                <w:rFonts w:ascii="Arial" w:hAnsi="Arial" w:cs="Arial"/>
                <w:b/>
                <w:caps/>
                <w:sz w:val="20"/>
                <w:u w:val="single"/>
                <w:lang w:eastAsia="zh-CN"/>
              </w:rPr>
              <w:t xml:space="preserve">Componente II: </w:t>
            </w:r>
            <w:r>
              <w:rPr>
                <w:rFonts w:ascii="Arial" w:hAnsi="Arial" w:cs="Arial"/>
                <w:b/>
                <w:caps/>
                <w:sz w:val="20"/>
                <w:u w:val="single"/>
                <w:lang w:eastAsia="zh-CN"/>
              </w:rPr>
              <w:t>Consolida</w:t>
            </w:r>
            <w:r w:rsidR="00486375">
              <w:rPr>
                <w:rFonts w:ascii="Arial" w:hAnsi="Arial" w:cs="Arial"/>
                <w:b/>
                <w:caps/>
                <w:sz w:val="20"/>
                <w:u w:val="single"/>
                <w:lang w:eastAsia="zh-CN"/>
              </w:rPr>
              <w:t>CIÓN</w:t>
            </w:r>
            <w:r>
              <w:rPr>
                <w:rFonts w:ascii="Arial" w:hAnsi="Arial" w:cs="Arial"/>
                <w:b/>
                <w:caps/>
                <w:sz w:val="20"/>
                <w:u w:val="single"/>
                <w:lang w:eastAsia="zh-CN"/>
              </w:rPr>
              <w:t xml:space="preserve"> </w:t>
            </w:r>
            <w:r w:rsidR="00486375">
              <w:rPr>
                <w:rFonts w:ascii="Arial" w:hAnsi="Arial" w:cs="Arial"/>
                <w:b/>
                <w:caps/>
                <w:sz w:val="20"/>
                <w:u w:val="single"/>
                <w:lang w:eastAsia="zh-CN"/>
              </w:rPr>
              <w:t>D</w:t>
            </w:r>
            <w:r>
              <w:rPr>
                <w:rFonts w:ascii="Arial" w:hAnsi="Arial" w:cs="Arial"/>
                <w:b/>
                <w:caps/>
                <w:sz w:val="20"/>
                <w:u w:val="single"/>
                <w:lang w:eastAsia="zh-CN"/>
              </w:rPr>
              <w:t>el marco macro-fiscal</w:t>
            </w:r>
          </w:p>
        </w:tc>
      </w:tr>
      <w:tr w:rsidR="00F2727F" w:rsidRPr="00831788" w14:paraId="75E29095" w14:textId="77777777" w:rsidTr="001865DF">
        <w:trPr>
          <w:trHeight w:val="64"/>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1CAEB857" w14:textId="77777777" w:rsidR="00F2727F" w:rsidRPr="00AE7D09" w:rsidRDefault="00F2727F" w:rsidP="00F2727F">
            <w:pPr>
              <w:numPr>
                <w:ilvl w:val="0"/>
                <w:numId w:val="34"/>
              </w:numPr>
              <w:spacing w:before="120" w:after="120"/>
              <w:rPr>
                <w:rFonts w:ascii="Arial" w:hAnsi="Arial"/>
                <w:b/>
                <w:sz w:val="20"/>
              </w:rPr>
            </w:pPr>
            <w:r>
              <w:rPr>
                <w:rFonts w:ascii="Arial" w:hAnsi="Arial"/>
                <w:b/>
                <w:sz w:val="20"/>
              </w:rPr>
              <w:t>Consolidar el marco de responsabilidad fiscal</w:t>
            </w:r>
          </w:p>
        </w:tc>
      </w:tr>
      <w:tr w:rsidR="00BF1395" w:rsidRPr="00831788" w14:paraId="48D36597" w14:textId="77777777" w:rsidTr="00BE5978">
        <w:trPr>
          <w:trHeight w:val="64"/>
        </w:trPr>
        <w:tc>
          <w:tcPr>
            <w:tcW w:w="5127" w:type="dxa"/>
            <w:tcBorders>
              <w:top w:val="single" w:sz="4" w:space="0" w:color="000000"/>
              <w:left w:val="single" w:sz="4" w:space="0" w:color="000000"/>
              <w:bottom w:val="single" w:sz="4" w:space="0" w:color="000000"/>
              <w:right w:val="single" w:sz="4" w:space="0" w:color="000000"/>
            </w:tcBorders>
            <w:vAlign w:val="center"/>
          </w:tcPr>
          <w:p w14:paraId="0FD1A010" w14:textId="488862FD" w:rsidR="00BF1395" w:rsidRPr="00625AB9" w:rsidRDefault="00BF1395" w:rsidP="00BF1395">
            <w:pPr>
              <w:spacing w:before="60" w:after="60"/>
              <w:jc w:val="both"/>
              <w:rPr>
                <w:rFonts w:ascii="Arial" w:hAnsi="Arial" w:cs="Arial"/>
                <w:sz w:val="18"/>
              </w:rPr>
            </w:pPr>
            <w:r w:rsidRPr="00625AB9">
              <w:rPr>
                <w:rFonts w:ascii="Arial" w:hAnsi="Arial" w:cs="Arial"/>
                <w:sz w:val="18"/>
              </w:rPr>
              <w:t xml:space="preserve">Tramo1: Reglamentación al funcionamiento del </w:t>
            </w:r>
            <w:r>
              <w:rPr>
                <w:rFonts w:ascii="Arial" w:hAnsi="Arial" w:cs="Arial"/>
                <w:sz w:val="18"/>
              </w:rPr>
              <w:t xml:space="preserve">CFA </w:t>
            </w:r>
            <w:r w:rsidRPr="00625AB9">
              <w:rPr>
                <w:rFonts w:ascii="Arial" w:hAnsi="Arial" w:cs="Arial"/>
                <w:sz w:val="18"/>
              </w:rPr>
              <w:t xml:space="preserve">del MH </w:t>
            </w:r>
            <w:r>
              <w:rPr>
                <w:rFonts w:ascii="Arial" w:hAnsi="Arial" w:cs="Arial"/>
                <w:sz w:val="18"/>
              </w:rPr>
              <w:t xml:space="preserve">publicada. </w:t>
            </w:r>
          </w:p>
        </w:tc>
        <w:tc>
          <w:tcPr>
            <w:tcW w:w="1439" w:type="dxa"/>
            <w:tcBorders>
              <w:top w:val="single" w:sz="4" w:space="0" w:color="000000"/>
              <w:left w:val="single" w:sz="4" w:space="0" w:color="000000"/>
              <w:bottom w:val="single" w:sz="4" w:space="0" w:color="000000"/>
              <w:right w:val="single" w:sz="4" w:space="0" w:color="000000"/>
            </w:tcBorders>
            <w:vAlign w:val="center"/>
          </w:tcPr>
          <w:p w14:paraId="77F64A12" w14:textId="44EA7838" w:rsidR="00BF1395" w:rsidRPr="00AE7D09" w:rsidRDefault="00BF1395" w:rsidP="00BF1395">
            <w:pPr>
              <w:spacing w:before="60" w:after="60"/>
              <w:jc w:val="center"/>
              <w:rPr>
                <w:rFonts w:ascii="Arial" w:hAnsi="Arial" w:cs="Arial"/>
                <w:sz w:val="18"/>
                <w:szCs w:val="18"/>
              </w:rPr>
            </w:pPr>
            <w:r>
              <w:rPr>
                <w:rFonts w:ascii="Arial" w:hAnsi="Arial" w:cs="Arial"/>
                <w:sz w:val="18"/>
                <w:szCs w:val="18"/>
              </w:rPr>
              <w:t>Reglamento</w:t>
            </w:r>
            <w:r w:rsidRPr="00AE7D09">
              <w:rPr>
                <w:rFonts w:ascii="Arial" w:hAnsi="Arial" w:cs="Arial"/>
                <w:sz w:val="18"/>
                <w:szCs w:val="18"/>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3E848096" w14:textId="2C2037A7"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7C45D1A1" w14:textId="6B03D177"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1D881735" w14:textId="0C87AD3B"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08EF20B4" w14:textId="4C0D7298"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58C641B3" w14:textId="61732184" w:rsidR="00BF1395" w:rsidRPr="007E388A" w:rsidRDefault="00BF1395" w:rsidP="00BF1395">
            <w:pPr>
              <w:spacing w:before="60" w:after="60"/>
              <w:rPr>
                <w:rFonts w:ascii="Arial" w:hAnsi="Arial" w:cs="Arial"/>
                <w:sz w:val="18"/>
                <w:szCs w:val="18"/>
              </w:rPr>
            </w:pPr>
            <w:r w:rsidRPr="00BE5978">
              <w:rPr>
                <w:rFonts w:ascii="Arial" w:hAnsi="Arial" w:cs="Arial"/>
                <w:sz w:val="18"/>
              </w:rPr>
              <w:t>CFA creado mediante Decreto No. 6498, para mejorar la transparencia y el análisis técnico de la aplicación de la regla fiscal y las proyecciones macro fiscales incluidas en el marco fiscal de mediano plazo (MFMP).</w:t>
            </w:r>
          </w:p>
        </w:tc>
      </w:tr>
      <w:tr w:rsidR="00BF1395" w:rsidRPr="00831788" w14:paraId="1017ED26"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70ED2B78" w14:textId="0F0B4E74" w:rsidR="00BF1395" w:rsidRPr="00625AB9" w:rsidRDefault="00BF1395" w:rsidP="00BF1395">
            <w:pPr>
              <w:spacing w:before="60" w:after="60"/>
              <w:rPr>
                <w:rFonts w:ascii="Arial" w:hAnsi="Arial" w:cs="Arial"/>
                <w:sz w:val="18"/>
              </w:rPr>
            </w:pPr>
            <w:r w:rsidRPr="00625AB9">
              <w:rPr>
                <w:rFonts w:ascii="Arial" w:hAnsi="Arial" w:cs="Arial"/>
                <w:sz w:val="18"/>
              </w:rPr>
              <w:t xml:space="preserve">Tramo 1: </w:t>
            </w:r>
            <w:r>
              <w:rPr>
                <w:rFonts w:ascii="Arial" w:hAnsi="Arial" w:cs="Arial"/>
                <w:sz w:val="18"/>
              </w:rPr>
              <w:t>Documento con propuesta de d</w:t>
            </w:r>
            <w:r w:rsidRPr="00625AB9">
              <w:rPr>
                <w:rFonts w:ascii="Arial" w:hAnsi="Arial" w:cs="Arial"/>
                <w:sz w:val="18"/>
              </w:rPr>
              <w:t xml:space="preserve">iseño normativo de un </w:t>
            </w:r>
            <w:r>
              <w:rPr>
                <w:rFonts w:ascii="Arial" w:hAnsi="Arial" w:cs="Arial"/>
                <w:sz w:val="18"/>
              </w:rPr>
              <w:t>FSE elaborado</w:t>
            </w:r>
            <w:r w:rsidRPr="00625AB9">
              <w:rPr>
                <w:rFonts w:ascii="Arial" w:hAnsi="Arial" w:cs="Arial"/>
                <w:sz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55A97DB9" w14:textId="3FCD78F4"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 xml:space="preserve"> </w:t>
            </w:r>
            <w:r>
              <w:rPr>
                <w:rFonts w:ascii="Arial" w:hAnsi="Arial" w:cs="Arial"/>
                <w:sz w:val="18"/>
                <w:szCs w:val="18"/>
              </w:rPr>
              <w:t>Documento</w:t>
            </w:r>
          </w:p>
        </w:tc>
        <w:tc>
          <w:tcPr>
            <w:tcW w:w="900" w:type="dxa"/>
            <w:tcBorders>
              <w:top w:val="single" w:sz="4" w:space="0" w:color="000000"/>
              <w:left w:val="single" w:sz="4" w:space="0" w:color="000000"/>
              <w:bottom w:val="single" w:sz="4" w:space="0" w:color="000000"/>
              <w:right w:val="single" w:sz="4" w:space="0" w:color="000000"/>
            </w:tcBorders>
            <w:vAlign w:val="center"/>
          </w:tcPr>
          <w:p w14:paraId="62490808" w14:textId="773A833E"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26C61557" w14:textId="1AC9C960"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182D7CCE" w14:textId="4A3F386C"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2419A847" w14:textId="76646B30"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0759838A" w14:textId="386EE7B4" w:rsidR="00BF1395" w:rsidRPr="007E388A" w:rsidRDefault="00BF1395" w:rsidP="00BF1395">
            <w:pPr>
              <w:spacing w:before="60" w:after="60"/>
              <w:jc w:val="center"/>
              <w:rPr>
                <w:rFonts w:ascii="Arial" w:hAnsi="Arial" w:cs="Arial"/>
                <w:sz w:val="18"/>
                <w:szCs w:val="18"/>
              </w:rPr>
            </w:pPr>
            <w:r w:rsidRPr="00BE5978">
              <w:rPr>
                <w:rFonts w:ascii="Arial" w:hAnsi="Arial" w:cs="Arial"/>
                <w:sz w:val="18"/>
                <w:szCs w:val="16"/>
              </w:rPr>
              <w:t>FSE alineado con buenas prácticas internacionales para reducir el efecto de la volatilidad de los ingresos en el gasto y favorecer la aplicación de políticas contra cíclicas.</w:t>
            </w:r>
          </w:p>
        </w:tc>
      </w:tr>
      <w:tr w:rsidR="00BF1395" w:rsidRPr="00831788" w14:paraId="7E9D1825"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092B0046" w14:textId="778D89C7" w:rsidR="00BF1395" w:rsidRPr="00625AB9" w:rsidRDefault="00BF1395" w:rsidP="00BF1395">
            <w:pPr>
              <w:spacing w:before="60" w:after="60"/>
              <w:rPr>
                <w:rFonts w:ascii="Arial" w:hAnsi="Arial" w:cs="Arial"/>
                <w:sz w:val="18"/>
              </w:rPr>
            </w:pPr>
            <w:r w:rsidRPr="00625AB9">
              <w:rPr>
                <w:rFonts w:ascii="Arial" w:hAnsi="Arial" w:cs="Arial"/>
                <w:sz w:val="18"/>
              </w:rPr>
              <w:t xml:space="preserve">Tramo 2: </w:t>
            </w:r>
            <w:r w:rsidRPr="00574790">
              <w:rPr>
                <w:rFonts w:ascii="Arial" w:hAnsi="Arial" w:cs="Arial"/>
                <w:sz w:val="18"/>
              </w:rPr>
              <w:t>MFMP en el PGN</w:t>
            </w:r>
            <w:r>
              <w:rPr>
                <w:rFonts w:ascii="Arial" w:hAnsi="Arial" w:cs="Arial"/>
                <w:sz w:val="18"/>
              </w:rPr>
              <w:t>,</w:t>
            </w:r>
            <w:r w:rsidRPr="00574790">
              <w:rPr>
                <w:rFonts w:ascii="Arial" w:hAnsi="Arial" w:cs="Arial"/>
                <w:sz w:val="18"/>
              </w:rPr>
              <w:t xml:space="preserve"> </w:t>
            </w:r>
            <w:r>
              <w:rPr>
                <w:rFonts w:ascii="Arial" w:hAnsi="Arial" w:cs="Arial"/>
                <w:sz w:val="18"/>
              </w:rPr>
              <w:t>formulado.</w:t>
            </w:r>
          </w:p>
        </w:tc>
        <w:tc>
          <w:tcPr>
            <w:tcW w:w="1439" w:type="dxa"/>
            <w:tcBorders>
              <w:top w:val="single" w:sz="4" w:space="0" w:color="000000"/>
              <w:left w:val="single" w:sz="4" w:space="0" w:color="000000"/>
              <w:bottom w:val="single" w:sz="4" w:space="0" w:color="000000"/>
              <w:right w:val="single" w:sz="4" w:space="0" w:color="000000"/>
            </w:tcBorders>
            <w:vAlign w:val="center"/>
          </w:tcPr>
          <w:p w14:paraId="51B6401D" w14:textId="0BEB7C60" w:rsidR="00BF1395" w:rsidRPr="00AE7D09" w:rsidRDefault="00BF1395" w:rsidP="00BF1395">
            <w:pPr>
              <w:spacing w:before="60" w:after="60"/>
              <w:jc w:val="center"/>
              <w:rPr>
                <w:rFonts w:ascii="Arial" w:hAnsi="Arial" w:cs="Arial"/>
                <w:sz w:val="18"/>
                <w:szCs w:val="18"/>
              </w:rPr>
            </w:pPr>
            <w:r w:rsidRPr="00E72B44">
              <w:rPr>
                <w:rFonts w:ascii="Arial" w:hAnsi="Arial" w:cs="Arial"/>
                <w:sz w:val="18"/>
                <w:szCs w:val="18"/>
              </w:rPr>
              <w:t xml:space="preserve">Ley </w:t>
            </w:r>
          </w:p>
        </w:tc>
        <w:tc>
          <w:tcPr>
            <w:tcW w:w="900" w:type="dxa"/>
            <w:tcBorders>
              <w:top w:val="single" w:sz="4" w:space="0" w:color="000000"/>
              <w:left w:val="single" w:sz="4" w:space="0" w:color="000000"/>
              <w:bottom w:val="single" w:sz="4" w:space="0" w:color="000000"/>
              <w:right w:val="single" w:sz="4" w:space="0" w:color="000000"/>
            </w:tcBorders>
            <w:vAlign w:val="center"/>
          </w:tcPr>
          <w:p w14:paraId="57C68BB3" w14:textId="4BF11F52"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76EA32D5" w14:textId="7C4B747D"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11AD094C" w14:textId="75C0C83B"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364A5C16" w14:textId="7FCE8421"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5DBB89AA" w14:textId="74651D3D" w:rsidR="00BF1395" w:rsidRPr="007E388A" w:rsidRDefault="00BF1395" w:rsidP="00BF1395">
            <w:pPr>
              <w:spacing w:before="60" w:after="60"/>
              <w:jc w:val="center"/>
              <w:rPr>
                <w:rFonts w:ascii="Arial" w:hAnsi="Arial" w:cs="Arial"/>
                <w:sz w:val="18"/>
                <w:szCs w:val="18"/>
              </w:rPr>
            </w:pPr>
            <w:r w:rsidRPr="00BE5978">
              <w:rPr>
                <w:rFonts w:ascii="Arial" w:hAnsi="Arial" w:cs="Arial"/>
                <w:sz w:val="18"/>
                <w:szCs w:val="18"/>
              </w:rPr>
              <w:t xml:space="preserve">MFMP </w:t>
            </w:r>
            <w:r w:rsidRPr="00BE5978">
              <w:rPr>
                <w:rFonts w:ascii="Arial" w:hAnsi="Arial" w:cs="Arial"/>
                <w:sz w:val="18"/>
              </w:rPr>
              <w:t>con mayor alineamiento con buenas prácticas internacionales y recomendaciones del CFA.</w:t>
            </w:r>
          </w:p>
        </w:tc>
      </w:tr>
      <w:tr w:rsidR="00BF1395" w:rsidRPr="00831788" w14:paraId="5C45F2B4"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00F17E22" w14:textId="33D9660A" w:rsidR="00BF1395" w:rsidRPr="00625AB9" w:rsidRDefault="00BF1395" w:rsidP="00BF1395">
            <w:pPr>
              <w:spacing w:before="60" w:after="60"/>
              <w:rPr>
                <w:rFonts w:ascii="Arial" w:hAnsi="Arial" w:cs="Arial"/>
                <w:sz w:val="18"/>
              </w:rPr>
            </w:pPr>
            <w:r w:rsidRPr="00625AB9">
              <w:rPr>
                <w:rFonts w:ascii="Arial" w:hAnsi="Arial" w:cs="Arial"/>
                <w:sz w:val="18"/>
              </w:rPr>
              <w:t xml:space="preserve">Tramo 2: Proyecto de ley que contemple, entre otros, la creación de un </w:t>
            </w:r>
            <w:r>
              <w:rPr>
                <w:rFonts w:ascii="Arial" w:hAnsi="Arial" w:cs="Arial"/>
                <w:sz w:val="18"/>
              </w:rPr>
              <w:t>FSE, presentado.</w:t>
            </w:r>
            <w:r w:rsidRPr="00625AB9">
              <w:rPr>
                <w:rFonts w:ascii="Arial" w:hAnsi="Arial" w:cs="Arial"/>
                <w:sz w:val="18"/>
              </w:rPr>
              <w:t xml:space="preserve"> </w:t>
            </w:r>
          </w:p>
        </w:tc>
        <w:tc>
          <w:tcPr>
            <w:tcW w:w="1439" w:type="dxa"/>
            <w:tcBorders>
              <w:top w:val="single" w:sz="4" w:space="0" w:color="000000"/>
              <w:left w:val="single" w:sz="4" w:space="0" w:color="000000"/>
              <w:bottom w:val="single" w:sz="4" w:space="0" w:color="000000"/>
              <w:right w:val="single" w:sz="4" w:space="0" w:color="000000"/>
            </w:tcBorders>
            <w:vAlign w:val="center"/>
          </w:tcPr>
          <w:p w14:paraId="4B80A216" w14:textId="362C6992" w:rsidR="00BF1395" w:rsidRPr="00AE7D09" w:rsidRDefault="00BF1395" w:rsidP="00BF1395">
            <w:pPr>
              <w:spacing w:before="60" w:after="60"/>
              <w:jc w:val="center"/>
              <w:rPr>
                <w:rFonts w:ascii="Arial" w:hAnsi="Arial" w:cs="Arial"/>
                <w:sz w:val="18"/>
                <w:szCs w:val="18"/>
              </w:rPr>
            </w:pPr>
            <w:r>
              <w:rPr>
                <w:rFonts w:ascii="Arial" w:hAnsi="Arial" w:cs="Arial"/>
                <w:sz w:val="18"/>
                <w:szCs w:val="18"/>
              </w:rPr>
              <w:t>Proyecto</w:t>
            </w:r>
            <w:r w:rsidR="00486375">
              <w:rPr>
                <w:rFonts w:ascii="Arial" w:hAnsi="Arial" w:cs="Arial"/>
                <w:sz w:val="18"/>
                <w:szCs w:val="18"/>
              </w:rPr>
              <w:t xml:space="preserve"> de ley</w:t>
            </w:r>
            <w:r w:rsidRPr="00AE7D09">
              <w:rPr>
                <w:rFonts w:ascii="Arial" w:hAnsi="Arial" w:cs="Arial"/>
                <w:sz w:val="18"/>
                <w:szCs w:val="18"/>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20D707A1" w14:textId="1A6A4C02"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744C5E10" w14:textId="4A4512B5"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201</w:t>
            </w:r>
            <w:r>
              <w:rPr>
                <w:rFonts w:ascii="Arial" w:hAnsi="Arial" w:cs="Arial"/>
                <w:sz w:val="18"/>
                <w:szCs w:val="18"/>
              </w:rPr>
              <w:t>8</w:t>
            </w:r>
          </w:p>
        </w:tc>
        <w:tc>
          <w:tcPr>
            <w:tcW w:w="900" w:type="dxa"/>
            <w:tcBorders>
              <w:top w:val="single" w:sz="4" w:space="0" w:color="000000"/>
              <w:left w:val="single" w:sz="4" w:space="0" w:color="000000"/>
              <w:bottom w:val="single" w:sz="4" w:space="0" w:color="000000"/>
              <w:right w:val="single" w:sz="4" w:space="0" w:color="000000"/>
            </w:tcBorders>
            <w:vAlign w:val="center"/>
          </w:tcPr>
          <w:p w14:paraId="30C17CF5" w14:textId="56EB7D4C"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09E38146" w14:textId="2332BAC2"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77E30BBB" w14:textId="17443EDB" w:rsidR="00BF1395" w:rsidRPr="007E388A" w:rsidRDefault="00BF1395" w:rsidP="00BF1395">
            <w:pPr>
              <w:spacing w:before="60" w:after="60"/>
              <w:jc w:val="center"/>
              <w:rPr>
                <w:rFonts w:ascii="Arial" w:hAnsi="Arial" w:cs="Arial"/>
                <w:sz w:val="18"/>
                <w:szCs w:val="18"/>
              </w:rPr>
            </w:pPr>
            <w:r w:rsidRPr="00BE5978">
              <w:rPr>
                <w:rFonts w:ascii="Arial" w:hAnsi="Arial" w:cs="Arial"/>
                <w:sz w:val="18"/>
              </w:rPr>
              <w:t xml:space="preserve">FSE alineado con buenas prácticas internacionales para reducir el efecto de la volatilidad de los ingresos </w:t>
            </w:r>
            <w:r w:rsidRPr="00BE5978">
              <w:rPr>
                <w:rFonts w:ascii="Arial" w:hAnsi="Arial" w:cs="Arial"/>
                <w:sz w:val="18"/>
              </w:rPr>
              <w:lastRenderedPageBreak/>
              <w:t>en el gasto y favorecer la aplicación de políticas contra cíclicas.</w:t>
            </w:r>
          </w:p>
        </w:tc>
      </w:tr>
      <w:tr w:rsidR="00F2727F" w:rsidRPr="00831788" w14:paraId="4E4D651D" w14:textId="77777777" w:rsidTr="001865DF">
        <w:trPr>
          <w:trHeight w:val="242"/>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5DFD0248" w14:textId="77777777" w:rsidR="00F2727F" w:rsidRPr="00B02FE4" w:rsidRDefault="00F2727F" w:rsidP="006930D9">
            <w:pPr>
              <w:pStyle w:val="ListParagraph"/>
              <w:numPr>
                <w:ilvl w:val="0"/>
                <w:numId w:val="34"/>
              </w:numPr>
              <w:spacing w:before="120" w:after="120" w:line="276" w:lineRule="auto"/>
              <w:rPr>
                <w:rFonts w:ascii="Arial" w:hAnsi="Arial" w:cs="Arial"/>
                <w:sz w:val="18"/>
                <w:szCs w:val="18"/>
              </w:rPr>
            </w:pPr>
            <w:r>
              <w:rPr>
                <w:rFonts w:ascii="Arial" w:hAnsi="Arial"/>
                <w:b/>
                <w:sz w:val="20"/>
              </w:rPr>
              <w:lastRenderedPageBreak/>
              <w:t>Modernizar la administración de la deuda pública</w:t>
            </w:r>
          </w:p>
        </w:tc>
      </w:tr>
      <w:tr w:rsidR="00BF1395" w:rsidRPr="00831788" w14:paraId="170F782A"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0A2CE507" w14:textId="60DADB02"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 xml:space="preserve">Tramo 1: Proyecto de Ley que </w:t>
            </w:r>
            <w:r w:rsidRPr="00625AB9">
              <w:rPr>
                <w:rFonts w:ascii="Arial" w:hAnsi="Arial" w:cs="Arial"/>
                <w:color w:val="000000" w:themeColor="text1"/>
                <w:sz w:val="18"/>
                <w:szCs w:val="18"/>
              </w:rPr>
              <w:t>permita una administración más eficiente de la deuda pública</w:t>
            </w:r>
            <w:r>
              <w:rPr>
                <w:rFonts w:ascii="Arial" w:hAnsi="Arial" w:cs="Arial"/>
                <w:color w:val="000000" w:themeColor="text1"/>
                <w:sz w:val="18"/>
                <w:szCs w:val="18"/>
              </w:rPr>
              <w:t>, presentado.</w:t>
            </w:r>
          </w:p>
        </w:tc>
        <w:tc>
          <w:tcPr>
            <w:tcW w:w="1439" w:type="dxa"/>
            <w:tcBorders>
              <w:top w:val="single" w:sz="4" w:space="0" w:color="000000"/>
              <w:left w:val="single" w:sz="4" w:space="0" w:color="000000"/>
              <w:bottom w:val="single" w:sz="4" w:space="0" w:color="000000"/>
              <w:right w:val="single" w:sz="4" w:space="0" w:color="000000"/>
            </w:tcBorders>
            <w:vAlign w:val="center"/>
          </w:tcPr>
          <w:p w14:paraId="775AE8B3" w14:textId="66F58EA4" w:rsidR="00BF1395" w:rsidRPr="00AE7D09" w:rsidRDefault="00BF1395" w:rsidP="00BF1395">
            <w:pPr>
              <w:spacing w:before="60" w:after="60"/>
              <w:jc w:val="center"/>
              <w:rPr>
                <w:rFonts w:ascii="Arial" w:hAnsi="Arial" w:cs="Arial"/>
                <w:sz w:val="18"/>
                <w:szCs w:val="18"/>
              </w:rPr>
            </w:pPr>
            <w:r>
              <w:rPr>
                <w:rFonts w:ascii="Arial" w:hAnsi="Arial" w:cs="Arial"/>
                <w:sz w:val="18"/>
                <w:szCs w:val="18"/>
              </w:rPr>
              <w:t>Proyecto</w:t>
            </w:r>
            <w:r w:rsidR="00486375">
              <w:rPr>
                <w:rFonts w:ascii="Arial" w:hAnsi="Arial" w:cs="Arial"/>
                <w:sz w:val="18"/>
                <w:szCs w:val="18"/>
              </w:rPr>
              <w:t xml:space="preserve"> de ley</w:t>
            </w:r>
          </w:p>
        </w:tc>
        <w:tc>
          <w:tcPr>
            <w:tcW w:w="900" w:type="dxa"/>
            <w:tcBorders>
              <w:top w:val="single" w:sz="4" w:space="0" w:color="000000"/>
              <w:left w:val="single" w:sz="4" w:space="0" w:color="000000"/>
              <w:bottom w:val="single" w:sz="4" w:space="0" w:color="000000"/>
              <w:right w:val="single" w:sz="4" w:space="0" w:color="000000"/>
            </w:tcBorders>
            <w:vAlign w:val="center"/>
          </w:tcPr>
          <w:p w14:paraId="759E0CD7" w14:textId="2BB92356"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4B5F9103" w14:textId="62A8BDF5"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201</w:t>
            </w:r>
            <w:r>
              <w:rPr>
                <w:rFonts w:ascii="Arial" w:hAnsi="Arial" w:cs="Arial"/>
                <w:sz w:val="18"/>
                <w:szCs w:val="18"/>
              </w:rPr>
              <w:t>8</w:t>
            </w:r>
          </w:p>
        </w:tc>
        <w:tc>
          <w:tcPr>
            <w:tcW w:w="900" w:type="dxa"/>
            <w:tcBorders>
              <w:top w:val="single" w:sz="4" w:space="0" w:color="000000"/>
              <w:left w:val="single" w:sz="4" w:space="0" w:color="000000"/>
              <w:bottom w:val="single" w:sz="4" w:space="0" w:color="000000"/>
              <w:right w:val="single" w:sz="4" w:space="0" w:color="000000"/>
            </w:tcBorders>
            <w:vAlign w:val="center"/>
          </w:tcPr>
          <w:p w14:paraId="2C4AF223" w14:textId="7E8C57D0"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5237FE95" w14:textId="6911B168"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492E7A1D" w14:textId="3171B31B" w:rsidR="00BF1395" w:rsidRPr="007E388A" w:rsidRDefault="00BF1395" w:rsidP="00BF1395">
            <w:pPr>
              <w:spacing w:before="60" w:after="60"/>
              <w:jc w:val="center"/>
              <w:rPr>
                <w:rFonts w:ascii="Arial" w:hAnsi="Arial" w:cs="Arial"/>
                <w:sz w:val="18"/>
                <w:szCs w:val="18"/>
              </w:rPr>
            </w:pPr>
            <w:r w:rsidRPr="00BE5978">
              <w:rPr>
                <w:rFonts w:ascii="Arial" w:hAnsi="Arial" w:cs="Arial"/>
                <w:color w:val="000000" w:themeColor="text1"/>
                <w:sz w:val="18"/>
                <w:szCs w:val="18"/>
              </w:rPr>
              <w:t>Administración de la deuda pública alineada con buenas prácticas internacionales.</w:t>
            </w:r>
          </w:p>
        </w:tc>
      </w:tr>
      <w:tr w:rsidR="00BF1395" w:rsidRPr="00831788" w14:paraId="28B7B3D4"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47819DA0" w14:textId="18E1ED68"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 xml:space="preserve">Tramo 2: Ley </w:t>
            </w:r>
            <w:r w:rsidRPr="00625AB9">
              <w:rPr>
                <w:rFonts w:ascii="Arial" w:hAnsi="Arial" w:cs="Arial"/>
                <w:color w:val="000000" w:themeColor="text1"/>
                <w:sz w:val="18"/>
                <w:szCs w:val="18"/>
              </w:rPr>
              <w:t xml:space="preserve">que permita una administración más eficiente de la deuda pública, </w:t>
            </w:r>
            <w:r>
              <w:rPr>
                <w:rFonts w:ascii="Arial" w:hAnsi="Arial" w:cs="Arial"/>
                <w:color w:val="000000" w:themeColor="text1"/>
                <w:sz w:val="18"/>
                <w:szCs w:val="18"/>
              </w:rPr>
              <w:t>promulgada y publicada.</w:t>
            </w:r>
          </w:p>
        </w:tc>
        <w:tc>
          <w:tcPr>
            <w:tcW w:w="1439" w:type="dxa"/>
            <w:tcBorders>
              <w:top w:val="single" w:sz="4" w:space="0" w:color="000000"/>
              <w:left w:val="single" w:sz="4" w:space="0" w:color="000000"/>
              <w:bottom w:val="single" w:sz="4" w:space="0" w:color="000000"/>
              <w:right w:val="single" w:sz="4" w:space="0" w:color="000000"/>
            </w:tcBorders>
            <w:vAlign w:val="center"/>
          </w:tcPr>
          <w:p w14:paraId="5288F012" w14:textId="2E5D778A"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 xml:space="preserve">Ley </w:t>
            </w:r>
          </w:p>
        </w:tc>
        <w:tc>
          <w:tcPr>
            <w:tcW w:w="900" w:type="dxa"/>
            <w:tcBorders>
              <w:top w:val="single" w:sz="4" w:space="0" w:color="000000"/>
              <w:left w:val="single" w:sz="4" w:space="0" w:color="000000"/>
              <w:bottom w:val="single" w:sz="4" w:space="0" w:color="000000"/>
              <w:right w:val="single" w:sz="4" w:space="0" w:color="000000"/>
            </w:tcBorders>
            <w:vAlign w:val="center"/>
          </w:tcPr>
          <w:p w14:paraId="6A6EC06C" w14:textId="2071F4B6"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35D8DFED" w14:textId="4EC5B69E"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5C136821" w14:textId="11FBB6B3"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6F8E9C71" w14:textId="009CA8B4"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4D148ED1" w14:textId="27A4A943" w:rsidR="00BF1395" w:rsidRPr="007E388A" w:rsidRDefault="00BF1395" w:rsidP="00BF1395">
            <w:pPr>
              <w:spacing w:before="60" w:after="60"/>
              <w:jc w:val="center"/>
              <w:rPr>
                <w:rFonts w:ascii="Arial" w:hAnsi="Arial" w:cs="Arial"/>
                <w:sz w:val="18"/>
                <w:szCs w:val="18"/>
              </w:rPr>
            </w:pPr>
            <w:r w:rsidRPr="00BE5978">
              <w:rPr>
                <w:rFonts w:ascii="Arial" w:hAnsi="Arial" w:cs="Arial"/>
                <w:color w:val="000000" w:themeColor="text1"/>
                <w:sz w:val="18"/>
                <w:szCs w:val="18"/>
              </w:rPr>
              <w:t>Administración de la deuda pública alineada con buenas prácticas internacionales.</w:t>
            </w:r>
          </w:p>
        </w:tc>
      </w:tr>
      <w:tr w:rsidR="00F2727F" w:rsidRPr="00831788" w14:paraId="3E3C741A" w14:textId="77777777" w:rsidTr="001865DF">
        <w:trPr>
          <w:trHeight w:val="242"/>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2A7AA5EE" w14:textId="77777777" w:rsidR="00F2727F" w:rsidRPr="00AE7D09" w:rsidRDefault="00F2727F" w:rsidP="001865DF">
            <w:pPr>
              <w:spacing w:before="120" w:after="120"/>
              <w:rPr>
                <w:rFonts w:ascii="Arial" w:hAnsi="Arial"/>
                <w:sz w:val="20"/>
              </w:rPr>
            </w:pPr>
            <w:r w:rsidRPr="00AE7D09">
              <w:rPr>
                <w:rFonts w:ascii="Arial" w:hAnsi="Arial"/>
                <w:b/>
                <w:caps/>
                <w:sz w:val="20"/>
                <w:u w:val="single"/>
              </w:rPr>
              <w:t>Componente III:</w:t>
            </w:r>
            <w:r w:rsidRPr="00AE7D09">
              <w:t xml:space="preserve"> </w:t>
            </w:r>
            <w:r>
              <w:rPr>
                <w:rFonts w:ascii="Arial" w:hAnsi="Arial"/>
                <w:b/>
                <w:caps/>
                <w:sz w:val="20"/>
                <w:u w:val="single"/>
              </w:rPr>
              <w:t>Fortalecer la política y la gestión tributaria</w:t>
            </w:r>
          </w:p>
        </w:tc>
      </w:tr>
      <w:tr w:rsidR="00F2727F" w:rsidRPr="00A66C75" w14:paraId="76F2E114" w14:textId="77777777" w:rsidTr="001865DF">
        <w:trPr>
          <w:trHeight w:val="242"/>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303EDEB7" w14:textId="77777777" w:rsidR="00F2727F" w:rsidRPr="00AE7D09" w:rsidRDefault="00F2727F" w:rsidP="00F2727F">
            <w:pPr>
              <w:numPr>
                <w:ilvl w:val="0"/>
                <w:numId w:val="35"/>
              </w:numPr>
              <w:spacing w:before="120" w:after="120"/>
              <w:ind w:left="432"/>
              <w:rPr>
                <w:rFonts w:ascii="Arial" w:hAnsi="Arial"/>
                <w:b/>
                <w:sz w:val="20"/>
              </w:rPr>
            </w:pPr>
            <w:r>
              <w:rPr>
                <w:rFonts w:ascii="Arial" w:hAnsi="Arial"/>
                <w:b/>
                <w:sz w:val="20"/>
              </w:rPr>
              <w:t>Modernizar el sistema tributario</w:t>
            </w:r>
          </w:p>
        </w:tc>
      </w:tr>
      <w:tr w:rsidR="00BE7361" w:rsidRPr="00831788" w14:paraId="5E9E6FD8"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23489968" w14:textId="5F95E656" w:rsidR="00BE7361" w:rsidRPr="00625AB9" w:rsidRDefault="00BE7361" w:rsidP="00BE7361">
            <w:pPr>
              <w:spacing w:before="60" w:after="60"/>
              <w:rPr>
                <w:rFonts w:ascii="Arial" w:hAnsi="Arial" w:cs="Arial"/>
                <w:sz w:val="18"/>
                <w:szCs w:val="18"/>
              </w:rPr>
            </w:pPr>
            <w:r w:rsidRPr="00625AB9">
              <w:rPr>
                <w:rFonts w:ascii="Arial" w:hAnsi="Arial" w:cs="Arial"/>
                <w:sz w:val="18"/>
                <w:szCs w:val="18"/>
              </w:rPr>
              <w:t xml:space="preserve">Tramo 1: </w:t>
            </w:r>
            <w:r>
              <w:rPr>
                <w:rFonts w:ascii="Arial" w:hAnsi="Arial" w:cs="Arial"/>
                <w:sz w:val="18"/>
                <w:szCs w:val="18"/>
              </w:rPr>
              <w:t xml:space="preserve">Resolución que crea la </w:t>
            </w:r>
            <w:r w:rsidRPr="00625AB9">
              <w:rPr>
                <w:rFonts w:ascii="Arial" w:hAnsi="Arial" w:cs="Arial"/>
                <w:sz w:val="18"/>
                <w:szCs w:val="18"/>
              </w:rPr>
              <w:t xml:space="preserve">Comisión Técnica Económica Tributaria </w:t>
            </w:r>
            <w:r>
              <w:rPr>
                <w:rFonts w:ascii="Arial" w:hAnsi="Arial" w:cs="Arial"/>
                <w:sz w:val="18"/>
                <w:szCs w:val="18"/>
              </w:rPr>
              <w:t xml:space="preserve">(CTET), emitida. </w:t>
            </w:r>
          </w:p>
        </w:tc>
        <w:tc>
          <w:tcPr>
            <w:tcW w:w="1439" w:type="dxa"/>
            <w:tcBorders>
              <w:top w:val="single" w:sz="4" w:space="0" w:color="000000"/>
              <w:left w:val="single" w:sz="4" w:space="0" w:color="000000"/>
              <w:bottom w:val="single" w:sz="4" w:space="0" w:color="000000"/>
              <w:right w:val="single" w:sz="4" w:space="0" w:color="000000"/>
            </w:tcBorders>
            <w:vAlign w:val="center"/>
          </w:tcPr>
          <w:p w14:paraId="3331E78D" w14:textId="14B24AEF" w:rsidR="00BE7361" w:rsidRPr="00AE7D09" w:rsidRDefault="00BE7361" w:rsidP="00BE7361">
            <w:pPr>
              <w:spacing w:before="60" w:after="60"/>
              <w:jc w:val="center"/>
              <w:rPr>
                <w:rFonts w:ascii="Arial" w:hAnsi="Arial" w:cs="Arial"/>
                <w:sz w:val="18"/>
                <w:szCs w:val="18"/>
              </w:rPr>
            </w:pPr>
            <w:r>
              <w:rPr>
                <w:rFonts w:ascii="Arial" w:hAnsi="Arial" w:cs="Arial"/>
                <w:sz w:val="18"/>
                <w:szCs w:val="18"/>
              </w:rPr>
              <w:t>Resolución</w:t>
            </w:r>
          </w:p>
        </w:tc>
        <w:tc>
          <w:tcPr>
            <w:tcW w:w="900" w:type="dxa"/>
            <w:tcBorders>
              <w:top w:val="single" w:sz="4" w:space="0" w:color="000000"/>
              <w:left w:val="single" w:sz="4" w:space="0" w:color="000000"/>
              <w:bottom w:val="single" w:sz="4" w:space="0" w:color="000000"/>
              <w:right w:val="single" w:sz="4" w:space="0" w:color="000000"/>
            </w:tcBorders>
            <w:vAlign w:val="center"/>
          </w:tcPr>
          <w:p w14:paraId="1C8CCB9D" w14:textId="2865108B" w:rsidR="00BE7361" w:rsidRPr="00AE7D09" w:rsidRDefault="00BE7361" w:rsidP="00BE7361">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606C1322" w14:textId="48387EB6" w:rsidR="00BE7361" w:rsidRPr="00AE7D09" w:rsidRDefault="00BE7361" w:rsidP="00BE7361">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2D26FC09" w14:textId="3A61DA45" w:rsidR="00BE7361" w:rsidRPr="00AE7D09" w:rsidRDefault="00BE7361" w:rsidP="00BE7361">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4B9FA256" w14:textId="56FF4DD9" w:rsidR="00BE7361" w:rsidRPr="00AE7D09" w:rsidRDefault="00BE7361" w:rsidP="00BE7361">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46239881" w14:textId="7B04756D" w:rsidR="00BE7361" w:rsidRPr="007E388A" w:rsidRDefault="00BE7361" w:rsidP="00BE7361">
            <w:pPr>
              <w:spacing w:before="60" w:after="60"/>
              <w:jc w:val="center"/>
              <w:rPr>
                <w:rFonts w:ascii="Arial" w:hAnsi="Arial" w:cs="Arial"/>
                <w:sz w:val="18"/>
                <w:szCs w:val="18"/>
              </w:rPr>
            </w:pPr>
            <w:r w:rsidRPr="00D92A3D">
              <w:rPr>
                <w:rFonts w:ascii="Arial" w:hAnsi="Arial" w:cs="Arial"/>
                <w:sz w:val="18"/>
                <w:szCs w:val="18"/>
              </w:rPr>
              <w:t>CTET que defina lineamientos para una propuesta de modernización y simplificación del sistema tributario nacional</w:t>
            </w:r>
            <w:r>
              <w:rPr>
                <w:rFonts w:ascii="Arial" w:hAnsi="Arial" w:cs="Arial"/>
                <w:sz w:val="18"/>
                <w:szCs w:val="18"/>
              </w:rPr>
              <w:t>.</w:t>
            </w:r>
            <w:r w:rsidRPr="00D92A3D">
              <w:rPr>
                <w:rFonts w:ascii="Arial" w:hAnsi="Arial" w:cs="Arial"/>
                <w:sz w:val="18"/>
                <w:szCs w:val="18"/>
              </w:rPr>
              <w:t xml:space="preserve"> </w:t>
            </w:r>
          </w:p>
        </w:tc>
      </w:tr>
      <w:tr w:rsidR="00BE7361" w:rsidRPr="00831788" w14:paraId="7B9101DE"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7F358948" w14:textId="19F75F1B" w:rsidR="00BE7361" w:rsidRPr="00625AB9" w:rsidRDefault="00BE7361" w:rsidP="00BE7361">
            <w:pPr>
              <w:spacing w:before="60" w:after="60"/>
              <w:rPr>
                <w:rFonts w:ascii="Arial" w:hAnsi="Arial" w:cs="Arial"/>
                <w:sz w:val="18"/>
                <w:szCs w:val="18"/>
              </w:rPr>
            </w:pPr>
            <w:r w:rsidRPr="00625AB9">
              <w:rPr>
                <w:rFonts w:ascii="Arial" w:hAnsi="Arial" w:cs="Arial"/>
                <w:sz w:val="18"/>
                <w:szCs w:val="18"/>
              </w:rPr>
              <w:t xml:space="preserve">Tramo 2: </w:t>
            </w:r>
            <w:r>
              <w:rPr>
                <w:rFonts w:ascii="Arial" w:hAnsi="Arial" w:cs="Arial"/>
                <w:sz w:val="18"/>
                <w:szCs w:val="18"/>
              </w:rPr>
              <w:t>Proyecto de l</w:t>
            </w:r>
            <w:r w:rsidRPr="00625AB9">
              <w:rPr>
                <w:rFonts w:ascii="Arial" w:hAnsi="Arial" w:cs="Arial"/>
                <w:color w:val="000000" w:themeColor="text1"/>
                <w:sz w:val="18"/>
                <w:szCs w:val="18"/>
              </w:rPr>
              <w:t xml:space="preserve">ey </w:t>
            </w:r>
            <w:r w:rsidRPr="00625AB9">
              <w:rPr>
                <w:rFonts w:ascii="Arial" w:hAnsi="Arial" w:cs="Arial"/>
                <w:color w:val="000000" w:themeColor="text1"/>
                <w:sz w:val="18"/>
                <w:szCs w:val="18"/>
                <w:lang w:eastAsia="es-PY"/>
              </w:rPr>
              <w:t>de modernización y simplificación del sistema tributario nacional</w:t>
            </w:r>
            <w:r>
              <w:rPr>
                <w:rFonts w:ascii="Arial" w:hAnsi="Arial" w:cs="Arial"/>
                <w:color w:val="000000" w:themeColor="text1"/>
                <w:sz w:val="18"/>
                <w:szCs w:val="18"/>
                <w:lang w:eastAsia="es-PY"/>
              </w:rPr>
              <w:t xml:space="preserve">, presentado al Congreso. </w:t>
            </w:r>
            <w:r w:rsidRPr="00625AB9">
              <w:rPr>
                <w:rFonts w:ascii="Arial" w:hAnsi="Arial" w:cs="Arial"/>
                <w:color w:val="000000" w:themeColor="text1"/>
                <w:sz w:val="18"/>
                <w:szCs w:val="18"/>
                <w:lang w:eastAsia="es-PY"/>
              </w:rPr>
              <w:t xml:space="preserve"> </w:t>
            </w:r>
          </w:p>
        </w:tc>
        <w:tc>
          <w:tcPr>
            <w:tcW w:w="1439" w:type="dxa"/>
            <w:tcBorders>
              <w:top w:val="single" w:sz="4" w:space="0" w:color="000000"/>
              <w:left w:val="single" w:sz="4" w:space="0" w:color="000000"/>
              <w:bottom w:val="single" w:sz="4" w:space="0" w:color="000000"/>
              <w:right w:val="single" w:sz="4" w:space="0" w:color="000000"/>
            </w:tcBorders>
            <w:vAlign w:val="center"/>
          </w:tcPr>
          <w:p w14:paraId="43E08ADD" w14:textId="42085DA2" w:rsidR="00BE7361" w:rsidRPr="00AE7D09" w:rsidRDefault="00BE7361" w:rsidP="00BE7361">
            <w:pPr>
              <w:spacing w:before="60" w:after="60"/>
              <w:jc w:val="center"/>
              <w:rPr>
                <w:rFonts w:ascii="Arial" w:hAnsi="Arial" w:cs="Arial"/>
                <w:sz w:val="18"/>
                <w:szCs w:val="18"/>
              </w:rPr>
            </w:pPr>
            <w:r>
              <w:rPr>
                <w:rFonts w:ascii="Arial" w:hAnsi="Arial" w:cs="Arial"/>
                <w:sz w:val="18"/>
                <w:szCs w:val="18"/>
              </w:rPr>
              <w:t>Proyecto</w:t>
            </w:r>
          </w:p>
        </w:tc>
        <w:tc>
          <w:tcPr>
            <w:tcW w:w="900" w:type="dxa"/>
            <w:tcBorders>
              <w:top w:val="single" w:sz="4" w:space="0" w:color="000000"/>
              <w:left w:val="single" w:sz="4" w:space="0" w:color="000000"/>
              <w:bottom w:val="single" w:sz="4" w:space="0" w:color="000000"/>
              <w:right w:val="single" w:sz="4" w:space="0" w:color="000000"/>
            </w:tcBorders>
            <w:vAlign w:val="center"/>
          </w:tcPr>
          <w:p w14:paraId="183C15EE" w14:textId="07806340" w:rsidR="00BE7361" w:rsidRPr="00AE7D09" w:rsidRDefault="00BE7361" w:rsidP="00BE7361">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5422168A" w14:textId="4DA63146" w:rsidR="00BE7361" w:rsidRPr="00AE7D09" w:rsidRDefault="00BE7361" w:rsidP="00BE7361">
            <w:pPr>
              <w:spacing w:before="60" w:after="60"/>
              <w:jc w:val="center"/>
              <w:rPr>
                <w:rFonts w:ascii="Arial" w:hAnsi="Arial" w:cs="Arial"/>
                <w:sz w:val="18"/>
                <w:szCs w:val="18"/>
              </w:rPr>
            </w:pPr>
            <w:r w:rsidRPr="00AE7D09">
              <w:rPr>
                <w:rFonts w:ascii="Arial" w:hAnsi="Arial" w:cs="Arial"/>
                <w:sz w:val="18"/>
                <w:szCs w:val="18"/>
              </w:rPr>
              <w:t>201</w:t>
            </w:r>
            <w:r>
              <w:rPr>
                <w:rFonts w:ascii="Arial" w:hAnsi="Arial" w:cs="Arial"/>
                <w:sz w:val="18"/>
                <w:szCs w:val="18"/>
              </w:rPr>
              <w:t>8</w:t>
            </w:r>
          </w:p>
        </w:tc>
        <w:tc>
          <w:tcPr>
            <w:tcW w:w="900" w:type="dxa"/>
            <w:tcBorders>
              <w:top w:val="single" w:sz="4" w:space="0" w:color="000000"/>
              <w:left w:val="single" w:sz="4" w:space="0" w:color="000000"/>
              <w:bottom w:val="single" w:sz="4" w:space="0" w:color="000000"/>
              <w:right w:val="single" w:sz="4" w:space="0" w:color="000000"/>
            </w:tcBorders>
            <w:vAlign w:val="center"/>
          </w:tcPr>
          <w:p w14:paraId="3AC7861F" w14:textId="7BBD216B" w:rsidR="00BE7361" w:rsidRPr="00AE7D09" w:rsidRDefault="00BE7361" w:rsidP="00BE7361">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137132E0" w14:textId="21B801A8" w:rsidR="00BE7361" w:rsidRPr="00AE7D09" w:rsidRDefault="00BE7361" w:rsidP="00BE7361">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78B96628" w14:textId="724C8923" w:rsidR="00BE7361" w:rsidRPr="007E388A" w:rsidRDefault="00BE7361" w:rsidP="00BE7361">
            <w:pPr>
              <w:spacing w:before="60" w:after="60"/>
              <w:jc w:val="center"/>
              <w:rPr>
                <w:rFonts w:ascii="Arial" w:hAnsi="Arial" w:cs="Arial"/>
                <w:sz w:val="18"/>
                <w:szCs w:val="18"/>
              </w:rPr>
            </w:pPr>
            <w:r>
              <w:rPr>
                <w:rFonts w:ascii="Arial" w:hAnsi="Arial" w:cs="Arial"/>
                <w:sz w:val="18"/>
                <w:szCs w:val="18"/>
              </w:rPr>
              <w:t>A</w:t>
            </w:r>
            <w:r w:rsidRPr="00113906">
              <w:rPr>
                <w:rFonts w:ascii="Arial" w:hAnsi="Arial" w:cs="Arial"/>
                <w:sz w:val="18"/>
                <w:szCs w:val="18"/>
              </w:rPr>
              <w:t xml:space="preserve"> fin de fortalecer la capacidad recaudatoria y mejorar su progresividad, con foco en: (i) reducir deducciones y modificar el esquema de tasas y tramos del Impuesto a la Renta de las Personas Físicas (IRPF); (</w:t>
            </w:r>
            <w:proofErr w:type="spellStart"/>
            <w:r w:rsidRPr="00113906">
              <w:rPr>
                <w:rFonts w:ascii="Arial" w:hAnsi="Arial" w:cs="Arial"/>
                <w:sz w:val="18"/>
                <w:szCs w:val="18"/>
              </w:rPr>
              <w:t>ii</w:t>
            </w:r>
            <w:proofErr w:type="spellEnd"/>
            <w:r w:rsidRPr="00113906">
              <w:rPr>
                <w:rFonts w:ascii="Arial" w:hAnsi="Arial" w:cs="Arial"/>
                <w:sz w:val="18"/>
                <w:szCs w:val="18"/>
              </w:rPr>
              <w:t xml:space="preserve">) ampliación de </w:t>
            </w:r>
            <w:r w:rsidRPr="00113906">
              <w:rPr>
                <w:rFonts w:ascii="Arial" w:hAnsi="Arial" w:cs="Arial"/>
                <w:sz w:val="18"/>
                <w:szCs w:val="18"/>
              </w:rPr>
              <w:lastRenderedPageBreak/>
              <w:t xml:space="preserve">bienes y servicios gravados a la tasa </w:t>
            </w:r>
            <w:r w:rsidRPr="00D92A3D">
              <w:rPr>
                <w:rFonts w:ascii="Arial" w:hAnsi="Arial" w:cs="Arial"/>
                <w:sz w:val="18"/>
                <w:szCs w:val="18"/>
              </w:rPr>
              <w:t>básica del Impuesto al Valor Agregado (IVA); y (</w:t>
            </w:r>
            <w:proofErr w:type="spellStart"/>
            <w:r w:rsidRPr="00D92A3D">
              <w:rPr>
                <w:rFonts w:ascii="Arial" w:hAnsi="Arial" w:cs="Arial"/>
                <w:sz w:val="18"/>
                <w:szCs w:val="18"/>
              </w:rPr>
              <w:t>iii</w:t>
            </w:r>
            <w:proofErr w:type="spellEnd"/>
            <w:r w:rsidRPr="00D92A3D">
              <w:rPr>
                <w:rFonts w:ascii="Arial" w:hAnsi="Arial" w:cs="Arial"/>
                <w:sz w:val="18"/>
                <w:szCs w:val="18"/>
              </w:rPr>
              <w:t>) simplificar impuestos selectivos al consumo e incrementar tasas de productos con externalidades negativas</w:t>
            </w:r>
            <w:r w:rsidRPr="00362962">
              <w:rPr>
                <w:rFonts w:ascii="Arial" w:hAnsi="Arial" w:cs="Arial"/>
                <w:color w:val="000000" w:themeColor="text1"/>
                <w:sz w:val="18"/>
                <w:lang w:eastAsia="es-PY"/>
              </w:rPr>
              <w:t>.</w:t>
            </w:r>
          </w:p>
        </w:tc>
      </w:tr>
      <w:tr w:rsidR="00BF1395" w:rsidRPr="00831788" w14:paraId="7CF457F9"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05018CE0" w14:textId="6696B602" w:rsidR="00BF1395" w:rsidRPr="00625AB9" w:rsidRDefault="00BF1395" w:rsidP="00BF1395">
            <w:pPr>
              <w:spacing w:before="60" w:after="60"/>
              <w:rPr>
                <w:rFonts w:ascii="Arial" w:hAnsi="Arial" w:cs="Arial"/>
                <w:sz w:val="18"/>
                <w:szCs w:val="18"/>
              </w:rPr>
            </w:pPr>
            <w:r w:rsidRPr="00625AB9">
              <w:rPr>
                <w:rFonts w:ascii="Arial" w:hAnsi="Arial" w:cs="Arial"/>
                <w:sz w:val="18"/>
                <w:szCs w:val="18"/>
              </w:rPr>
              <w:lastRenderedPageBreak/>
              <w:t>Tramo 1: Decreto de c</w:t>
            </w:r>
            <w:r w:rsidRPr="00625AB9">
              <w:rPr>
                <w:rFonts w:ascii="Arial" w:hAnsi="Arial" w:cs="Arial"/>
                <w:color w:val="000000" w:themeColor="text1"/>
                <w:sz w:val="18"/>
                <w:szCs w:val="18"/>
                <w:lang w:eastAsia="es-PY"/>
              </w:rPr>
              <w:t>reación y resolución de puesta en marcha del SIFEN</w:t>
            </w:r>
            <w:r>
              <w:rPr>
                <w:rFonts w:ascii="Arial" w:hAnsi="Arial" w:cs="Arial"/>
                <w:color w:val="000000" w:themeColor="text1"/>
                <w:sz w:val="18"/>
                <w:szCs w:val="18"/>
                <w:lang w:eastAsia="es-PY"/>
              </w:rPr>
              <w:t>, publicado</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27861E28" w14:textId="55FCECFD" w:rsidR="00BF1395" w:rsidRPr="00AE7D09" w:rsidRDefault="00BF1395" w:rsidP="00BF1395">
            <w:pPr>
              <w:spacing w:before="60" w:after="60"/>
              <w:jc w:val="center"/>
              <w:rPr>
                <w:rFonts w:ascii="Arial" w:hAnsi="Arial" w:cs="Arial"/>
                <w:sz w:val="18"/>
                <w:szCs w:val="18"/>
              </w:rPr>
            </w:pPr>
            <w:r>
              <w:rPr>
                <w:rFonts w:ascii="Arial" w:hAnsi="Arial" w:cs="Arial"/>
                <w:sz w:val="18"/>
                <w:szCs w:val="18"/>
              </w:rPr>
              <w:t xml:space="preserve">Decreto </w:t>
            </w:r>
          </w:p>
        </w:tc>
        <w:tc>
          <w:tcPr>
            <w:tcW w:w="900" w:type="dxa"/>
            <w:tcBorders>
              <w:top w:val="single" w:sz="4" w:space="0" w:color="000000"/>
              <w:left w:val="single" w:sz="4" w:space="0" w:color="000000"/>
              <w:bottom w:val="single" w:sz="4" w:space="0" w:color="000000"/>
              <w:right w:val="single" w:sz="4" w:space="0" w:color="000000"/>
            </w:tcBorders>
            <w:vAlign w:val="center"/>
          </w:tcPr>
          <w:p w14:paraId="5F3FA185" w14:textId="7D881D1C"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272465FA" w14:textId="69D1C6FC"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3A68E88F" w14:textId="2FCBAFA7"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65AE8D63" w14:textId="341E680B"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74730E31" w14:textId="77777777" w:rsidR="00BF1395" w:rsidRPr="00AE7D09" w:rsidRDefault="00BF1395" w:rsidP="00BF1395">
            <w:pPr>
              <w:spacing w:before="60" w:after="60"/>
              <w:jc w:val="center"/>
              <w:rPr>
                <w:rFonts w:ascii="Arial" w:hAnsi="Arial" w:cs="Arial"/>
                <w:sz w:val="18"/>
                <w:szCs w:val="18"/>
              </w:rPr>
            </w:pPr>
          </w:p>
        </w:tc>
      </w:tr>
      <w:tr w:rsidR="00BF1395" w:rsidRPr="00831788" w14:paraId="69652F70"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44DFD422" w14:textId="631C7748"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Tramo 2: Reglamentación de la creación y puesta en marcha del SIFEN</w:t>
            </w:r>
            <w:r>
              <w:rPr>
                <w:rFonts w:ascii="Arial" w:hAnsi="Arial" w:cs="Arial"/>
                <w:sz w:val="18"/>
                <w:szCs w:val="18"/>
              </w:rPr>
              <w:t xml:space="preserve">, </w:t>
            </w:r>
            <w:r w:rsidR="00486375">
              <w:rPr>
                <w:rFonts w:ascii="Arial" w:hAnsi="Arial" w:cs="Arial"/>
                <w:sz w:val="18"/>
                <w:szCs w:val="18"/>
              </w:rPr>
              <w:t>emitida</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59D9ECC0" w14:textId="5618E909" w:rsidR="00BF1395" w:rsidRPr="00AE7D09" w:rsidRDefault="00BF1395" w:rsidP="00BF1395">
            <w:pPr>
              <w:spacing w:before="60" w:after="60"/>
              <w:jc w:val="center"/>
              <w:rPr>
                <w:rFonts w:ascii="Arial" w:hAnsi="Arial" w:cs="Arial"/>
                <w:sz w:val="18"/>
                <w:szCs w:val="18"/>
              </w:rPr>
            </w:pPr>
            <w:r>
              <w:rPr>
                <w:rFonts w:ascii="Arial" w:hAnsi="Arial" w:cs="Arial"/>
                <w:sz w:val="18"/>
                <w:szCs w:val="18"/>
              </w:rPr>
              <w:t>Reglamento</w:t>
            </w:r>
          </w:p>
        </w:tc>
        <w:tc>
          <w:tcPr>
            <w:tcW w:w="900" w:type="dxa"/>
            <w:tcBorders>
              <w:top w:val="single" w:sz="4" w:space="0" w:color="000000"/>
              <w:left w:val="single" w:sz="4" w:space="0" w:color="000000"/>
              <w:bottom w:val="single" w:sz="4" w:space="0" w:color="000000"/>
              <w:right w:val="single" w:sz="4" w:space="0" w:color="000000"/>
            </w:tcBorders>
            <w:vAlign w:val="center"/>
          </w:tcPr>
          <w:p w14:paraId="185C57C5" w14:textId="788D1E1D"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299FE820" w14:textId="399E5FD2"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201</w:t>
            </w:r>
            <w:r>
              <w:rPr>
                <w:rFonts w:ascii="Arial" w:hAnsi="Arial" w:cs="Arial"/>
                <w:sz w:val="18"/>
                <w:szCs w:val="18"/>
              </w:rPr>
              <w:t>8</w:t>
            </w:r>
          </w:p>
        </w:tc>
        <w:tc>
          <w:tcPr>
            <w:tcW w:w="900" w:type="dxa"/>
            <w:tcBorders>
              <w:top w:val="single" w:sz="4" w:space="0" w:color="000000"/>
              <w:left w:val="single" w:sz="4" w:space="0" w:color="000000"/>
              <w:bottom w:val="single" w:sz="4" w:space="0" w:color="000000"/>
              <w:right w:val="single" w:sz="4" w:space="0" w:color="000000"/>
            </w:tcBorders>
            <w:vAlign w:val="center"/>
          </w:tcPr>
          <w:p w14:paraId="7698D901" w14:textId="0BCED80E"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60CA0335" w14:textId="19433F9E"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40E9EE3B" w14:textId="77777777" w:rsidR="00BF1395" w:rsidRPr="00AE7D09" w:rsidRDefault="00BF1395" w:rsidP="00BF1395">
            <w:pPr>
              <w:spacing w:before="60" w:after="60"/>
              <w:jc w:val="center"/>
              <w:rPr>
                <w:rFonts w:ascii="Arial" w:hAnsi="Arial" w:cs="Arial"/>
                <w:sz w:val="18"/>
                <w:szCs w:val="18"/>
              </w:rPr>
            </w:pPr>
          </w:p>
        </w:tc>
      </w:tr>
      <w:tr w:rsidR="00F2727F" w:rsidRPr="00A66C75" w14:paraId="637426EA" w14:textId="77777777" w:rsidTr="001865DF">
        <w:trPr>
          <w:trHeight w:val="242"/>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69D9CC01" w14:textId="77777777" w:rsidR="00F2727F" w:rsidRPr="00AE7D09" w:rsidRDefault="00F2727F" w:rsidP="00F2727F">
            <w:pPr>
              <w:numPr>
                <w:ilvl w:val="0"/>
                <w:numId w:val="35"/>
              </w:numPr>
              <w:spacing w:before="120" w:after="120"/>
              <w:ind w:left="432"/>
              <w:rPr>
                <w:rFonts w:ascii="Arial" w:hAnsi="Arial"/>
                <w:b/>
                <w:sz w:val="20"/>
              </w:rPr>
            </w:pPr>
            <w:r>
              <w:rPr>
                <w:rFonts w:ascii="Arial" w:hAnsi="Arial"/>
                <w:b/>
                <w:sz w:val="20"/>
              </w:rPr>
              <w:t>Fortalecer la transparencia tributaria</w:t>
            </w:r>
          </w:p>
        </w:tc>
      </w:tr>
      <w:tr w:rsidR="00BF1395" w:rsidRPr="00831788" w14:paraId="27D4BE38"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7A05D611" w14:textId="43EC6285"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Tramo 1: Ley que elimina las sociedades anónimas al portador</w:t>
            </w:r>
            <w:r>
              <w:rPr>
                <w:rFonts w:ascii="Arial" w:hAnsi="Arial" w:cs="Arial"/>
                <w:sz w:val="18"/>
                <w:szCs w:val="18"/>
              </w:rPr>
              <w:t>, promulgada y publicada</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4CF23C11" w14:textId="14B0DCFB" w:rsidR="00BF1395" w:rsidRPr="00AE7D09" w:rsidRDefault="00BF1395" w:rsidP="00BF1395">
            <w:pPr>
              <w:spacing w:before="60" w:after="60"/>
              <w:jc w:val="center"/>
              <w:rPr>
                <w:rFonts w:ascii="Arial" w:hAnsi="Arial" w:cs="Arial"/>
                <w:sz w:val="18"/>
                <w:szCs w:val="18"/>
              </w:rPr>
            </w:pPr>
            <w:r>
              <w:rPr>
                <w:rFonts w:ascii="Arial" w:hAnsi="Arial" w:cs="Arial"/>
                <w:sz w:val="18"/>
                <w:szCs w:val="18"/>
              </w:rPr>
              <w:t>Ley</w:t>
            </w:r>
          </w:p>
        </w:tc>
        <w:tc>
          <w:tcPr>
            <w:tcW w:w="900" w:type="dxa"/>
            <w:tcBorders>
              <w:top w:val="single" w:sz="4" w:space="0" w:color="000000"/>
              <w:left w:val="single" w:sz="4" w:space="0" w:color="000000"/>
              <w:bottom w:val="single" w:sz="4" w:space="0" w:color="000000"/>
              <w:right w:val="single" w:sz="4" w:space="0" w:color="000000"/>
            </w:tcBorders>
            <w:vAlign w:val="center"/>
          </w:tcPr>
          <w:p w14:paraId="03F7359E" w14:textId="4B116508"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3DD08EEB" w14:textId="755DB1E7"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0507A0C5" w14:textId="267EEE7E"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10AF5F6A" w14:textId="2C92A84C"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32EC21AD" w14:textId="77777777" w:rsidR="00BF1395" w:rsidRPr="00AE7D09" w:rsidRDefault="00BF1395" w:rsidP="00BF1395">
            <w:pPr>
              <w:spacing w:before="60" w:after="60"/>
              <w:jc w:val="center"/>
              <w:rPr>
                <w:rFonts w:ascii="Arial" w:hAnsi="Arial" w:cs="Arial"/>
                <w:sz w:val="18"/>
                <w:szCs w:val="18"/>
              </w:rPr>
            </w:pPr>
          </w:p>
        </w:tc>
      </w:tr>
      <w:tr w:rsidR="00BF1395" w:rsidRPr="00831788" w14:paraId="6C416F46"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2792320D" w14:textId="25C616EA"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 xml:space="preserve">Tramo 1: </w:t>
            </w:r>
            <w:r w:rsidR="00486375">
              <w:rPr>
                <w:rFonts w:ascii="Arial" w:hAnsi="Arial" w:cs="Arial"/>
                <w:sz w:val="18"/>
                <w:szCs w:val="18"/>
              </w:rPr>
              <w:t>S</w:t>
            </w:r>
            <w:r w:rsidRPr="00625AB9">
              <w:rPr>
                <w:rFonts w:ascii="Arial" w:hAnsi="Arial" w:cs="Arial"/>
                <w:sz w:val="18"/>
                <w:szCs w:val="18"/>
              </w:rPr>
              <w:t xml:space="preserve"> CAM sobre intercambio automático de información con otras jurisdicciones signatarias</w:t>
            </w:r>
            <w:r>
              <w:rPr>
                <w:rFonts w:ascii="Arial" w:hAnsi="Arial" w:cs="Arial"/>
                <w:sz w:val="18"/>
                <w:szCs w:val="18"/>
              </w:rPr>
              <w:t>,</w:t>
            </w:r>
            <w:r w:rsidR="00486375">
              <w:rPr>
                <w:rFonts w:ascii="Arial" w:hAnsi="Arial" w:cs="Arial"/>
                <w:sz w:val="18"/>
                <w:szCs w:val="18"/>
              </w:rPr>
              <w:t xml:space="preserve"> suscrito</w:t>
            </w:r>
            <w:r>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2E96F00B" w14:textId="4631A828" w:rsidR="00BF1395" w:rsidRPr="00AE7D09" w:rsidRDefault="00486375" w:rsidP="00BF1395">
            <w:pPr>
              <w:spacing w:before="60" w:after="60"/>
              <w:jc w:val="center"/>
              <w:rPr>
                <w:rFonts w:ascii="Arial" w:hAnsi="Arial" w:cs="Arial"/>
                <w:sz w:val="18"/>
                <w:szCs w:val="18"/>
              </w:rPr>
            </w:pPr>
            <w:r>
              <w:rPr>
                <w:rFonts w:ascii="Arial" w:hAnsi="Arial" w:cs="Arial"/>
                <w:sz w:val="18"/>
                <w:szCs w:val="18"/>
              </w:rPr>
              <w:t>Convenio</w:t>
            </w:r>
          </w:p>
        </w:tc>
        <w:tc>
          <w:tcPr>
            <w:tcW w:w="900" w:type="dxa"/>
            <w:tcBorders>
              <w:top w:val="single" w:sz="4" w:space="0" w:color="000000"/>
              <w:left w:val="single" w:sz="4" w:space="0" w:color="000000"/>
              <w:bottom w:val="single" w:sz="4" w:space="0" w:color="000000"/>
              <w:right w:val="single" w:sz="4" w:space="0" w:color="000000"/>
            </w:tcBorders>
            <w:vAlign w:val="center"/>
          </w:tcPr>
          <w:p w14:paraId="6F83AF3C" w14:textId="119A95A2" w:rsidR="00BF1395" w:rsidRPr="00AE7D09" w:rsidRDefault="00BF1395" w:rsidP="00BF1395">
            <w:pPr>
              <w:spacing w:before="60" w:after="60"/>
              <w:jc w:val="center"/>
              <w:rPr>
                <w:rFonts w:ascii="Arial" w:hAnsi="Arial" w:cs="Arial"/>
                <w:sz w:val="18"/>
                <w:szCs w:val="18"/>
              </w:rPr>
            </w:pPr>
            <w:r>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29E67773" w14:textId="726B1C39"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09814AED" w14:textId="1226B5A4" w:rsidR="00BF1395" w:rsidRPr="00AE7D09" w:rsidRDefault="00BF1395" w:rsidP="00BF1395">
            <w:pPr>
              <w:spacing w:before="60" w:after="60"/>
              <w:jc w:val="center"/>
              <w:rPr>
                <w:rFonts w:ascii="Arial" w:hAnsi="Arial" w:cs="Arial"/>
                <w:sz w:val="18"/>
                <w:szCs w:val="18"/>
              </w:rPr>
            </w:pPr>
            <w:r>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402418E6" w14:textId="7212FCA9"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43DC0F3D" w14:textId="77777777" w:rsidR="00BF1395" w:rsidRPr="00AE7D09" w:rsidRDefault="00BF1395" w:rsidP="00BF1395">
            <w:pPr>
              <w:spacing w:before="60" w:after="60"/>
              <w:jc w:val="center"/>
              <w:rPr>
                <w:rFonts w:ascii="Arial" w:hAnsi="Arial" w:cs="Arial"/>
                <w:sz w:val="18"/>
                <w:szCs w:val="18"/>
              </w:rPr>
            </w:pPr>
          </w:p>
        </w:tc>
      </w:tr>
      <w:tr w:rsidR="00BF1395" w:rsidRPr="00831788" w14:paraId="5193406E"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2556C1A6" w14:textId="425B56A3"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Tramo 1: Proyecto de ley sobre levantamiento del secreto bancario con fines tributarios; ratificación legislativa de la CAM; y regulación sobre el conocimiento del beneficiario último de la propiedad</w:t>
            </w:r>
            <w:r>
              <w:rPr>
                <w:rFonts w:ascii="Arial" w:hAnsi="Arial" w:cs="Arial"/>
                <w:sz w:val="18"/>
                <w:szCs w:val="18"/>
              </w:rPr>
              <w:t>, presentado</w:t>
            </w:r>
          </w:p>
        </w:tc>
        <w:tc>
          <w:tcPr>
            <w:tcW w:w="1439" w:type="dxa"/>
            <w:tcBorders>
              <w:top w:val="single" w:sz="4" w:space="0" w:color="000000"/>
              <w:left w:val="single" w:sz="4" w:space="0" w:color="000000"/>
              <w:bottom w:val="single" w:sz="4" w:space="0" w:color="000000"/>
              <w:right w:val="single" w:sz="4" w:space="0" w:color="000000"/>
            </w:tcBorders>
            <w:vAlign w:val="center"/>
          </w:tcPr>
          <w:p w14:paraId="0C4FC278" w14:textId="7A0CDBDF" w:rsidR="00BF1395" w:rsidRPr="00AE7D09" w:rsidRDefault="00BF1395" w:rsidP="00BF1395">
            <w:pPr>
              <w:spacing w:before="60" w:after="60"/>
              <w:jc w:val="center"/>
              <w:rPr>
                <w:rFonts w:ascii="Arial" w:hAnsi="Arial" w:cs="Arial"/>
                <w:sz w:val="18"/>
                <w:szCs w:val="18"/>
              </w:rPr>
            </w:pPr>
            <w:r>
              <w:rPr>
                <w:rFonts w:ascii="Arial" w:hAnsi="Arial" w:cs="Arial"/>
                <w:sz w:val="18"/>
                <w:szCs w:val="18"/>
              </w:rPr>
              <w:t>Proyecto</w:t>
            </w:r>
            <w:r w:rsidR="00486375">
              <w:rPr>
                <w:rFonts w:ascii="Arial" w:hAnsi="Arial" w:cs="Arial"/>
                <w:sz w:val="18"/>
                <w:szCs w:val="18"/>
              </w:rPr>
              <w:t xml:space="preserve"> de ley</w:t>
            </w:r>
          </w:p>
        </w:tc>
        <w:tc>
          <w:tcPr>
            <w:tcW w:w="900" w:type="dxa"/>
            <w:tcBorders>
              <w:top w:val="single" w:sz="4" w:space="0" w:color="000000"/>
              <w:left w:val="single" w:sz="4" w:space="0" w:color="000000"/>
              <w:bottom w:val="single" w:sz="4" w:space="0" w:color="000000"/>
              <w:right w:val="single" w:sz="4" w:space="0" w:color="000000"/>
            </w:tcBorders>
            <w:vAlign w:val="center"/>
          </w:tcPr>
          <w:p w14:paraId="6AE41BCE" w14:textId="2FE877D3" w:rsidR="00BF1395" w:rsidRPr="00AE7D09" w:rsidRDefault="00BF1395" w:rsidP="00BF1395">
            <w:pPr>
              <w:spacing w:before="60" w:after="60"/>
              <w:jc w:val="center"/>
              <w:rPr>
                <w:rFonts w:ascii="Arial" w:hAnsi="Arial" w:cs="Arial"/>
                <w:sz w:val="18"/>
                <w:szCs w:val="18"/>
              </w:rPr>
            </w:pPr>
            <w:r>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4C0BA01A" w14:textId="04499899"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7509DF6E" w14:textId="166FC8E0" w:rsidR="00BF1395" w:rsidRPr="00AE7D09" w:rsidRDefault="00BF1395" w:rsidP="00BF1395">
            <w:pPr>
              <w:spacing w:before="60" w:after="60"/>
              <w:jc w:val="center"/>
              <w:rPr>
                <w:rFonts w:ascii="Arial" w:hAnsi="Arial" w:cs="Arial"/>
                <w:sz w:val="18"/>
                <w:szCs w:val="18"/>
              </w:rPr>
            </w:pPr>
            <w:r>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16CD84F0" w14:textId="597A020E"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657195F8" w14:textId="77777777" w:rsidR="00BF1395" w:rsidRPr="00AE7D09" w:rsidRDefault="00BF1395" w:rsidP="00BF1395">
            <w:pPr>
              <w:spacing w:before="60" w:after="60"/>
              <w:jc w:val="center"/>
              <w:rPr>
                <w:rFonts w:ascii="Arial" w:hAnsi="Arial" w:cs="Arial"/>
                <w:sz w:val="18"/>
                <w:szCs w:val="18"/>
              </w:rPr>
            </w:pPr>
          </w:p>
        </w:tc>
      </w:tr>
      <w:tr w:rsidR="00BF1395" w:rsidRPr="00831788" w14:paraId="0649806E"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191BA709" w14:textId="5A5BF5F1"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Tramo 2: Ley sobre levantamiento del secreto bancario con fines tributarios; ratificación legislativa de la CAM; y regulación sobre el conocimiento del beneficiario último de la propiedad</w:t>
            </w:r>
            <w:r>
              <w:rPr>
                <w:rFonts w:ascii="Arial" w:hAnsi="Arial" w:cs="Arial"/>
                <w:sz w:val="18"/>
                <w:szCs w:val="18"/>
              </w:rPr>
              <w:t>, promulgada y publicada</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54E3CD66" w14:textId="14F7092D" w:rsidR="00BF1395" w:rsidRPr="00AE7D09" w:rsidRDefault="00BF1395" w:rsidP="00BF1395">
            <w:pPr>
              <w:spacing w:before="60" w:after="60"/>
              <w:jc w:val="center"/>
              <w:rPr>
                <w:rFonts w:ascii="Arial" w:hAnsi="Arial" w:cs="Arial"/>
                <w:sz w:val="18"/>
                <w:szCs w:val="18"/>
              </w:rPr>
            </w:pPr>
            <w:r>
              <w:rPr>
                <w:rFonts w:ascii="Arial" w:hAnsi="Arial" w:cs="Arial"/>
                <w:sz w:val="18"/>
                <w:szCs w:val="18"/>
              </w:rPr>
              <w:t xml:space="preserve">Ley </w:t>
            </w:r>
          </w:p>
        </w:tc>
        <w:tc>
          <w:tcPr>
            <w:tcW w:w="900" w:type="dxa"/>
            <w:tcBorders>
              <w:top w:val="single" w:sz="4" w:space="0" w:color="000000"/>
              <w:left w:val="single" w:sz="4" w:space="0" w:color="000000"/>
              <w:bottom w:val="single" w:sz="4" w:space="0" w:color="000000"/>
              <w:right w:val="single" w:sz="4" w:space="0" w:color="000000"/>
            </w:tcBorders>
            <w:vAlign w:val="center"/>
          </w:tcPr>
          <w:p w14:paraId="424BA6AF" w14:textId="0738782E"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6B465F3D" w14:textId="1C67294C"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05C094EF" w14:textId="3CA7FF02"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481E4C59" w14:textId="13EEC4A0"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4D63BCA9" w14:textId="77777777" w:rsidR="00BF1395" w:rsidRPr="00AE7D09" w:rsidRDefault="00BF1395" w:rsidP="00BF1395">
            <w:pPr>
              <w:spacing w:before="60" w:after="60"/>
              <w:jc w:val="center"/>
              <w:rPr>
                <w:rFonts w:ascii="Arial" w:hAnsi="Arial" w:cs="Arial"/>
                <w:sz w:val="18"/>
                <w:szCs w:val="18"/>
              </w:rPr>
            </w:pPr>
          </w:p>
        </w:tc>
      </w:tr>
      <w:tr w:rsidR="00F2727F" w:rsidRPr="00831788" w14:paraId="7E31BE7C" w14:textId="77777777" w:rsidTr="001865DF">
        <w:trPr>
          <w:trHeight w:val="242"/>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4CD0B80E" w14:textId="49C33D19" w:rsidR="00F2727F" w:rsidRPr="00AE7D09" w:rsidRDefault="00F2727F" w:rsidP="006930D9">
            <w:pPr>
              <w:spacing w:before="120" w:after="120"/>
              <w:rPr>
                <w:rFonts w:ascii="Arial" w:hAnsi="Arial"/>
                <w:sz w:val="20"/>
              </w:rPr>
            </w:pPr>
            <w:r w:rsidRPr="00AE7D09">
              <w:rPr>
                <w:rFonts w:ascii="Arial" w:hAnsi="Arial"/>
                <w:b/>
                <w:caps/>
                <w:sz w:val="20"/>
                <w:u w:val="single"/>
              </w:rPr>
              <w:lastRenderedPageBreak/>
              <w:t xml:space="preserve">Componente </w:t>
            </w:r>
            <w:r w:rsidRPr="00AE7D09">
              <w:rPr>
                <w:rFonts w:ascii="Arial" w:hAnsi="Arial" w:cs="Arial"/>
                <w:b/>
                <w:caps/>
                <w:sz w:val="20"/>
                <w:u w:val="single"/>
                <w:lang w:eastAsia="zh-CN"/>
              </w:rPr>
              <w:t>Iv</w:t>
            </w:r>
            <w:r w:rsidRPr="00AE7D09">
              <w:rPr>
                <w:rFonts w:ascii="Arial" w:hAnsi="Arial"/>
                <w:b/>
                <w:caps/>
                <w:sz w:val="20"/>
                <w:u w:val="single"/>
              </w:rPr>
              <w:t>: Mejora</w:t>
            </w:r>
            <w:r>
              <w:rPr>
                <w:rFonts w:ascii="Arial" w:hAnsi="Arial"/>
                <w:b/>
                <w:caps/>
                <w:sz w:val="20"/>
                <w:u w:val="single"/>
              </w:rPr>
              <w:t>r la gestión del gasto</w:t>
            </w:r>
            <w:r w:rsidR="00486375">
              <w:rPr>
                <w:rFonts w:ascii="Arial" w:hAnsi="Arial"/>
                <w:b/>
                <w:caps/>
                <w:sz w:val="20"/>
                <w:u w:val="single"/>
              </w:rPr>
              <w:t xml:space="preserve"> PÚBLICO</w:t>
            </w:r>
          </w:p>
        </w:tc>
      </w:tr>
      <w:tr w:rsidR="00BE7361" w:rsidRPr="005F3B33" w14:paraId="30F36886" w14:textId="77777777" w:rsidTr="00BE7361">
        <w:trPr>
          <w:trHeight w:val="242"/>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4DF0FBA9" w14:textId="685FB1A4" w:rsidR="00BE7361" w:rsidRPr="00BE7361" w:rsidRDefault="00BE7361" w:rsidP="00BE5978">
            <w:pPr>
              <w:spacing w:before="120" w:after="120"/>
              <w:ind w:left="360"/>
              <w:rPr>
                <w:rFonts w:ascii="Arial" w:hAnsi="Arial"/>
                <w:b/>
                <w:caps/>
                <w:sz w:val="20"/>
                <w:u w:val="single"/>
              </w:rPr>
            </w:pPr>
            <w:r>
              <w:rPr>
                <w:rFonts w:ascii="Arial" w:hAnsi="Arial"/>
                <w:b/>
                <w:sz w:val="20"/>
              </w:rPr>
              <w:t>a. Mayor orientación estratégica a la gestión del gasto público</w:t>
            </w:r>
          </w:p>
        </w:tc>
      </w:tr>
      <w:tr w:rsidR="00BE7361" w:rsidRPr="00362962" w14:paraId="7D499D00" w14:textId="77777777" w:rsidTr="00BE7361">
        <w:trPr>
          <w:gridAfter w:val="1"/>
          <w:wAfter w:w="10" w:type="dxa"/>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04FDA643" w14:textId="77777777" w:rsidR="00BE7361" w:rsidRPr="00625AB9" w:rsidRDefault="00BE7361" w:rsidP="0042004A">
            <w:pPr>
              <w:spacing w:before="120" w:after="120"/>
              <w:contextualSpacing/>
              <w:rPr>
                <w:rFonts w:ascii="Arial" w:hAnsi="Arial" w:cs="Arial"/>
                <w:sz w:val="18"/>
                <w:szCs w:val="18"/>
              </w:rPr>
            </w:pPr>
            <w:r w:rsidRPr="00625AB9">
              <w:rPr>
                <w:rFonts w:ascii="Arial" w:hAnsi="Arial" w:cs="Arial"/>
                <w:sz w:val="18"/>
                <w:szCs w:val="18"/>
              </w:rPr>
              <w:t xml:space="preserve">Tramo 1: </w:t>
            </w:r>
            <w:r>
              <w:rPr>
                <w:rFonts w:ascii="Arial" w:hAnsi="Arial" w:cs="Arial"/>
                <w:sz w:val="18"/>
                <w:szCs w:val="18"/>
              </w:rPr>
              <w:t xml:space="preserve">Resolución que crea la Comisión Técnica de Gasto Público, publicada.  </w:t>
            </w:r>
            <w:r w:rsidRPr="00625AB9">
              <w:rPr>
                <w:rFonts w:ascii="Arial" w:hAnsi="Arial" w:cs="Arial"/>
                <w:sz w:val="18"/>
                <w:szCs w:val="18"/>
              </w:rPr>
              <w:t xml:space="preserve">Módulo de inventario </w:t>
            </w:r>
            <w:r>
              <w:rPr>
                <w:rFonts w:ascii="Arial" w:hAnsi="Arial" w:cs="Arial"/>
                <w:sz w:val="18"/>
                <w:szCs w:val="18"/>
              </w:rPr>
              <w:t xml:space="preserve">inicial </w:t>
            </w:r>
            <w:r w:rsidRPr="00625AB9">
              <w:rPr>
                <w:rFonts w:ascii="Arial" w:hAnsi="Arial" w:cs="Arial"/>
                <w:sz w:val="18"/>
                <w:szCs w:val="18"/>
              </w:rPr>
              <w:t xml:space="preserve">del SIARE </w:t>
            </w:r>
            <w:proofErr w:type="spellStart"/>
            <w:r w:rsidRPr="00625AB9">
              <w:rPr>
                <w:rFonts w:ascii="Arial" w:hAnsi="Arial" w:cs="Arial"/>
                <w:sz w:val="18"/>
                <w:szCs w:val="18"/>
              </w:rPr>
              <w:t>dise</w:t>
            </w:r>
            <w:r w:rsidRPr="00625AB9">
              <w:rPr>
                <w:rFonts w:ascii="Arial" w:hAnsi="Arial" w:cs="Arial"/>
                <w:sz w:val="18"/>
                <w:szCs w:val="18"/>
                <w:lang w:val="es-419"/>
              </w:rPr>
              <w:t>ñado</w:t>
            </w:r>
            <w:proofErr w:type="spellEnd"/>
            <w:r w:rsidRPr="00625AB9">
              <w:rPr>
                <w:rFonts w:ascii="Arial" w:hAnsi="Arial" w:cs="Arial"/>
                <w:sz w:val="18"/>
                <w:szCs w:val="18"/>
                <w:lang w:val="es-419"/>
              </w:rPr>
              <w:t xml:space="preserve"> e implementado</w:t>
            </w:r>
            <w:r>
              <w:rPr>
                <w:rFonts w:ascii="Arial" w:hAnsi="Arial" w:cs="Arial"/>
                <w:sz w:val="18"/>
                <w:szCs w:val="18"/>
                <w:lang w:val="es-419"/>
              </w:rPr>
              <w:t xml:space="preserve"> en cinco instituciones piloto</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11E01A0E" w14:textId="77777777" w:rsidR="00BE7361" w:rsidRPr="00AE7D09" w:rsidRDefault="00BE7361" w:rsidP="0042004A">
            <w:pPr>
              <w:spacing w:before="120" w:after="120"/>
              <w:jc w:val="center"/>
              <w:rPr>
                <w:rFonts w:ascii="Arial" w:hAnsi="Arial" w:cs="Arial"/>
                <w:sz w:val="18"/>
                <w:szCs w:val="18"/>
              </w:rPr>
            </w:pPr>
            <w:r>
              <w:rPr>
                <w:rFonts w:ascii="Arial" w:hAnsi="Arial" w:cs="Arial"/>
                <w:sz w:val="18"/>
                <w:szCs w:val="18"/>
              </w:rPr>
              <w:t>Resolución</w:t>
            </w:r>
          </w:p>
        </w:tc>
        <w:tc>
          <w:tcPr>
            <w:tcW w:w="900" w:type="dxa"/>
            <w:tcBorders>
              <w:top w:val="single" w:sz="4" w:space="0" w:color="000000"/>
              <w:left w:val="single" w:sz="4" w:space="0" w:color="000000"/>
              <w:bottom w:val="single" w:sz="4" w:space="0" w:color="000000"/>
              <w:right w:val="single" w:sz="4" w:space="0" w:color="000000"/>
            </w:tcBorders>
            <w:vAlign w:val="center"/>
          </w:tcPr>
          <w:p w14:paraId="5D544A06" w14:textId="77777777" w:rsidR="00BE7361" w:rsidRPr="00AE7D09" w:rsidRDefault="00BE7361" w:rsidP="0042004A">
            <w:pPr>
              <w:spacing w:before="120" w:after="12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05A8B834" w14:textId="77777777" w:rsidR="00BE7361" w:rsidRPr="00AE7D09" w:rsidRDefault="00BE7361" w:rsidP="0042004A">
            <w:pPr>
              <w:spacing w:before="120" w:after="12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34AF4535" w14:textId="77777777" w:rsidR="00BE7361" w:rsidRPr="00AE7D09" w:rsidRDefault="00BE7361" w:rsidP="0042004A">
            <w:pPr>
              <w:spacing w:before="120" w:after="120"/>
              <w:jc w:val="center"/>
              <w:rPr>
                <w:rFonts w:ascii="Arial" w:hAnsi="Arial" w:cs="Arial"/>
                <w:sz w:val="18"/>
                <w:szCs w:val="18"/>
              </w:rPr>
            </w:pPr>
            <w:r w:rsidRPr="00AE7D09">
              <w:rPr>
                <w:rFonts w:ascii="Arial" w:hAnsi="Arial" w:cs="Arial"/>
                <w:sz w:val="18"/>
                <w:szCs w:val="18"/>
              </w:rPr>
              <w:t>1</w:t>
            </w:r>
          </w:p>
        </w:tc>
        <w:tc>
          <w:tcPr>
            <w:tcW w:w="1348" w:type="dxa"/>
            <w:tcBorders>
              <w:top w:val="single" w:sz="4" w:space="0" w:color="000000"/>
              <w:left w:val="single" w:sz="4" w:space="0" w:color="000000"/>
              <w:bottom w:val="single" w:sz="4" w:space="0" w:color="000000"/>
              <w:right w:val="single" w:sz="4" w:space="0" w:color="000000"/>
            </w:tcBorders>
            <w:vAlign w:val="center"/>
          </w:tcPr>
          <w:p w14:paraId="42FEE370" w14:textId="77777777" w:rsidR="00BE7361" w:rsidRPr="00AE7D09" w:rsidRDefault="00BE7361" w:rsidP="0042004A">
            <w:pPr>
              <w:spacing w:before="120" w:after="120"/>
              <w:jc w:val="center"/>
              <w:rPr>
                <w:rFonts w:ascii="Arial" w:hAnsi="Arial" w:cs="Arial"/>
                <w:sz w:val="18"/>
                <w:szCs w:val="18"/>
              </w:rPr>
            </w:pPr>
            <w:r w:rsidRPr="00AE7D09">
              <w:rPr>
                <w:rFonts w:ascii="Arial" w:hAnsi="Arial" w:cs="Arial"/>
                <w:sz w:val="18"/>
                <w:szCs w:val="18"/>
              </w:rPr>
              <w:t>Ver Matriz de Medios de Verificación</w:t>
            </w:r>
          </w:p>
        </w:tc>
        <w:tc>
          <w:tcPr>
            <w:tcW w:w="2606" w:type="dxa"/>
            <w:gridSpan w:val="2"/>
            <w:tcBorders>
              <w:top w:val="single" w:sz="4" w:space="0" w:color="000000"/>
              <w:left w:val="single" w:sz="4" w:space="0" w:color="000000"/>
              <w:bottom w:val="single" w:sz="4" w:space="0" w:color="000000"/>
              <w:right w:val="single" w:sz="4" w:space="0" w:color="000000"/>
            </w:tcBorders>
            <w:vAlign w:val="center"/>
          </w:tcPr>
          <w:p w14:paraId="476809B7" w14:textId="77777777" w:rsidR="00BE7361" w:rsidRPr="00A5585F" w:rsidRDefault="00BE7361" w:rsidP="0042004A">
            <w:pPr>
              <w:spacing w:before="120" w:after="120"/>
              <w:jc w:val="both"/>
              <w:rPr>
                <w:rFonts w:ascii="Arial" w:hAnsi="Arial" w:cs="Arial"/>
                <w:sz w:val="18"/>
                <w:szCs w:val="18"/>
              </w:rPr>
            </w:pPr>
            <w:r>
              <w:rPr>
                <w:rFonts w:ascii="Arial" w:hAnsi="Arial" w:cs="Arial"/>
                <w:sz w:val="18"/>
                <w:szCs w:val="18"/>
              </w:rPr>
              <w:t>Comisión de conformación público-privada, que analice el gasto público y defina lineamientos para una propuesta de asignación más eficiente y eficaz del mismo.</w:t>
            </w:r>
          </w:p>
        </w:tc>
      </w:tr>
      <w:tr w:rsidR="00BE7361" w:rsidRPr="00362962" w14:paraId="13743BCC" w14:textId="77777777" w:rsidTr="00BE7361">
        <w:trPr>
          <w:gridAfter w:val="1"/>
          <w:wAfter w:w="10" w:type="dxa"/>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0C18FBF2" w14:textId="77777777" w:rsidR="00BE7361" w:rsidRPr="00625AB9" w:rsidRDefault="00BE7361" w:rsidP="0042004A">
            <w:pPr>
              <w:spacing w:before="120" w:after="120"/>
              <w:contextualSpacing/>
              <w:rPr>
                <w:rFonts w:ascii="Arial" w:hAnsi="Arial" w:cs="Arial"/>
                <w:sz w:val="18"/>
                <w:szCs w:val="18"/>
              </w:rPr>
            </w:pPr>
            <w:r w:rsidRPr="00625AB9">
              <w:rPr>
                <w:rFonts w:ascii="Arial" w:hAnsi="Arial" w:cs="Arial"/>
                <w:sz w:val="18"/>
                <w:szCs w:val="18"/>
              </w:rPr>
              <w:t xml:space="preserve">Tramo </w:t>
            </w:r>
            <w:r>
              <w:rPr>
                <w:rFonts w:ascii="Arial" w:hAnsi="Arial" w:cs="Arial"/>
                <w:sz w:val="18"/>
                <w:szCs w:val="18"/>
              </w:rPr>
              <w:t>2</w:t>
            </w:r>
            <w:r w:rsidRPr="00625AB9">
              <w:rPr>
                <w:rFonts w:ascii="Arial" w:hAnsi="Arial" w:cs="Arial"/>
                <w:sz w:val="18"/>
                <w:szCs w:val="18"/>
              </w:rPr>
              <w:t xml:space="preserve">: </w:t>
            </w:r>
            <w:r>
              <w:rPr>
                <w:rFonts w:ascii="Arial" w:hAnsi="Arial" w:cs="Arial"/>
                <w:sz w:val="18"/>
                <w:szCs w:val="18"/>
              </w:rPr>
              <w:t>Documento de propuestas de la Comisión Técnica de Gasto Público para una asignación más eficiente y eficaz del gasto público, emitido</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3586189B" w14:textId="77777777" w:rsidR="00BE7361" w:rsidRPr="00AE7D09" w:rsidRDefault="00BE7361" w:rsidP="0042004A">
            <w:pPr>
              <w:spacing w:before="120" w:after="120"/>
              <w:jc w:val="center"/>
              <w:rPr>
                <w:rFonts w:ascii="Arial" w:hAnsi="Arial" w:cs="Arial"/>
                <w:sz w:val="18"/>
                <w:szCs w:val="18"/>
              </w:rPr>
            </w:pPr>
            <w:r>
              <w:rPr>
                <w:rFonts w:ascii="Arial" w:hAnsi="Arial" w:cs="Arial"/>
                <w:sz w:val="18"/>
                <w:szCs w:val="18"/>
              </w:rPr>
              <w:t>Documento</w:t>
            </w:r>
          </w:p>
        </w:tc>
        <w:tc>
          <w:tcPr>
            <w:tcW w:w="900" w:type="dxa"/>
            <w:tcBorders>
              <w:top w:val="single" w:sz="4" w:space="0" w:color="000000"/>
              <w:left w:val="single" w:sz="4" w:space="0" w:color="000000"/>
              <w:bottom w:val="single" w:sz="4" w:space="0" w:color="000000"/>
              <w:right w:val="single" w:sz="4" w:space="0" w:color="000000"/>
            </w:tcBorders>
            <w:vAlign w:val="center"/>
          </w:tcPr>
          <w:p w14:paraId="746AB3CB" w14:textId="77777777" w:rsidR="00BE7361" w:rsidRPr="00AE7D09" w:rsidRDefault="00BE7361" w:rsidP="0042004A">
            <w:pPr>
              <w:spacing w:before="120" w:after="12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3C806982" w14:textId="77777777" w:rsidR="00BE7361" w:rsidRPr="00AE7D09" w:rsidRDefault="00BE7361" w:rsidP="0042004A">
            <w:pPr>
              <w:spacing w:before="120" w:after="12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255C7652" w14:textId="77777777" w:rsidR="00BE7361" w:rsidRPr="00AE7D09" w:rsidRDefault="00BE7361" w:rsidP="0042004A">
            <w:pPr>
              <w:spacing w:before="120" w:after="120"/>
              <w:jc w:val="center"/>
              <w:rPr>
                <w:rFonts w:ascii="Arial" w:hAnsi="Arial" w:cs="Arial"/>
                <w:sz w:val="18"/>
                <w:szCs w:val="18"/>
              </w:rPr>
            </w:pPr>
            <w:r w:rsidRPr="00AE7D09">
              <w:rPr>
                <w:rFonts w:ascii="Arial" w:hAnsi="Arial" w:cs="Arial"/>
                <w:sz w:val="18"/>
                <w:szCs w:val="18"/>
              </w:rPr>
              <w:t>1</w:t>
            </w:r>
          </w:p>
        </w:tc>
        <w:tc>
          <w:tcPr>
            <w:tcW w:w="1348" w:type="dxa"/>
            <w:tcBorders>
              <w:top w:val="single" w:sz="4" w:space="0" w:color="000000"/>
              <w:left w:val="single" w:sz="4" w:space="0" w:color="000000"/>
              <w:bottom w:val="single" w:sz="4" w:space="0" w:color="000000"/>
              <w:right w:val="single" w:sz="4" w:space="0" w:color="000000"/>
            </w:tcBorders>
            <w:vAlign w:val="center"/>
          </w:tcPr>
          <w:p w14:paraId="6733F650" w14:textId="77777777" w:rsidR="00BE7361" w:rsidRPr="00AE7D09" w:rsidRDefault="00BE7361" w:rsidP="0042004A">
            <w:pPr>
              <w:spacing w:before="120" w:after="120"/>
              <w:jc w:val="center"/>
              <w:rPr>
                <w:rFonts w:ascii="Arial" w:hAnsi="Arial" w:cs="Arial"/>
                <w:sz w:val="18"/>
                <w:szCs w:val="18"/>
              </w:rPr>
            </w:pPr>
            <w:r w:rsidRPr="00AE7D09">
              <w:rPr>
                <w:rFonts w:ascii="Arial" w:hAnsi="Arial" w:cs="Arial"/>
                <w:sz w:val="18"/>
                <w:szCs w:val="18"/>
              </w:rPr>
              <w:t>Ver Matriz de Medios de Verificación</w:t>
            </w:r>
          </w:p>
        </w:tc>
        <w:tc>
          <w:tcPr>
            <w:tcW w:w="2606" w:type="dxa"/>
            <w:gridSpan w:val="2"/>
            <w:tcBorders>
              <w:top w:val="single" w:sz="4" w:space="0" w:color="000000"/>
              <w:left w:val="single" w:sz="4" w:space="0" w:color="000000"/>
              <w:bottom w:val="single" w:sz="4" w:space="0" w:color="000000"/>
              <w:right w:val="single" w:sz="4" w:space="0" w:color="000000"/>
            </w:tcBorders>
            <w:vAlign w:val="center"/>
          </w:tcPr>
          <w:p w14:paraId="4F7D42B0" w14:textId="77777777" w:rsidR="00BE7361" w:rsidRPr="00A5585F" w:rsidRDefault="00BE7361" w:rsidP="0042004A">
            <w:pPr>
              <w:spacing w:before="120" w:after="120"/>
              <w:jc w:val="both"/>
              <w:rPr>
                <w:rFonts w:ascii="Arial" w:hAnsi="Arial" w:cs="Arial"/>
                <w:sz w:val="18"/>
                <w:szCs w:val="18"/>
              </w:rPr>
            </w:pPr>
          </w:p>
        </w:tc>
      </w:tr>
      <w:tr w:rsidR="00F2727F" w:rsidRPr="00831788" w14:paraId="33E8301B" w14:textId="77777777" w:rsidTr="001865DF">
        <w:trPr>
          <w:trHeight w:val="305"/>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55658D3D" w14:textId="6A1D1200" w:rsidR="00F2727F" w:rsidRPr="00AE7D09" w:rsidRDefault="00BE7361" w:rsidP="00BE5978">
            <w:pPr>
              <w:spacing w:before="120" w:after="120"/>
              <w:ind w:left="360"/>
              <w:rPr>
                <w:rFonts w:ascii="Arial" w:hAnsi="Arial"/>
                <w:b/>
                <w:sz w:val="20"/>
              </w:rPr>
            </w:pPr>
            <w:r>
              <w:rPr>
                <w:rFonts w:ascii="Arial" w:hAnsi="Arial"/>
                <w:b/>
                <w:sz w:val="20"/>
              </w:rPr>
              <w:t xml:space="preserve">b. </w:t>
            </w:r>
            <w:r w:rsidR="00F2727F" w:rsidRPr="00AE7D09">
              <w:rPr>
                <w:rFonts w:ascii="Arial" w:hAnsi="Arial"/>
                <w:b/>
                <w:sz w:val="20"/>
              </w:rPr>
              <w:t>Mejora</w:t>
            </w:r>
            <w:r w:rsidR="00F2727F">
              <w:rPr>
                <w:rFonts w:ascii="Arial" w:hAnsi="Arial"/>
                <w:b/>
                <w:sz w:val="20"/>
              </w:rPr>
              <w:t>r</w:t>
            </w:r>
            <w:r w:rsidR="00F2727F" w:rsidRPr="00AE7D09">
              <w:rPr>
                <w:rFonts w:ascii="Arial" w:hAnsi="Arial"/>
                <w:b/>
                <w:sz w:val="20"/>
              </w:rPr>
              <w:t xml:space="preserve"> </w:t>
            </w:r>
            <w:r w:rsidR="00F2727F">
              <w:rPr>
                <w:rFonts w:ascii="Arial" w:hAnsi="Arial"/>
                <w:b/>
                <w:sz w:val="20"/>
              </w:rPr>
              <w:t>la gestión financiera y la transparencia a nivel nacional y municipal</w:t>
            </w:r>
          </w:p>
        </w:tc>
      </w:tr>
      <w:tr w:rsidR="00BF1395" w:rsidRPr="00831788" w14:paraId="2E21E04D"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6D8A5891" w14:textId="542FE060"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 xml:space="preserve">Tramo 1: Módulo de inventario </w:t>
            </w:r>
            <w:r>
              <w:rPr>
                <w:rFonts w:ascii="Arial" w:hAnsi="Arial" w:cs="Arial"/>
                <w:sz w:val="18"/>
                <w:szCs w:val="18"/>
              </w:rPr>
              <w:t xml:space="preserve">inicial </w:t>
            </w:r>
            <w:r w:rsidRPr="00625AB9">
              <w:rPr>
                <w:rFonts w:ascii="Arial" w:hAnsi="Arial" w:cs="Arial"/>
                <w:sz w:val="18"/>
                <w:szCs w:val="18"/>
              </w:rPr>
              <w:t xml:space="preserve">del SIARE </w:t>
            </w:r>
            <w:proofErr w:type="spellStart"/>
            <w:r w:rsidRPr="00625AB9">
              <w:rPr>
                <w:rFonts w:ascii="Arial" w:hAnsi="Arial" w:cs="Arial"/>
                <w:sz w:val="18"/>
                <w:szCs w:val="18"/>
              </w:rPr>
              <w:t>dise</w:t>
            </w:r>
            <w:r w:rsidRPr="00625AB9">
              <w:rPr>
                <w:rFonts w:ascii="Arial" w:hAnsi="Arial" w:cs="Arial"/>
                <w:sz w:val="18"/>
                <w:szCs w:val="18"/>
                <w:lang w:val="es-419"/>
              </w:rPr>
              <w:t>ñado</w:t>
            </w:r>
            <w:proofErr w:type="spellEnd"/>
            <w:r w:rsidRPr="00625AB9">
              <w:rPr>
                <w:rFonts w:ascii="Arial" w:hAnsi="Arial" w:cs="Arial"/>
                <w:sz w:val="18"/>
                <w:szCs w:val="18"/>
                <w:lang w:val="es-419"/>
              </w:rPr>
              <w:t xml:space="preserve"> e implementado</w:t>
            </w:r>
            <w:r>
              <w:rPr>
                <w:rFonts w:ascii="Arial" w:hAnsi="Arial" w:cs="Arial"/>
                <w:sz w:val="18"/>
                <w:szCs w:val="18"/>
                <w:lang w:val="es-419"/>
              </w:rPr>
              <w:t xml:space="preserve"> en cinco instituciones piloto</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6F74ADEE" w14:textId="4BBFA1F5" w:rsidR="00BF1395" w:rsidRPr="00AE7D09" w:rsidRDefault="00BF1395" w:rsidP="00BF1395">
            <w:pPr>
              <w:spacing w:before="60" w:after="60"/>
              <w:jc w:val="center"/>
              <w:rPr>
                <w:rFonts w:ascii="Arial" w:hAnsi="Arial" w:cs="Arial"/>
                <w:sz w:val="18"/>
                <w:szCs w:val="18"/>
              </w:rPr>
            </w:pPr>
            <w:r>
              <w:rPr>
                <w:rFonts w:ascii="Arial" w:hAnsi="Arial" w:cs="Arial"/>
                <w:sz w:val="18"/>
                <w:szCs w:val="18"/>
              </w:rPr>
              <w:t>Módulo</w:t>
            </w:r>
          </w:p>
        </w:tc>
        <w:tc>
          <w:tcPr>
            <w:tcW w:w="900" w:type="dxa"/>
            <w:tcBorders>
              <w:top w:val="single" w:sz="4" w:space="0" w:color="000000"/>
              <w:left w:val="single" w:sz="4" w:space="0" w:color="000000"/>
              <w:bottom w:val="single" w:sz="4" w:space="0" w:color="000000"/>
              <w:right w:val="single" w:sz="4" w:space="0" w:color="000000"/>
            </w:tcBorders>
            <w:vAlign w:val="center"/>
          </w:tcPr>
          <w:p w14:paraId="6A417C05" w14:textId="11B5211A"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6D3FAFB2" w14:textId="6CC3A7E7"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3F441E60" w14:textId="290D315F"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334E1321" w14:textId="7C34799D"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5540B30D" w14:textId="6427C907" w:rsidR="00BF1395" w:rsidRPr="007E388A" w:rsidRDefault="00BF1395" w:rsidP="00BF1395">
            <w:pPr>
              <w:spacing w:before="60" w:after="60"/>
              <w:jc w:val="center"/>
              <w:rPr>
                <w:rFonts w:ascii="Arial" w:hAnsi="Arial" w:cs="Arial"/>
                <w:sz w:val="18"/>
                <w:szCs w:val="18"/>
              </w:rPr>
            </w:pPr>
            <w:r w:rsidRPr="00BE5978">
              <w:rPr>
                <w:rFonts w:ascii="Arial" w:hAnsi="Arial" w:cs="Arial"/>
                <w:sz w:val="18"/>
                <w:szCs w:val="18"/>
              </w:rPr>
              <w:t xml:space="preserve">Al menos un usuario utiliza el subsistema (software) del SIARE vinculado a inventarios. </w:t>
            </w:r>
          </w:p>
        </w:tc>
      </w:tr>
      <w:tr w:rsidR="00BF1395" w:rsidRPr="00831788" w14:paraId="3720EAA2"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64A6B6FF" w14:textId="696C2A41"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Tramo 2: Módulo de formulación presupuestaria del SIARE diseñado e implementado</w:t>
            </w:r>
            <w:r>
              <w:rPr>
                <w:rFonts w:ascii="Arial" w:hAnsi="Arial" w:cs="Arial"/>
                <w:sz w:val="18"/>
                <w:szCs w:val="18"/>
              </w:rPr>
              <w:t xml:space="preserve"> en la Administración Central</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6AC74A59" w14:textId="759DF3C0" w:rsidR="00BF1395" w:rsidRPr="00AE7D09" w:rsidRDefault="00BF1395" w:rsidP="00BF1395">
            <w:pPr>
              <w:spacing w:before="60" w:after="60"/>
              <w:jc w:val="center"/>
              <w:rPr>
                <w:rFonts w:ascii="Arial" w:hAnsi="Arial" w:cs="Arial"/>
                <w:sz w:val="18"/>
                <w:szCs w:val="18"/>
              </w:rPr>
            </w:pPr>
            <w:r>
              <w:rPr>
                <w:rFonts w:ascii="Arial" w:hAnsi="Arial" w:cs="Arial"/>
                <w:sz w:val="18"/>
                <w:szCs w:val="18"/>
              </w:rPr>
              <w:t>Módulo</w:t>
            </w:r>
          </w:p>
        </w:tc>
        <w:tc>
          <w:tcPr>
            <w:tcW w:w="900" w:type="dxa"/>
            <w:tcBorders>
              <w:top w:val="single" w:sz="4" w:space="0" w:color="000000"/>
              <w:left w:val="single" w:sz="4" w:space="0" w:color="000000"/>
              <w:bottom w:val="single" w:sz="4" w:space="0" w:color="000000"/>
              <w:right w:val="single" w:sz="4" w:space="0" w:color="000000"/>
            </w:tcBorders>
            <w:vAlign w:val="center"/>
          </w:tcPr>
          <w:p w14:paraId="7A7C1FE1" w14:textId="479CFB6B"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06DFFC25" w14:textId="6C661CA6"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59D8BF3A" w14:textId="2465F1E9"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6B2CFF37" w14:textId="75FE36CE"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3847D771" w14:textId="65580EE5" w:rsidR="00BF1395" w:rsidRPr="007E388A" w:rsidRDefault="00BF1395" w:rsidP="00BF1395">
            <w:pPr>
              <w:spacing w:before="60" w:after="60"/>
              <w:jc w:val="center"/>
              <w:rPr>
                <w:rFonts w:ascii="Arial" w:hAnsi="Arial" w:cs="Arial"/>
                <w:sz w:val="18"/>
                <w:szCs w:val="18"/>
              </w:rPr>
            </w:pPr>
            <w:r w:rsidRPr="00BE5978">
              <w:rPr>
                <w:rFonts w:ascii="Arial" w:hAnsi="Arial" w:cs="Arial"/>
                <w:sz w:val="18"/>
                <w:szCs w:val="18"/>
              </w:rPr>
              <w:t>Al menos un usuario utiliza el subsistema (software) del SIARE vinculado a formulación presupuestaria</w:t>
            </w:r>
          </w:p>
        </w:tc>
      </w:tr>
      <w:tr w:rsidR="00BF1395" w:rsidRPr="00831788" w14:paraId="42A70CD5"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04D627DD" w14:textId="348981C2"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Tramo 1: Ley que dispone la adopción del SIAF a nivel municipal</w:t>
            </w:r>
            <w:r>
              <w:rPr>
                <w:rFonts w:ascii="Arial" w:hAnsi="Arial" w:cs="Arial"/>
                <w:sz w:val="18"/>
                <w:szCs w:val="18"/>
              </w:rPr>
              <w:t>, promulgada y publicada</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26C4090D" w14:textId="7E4062F8" w:rsidR="00BF1395" w:rsidRPr="00AE7D09" w:rsidRDefault="00BF1395" w:rsidP="00BF1395">
            <w:pPr>
              <w:spacing w:before="60" w:after="60"/>
              <w:jc w:val="center"/>
              <w:rPr>
                <w:rFonts w:ascii="Arial" w:hAnsi="Arial" w:cs="Arial"/>
                <w:sz w:val="18"/>
                <w:szCs w:val="18"/>
              </w:rPr>
            </w:pPr>
            <w:r>
              <w:rPr>
                <w:rFonts w:ascii="Arial" w:hAnsi="Arial" w:cs="Arial"/>
                <w:sz w:val="18"/>
                <w:szCs w:val="18"/>
              </w:rPr>
              <w:t xml:space="preserve">Ley </w:t>
            </w:r>
          </w:p>
        </w:tc>
        <w:tc>
          <w:tcPr>
            <w:tcW w:w="900" w:type="dxa"/>
            <w:tcBorders>
              <w:top w:val="single" w:sz="4" w:space="0" w:color="000000"/>
              <w:left w:val="single" w:sz="4" w:space="0" w:color="000000"/>
              <w:bottom w:val="single" w:sz="4" w:space="0" w:color="000000"/>
              <w:right w:val="single" w:sz="4" w:space="0" w:color="000000"/>
            </w:tcBorders>
            <w:vAlign w:val="center"/>
          </w:tcPr>
          <w:p w14:paraId="499C014D" w14:textId="36E7EA94"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00EACF0D" w14:textId="7A1F0D59"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4B15E4A9" w14:textId="14500A84"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21F2176A" w14:textId="4BF22DC4"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5F7911A7" w14:textId="77777777" w:rsidR="00BF1395" w:rsidRPr="00AE7D09" w:rsidRDefault="00BF1395" w:rsidP="00BF1395">
            <w:pPr>
              <w:spacing w:before="60" w:after="60"/>
              <w:jc w:val="center"/>
              <w:rPr>
                <w:rFonts w:ascii="Arial" w:hAnsi="Arial" w:cs="Arial"/>
                <w:sz w:val="18"/>
                <w:szCs w:val="18"/>
              </w:rPr>
            </w:pPr>
          </w:p>
        </w:tc>
      </w:tr>
      <w:tr w:rsidR="00BF1395" w:rsidRPr="00831788" w14:paraId="616DDF00"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1DA42711" w14:textId="35DBE4B4"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Tramo 2: Normas y procedimientos vinculados en la forma en que deben adoptar los municipios el SIAF</w:t>
            </w:r>
            <w:r>
              <w:rPr>
                <w:rFonts w:ascii="Arial" w:hAnsi="Arial" w:cs="Arial"/>
                <w:sz w:val="18"/>
                <w:szCs w:val="18"/>
              </w:rPr>
              <w:t>,</w:t>
            </w:r>
            <w:r w:rsidR="00486375">
              <w:rPr>
                <w:rFonts w:ascii="Arial" w:hAnsi="Arial" w:cs="Arial"/>
                <w:sz w:val="18"/>
                <w:szCs w:val="18"/>
              </w:rPr>
              <w:t xml:space="preserve"> emitidos</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3D7B68EE" w14:textId="4FE18C7B" w:rsidR="00BF1395" w:rsidRPr="00AE7D09" w:rsidRDefault="00F2727F" w:rsidP="00BF1395">
            <w:pPr>
              <w:spacing w:before="60" w:after="60"/>
              <w:jc w:val="center"/>
              <w:rPr>
                <w:rFonts w:ascii="Arial" w:hAnsi="Arial" w:cs="Arial"/>
                <w:sz w:val="18"/>
                <w:szCs w:val="18"/>
              </w:rPr>
            </w:pPr>
            <w:r>
              <w:rPr>
                <w:rFonts w:ascii="Arial" w:hAnsi="Arial" w:cs="Arial"/>
                <w:sz w:val="18"/>
                <w:szCs w:val="18"/>
              </w:rPr>
              <w:t xml:space="preserve">Normas y procedimientos </w:t>
            </w:r>
          </w:p>
        </w:tc>
        <w:tc>
          <w:tcPr>
            <w:tcW w:w="900" w:type="dxa"/>
            <w:tcBorders>
              <w:top w:val="single" w:sz="4" w:space="0" w:color="000000"/>
              <w:left w:val="single" w:sz="4" w:space="0" w:color="000000"/>
              <w:bottom w:val="single" w:sz="4" w:space="0" w:color="000000"/>
              <w:right w:val="single" w:sz="4" w:space="0" w:color="000000"/>
            </w:tcBorders>
            <w:vAlign w:val="center"/>
          </w:tcPr>
          <w:p w14:paraId="42753D51" w14:textId="5C3D701B"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26BE1183" w14:textId="3C029247"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64B29432" w14:textId="49B278CC"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31EC388D" w14:textId="5ED0FD21"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4E4252C3" w14:textId="77777777" w:rsidR="00BF1395" w:rsidRPr="00AE7D09" w:rsidRDefault="00BF1395" w:rsidP="00BF1395">
            <w:pPr>
              <w:spacing w:before="60" w:after="60"/>
              <w:jc w:val="center"/>
              <w:rPr>
                <w:rFonts w:ascii="Arial" w:hAnsi="Arial" w:cs="Arial"/>
                <w:sz w:val="18"/>
                <w:szCs w:val="18"/>
              </w:rPr>
            </w:pPr>
          </w:p>
        </w:tc>
      </w:tr>
      <w:tr w:rsidR="00F2727F" w:rsidRPr="00831788" w14:paraId="575C1A1A" w14:textId="77777777" w:rsidTr="001865DF">
        <w:trPr>
          <w:trHeight w:val="242"/>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4F10ECE0" w14:textId="29218C42" w:rsidR="00F2727F" w:rsidRPr="00AE7D09" w:rsidRDefault="00BE7361" w:rsidP="00BE5978">
            <w:pPr>
              <w:spacing w:before="120" w:after="120"/>
              <w:rPr>
                <w:rFonts w:ascii="Arial" w:hAnsi="Arial"/>
                <w:b/>
                <w:sz w:val="20"/>
              </w:rPr>
            </w:pPr>
            <w:r>
              <w:rPr>
                <w:rFonts w:ascii="Arial" w:hAnsi="Arial"/>
                <w:b/>
                <w:sz w:val="20"/>
              </w:rPr>
              <w:lastRenderedPageBreak/>
              <w:t xml:space="preserve">c. </w:t>
            </w:r>
            <w:r w:rsidR="00F2727F">
              <w:rPr>
                <w:rFonts w:ascii="Arial" w:hAnsi="Arial"/>
                <w:b/>
                <w:sz w:val="20"/>
              </w:rPr>
              <w:t>Mejorar la calidad del gasto en sectores prioritarios para el desarrollo económico</w:t>
            </w:r>
          </w:p>
        </w:tc>
      </w:tr>
      <w:tr w:rsidR="00BF1395" w:rsidRPr="00831788" w14:paraId="43B3BF65"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0362314A" w14:textId="3691CD07"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 xml:space="preserve">Tramo </w:t>
            </w:r>
            <w:proofErr w:type="gramStart"/>
            <w:r w:rsidRPr="00625AB9">
              <w:rPr>
                <w:rFonts w:ascii="Arial" w:hAnsi="Arial" w:cs="Arial"/>
                <w:sz w:val="18"/>
                <w:szCs w:val="18"/>
              </w:rPr>
              <w:t>1:.</w:t>
            </w:r>
            <w:proofErr w:type="gramEnd"/>
            <w:r w:rsidRPr="00625AB9">
              <w:rPr>
                <w:rFonts w:ascii="Arial" w:hAnsi="Arial" w:cs="Arial"/>
                <w:sz w:val="18"/>
                <w:szCs w:val="18"/>
              </w:rPr>
              <w:t xml:space="preserve"> </w:t>
            </w:r>
            <w:r w:rsidR="00D0732A">
              <w:rPr>
                <w:rFonts w:ascii="Arial" w:hAnsi="Arial" w:cs="Arial"/>
                <w:sz w:val="18"/>
                <w:szCs w:val="18"/>
              </w:rPr>
              <w:t>Decreto de a</w:t>
            </w:r>
            <w:r w:rsidRPr="00574790">
              <w:rPr>
                <w:rFonts w:ascii="Arial" w:hAnsi="Arial" w:cs="Arial"/>
                <w:sz w:val="18"/>
                <w:szCs w:val="18"/>
              </w:rPr>
              <w:t>decuación al nuevo marco metodológico de los programas de presupuesto por resultados (PPR)</w:t>
            </w:r>
            <w:r>
              <w:rPr>
                <w:rFonts w:ascii="Arial" w:hAnsi="Arial" w:cs="Arial"/>
                <w:sz w:val="18"/>
                <w:szCs w:val="18"/>
              </w:rPr>
              <w:t>, publicad</w:t>
            </w:r>
            <w:r w:rsidR="00486375">
              <w:rPr>
                <w:rFonts w:ascii="Arial" w:hAnsi="Arial" w:cs="Arial"/>
                <w:sz w:val="18"/>
                <w:szCs w:val="18"/>
              </w:rPr>
              <w:t>o.</w:t>
            </w:r>
          </w:p>
        </w:tc>
        <w:tc>
          <w:tcPr>
            <w:tcW w:w="1439" w:type="dxa"/>
            <w:tcBorders>
              <w:top w:val="single" w:sz="4" w:space="0" w:color="000000"/>
              <w:left w:val="single" w:sz="4" w:space="0" w:color="000000"/>
              <w:bottom w:val="single" w:sz="4" w:space="0" w:color="000000"/>
              <w:right w:val="single" w:sz="4" w:space="0" w:color="000000"/>
            </w:tcBorders>
            <w:vAlign w:val="center"/>
          </w:tcPr>
          <w:p w14:paraId="69098F30" w14:textId="127355F2" w:rsidR="00BF1395" w:rsidRPr="00AE7D09" w:rsidRDefault="00BF1395" w:rsidP="00BF1395">
            <w:pPr>
              <w:spacing w:before="60" w:after="60"/>
              <w:jc w:val="center"/>
              <w:rPr>
                <w:rFonts w:ascii="Arial" w:hAnsi="Arial" w:cs="Arial"/>
                <w:sz w:val="18"/>
                <w:szCs w:val="18"/>
              </w:rPr>
            </w:pPr>
            <w:r>
              <w:rPr>
                <w:rFonts w:ascii="Arial" w:hAnsi="Arial" w:cs="Arial"/>
                <w:sz w:val="18"/>
                <w:szCs w:val="18"/>
              </w:rPr>
              <w:t xml:space="preserve">Decreto </w:t>
            </w:r>
          </w:p>
        </w:tc>
        <w:tc>
          <w:tcPr>
            <w:tcW w:w="900" w:type="dxa"/>
            <w:tcBorders>
              <w:top w:val="single" w:sz="4" w:space="0" w:color="000000"/>
              <w:left w:val="single" w:sz="4" w:space="0" w:color="000000"/>
              <w:bottom w:val="single" w:sz="4" w:space="0" w:color="000000"/>
              <w:right w:val="single" w:sz="4" w:space="0" w:color="000000"/>
            </w:tcBorders>
            <w:vAlign w:val="center"/>
          </w:tcPr>
          <w:p w14:paraId="2EC72431" w14:textId="4993487C"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28C43A07" w14:textId="32508CEC"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0AF2EA4D" w14:textId="573B0556"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24133197" w14:textId="0E4898A6"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0F622861" w14:textId="34696F20" w:rsidR="00BF1395" w:rsidRPr="007E388A" w:rsidRDefault="00BF1395" w:rsidP="00BF1395">
            <w:pPr>
              <w:spacing w:before="60" w:after="60"/>
              <w:jc w:val="center"/>
              <w:rPr>
                <w:rFonts w:ascii="Arial" w:hAnsi="Arial" w:cs="Arial"/>
                <w:sz w:val="18"/>
                <w:szCs w:val="18"/>
              </w:rPr>
            </w:pPr>
            <w:r w:rsidRPr="00BE5978">
              <w:rPr>
                <w:rFonts w:ascii="Arial" w:hAnsi="Arial" w:cs="Arial"/>
                <w:sz w:val="18"/>
                <w:szCs w:val="18"/>
              </w:rPr>
              <w:t>Programas de PPR en sectores prioritarios (educación, salud y protección social), incluyendo información y metas desagregadas en materia de género</w:t>
            </w:r>
          </w:p>
        </w:tc>
      </w:tr>
      <w:tr w:rsidR="00BF1395" w:rsidRPr="00831788" w14:paraId="018FFF3E"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61C25B55" w14:textId="07F3E286"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 xml:space="preserve">Tramo 2: </w:t>
            </w:r>
            <w:r w:rsidR="00486375">
              <w:rPr>
                <w:rFonts w:ascii="Arial" w:hAnsi="Arial" w:cs="Arial"/>
                <w:sz w:val="18"/>
                <w:szCs w:val="18"/>
              </w:rPr>
              <w:t>Informes</w:t>
            </w:r>
            <w:r w:rsidRPr="00625AB9">
              <w:rPr>
                <w:rFonts w:ascii="Arial" w:hAnsi="Arial" w:cs="Arial"/>
                <w:sz w:val="18"/>
                <w:szCs w:val="18"/>
              </w:rPr>
              <w:t xml:space="preserve"> de evaluación de los programas de PPR, publicad</w:t>
            </w:r>
            <w:r w:rsidR="00486375">
              <w:rPr>
                <w:rFonts w:ascii="Arial" w:hAnsi="Arial" w:cs="Arial"/>
                <w:sz w:val="18"/>
                <w:szCs w:val="18"/>
              </w:rPr>
              <w:t>os</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7836BD51" w14:textId="3BE2A2A5" w:rsidR="00BF1395" w:rsidRPr="00AE7D09" w:rsidRDefault="00486375" w:rsidP="00BF1395">
            <w:pPr>
              <w:spacing w:before="60" w:after="60"/>
              <w:jc w:val="center"/>
              <w:rPr>
                <w:rFonts w:ascii="Arial" w:hAnsi="Arial" w:cs="Arial"/>
                <w:sz w:val="18"/>
                <w:szCs w:val="18"/>
              </w:rPr>
            </w:pPr>
            <w:r>
              <w:rPr>
                <w:rFonts w:ascii="Arial" w:hAnsi="Arial" w:cs="Arial"/>
                <w:sz w:val="18"/>
                <w:szCs w:val="18"/>
              </w:rPr>
              <w:t xml:space="preserve">Informe </w:t>
            </w:r>
          </w:p>
        </w:tc>
        <w:tc>
          <w:tcPr>
            <w:tcW w:w="900" w:type="dxa"/>
            <w:tcBorders>
              <w:top w:val="single" w:sz="4" w:space="0" w:color="000000"/>
              <w:left w:val="single" w:sz="4" w:space="0" w:color="000000"/>
              <w:bottom w:val="single" w:sz="4" w:space="0" w:color="000000"/>
              <w:right w:val="single" w:sz="4" w:space="0" w:color="000000"/>
            </w:tcBorders>
            <w:vAlign w:val="center"/>
          </w:tcPr>
          <w:p w14:paraId="6709CCC7" w14:textId="384784FE"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7E01CDF9" w14:textId="2AC5D5DF"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2647C7F0" w14:textId="02AA9E70"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2ACE0D0B" w14:textId="668CDAAB"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3DD72415" w14:textId="3C46A303" w:rsidR="00BF1395" w:rsidRPr="007E388A" w:rsidRDefault="00BF1395" w:rsidP="00BF1395">
            <w:pPr>
              <w:spacing w:before="60" w:after="60"/>
              <w:jc w:val="center"/>
              <w:rPr>
                <w:rFonts w:ascii="Arial" w:hAnsi="Arial" w:cs="Arial"/>
                <w:sz w:val="18"/>
                <w:szCs w:val="18"/>
              </w:rPr>
            </w:pPr>
            <w:r w:rsidRPr="00BE5978">
              <w:rPr>
                <w:rFonts w:ascii="Arial" w:hAnsi="Arial" w:cs="Arial"/>
                <w:sz w:val="18"/>
                <w:szCs w:val="18"/>
              </w:rPr>
              <w:t>Programas de PPR en sectores prioritarios (educación, salud y protección social), incluyendo información y metas desagregadas en materia de género</w:t>
            </w:r>
          </w:p>
        </w:tc>
      </w:tr>
      <w:tr w:rsidR="00F2727F" w:rsidRPr="00831788" w14:paraId="7E97BF9C" w14:textId="77777777" w:rsidTr="001865DF">
        <w:trPr>
          <w:trHeight w:val="242"/>
        </w:trPr>
        <w:tc>
          <w:tcPr>
            <w:tcW w:w="13320" w:type="dxa"/>
            <w:gridSpan w:val="9"/>
            <w:tcBorders>
              <w:top w:val="single" w:sz="4" w:space="0" w:color="000000"/>
              <w:left w:val="single" w:sz="4" w:space="0" w:color="000000"/>
              <w:bottom w:val="single" w:sz="4" w:space="0" w:color="000000"/>
              <w:right w:val="single" w:sz="4" w:space="0" w:color="000000"/>
            </w:tcBorders>
            <w:vAlign w:val="center"/>
          </w:tcPr>
          <w:p w14:paraId="0C3F9730" w14:textId="4396AA93" w:rsidR="00F2727F" w:rsidRPr="00AE7D09" w:rsidRDefault="00BE7361" w:rsidP="00BE5978">
            <w:pPr>
              <w:spacing w:before="120" w:after="120"/>
              <w:rPr>
                <w:rFonts w:ascii="Arial" w:hAnsi="Arial"/>
                <w:b/>
                <w:sz w:val="20"/>
              </w:rPr>
            </w:pPr>
            <w:r>
              <w:rPr>
                <w:rFonts w:ascii="Arial" w:hAnsi="Arial"/>
                <w:b/>
                <w:sz w:val="20"/>
              </w:rPr>
              <w:t xml:space="preserve">d. </w:t>
            </w:r>
            <w:r w:rsidR="00F2727F">
              <w:rPr>
                <w:rFonts w:ascii="Arial" w:hAnsi="Arial"/>
                <w:b/>
                <w:sz w:val="20"/>
              </w:rPr>
              <w:t>Mejorar la calidad de la inversión pública</w:t>
            </w:r>
          </w:p>
        </w:tc>
      </w:tr>
      <w:tr w:rsidR="00BF1395" w:rsidRPr="00831788" w14:paraId="41C1BF0B"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1E9ED1B3" w14:textId="41DAB00F" w:rsidR="00BF1395" w:rsidRPr="00625AB9" w:rsidRDefault="00BF1395" w:rsidP="00BF1395">
            <w:pPr>
              <w:spacing w:before="60" w:after="60"/>
              <w:rPr>
                <w:rFonts w:ascii="Arial" w:hAnsi="Arial" w:cs="Arial"/>
                <w:sz w:val="18"/>
                <w:szCs w:val="18"/>
              </w:rPr>
            </w:pPr>
            <w:bookmarkStart w:id="3" w:name="_Hlk488941966"/>
            <w:r w:rsidRPr="00625AB9">
              <w:rPr>
                <w:rFonts w:ascii="Arial" w:hAnsi="Arial" w:cs="Arial"/>
                <w:sz w:val="18"/>
                <w:szCs w:val="18"/>
              </w:rPr>
              <w:t>Tramo 1: Ley de Inversión Pública</w:t>
            </w:r>
            <w:r>
              <w:rPr>
                <w:rFonts w:ascii="Arial" w:hAnsi="Arial" w:cs="Arial"/>
                <w:sz w:val="18"/>
                <w:szCs w:val="18"/>
              </w:rPr>
              <w:t>, promulgada y publicada</w:t>
            </w:r>
            <w:r w:rsidRPr="00625AB9">
              <w:rPr>
                <w:rFonts w:ascii="Arial" w:hAnsi="Arial" w:cs="Arial"/>
                <w:sz w:val="18"/>
                <w:szCs w:val="18"/>
              </w:rPr>
              <w:t>.</w:t>
            </w:r>
            <w:bookmarkEnd w:id="3"/>
          </w:p>
        </w:tc>
        <w:tc>
          <w:tcPr>
            <w:tcW w:w="1439" w:type="dxa"/>
            <w:tcBorders>
              <w:top w:val="single" w:sz="4" w:space="0" w:color="000000"/>
              <w:left w:val="single" w:sz="4" w:space="0" w:color="000000"/>
              <w:bottom w:val="single" w:sz="4" w:space="0" w:color="000000"/>
              <w:right w:val="single" w:sz="4" w:space="0" w:color="000000"/>
            </w:tcBorders>
            <w:vAlign w:val="center"/>
          </w:tcPr>
          <w:p w14:paraId="4DDF9239" w14:textId="261E66E4" w:rsidR="00BF1395" w:rsidRPr="00AE7D09" w:rsidRDefault="00BF1395" w:rsidP="00BF1395">
            <w:pPr>
              <w:spacing w:before="60" w:after="60"/>
              <w:jc w:val="center"/>
              <w:rPr>
                <w:rFonts w:ascii="Arial" w:hAnsi="Arial" w:cs="Arial"/>
                <w:sz w:val="18"/>
                <w:szCs w:val="18"/>
              </w:rPr>
            </w:pPr>
            <w:r>
              <w:rPr>
                <w:rFonts w:ascii="Arial" w:hAnsi="Arial" w:cs="Arial"/>
                <w:sz w:val="18"/>
                <w:szCs w:val="18"/>
              </w:rPr>
              <w:t xml:space="preserve">Ley </w:t>
            </w:r>
          </w:p>
        </w:tc>
        <w:tc>
          <w:tcPr>
            <w:tcW w:w="900" w:type="dxa"/>
            <w:tcBorders>
              <w:top w:val="single" w:sz="4" w:space="0" w:color="000000"/>
              <w:left w:val="single" w:sz="4" w:space="0" w:color="000000"/>
              <w:bottom w:val="single" w:sz="4" w:space="0" w:color="000000"/>
              <w:right w:val="single" w:sz="4" w:space="0" w:color="000000"/>
            </w:tcBorders>
            <w:vAlign w:val="center"/>
          </w:tcPr>
          <w:p w14:paraId="14F97884" w14:textId="01DF9A72"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41911155" w14:textId="7A34B485"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7552B840" w14:textId="52FE397F"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01736F4E" w14:textId="7DF08C2F"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4481C725" w14:textId="103ED91E" w:rsidR="00BF1395" w:rsidRPr="007E388A" w:rsidRDefault="00BF1395" w:rsidP="00BF1395">
            <w:pPr>
              <w:spacing w:before="60" w:after="60"/>
              <w:jc w:val="center"/>
              <w:rPr>
                <w:rFonts w:ascii="Arial" w:hAnsi="Arial" w:cs="Arial"/>
                <w:sz w:val="18"/>
                <w:szCs w:val="18"/>
              </w:rPr>
            </w:pPr>
            <w:r w:rsidRPr="00BE5978">
              <w:rPr>
                <w:rFonts w:ascii="Arial" w:hAnsi="Arial" w:cs="Arial"/>
                <w:sz w:val="18"/>
                <w:szCs w:val="18"/>
              </w:rPr>
              <w:t>Incluye, entre otros, el diseño de un plan de inversiones y la conformación de un fondo de preinversión</w:t>
            </w:r>
          </w:p>
        </w:tc>
      </w:tr>
      <w:tr w:rsidR="00BF1395" w:rsidRPr="00831788" w14:paraId="527A911D" w14:textId="77777777" w:rsidTr="00BE5978">
        <w:trPr>
          <w:trHeight w:val="242"/>
        </w:trPr>
        <w:tc>
          <w:tcPr>
            <w:tcW w:w="5127" w:type="dxa"/>
            <w:tcBorders>
              <w:top w:val="single" w:sz="4" w:space="0" w:color="000000"/>
              <w:left w:val="single" w:sz="4" w:space="0" w:color="000000"/>
              <w:bottom w:val="single" w:sz="4" w:space="0" w:color="000000"/>
              <w:right w:val="single" w:sz="4" w:space="0" w:color="000000"/>
            </w:tcBorders>
            <w:vAlign w:val="center"/>
          </w:tcPr>
          <w:p w14:paraId="40CADDD1" w14:textId="0EFA2107" w:rsidR="00BF1395" w:rsidRPr="00625AB9" w:rsidRDefault="00BF1395" w:rsidP="00BF1395">
            <w:pPr>
              <w:spacing w:before="60" w:after="60"/>
              <w:rPr>
                <w:rFonts w:ascii="Arial" w:hAnsi="Arial" w:cs="Arial"/>
                <w:sz w:val="18"/>
                <w:szCs w:val="18"/>
              </w:rPr>
            </w:pPr>
            <w:r w:rsidRPr="00625AB9">
              <w:rPr>
                <w:rFonts w:ascii="Arial" w:hAnsi="Arial" w:cs="Arial"/>
                <w:sz w:val="18"/>
                <w:szCs w:val="18"/>
              </w:rPr>
              <w:t>Tramo 2: Reglamento de la ley de inversión pública</w:t>
            </w:r>
            <w:r>
              <w:rPr>
                <w:rFonts w:ascii="Arial" w:hAnsi="Arial" w:cs="Arial"/>
                <w:sz w:val="18"/>
                <w:szCs w:val="18"/>
              </w:rPr>
              <w:t>, publicado</w:t>
            </w:r>
            <w:r w:rsidRPr="00625AB9">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41AC6614" w14:textId="775DF870" w:rsidR="00BF1395" w:rsidRPr="00AE7D09" w:rsidRDefault="00BF1395" w:rsidP="00BF1395">
            <w:pPr>
              <w:spacing w:before="60" w:after="60"/>
              <w:jc w:val="center"/>
              <w:rPr>
                <w:rFonts w:ascii="Arial" w:hAnsi="Arial" w:cs="Arial"/>
                <w:sz w:val="18"/>
                <w:szCs w:val="18"/>
              </w:rPr>
            </w:pPr>
            <w:r>
              <w:rPr>
                <w:rFonts w:ascii="Arial" w:hAnsi="Arial" w:cs="Arial"/>
                <w:sz w:val="18"/>
                <w:szCs w:val="18"/>
              </w:rPr>
              <w:t>Reglamento</w:t>
            </w:r>
          </w:p>
        </w:tc>
        <w:tc>
          <w:tcPr>
            <w:tcW w:w="900" w:type="dxa"/>
            <w:tcBorders>
              <w:top w:val="single" w:sz="4" w:space="0" w:color="000000"/>
              <w:left w:val="single" w:sz="4" w:space="0" w:color="000000"/>
              <w:bottom w:val="single" w:sz="4" w:space="0" w:color="000000"/>
              <w:right w:val="single" w:sz="4" w:space="0" w:color="000000"/>
            </w:tcBorders>
            <w:vAlign w:val="center"/>
          </w:tcPr>
          <w:p w14:paraId="0DD4EE3A" w14:textId="08F65055"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3CC3DC32" w14:textId="6C747F27" w:rsidR="00BF1395" w:rsidRPr="00AE7D09" w:rsidRDefault="00BF1395" w:rsidP="00BF1395">
            <w:pPr>
              <w:spacing w:before="60" w:after="60"/>
              <w:jc w:val="center"/>
              <w:rPr>
                <w:rFonts w:ascii="Arial" w:hAnsi="Arial" w:cs="Arial"/>
                <w:sz w:val="18"/>
                <w:szCs w:val="18"/>
              </w:rPr>
            </w:pPr>
            <w:r>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40E33BB0" w14:textId="4C3EF6CD"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1</w:t>
            </w:r>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68759A63" w14:textId="268EE539" w:rsidR="00BF1395" w:rsidRPr="00AE7D09" w:rsidRDefault="00BF1395" w:rsidP="00BF1395">
            <w:pPr>
              <w:spacing w:before="60" w:after="60"/>
              <w:jc w:val="center"/>
              <w:rPr>
                <w:rFonts w:ascii="Arial" w:hAnsi="Arial" w:cs="Arial"/>
                <w:sz w:val="18"/>
                <w:szCs w:val="18"/>
              </w:rPr>
            </w:pPr>
            <w:r w:rsidRPr="00AE7D09">
              <w:rPr>
                <w:rFonts w:ascii="Arial" w:hAnsi="Arial" w:cs="Arial"/>
                <w:sz w:val="18"/>
                <w:szCs w:val="18"/>
              </w:rPr>
              <w:t>Ver Matriz de Medios de Verificación</w:t>
            </w:r>
          </w:p>
        </w:tc>
        <w:tc>
          <w:tcPr>
            <w:tcW w:w="2435" w:type="dxa"/>
            <w:gridSpan w:val="2"/>
            <w:tcBorders>
              <w:top w:val="single" w:sz="4" w:space="0" w:color="000000"/>
              <w:left w:val="single" w:sz="4" w:space="0" w:color="000000"/>
              <w:bottom w:val="single" w:sz="4" w:space="0" w:color="000000"/>
              <w:right w:val="single" w:sz="4" w:space="0" w:color="000000"/>
            </w:tcBorders>
            <w:vAlign w:val="center"/>
          </w:tcPr>
          <w:p w14:paraId="02B0C4CD" w14:textId="52FC91E0" w:rsidR="00BF1395" w:rsidRPr="007E388A" w:rsidRDefault="00BF1395" w:rsidP="00BF1395">
            <w:pPr>
              <w:spacing w:before="60" w:after="60"/>
              <w:jc w:val="center"/>
              <w:rPr>
                <w:rFonts w:ascii="Arial" w:hAnsi="Arial" w:cs="Arial"/>
                <w:sz w:val="18"/>
                <w:szCs w:val="18"/>
              </w:rPr>
            </w:pPr>
            <w:r w:rsidRPr="00BE5978">
              <w:rPr>
                <w:rFonts w:ascii="Arial" w:hAnsi="Arial" w:cs="Arial"/>
                <w:sz w:val="18"/>
                <w:szCs w:val="18"/>
              </w:rPr>
              <w:t>Incluye, entre otros, el diseño de un plan de inversiones y la conformación de un fondo de preinversión</w:t>
            </w:r>
          </w:p>
        </w:tc>
      </w:tr>
    </w:tbl>
    <w:p w14:paraId="431DD88F" w14:textId="77777777" w:rsidR="00F2727F" w:rsidRPr="00F2727F" w:rsidRDefault="00F2727F" w:rsidP="00F2727F">
      <w:pPr>
        <w:rPr>
          <w:lang w:val="es-ES"/>
        </w:rPr>
      </w:pPr>
    </w:p>
    <w:p w14:paraId="6B09BA51" w14:textId="77777777" w:rsidR="00155EEA" w:rsidRDefault="00155EEA">
      <w:pPr>
        <w:pStyle w:val="FirstHeading"/>
        <w:spacing w:after="0"/>
        <w:rPr>
          <w:rFonts w:ascii="Arial" w:hAnsi="Arial" w:cs="Arial"/>
          <w:sz w:val="22"/>
          <w:szCs w:val="22"/>
        </w:rPr>
        <w:sectPr w:rsidR="00155EEA" w:rsidSect="00416162">
          <w:pgSz w:w="15840" w:h="12240" w:orient="landscape" w:code="1"/>
          <w:pgMar w:top="1800" w:right="1440" w:bottom="1800" w:left="1440" w:header="706" w:footer="706" w:gutter="0"/>
          <w:cols w:space="720"/>
          <w:formProt w:val="0"/>
          <w:titlePg/>
        </w:sectPr>
      </w:pPr>
    </w:p>
    <w:p w14:paraId="25F1CBB1" w14:textId="77777777" w:rsidR="00155EEA" w:rsidRDefault="00C2392C">
      <w:pPr>
        <w:pStyle w:val="FirstHeading"/>
        <w:spacing w:after="0"/>
        <w:rPr>
          <w:rFonts w:ascii="Arial" w:hAnsi="Arial" w:cs="Arial"/>
          <w:sz w:val="22"/>
          <w:szCs w:val="22"/>
        </w:rPr>
      </w:pPr>
      <w:bookmarkStart w:id="4" w:name="_Toc508105577"/>
      <w:r>
        <w:rPr>
          <w:rFonts w:ascii="Arial" w:hAnsi="Arial" w:cs="Arial"/>
          <w:sz w:val="22"/>
          <w:szCs w:val="22"/>
        </w:rPr>
        <w:lastRenderedPageBreak/>
        <w:t>B.</w:t>
      </w:r>
      <w:r>
        <w:rPr>
          <w:rFonts w:ascii="Arial" w:hAnsi="Arial" w:cs="Arial"/>
          <w:sz w:val="22"/>
          <w:szCs w:val="22"/>
        </w:rPr>
        <w:tab/>
      </w:r>
      <w:r>
        <w:rPr>
          <w:rFonts w:ascii="Arial" w:hAnsi="Arial" w:cs="Arial"/>
          <w:sz w:val="22"/>
          <w:szCs w:val="22"/>
        </w:rPr>
        <w:t>Recolección de Datos e Instrumentos</w:t>
      </w:r>
      <w:bookmarkEnd w:id="4"/>
    </w:p>
    <w:p w14:paraId="48200870" w14:textId="77777777" w:rsidR="00155EEA" w:rsidRDefault="00C2392C" w:rsidP="006930D9">
      <w:pPr>
        <w:pStyle w:val="Paragraph"/>
        <w:tabs>
          <w:tab w:val="clear" w:pos="2448"/>
        </w:tabs>
        <w:spacing w:after="0"/>
        <w:ind w:left="720" w:hanging="720"/>
        <w:rPr>
          <w:rFonts w:ascii="Arial" w:hAnsi="Arial" w:cs="Arial"/>
          <w:sz w:val="22"/>
          <w:szCs w:val="22"/>
        </w:rPr>
      </w:pPr>
      <w:r>
        <w:rPr>
          <w:rFonts w:ascii="Arial" w:hAnsi="Arial" w:cs="Arial"/>
          <w:color w:val="000000"/>
          <w:sz w:val="22"/>
          <w:szCs w:val="22"/>
        </w:rPr>
        <w:t xml:space="preserve">A nivel de productos, la información será presentada por el MH al BID, como parte del proceso de elaboración del informe de cumplimiento de los compromisos contractuales. En dicho informe se verificará el avance o el cumplimiento de cada uno de los indicadores de producto durante el período evaluado y se presentará la documentación de respaldo correspondiente (por ejemplo, evidencia de la publicación de la normativa correspondiente en el Diario Oficial). </w:t>
      </w:r>
    </w:p>
    <w:p w14:paraId="0FF080F0" w14:textId="77777777" w:rsidR="00155EEA" w:rsidRDefault="56D17B07" w:rsidP="006930D9">
      <w:pPr>
        <w:pStyle w:val="Paragraph"/>
        <w:tabs>
          <w:tab w:val="clear" w:pos="2448"/>
        </w:tabs>
        <w:spacing w:after="0"/>
        <w:ind w:left="720" w:hanging="720"/>
        <w:rPr>
          <w:rFonts w:ascii="Arial" w:hAnsi="Arial" w:cs="Arial"/>
          <w:sz w:val="22"/>
          <w:szCs w:val="22"/>
        </w:rPr>
      </w:pPr>
      <w:r w:rsidRPr="56D17B07">
        <w:rPr>
          <w:rFonts w:ascii="Arial" w:hAnsi="Arial" w:cs="Arial"/>
          <w:color w:val="000000" w:themeColor="text1"/>
          <w:sz w:val="22"/>
          <w:szCs w:val="22"/>
        </w:rPr>
        <w:t>Para el monitoreo de los resultados, se utilizará la información publicada en medios oficiales por parte del MH.</w:t>
      </w:r>
    </w:p>
    <w:p w14:paraId="188F3F45" w14:textId="77777777" w:rsidR="00155EEA" w:rsidRDefault="00C2392C">
      <w:pPr>
        <w:pStyle w:val="FirstHeading"/>
        <w:spacing w:before="240" w:after="0"/>
        <w:rPr>
          <w:rFonts w:ascii="Arial" w:hAnsi="Arial" w:cs="Arial"/>
          <w:noProof/>
          <w:sz w:val="22"/>
          <w:szCs w:val="22"/>
        </w:rPr>
      </w:pPr>
      <w:bookmarkStart w:id="5" w:name="_Toc508105578"/>
      <w:r>
        <w:rPr>
          <w:rFonts w:ascii="Arial" w:hAnsi="Arial" w:cs="Arial"/>
          <w:sz w:val="22"/>
          <w:szCs w:val="22"/>
        </w:rPr>
        <w:t>C.</w:t>
      </w:r>
      <w:r>
        <w:rPr>
          <w:rFonts w:ascii="Arial" w:hAnsi="Arial" w:cs="Arial"/>
          <w:sz w:val="22"/>
          <w:szCs w:val="22"/>
        </w:rPr>
        <w:tab/>
      </w:r>
      <w:r>
        <w:rPr>
          <w:rFonts w:ascii="Arial" w:hAnsi="Arial" w:cs="Arial"/>
          <w:sz w:val="22"/>
          <w:szCs w:val="22"/>
        </w:rPr>
        <w:t>Presentación de Informes</w:t>
      </w:r>
      <w:bookmarkEnd w:id="5"/>
    </w:p>
    <w:p w14:paraId="4A7B09DD" w14:textId="77777777" w:rsidR="00155EEA" w:rsidRDefault="56D17B07" w:rsidP="006930D9">
      <w:pPr>
        <w:pStyle w:val="Paragraph"/>
        <w:tabs>
          <w:tab w:val="clear" w:pos="2448"/>
        </w:tabs>
        <w:spacing w:after="0"/>
        <w:ind w:left="720" w:hanging="720"/>
        <w:rPr>
          <w:rFonts w:ascii="Arial" w:hAnsi="Arial" w:cs="Arial"/>
          <w:sz w:val="22"/>
          <w:szCs w:val="22"/>
        </w:rPr>
      </w:pPr>
      <w:r w:rsidRPr="56D17B07">
        <w:rPr>
          <w:rFonts w:ascii="Arial" w:hAnsi="Arial" w:cs="Arial"/>
          <w:color w:val="000000" w:themeColor="text1"/>
          <w:sz w:val="22"/>
          <w:szCs w:val="22"/>
        </w:rPr>
        <w:t>El principal insumo de monitoreo de la operación será el informe de cumplimiento de los compromisos contractuales del préstamo, a ser entregado posteriormente a la aprobación del Programa por parte del Directorio del Banco, y previo al desembolso de los recursos del préstamo. Este informe deberá verificar el cumplimiento de los compromisos definidos para esta operación en la Matriz de Políticas (ver Anexo II).</w:t>
      </w:r>
    </w:p>
    <w:p w14:paraId="6D364E48" w14:textId="77777777" w:rsidR="00155EEA" w:rsidRDefault="00C2392C" w:rsidP="006930D9">
      <w:pPr>
        <w:pStyle w:val="Paragraph"/>
        <w:tabs>
          <w:tab w:val="clear" w:pos="2448"/>
        </w:tabs>
        <w:spacing w:after="0"/>
        <w:ind w:left="720" w:hanging="720"/>
        <w:rPr>
          <w:rFonts w:ascii="Arial" w:hAnsi="Arial" w:cs="Arial"/>
          <w:sz w:val="22"/>
          <w:szCs w:val="22"/>
        </w:rPr>
      </w:pPr>
      <w:r>
        <w:rPr>
          <w:rFonts w:ascii="Arial" w:hAnsi="Arial" w:cs="Arial"/>
          <w:color w:val="000000"/>
          <w:sz w:val="22"/>
          <w:szCs w:val="22"/>
        </w:rPr>
        <w:t>La evaluación final del programa se realizará al finalizar el plazo de ejecución de</w:t>
      </w:r>
      <w:r w:rsidR="00C10502">
        <w:rPr>
          <w:rFonts w:ascii="Arial" w:hAnsi="Arial" w:cs="Arial"/>
          <w:color w:val="000000"/>
          <w:sz w:val="22"/>
          <w:szCs w:val="22"/>
        </w:rPr>
        <w:t>l PBL</w:t>
      </w:r>
      <w:r>
        <w:rPr>
          <w:rFonts w:ascii="Arial" w:hAnsi="Arial" w:cs="Arial"/>
          <w:color w:val="000000"/>
          <w:sz w:val="22"/>
          <w:szCs w:val="22"/>
        </w:rPr>
        <w:t xml:space="preserve"> y examinará los resultados alcanzados por el programa, medidos en cuanto al logro de las metas y desempeño de los indicadores establecidos en la Matriz de Resultados y los indicadores del cuadro 3</w:t>
      </w:r>
      <w:r w:rsidR="00C10502">
        <w:rPr>
          <w:rFonts w:ascii="Arial" w:hAnsi="Arial" w:cs="Arial"/>
          <w:color w:val="000000"/>
          <w:sz w:val="22"/>
          <w:szCs w:val="22"/>
        </w:rPr>
        <w:t xml:space="preserve"> (ver debajo)</w:t>
      </w:r>
      <w:r>
        <w:rPr>
          <w:rFonts w:ascii="Arial" w:hAnsi="Arial" w:cs="Arial"/>
          <w:color w:val="000000"/>
          <w:sz w:val="22"/>
          <w:szCs w:val="22"/>
        </w:rPr>
        <w:t>.</w:t>
      </w:r>
      <w:r w:rsidR="00C10502">
        <w:rPr>
          <w:rFonts w:ascii="Arial" w:hAnsi="Arial" w:cs="Arial"/>
          <w:color w:val="000000"/>
          <w:sz w:val="22"/>
          <w:szCs w:val="22"/>
        </w:rPr>
        <w:t xml:space="preserve"> </w:t>
      </w:r>
    </w:p>
    <w:p w14:paraId="576608AE" w14:textId="77777777" w:rsidR="00155EEA" w:rsidRDefault="00C2392C">
      <w:pPr>
        <w:pStyle w:val="FirstHeading"/>
        <w:spacing w:before="240" w:after="0"/>
        <w:rPr>
          <w:rFonts w:ascii="Arial" w:hAnsi="Arial" w:cs="Arial"/>
          <w:noProof/>
          <w:sz w:val="22"/>
          <w:szCs w:val="22"/>
        </w:rPr>
      </w:pPr>
      <w:bookmarkStart w:id="6" w:name="_Toc508105579"/>
      <w:r>
        <w:rPr>
          <w:rFonts w:ascii="Arial" w:hAnsi="Arial" w:cs="Arial"/>
          <w:sz w:val="22"/>
          <w:szCs w:val="22"/>
        </w:rPr>
        <w:t>D.</w:t>
      </w:r>
      <w:r>
        <w:rPr>
          <w:rFonts w:ascii="Arial" w:hAnsi="Arial" w:cs="Arial"/>
          <w:sz w:val="22"/>
          <w:szCs w:val="22"/>
        </w:rPr>
        <w:tab/>
      </w:r>
      <w:r>
        <w:rPr>
          <w:rFonts w:ascii="Arial" w:hAnsi="Arial" w:cs="Arial"/>
          <w:sz w:val="22"/>
          <w:szCs w:val="22"/>
        </w:rPr>
        <w:t>Coordinación, Plan de Trabajo y Presupuesto del Seguimiento</w:t>
      </w:r>
      <w:bookmarkEnd w:id="6"/>
    </w:p>
    <w:p w14:paraId="0067E40A" w14:textId="77777777" w:rsidR="00155EEA" w:rsidRDefault="00C2392C" w:rsidP="006930D9">
      <w:pPr>
        <w:pStyle w:val="Paragraph"/>
        <w:tabs>
          <w:tab w:val="clear" w:pos="2448"/>
        </w:tabs>
        <w:spacing w:after="0"/>
        <w:ind w:left="720" w:hanging="720"/>
        <w:rPr>
          <w:rFonts w:ascii="Arial" w:hAnsi="Arial" w:cs="Arial"/>
          <w:color w:val="000000"/>
          <w:sz w:val="22"/>
          <w:szCs w:val="22"/>
        </w:rPr>
      </w:pPr>
      <w:r>
        <w:rPr>
          <w:rFonts w:ascii="Arial" w:hAnsi="Arial" w:cs="Arial"/>
          <w:color w:val="000000"/>
          <w:sz w:val="22"/>
          <w:szCs w:val="22"/>
        </w:rPr>
        <w:t xml:space="preserve">Las actividades de monitoreo y elaboración de informes serán coordinadas por el equipo de proyecto de este programa en conjunto con el MH, con quienes se ha acordado monitorear los indicadores propuestos en este Programa. Se planea realizar </w:t>
      </w:r>
      <w:r w:rsidR="00FA02D9">
        <w:rPr>
          <w:rFonts w:ascii="Arial" w:hAnsi="Arial" w:cs="Arial"/>
          <w:color w:val="000000"/>
          <w:sz w:val="22"/>
          <w:szCs w:val="22"/>
        </w:rPr>
        <w:t>misiones de supervisión semestrales</w:t>
      </w:r>
      <w:r>
        <w:rPr>
          <w:rFonts w:ascii="Arial" w:hAnsi="Arial" w:cs="Arial"/>
          <w:color w:val="000000"/>
          <w:sz w:val="22"/>
          <w:szCs w:val="22"/>
        </w:rPr>
        <w:t xml:space="preserve"> para la discusión del progreso de los indicadores de monitoreo y la verificación del cumplimiento de los mecanismos activadores de</w:t>
      </w:r>
      <w:r w:rsidR="00E63613">
        <w:rPr>
          <w:rFonts w:ascii="Arial" w:hAnsi="Arial" w:cs="Arial"/>
          <w:color w:val="000000"/>
          <w:sz w:val="22"/>
          <w:szCs w:val="22"/>
        </w:rPr>
        <w:t xml:space="preserve"> </w:t>
      </w:r>
      <w:r w:rsidR="00CB50C8">
        <w:rPr>
          <w:rFonts w:ascii="Arial" w:hAnsi="Arial" w:cs="Arial"/>
          <w:color w:val="000000"/>
          <w:sz w:val="22"/>
          <w:szCs w:val="22"/>
        </w:rPr>
        <w:t xml:space="preserve">los </w:t>
      </w:r>
      <w:r w:rsidR="00E63613">
        <w:rPr>
          <w:rFonts w:ascii="Arial" w:hAnsi="Arial" w:cs="Arial"/>
          <w:color w:val="000000"/>
          <w:sz w:val="22"/>
          <w:szCs w:val="22"/>
        </w:rPr>
        <w:t>tramos de desembolso</w:t>
      </w:r>
      <w:r w:rsidR="00CB50C8">
        <w:rPr>
          <w:rFonts w:ascii="Arial" w:hAnsi="Arial" w:cs="Arial"/>
          <w:color w:val="000000"/>
          <w:sz w:val="22"/>
          <w:szCs w:val="22"/>
        </w:rPr>
        <w:t xml:space="preserve"> definidos en </w:t>
      </w:r>
      <w:r>
        <w:rPr>
          <w:rFonts w:ascii="Arial" w:hAnsi="Arial" w:cs="Arial"/>
          <w:color w:val="000000"/>
          <w:sz w:val="22"/>
          <w:szCs w:val="22"/>
        </w:rPr>
        <w:t xml:space="preserve">la Matriz de Políticas. </w:t>
      </w:r>
    </w:p>
    <w:p w14:paraId="2CA40B88" w14:textId="77777777" w:rsidR="00155EEA" w:rsidRDefault="00C2392C" w:rsidP="006930D9">
      <w:pPr>
        <w:pStyle w:val="Paragraph"/>
        <w:tabs>
          <w:tab w:val="clear" w:pos="2448"/>
        </w:tabs>
        <w:spacing w:after="0"/>
        <w:ind w:left="720" w:hanging="720"/>
        <w:rPr>
          <w:rFonts w:ascii="Arial" w:hAnsi="Arial" w:cs="Arial"/>
          <w:color w:val="000000"/>
          <w:sz w:val="22"/>
          <w:szCs w:val="22"/>
        </w:rPr>
      </w:pPr>
      <w:r>
        <w:rPr>
          <w:rFonts w:ascii="Arial" w:hAnsi="Arial" w:cs="Arial"/>
          <w:color w:val="000000"/>
          <w:sz w:val="22"/>
          <w:szCs w:val="22"/>
        </w:rPr>
        <w:t>El MH proveerá los datos para las evaluaciones</w:t>
      </w:r>
      <w:r w:rsidR="00B91AB1">
        <w:rPr>
          <w:rFonts w:ascii="Arial" w:hAnsi="Arial" w:cs="Arial"/>
          <w:color w:val="000000"/>
          <w:sz w:val="22"/>
          <w:szCs w:val="22"/>
        </w:rPr>
        <w:t xml:space="preserve">, que serán </w:t>
      </w:r>
      <w:r>
        <w:rPr>
          <w:rFonts w:ascii="Arial" w:hAnsi="Arial" w:cs="Arial"/>
          <w:color w:val="000000"/>
          <w:sz w:val="22"/>
          <w:szCs w:val="22"/>
        </w:rPr>
        <w:t xml:space="preserve">realizadas por </w:t>
      </w:r>
      <w:r w:rsidR="00B91AB1">
        <w:rPr>
          <w:rFonts w:ascii="Arial" w:hAnsi="Arial" w:cs="Arial"/>
          <w:color w:val="000000"/>
          <w:sz w:val="22"/>
          <w:szCs w:val="22"/>
        </w:rPr>
        <w:t xml:space="preserve">el </w:t>
      </w:r>
      <w:r>
        <w:rPr>
          <w:rFonts w:ascii="Arial" w:hAnsi="Arial" w:cs="Arial"/>
          <w:color w:val="000000"/>
          <w:sz w:val="22"/>
          <w:szCs w:val="22"/>
        </w:rPr>
        <w:t>BID</w:t>
      </w:r>
      <w:r w:rsidR="00B91AB1">
        <w:rPr>
          <w:rFonts w:ascii="Arial" w:hAnsi="Arial" w:cs="Arial"/>
          <w:color w:val="000000"/>
          <w:sz w:val="22"/>
          <w:szCs w:val="22"/>
        </w:rPr>
        <w:t>, financiadas con recursos administrativos</w:t>
      </w:r>
      <w:r>
        <w:rPr>
          <w:rFonts w:ascii="Arial" w:hAnsi="Arial" w:cs="Arial"/>
          <w:color w:val="000000"/>
          <w:sz w:val="22"/>
          <w:szCs w:val="22"/>
        </w:rPr>
        <w:t xml:space="preserve">.  </w:t>
      </w:r>
    </w:p>
    <w:p w14:paraId="2C5B2737" w14:textId="77777777" w:rsidR="00155EEA" w:rsidRDefault="00C2392C">
      <w:pPr>
        <w:spacing w:before="240" w:after="40"/>
        <w:jc w:val="center"/>
        <w:rPr>
          <w:rFonts w:ascii="Arial" w:hAnsi="Arial" w:cs="Arial"/>
          <w:b/>
          <w:sz w:val="22"/>
          <w:szCs w:val="22"/>
          <w:lang w:val="es-ES"/>
        </w:rPr>
      </w:pPr>
      <w:r>
        <w:rPr>
          <w:rFonts w:ascii="Arial" w:hAnsi="Arial" w:cs="Arial"/>
          <w:b/>
          <w:sz w:val="22"/>
          <w:szCs w:val="22"/>
          <w:lang w:val="es-ES"/>
        </w:rPr>
        <w:t xml:space="preserve">Cuadro 2: </w:t>
      </w:r>
      <w:r>
        <w:rPr>
          <w:rFonts w:ascii="Arial" w:hAnsi="Arial" w:cs="Arial"/>
          <w:b/>
          <w:bCs/>
          <w:color w:val="000000"/>
          <w:sz w:val="22"/>
          <w:szCs w:val="22"/>
          <w:lang w:val="es-ES"/>
        </w:rPr>
        <w:t>Principales actividades de seguimiento/Productos por actividad</w:t>
      </w:r>
    </w:p>
    <w:tbl>
      <w:tblPr>
        <w:tblW w:w="8464" w:type="dxa"/>
        <w:jc w:val="center"/>
        <w:tblLayout w:type="fixed"/>
        <w:tblLook w:val="04A0" w:firstRow="1" w:lastRow="0" w:firstColumn="1" w:lastColumn="0" w:noHBand="0" w:noVBand="1"/>
      </w:tblPr>
      <w:tblGrid>
        <w:gridCol w:w="1790"/>
        <w:gridCol w:w="720"/>
        <w:gridCol w:w="720"/>
        <w:gridCol w:w="720"/>
        <w:gridCol w:w="1530"/>
        <w:gridCol w:w="1260"/>
        <w:gridCol w:w="1724"/>
      </w:tblGrid>
      <w:tr w:rsidR="006930D9" w14:paraId="44A70765" w14:textId="77777777" w:rsidTr="006930D9">
        <w:trPr>
          <w:trHeight w:val="980"/>
          <w:tblHeader/>
          <w:jc w:val="center"/>
        </w:trPr>
        <w:tc>
          <w:tcPr>
            <w:tcW w:w="179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3FFC43CB" w14:textId="77777777" w:rsidR="00CE4F09" w:rsidRDefault="00CE4F09">
            <w:pPr>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720" w:type="dxa"/>
            <w:tcBorders>
              <w:top w:val="single" w:sz="8" w:space="0" w:color="000000"/>
              <w:left w:val="nil"/>
              <w:bottom w:val="single" w:sz="8" w:space="0" w:color="000000"/>
              <w:right w:val="single" w:sz="8" w:space="0" w:color="000000"/>
            </w:tcBorders>
            <w:shd w:val="clear" w:color="000000" w:fill="8DB3E2"/>
            <w:vAlign w:val="center"/>
            <w:hideMark/>
          </w:tcPr>
          <w:p w14:paraId="4BC1A247" w14:textId="77777777" w:rsidR="00CE4F09" w:rsidRDefault="00CE4F09">
            <w:pPr>
              <w:jc w:val="center"/>
              <w:rPr>
                <w:rFonts w:ascii="Arial" w:hAnsi="Arial" w:cs="Arial"/>
                <w:b/>
                <w:bCs/>
                <w:color w:val="000000"/>
                <w:sz w:val="20"/>
                <w:lang w:val="en-US"/>
              </w:rPr>
            </w:pPr>
            <w:r>
              <w:rPr>
                <w:rFonts w:ascii="Arial" w:hAnsi="Arial" w:cs="Arial"/>
                <w:b/>
                <w:bCs/>
                <w:color w:val="000000"/>
                <w:sz w:val="20"/>
                <w:lang w:val="es-ES"/>
              </w:rPr>
              <w:t>2019</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259449F1" w14:textId="77777777" w:rsidR="00CE4F09" w:rsidRDefault="00CE4F09">
            <w:pPr>
              <w:jc w:val="center"/>
              <w:rPr>
                <w:rFonts w:ascii="Arial" w:hAnsi="Arial" w:cs="Arial"/>
                <w:b/>
                <w:bCs/>
                <w:color w:val="000000"/>
                <w:sz w:val="20"/>
                <w:lang w:val="es-ES"/>
              </w:rPr>
            </w:pPr>
            <w:r>
              <w:rPr>
                <w:rFonts w:ascii="Arial" w:hAnsi="Arial" w:cs="Arial"/>
                <w:b/>
                <w:bCs/>
                <w:color w:val="000000"/>
                <w:sz w:val="20"/>
                <w:lang w:val="es-ES"/>
              </w:rPr>
              <w:t>2020</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44E56F34" w14:textId="77777777" w:rsidR="00CE4F09" w:rsidRDefault="00CE4F09">
            <w:pPr>
              <w:jc w:val="center"/>
              <w:rPr>
                <w:rFonts w:ascii="Arial" w:hAnsi="Arial" w:cs="Arial"/>
                <w:b/>
                <w:bCs/>
                <w:color w:val="000000"/>
                <w:sz w:val="20"/>
                <w:lang w:val="es-ES"/>
              </w:rPr>
            </w:pPr>
            <w:r>
              <w:rPr>
                <w:rFonts w:ascii="Arial" w:hAnsi="Arial" w:cs="Arial"/>
                <w:b/>
                <w:bCs/>
                <w:color w:val="000000"/>
                <w:sz w:val="20"/>
                <w:lang w:val="es-ES"/>
              </w:rPr>
              <w:t>2021</w:t>
            </w:r>
          </w:p>
        </w:tc>
        <w:tc>
          <w:tcPr>
            <w:tcW w:w="153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30E7F0C3" w14:textId="50493B1C" w:rsidR="00CE4F09" w:rsidRDefault="00CE4F09">
            <w:pPr>
              <w:jc w:val="center"/>
              <w:rPr>
                <w:rFonts w:ascii="Arial" w:hAnsi="Arial" w:cs="Arial"/>
                <w:b/>
                <w:bCs/>
                <w:color w:val="000000"/>
                <w:sz w:val="20"/>
                <w:lang w:val="en-US"/>
              </w:rPr>
            </w:pPr>
            <w:r>
              <w:rPr>
                <w:rFonts w:ascii="Arial" w:hAnsi="Arial" w:cs="Arial"/>
                <w:b/>
                <w:bCs/>
                <w:color w:val="000000"/>
                <w:sz w:val="20"/>
                <w:lang w:val="es-ES"/>
              </w:rPr>
              <w:t>Responsable</w:t>
            </w:r>
          </w:p>
        </w:tc>
        <w:tc>
          <w:tcPr>
            <w:tcW w:w="1260" w:type="dxa"/>
            <w:tcBorders>
              <w:top w:val="single" w:sz="8" w:space="0" w:color="000000"/>
              <w:left w:val="nil"/>
              <w:bottom w:val="single" w:sz="8" w:space="0" w:color="000000"/>
              <w:right w:val="single" w:sz="8" w:space="0" w:color="000000"/>
            </w:tcBorders>
            <w:shd w:val="clear" w:color="000000" w:fill="8DB3E2"/>
            <w:vAlign w:val="center"/>
            <w:hideMark/>
          </w:tcPr>
          <w:p w14:paraId="4D0C3EA2" w14:textId="17AA6D0A" w:rsidR="00CE4F09" w:rsidRDefault="00CE4F09" w:rsidP="006930D9">
            <w:pPr>
              <w:ind w:left="-50"/>
              <w:jc w:val="center"/>
              <w:rPr>
                <w:rFonts w:ascii="Arial" w:hAnsi="Arial" w:cs="Arial"/>
                <w:b/>
                <w:bCs/>
                <w:color w:val="000000"/>
                <w:sz w:val="20"/>
                <w:lang w:val="en-US"/>
              </w:rPr>
            </w:pPr>
            <w:r>
              <w:rPr>
                <w:rFonts w:ascii="Arial" w:hAnsi="Arial" w:cs="Arial"/>
                <w:b/>
                <w:bCs/>
                <w:color w:val="000000"/>
                <w:sz w:val="20"/>
                <w:lang w:val="es-ES"/>
              </w:rPr>
              <w:t>Costo US$</w:t>
            </w:r>
          </w:p>
        </w:tc>
        <w:tc>
          <w:tcPr>
            <w:tcW w:w="1724"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69CBA5DD" w14:textId="0025DB8C" w:rsidR="00CE4F09" w:rsidRDefault="00CE4F09">
            <w:pPr>
              <w:jc w:val="center"/>
              <w:rPr>
                <w:rFonts w:ascii="Arial" w:hAnsi="Arial" w:cs="Arial"/>
                <w:b/>
                <w:bCs/>
                <w:color w:val="000000"/>
                <w:sz w:val="20"/>
                <w:lang w:val="en-US"/>
              </w:rPr>
            </w:pPr>
            <w:r>
              <w:rPr>
                <w:rFonts w:ascii="Arial" w:hAnsi="Arial" w:cs="Arial"/>
                <w:b/>
                <w:bCs/>
                <w:color w:val="000000"/>
                <w:sz w:val="20"/>
                <w:lang w:val="es-ES"/>
              </w:rPr>
              <w:t>Financiamiento</w:t>
            </w:r>
          </w:p>
        </w:tc>
      </w:tr>
      <w:tr w:rsidR="006930D9" w14:paraId="64D74E1F" w14:textId="77777777" w:rsidTr="006930D9">
        <w:trPr>
          <w:trHeight w:val="315"/>
          <w:jc w:val="center"/>
        </w:trPr>
        <w:tc>
          <w:tcPr>
            <w:tcW w:w="17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3500F0" w14:textId="77777777" w:rsidR="00155EEA" w:rsidRDefault="00C2392C">
            <w:pPr>
              <w:rPr>
                <w:rFonts w:ascii="Arial" w:hAnsi="Arial" w:cs="Arial"/>
                <w:color w:val="000000"/>
                <w:sz w:val="20"/>
                <w:lang w:val="es-ES"/>
              </w:rPr>
            </w:pPr>
            <w:r>
              <w:rPr>
                <w:rFonts w:ascii="Arial" w:hAnsi="Arial" w:cs="Arial"/>
                <w:color w:val="000000"/>
                <w:sz w:val="20"/>
                <w:lang w:val="es-ES"/>
              </w:rPr>
              <w:t>Misiones de Supervisión</w:t>
            </w:r>
          </w:p>
        </w:tc>
        <w:tc>
          <w:tcPr>
            <w:tcW w:w="720" w:type="dxa"/>
            <w:tcBorders>
              <w:top w:val="single" w:sz="8" w:space="0" w:color="000000"/>
              <w:left w:val="single" w:sz="8" w:space="0" w:color="000000"/>
              <w:bottom w:val="single" w:sz="4" w:space="0" w:color="000000"/>
              <w:right w:val="single" w:sz="8" w:space="0" w:color="000000"/>
            </w:tcBorders>
            <w:shd w:val="clear" w:color="auto" w:fill="auto"/>
            <w:vAlign w:val="center"/>
          </w:tcPr>
          <w:p w14:paraId="6B71D9B7" w14:textId="77777777" w:rsidR="00155EEA" w:rsidRDefault="007F2C8E">
            <w:pPr>
              <w:jc w:val="center"/>
              <w:rPr>
                <w:rFonts w:ascii="Arial" w:hAnsi="Arial" w:cs="Arial"/>
                <w:color w:val="000000"/>
                <w:sz w:val="20"/>
                <w:lang w:val="en-US"/>
              </w:rPr>
            </w:pPr>
            <w:r>
              <w:rPr>
                <w:rFonts w:ascii="Arial" w:hAnsi="Arial" w:cs="Arial"/>
                <w:color w:val="000000"/>
                <w:sz w:val="20"/>
                <w:lang w:val="en-US"/>
              </w:rPr>
              <w:t>2</w:t>
            </w:r>
          </w:p>
        </w:tc>
        <w:tc>
          <w:tcPr>
            <w:tcW w:w="720" w:type="dxa"/>
            <w:tcBorders>
              <w:top w:val="single" w:sz="8" w:space="0" w:color="000000"/>
              <w:left w:val="single" w:sz="8" w:space="0" w:color="000000"/>
              <w:bottom w:val="single" w:sz="8" w:space="0" w:color="000000"/>
              <w:right w:val="single" w:sz="8" w:space="0" w:color="000000"/>
            </w:tcBorders>
            <w:vAlign w:val="center"/>
          </w:tcPr>
          <w:p w14:paraId="09BA3C4B" w14:textId="77777777" w:rsidR="00155EEA" w:rsidRDefault="007F2C8E">
            <w:pPr>
              <w:jc w:val="center"/>
              <w:rPr>
                <w:rFonts w:ascii="Arial" w:hAnsi="Arial" w:cs="Arial"/>
                <w:color w:val="000000"/>
                <w:sz w:val="22"/>
                <w:szCs w:val="22"/>
                <w:lang w:val="es-ES"/>
              </w:rPr>
            </w:pPr>
            <w:r w:rsidRPr="00F02AD5">
              <w:rPr>
                <w:rFonts w:ascii="Arial" w:hAnsi="Arial" w:cs="Arial"/>
                <w:color w:val="000000"/>
                <w:sz w:val="20"/>
                <w:lang w:val="en-US"/>
              </w:rPr>
              <w:t>2</w:t>
            </w:r>
          </w:p>
        </w:tc>
        <w:tc>
          <w:tcPr>
            <w:tcW w:w="720" w:type="dxa"/>
            <w:tcBorders>
              <w:top w:val="single" w:sz="8" w:space="0" w:color="000000"/>
              <w:left w:val="single" w:sz="8" w:space="0" w:color="000000"/>
              <w:bottom w:val="single" w:sz="8" w:space="0" w:color="000000"/>
              <w:right w:val="single" w:sz="8" w:space="0" w:color="000000"/>
            </w:tcBorders>
            <w:vAlign w:val="center"/>
          </w:tcPr>
          <w:p w14:paraId="48A7B1A2" w14:textId="77777777" w:rsidR="00155EEA" w:rsidRDefault="00C2392C">
            <w:pPr>
              <w:jc w:val="center"/>
              <w:rPr>
                <w:rFonts w:ascii="Arial" w:hAnsi="Arial" w:cs="Arial"/>
                <w:color w:val="000000"/>
                <w:sz w:val="20"/>
                <w:lang w:val="es-ES"/>
              </w:rPr>
            </w:pPr>
            <w:r>
              <w:rPr>
                <w:rFonts w:ascii="Arial" w:hAnsi="Arial" w:cs="Arial"/>
                <w:color w:val="000000"/>
                <w:sz w:val="20"/>
                <w:lang w:val="es-ES"/>
              </w:rPr>
              <w:t>1</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566A04" w14:textId="77777777" w:rsidR="00155EEA" w:rsidRDefault="00C2392C">
            <w:pPr>
              <w:jc w:val="center"/>
              <w:rPr>
                <w:rFonts w:ascii="Arial" w:hAnsi="Arial" w:cs="Arial"/>
                <w:color w:val="000000"/>
                <w:sz w:val="20"/>
                <w:lang w:val="es-ES"/>
              </w:rPr>
            </w:pPr>
            <w:r>
              <w:rPr>
                <w:rFonts w:ascii="Arial" w:hAnsi="Arial" w:cs="Arial"/>
                <w:color w:val="000000"/>
                <w:sz w:val="20"/>
                <w:lang w:val="es-ES"/>
              </w:rPr>
              <w:t>BID</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622E174F" w14:textId="47644534" w:rsidR="00155EEA" w:rsidRDefault="00F02AD5" w:rsidP="006930D9">
            <w:pPr>
              <w:ind w:right="220"/>
              <w:jc w:val="right"/>
              <w:rPr>
                <w:rFonts w:ascii="Arial" w:hAnsi="Arial" w:cs="Arial"/>
                <w:color w:val="000000"/>
                <w:sz w:val="20"/>
                <w:lang w:val="en-US"/>
              </w:rPr>
            </w:pPr>
            <w:r>
              <w:rPr>
                <w:rFonts w:ascii="Arial" w:hAnsi="Arial" w:cs="Arial"/>
                <w:color w:val="000000"/>
                <w:sz w:val="20"/>
                <w:lang w:val="en-US"/>
              </w:rPr>
              <w:t>25</w:t>
            </w:r>
            <w:r w:rsidR="00CE4F09">
              <w:rPr>
                <w:rFonts w:ascii="Arial" w:hAnsi="Arial" w:cs="Arial"/>
                <w:color w:val="000000"/>
                <w:sz w:val="20"/>
                <w:lang w:val="en-US"/>
              </w:rPr>
              <w:t>.</w:t>
            </w:r>
            <w:r w:rsidR="00C2392C">
              <w:rPr>
                <w:rFonts w:ascii="Arial" w:hAnsi="Arial" w:cs="Arial"/>
                <w:color w:val="000000"/>
                <w:sz w:val="20"/>
                <w:lang w:val="en-US"/>
              </w:rPr>
              <w:t>000</w:t>
            </w:r>
          </w:p>
        </w:tc>
        <w:tc>
          <w:tcPr>
            <w:tcW w:w="1724" w:type="dxa"/>
            <w:tcBorders>
              <w:top w:val="single" w:sz="8" w:space="0" w:color="000000"/>
              <w:left w:val="nil"/>
              <w:bottom w:val="single" w:sz="8" w:space="0" w:color="000000"/>
              <w:right w:val="single" w:sz="8" w:space="0" w:color="000000"/>
            </w:tcBorders>
            <w:shd w:val="clear" w:color="auto" w:fill="auto"/>
            <w:vAlign w:val="center"/>
          </w:tcPr>
          <w:p w14:paraId="1D411535" w14:textId="77777777" w:rsidR="00155EEA" w:rsidRDefault="00C2392C">
            <w:pPr>
              <w:jc w:val="center"/>
              <w:rPr>
                <w:rFonts w:ascii="Arial" w:hAnsi="Arial" w:cs="Arial"/>
                <w:color w:val="000000"/>
                <w:sz w:val="20"/>
                <w:lang w:val="en-US"/>
              </w:rPr>
            </w:pPr>
            <w:r>
              <w:rPr>
                <w:rFonts w:ascii="Arial" w:hAnsi="Arial" w:cs="Arial"/>
                <w:color w:val="000000"/>
                <w:sz w:val="20"/>
                <w:lang w:val="en-US"/>
              </w:rPr>
              <w:t>BID</w:t>
            </w:r>
          </w:p>
        </w:tc>
      </w:tr>
      <w:tr w:rsidR="006930D9" w14:paraId="5B14DE3B" w14:textId="77777777" w:rsidTr="006930D9">
        <w:trPr>
          <w:trHeight w:val="315"/>
          <w:jc w:val="center"/>
        </w:trPr>
        <w:tc>
          <w:tcPr>
            <w:tcW w:w="1790" w:type="dxa"/>
            <w:tcBorders>
              <w:top w:val="nil"/>
              <w:left w:val="single" w:sz="8" w:space="0" w:color="000000"/>
              <w:bottom w:val="single" w:sz="8" w:space="0" w:color="000000"/>
              <w:right w:val="single" w:sz="8" w:space="0" w:color="000000"/>
            </w:tcBorders>
            <w:shd w:val="clear" w:color="auto" w:fill="auto"/>
            <w:vAlign w:val="center"/>
            <w:hideMark/>
          </w:tcPr>
          <w:p w14:paraId="32DCDA1F" w14:textId="77777777" w:rsidR="00155EEA" w:rsidRDefault="00C2392C">
            <w:pPr>
              <w:rPr>
                <w:rFonts w:ascii="Arial" w:hAnsi="Arial" w:cs="Arial"/>
                <w:color w:val="000000"/>
                <w:sz w:val="20"/>
                <w:lang w:val="en-US"/>
              </w:rPr>
            </w:pPr>
            <w:r>
              <w:rPr>
                <w:rFonts w:ascii="Arial" w:hAnsi="Arial" w:cs="Arial"/>
                <w:color w:val="000000"/>
                <w:sz w:val="20"/>
                <w:lang w:val="es-ES"/>
              </w:rPr>
              <w:t>Informes de Seguimiento</w:t>
            </w:r>
          </w:p>
        </w:tc>
        <w:tc>
          <w:tcPr>
            <w:tcW w:w="720" w:type="dxa"/>
            <w:tcBorders>
              <w:top w:val="nil"/>
              <w:left w:val="single" w:sz="8" w:space="0" w:color="000000"/>
              <w:bottom w:val="single" w:sz="4" w:space="0" w:color="000000"/>
              <w:right w:val="single" w:sz="8" w:space="0" w:color="000000"/>
            </w:tcBorders>
            <w:shd w:val="clear" w:color="auto" w:fill="auto"/>
            <w:vAlign w:val="center"/>
          </w:tcPr>
          <w:p w14:paraId="5DA8AF73" w14:textId="77777777" w:rsidR="00155EEA" w:rsidRDefault="007F2C8E">
            <w:pPr>
              <w:jc w:val="center"/>
              <w:rPr>
                <w:rFonts w:ascii="Arial" w:hAnsi="Arial" w:cs="Arial"/>
                <w:color w:val="000000"/>
                <w:sz w:val="20"/>
                <w:lang w:val="en-US"/>
              </w:rPr>
            </w:pPr>
            <w:r>
              <w:rPr>
                <w:rFonts w:ascii="Arial" w:hAnsi="Arial" w:cs="Arial"/>
                <w:color w:val="000000"/>
                <w:sz w:val="20"/>
                <w:lang w:val="en-US"/>
              </w:rPr>
              <w:t>2</w:t>
            </w:r>
          </w:p>
        </w:tc>
        <w:tc>
          <w:tcPr>
            <w:tcW w:w="720" w:type="dxa"/>
            <w:tcBorders>
              <w:top w:val="nil"/>
              <w:left w:val="single" w:sz="8" w:space="0" w:color="000000"/>
              <w:bottom w:val="single" w:sz="8" w:space="0" w:color="000000"/>
              <w:right w:val="single" w:sz="8" w:space="0" w:color="000000"/>
            </w:tcBorders>
          </w:tcPr>
          <w:p w14:paraId="2B5FC6F7" w14:textId="77777777" w:rsidR="00155EEA" w:rsidRDefault="00155EEA">
            <w:pPr>
              <w:jc w:val="center"/>
              <w:rPr>
                <w:rFonts w:ascii="Arial" w:hAnsi="Arial" w:cs="Arial"/>
                <w:color w:val="000000"/>
                <w:sz w:val="4"/>
                <w:szCs w:val="4"/>
                <w:lang w:val="es-ES"/>
              </w:rPr>
            </w:pPr>
          </w:p>
          <w:p w14:paraId="1460B2B2" w14:textId="77777777" w:rsidR="00155EEA" w:rsidRDefault="007F2C8E">
            <w:pPr>
              <w:jc w:val="center"/>
              <w:rPr>
                <w:rFonts w:ascii="Arial" w:hAnsi="Arial" w:cs="Arial"/>
                <w:color w:val="000000"/>
                <w:sz w:val="20"/>
                <w:lang w:val="es-ES"/>
              </w:rPr>
            </w:pPr>
            <w:r>
              <w:rPr>
                <w:rFonts w:ascii="Arial" w:hAnsi="Arial" w:cs="Arial"/>
                <w:color w:val="000000"/>
                <w:sz w:val="20"/>
                <w:lang w:val="es-ES"/>
              </w:rPr>
              <w:t>2</w:t>
            </w:r>
          </w:p>
        </w:tc>
        <w:tc>
          <w:tcPr>
            <w:tcW w:w="720" w:type="dxa"/>
            <w:tcBorders>
              <w:top w:val="nil"/>
              <w:left w:val="single" w:sz="8" w:space="0" w:color="000000"/>
              <w:bottom w:val="single" w:sz="8" w:space="0" w:color="000000"/>
              <w:right w:val="single" w:sz="8" w:space="0" w:color="000000"/>
            </w:tcBorders>
            <w:vAlign w:val="center"/>
          </w:tcPr>
          <w:p w14:paraId="5CB41CA5" w14:textId="77777777" w:rsidR="00155EEA" w:rsidRDefault="007F2C8E">
            <w:pPr>
              <w:jc w:val="center"/>
              <w:rPr>
                <w:rFonts w:ascii="Arial" w:hAnsi="Arial" w:cs="Arial"/>
                <w:color w:val="000000"/>
                <w:sz w:val="20"/>
                <w:lang w:val="es-ES"/>
              </w:rPr>
            </w:pPr>
            <w:r>
              <w:rPr>
                <w:rFonts w:ascii="Arial" w:hAnsi="Arial" w:cs="Arial"/>
                <w:color w:val="000000"/>
                <w:sz w:val="20"/>
                <w:lang w:val="es-ES"/>
              </w:rPr>
              <w:t>1</w:t>
            </w:r>
          </w:p>
        </w:tc>
        <w:tc>
          <w:tcPr>
            <w:tcW w:w="1530" w:type="dxa"/>
            <w:tcBorders>
              <w:top w:val="nil"/>
              <w:left w:val="single" w:sz="8" w:space="0" w:color="000000"/>
              <w:bottom w:val="single" w:sz="8" w:space="0" w:color="000000"/>
              <w:right w:val="single" w:sz="8" w:space="0" w:color="000000"/>
            </w:tcBorders>
            <w:shd w:val="clear" w:color="auto" w:fill="auto"/>
            <w:vAlign w:val="center"/>
            <w:hideMark/>
          </w:tcPr>
          <w:p w14:paraId="04BBD8CF" w14:textId="77777777" w:rsidR="00155EEA" w:rsidRDefault="00C2392C">
            <w:pPr>
              <w:jc w:val="center"/>
              <w:rPr>
                <w:rFonts w:ascii="Arial" w:hAnsi="Arial" w:cs="Arial"/>
                <w:color w:val="000000"/>
                <w:sz w:val="20"/>
                <w:lang w:val="en-US"/>
              </w:rPr>
            </w:pPr>
            <w:r>
              <w:rPr>
                <w:rFonts w:ascii="Arial" w:hAnsi="Arial" w:cs="Arial"/>
                <w:color w:val="000000"/>
                <w:sz w:val="20"/>
                <w:lang w:val="es-ES"/>
              </w:rPr>
              <w:t>BID</w:t>
            </w:r>
          </w:p>
        </w:tc>
        <w:tc>
          <w:tcPr>
            <w:tcW w:w="1260" w:type="dxa"/>
            <w:tcBorders>
              <w:top w:val="nil"/>
              <w:left w:val="nil"/>
              <w:bottom w:val="single" w:sz="8" w:space="0" w:color="000000"/>
              <w:right w:val="single" w:sz="8" w:space="0" w:color="000000"/>
            </w:tcBorders>
            <w:shd w:val="clear" w:color="auto" w:fill="auto"/>
            <w:vAlign w:val="center"/>
            <w:hideMark/>
          </w:tcPr>
          <w:p w14:paraId="35794222" w14:textId="77777777" w:rsidR="00155EEA" w:rsidRDefault="00155EEA" w:rsidP="006930D9">
            <w:pPr>
              <w:ind w:right="220"/>
              <w:jc w:val="right"/>
              <w:rPr>
                <w:rFonts w:ascii="Arial" w:hAnsi="Arial" w:cs="Arial"/>
                <w:color w:val="000000"/>
                <w:sz w:val="20"/>
                <w:lang w:val="en-US"/>
              </w:rPr>
            </w:pPr>
          </w:p>
        </w:tc>
        <w:tc>
          <w:tcPr>
            <w:tcW w:w="1724" w:type="dxa"/>
            <w:tcBorders>
              <w:top w:val="nil"/>
              <w:left w:val="nil"/>
              <w:bottom w:val="single" w:sz="8" w:space="0" w:color="000000"/>
              <w:right w:val="single" w:sz="8" w:space="0" w:color="000000"/>
            </w:tcBorders>
            <w:shd w:val="clear" w:color="auto" w:fill="auto"/>
            <w:vAlign w:val="center"/>
            <w:hideMark/>
          </w:tcPr>
          <w:p w14:paraId="07EAF064" w14:textId="77777777" w:rsidR="00155EEA" w:rsidRDefault="00155EEA">
            <w:pPr>
              <w:jc w:val="center"/>
              <w:rPr>
                <w:rFonts w:ascii="Arial" w:hAnsi="Arial" w:cs="Arial"/>
                <w:color w:val="000000"/>
                <w:sz w:val="20"/>
                <w:lang w:val="en-US"/>
              </w:rPr>
            </w:pPr>
          </w:p>
        </w:tc>
      </w:tr>
      <w:tr w:rsidR="006930D9" w14:paraId="14007B3A" w14:textId="77777777" w:rsidTr="006930D9">
        <w:trPr>
          <w:trHeight w:val="525"/>
          <w:jc w:val="center"/>
        </w:trPr>
        <w:tc>
          <w:tcPr>
            <w:tcW w:w="17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9E5639" w14:textId="77777777" w:rsidR="00155EEA" w:rsidRDefault="00C2392C">
            <w:pPr>
              <w:rPr>
                <w:rFonts w:ascii="Arial" w:hAnsi="Arial" w:cs="Arial"/>
                <w:b/>
                <w:color w:val="000000"/>
                <w:sz w:val="20"/>
                <w:lang w:val="es-ES"/>
              </w:rPr>
            </w:pPr>
            <w:r>
              <w:rPr>
                <w:rFonts w:ascii="Arial" w:hAnsi="Arial" w:cs="Arial"/>
                <w:b/>
                <w:color w:val="000000"/>
                <w:sz w:val="20"/>
                <w:lang w:val="es-ES"/>
              </w:rPr>
              <w:t>Total</w:t>
            </w:r>
          </w:p>
        </w:tc>
        <w:tc>
          <w:tcPr>
            <w:tcW w:w="7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5EABEA" w14:textId="77777777" w:rsidR="00155EEA" w:rsidRDefault="00155EEA">
            <w:pPr>
              <w:jc w:val="right"/>
              <w:rPr>
                <w:rFonts w:ascii="Arial" w:hAnsi="Arial" w:cs="Arial"/>
                <w:b/>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tcPr>
          <w:p w14:paraId="45F5F65E" w14:textId="77777777" w:rsidR="00155EEA" w:rsidRDefault="00155EEA">
            <w:pPr>
              <w:rPr>
                <w:rFonts w:ascii="Arial" w:hAnsi="Arial" w:cs="Arial"/>
                <w:b/>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07F93D22" w14:textId="77777777" w:rsidR="00155EEA" w:rsidRDefault="00155EEA">
            <w:pPr>
              <w:rPr>
                <w:rFonts w:ascii="Arial" w:hAnsi="Arial" w:cs="Arial"/>
                <w:b/>
                <w:color w:val="000000"/>
                <w:sz w:val="20"/>
                <w:lang w:val="es-ES"/>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AAF1AD" w14:textId="77777777" w:rsidR="00155EEA" w:rsidRDefault="00155EEA">
            <w:pPr>
              <w:jc w:val="center"/>
              <w:rPr>
                <w:rFonts w:ascii="Arial" w:hAnsi="Arial" w:cs="Arial"/>
                <w:b/>
                <w:color w:val="000000"/>
                <w:sz w:val="20"/>
                <w:lang w:val="es-ES"/>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06801E" w14:textId="6CBFB055" w:rsidR="00155EEA" w:rsidRDefault="00F02AD5" w:rsidP="006930D9">
            <w:pPr>
              <w:ind w:right="220"/>
              <w:jc w:val="right"/>
              <w:rPr>
                <w:rFonts w:ascii="Arial" w:hAnsi="Arial" w:cs="Arial"/>
                <w:b/>
                <w:color w:val="000000"/>
                <w:sz w:val="20"/>
                <w:lang w:val="en-US"/>
              </w:rPr>
            </w:pPr>
            <w:r>
              <w:rPr>
                <w:rFonts w:ascii="Arial" w:hAnsi="Arial" w:cs="Arial"/>
                <w:b/>
                <w:color w:val="000000"/>
                <w:sz w:val="20"/>
                <w:lang w:val="en-US"/>
              </w:rPr>
              <w:t>2</w:t>
            </w:r>
            <w:r w:rsidR="00C2392C">
              <w:rPr>
                <w:rFonts w:ascii="Arial" w:hAnsi="Arial" w:cs="Arial"/>
                <w:b/>
                <w:color w:val="000000"/>
                <w:sz w:val="20"/>
                <w:lang w:val="en-US"/>
              </w:rPr>
              <w:t>5</w:t>
            </w:r>
            <w:r w:rsidR="00CE4F09">
              <w:rPr>
                <w:rFonts w:ascii="Arial" w:hAnsi="Arial" w:cs="Arial"/>
                <w:b/>
                <w:color w:val="000000"/>
                <w:sz w:val="20"/>
                <w:lang w:val="en-US"/>
              </w:rPr>
              <w:t>.</w:t>
            </w:r>
            <w:r w:rsidR="00C2392C">
              <w:rPr>
                <w:rFonts w:ascii="Arial" w:hAnsi="Arial" w:cs="Arial"/>
                <w:b/>
                <w:color w:val="000000"/>
                <w:sz w:val="20"/>
                <w:lang w:val="en-US"/>
              </w:rPr>
              <w:t>000</w:t>
            </w:r>
          </w:p>
        </w:tc>
        <w:tc>
          <w:tcPr>
            <w:tcW w:w="17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6DEBEC" w14:textId="77777777" w:rsidR="00155EEA" w:rsidRDefault="00C2392C">
            <w:pPr>
              <w:jc w:val="center"/>
              <w:rPr>
                <w:rFonts w:ascii="Arial" w:hAnsi="Arial" w:cs="Arial"/>
                <w:color w:val="000000"/>
                <w:sz w:val="20"/>
                <w:lang w:val="en-US"/>
              </w:rPr>
            </w:pPr>
            <w:r>
              <w:rPr>
                <w:rFonts w:ascii="Arial" w:hAnsi="Arial" w:cs="Arial"/>
                <w:color w:val="000000"/>
                <w:sz w:val="20"/>
                <w:lang w:val="en-US"/>
              </w:rPr>
              <w:t>BID</w:t>
            </w:r>
          </w:p>
        </w:tc>
      </w:tr>
    </w:tbl>
    <w:p w14:paraId="71842647" w14:textId="77777777" w:rsidR="00155EEA" w:rsidRDefault="00C2392C" w:rsidP="006930D9">
      <w:pPr>
        <w:pStyle w:val="Chapter"/>
        <w:tabs>
          <w:tab w:val="clear" w:pos="1440"/>
          <w:tab w:val="clear" w:pos="1800"/>
        </w:tabs>
        <w:spacing w:before="360"/>
        <w:ind w:left="0" w:firstLine="0"/>
        <w:rPr>
          <w:rFonts w:ascii="Arial" w:hAnsi="Arial" w:cs="Arial"/>
          <w:szCs w:val="22"/>
        </w:rPr>
      </w:pPr>
      <w:bookmarkStart w:id="7" w:name="_Toc508105580"/>
      <w:r>
        <w:rPr>
          <w:rFonts w:ascii="Arial" w:hAnsi="Arial" w:cs="Arial"/>
          <w:szCs w:val="22"/>
        </w:rPr>
        <w:lastRenderedPageBreak/>
        <w:t>Evaluación</w:t>
      </w:r>
      <w:bookmarkEnd w:id="7"/>
    </w:p>
    <w:p w14:paraId="75BD5EB3" w14:textId="77777777" w:rsidR="00155EEA" w:rsidRDefault="00C2392C">
      <w:pPr>
        <w:pStyle w:val="FirstHeading"/>
        <w:spacing w:after="0"/>
        <w:rPr>
          <w:rFonts w:ascii="Arial" w:hAnsi="Arial" w:cs="Arial"/>
          <w:noProof/>
          <w:sz w:val="22"/>
          <w:szCs w:val="22"/>
        </w:rPr>
      </w:pPr>
      <w:bookmarkStart w:id="8" w:name="_Toc508105581"/>
      <w:r>
        <w:rPr>
          <w:rFonts w:ascii="Arial" w:hAnsi="Arial" w:cs="Arial"/>
          <w:sz w:val="22"/>
          <w:szCs w:val="22"/>
        </w:rPr>
        <w:t>A.</w:t>
      </w:r>
      <w:r>
        <w:rPr>
          <w:rFonts w:ascii="Arial" w:hAnsi="Arial" w:cs="Arial"/>
          <w:sz w:val="22"/>
          <w:szCs w:val="22"/>
        </w:rPr>
        <w:tab/>
      </w:r>
      <w:r>
        <w:rPr>
          <w:rFonts w:ascii="Arial" w:hAnsi="Arial" w:cs="Arial"/>
          <w:noProof/>
          <w:sz w:val="22"/>
          <w:szCs w:val="22"/>
        </w:rPr>
        <w:t>Principales Preguntas de la Evaluación</w:t>
      </w:r>
      <w:bookmarkEnd w:id="8"/>
    </w:p>
    <w:p w14:paraId="7CE6E6A5" w14:textId="77777777" w:rsidR="00155EEA" w:rsidRDefault="00C2392C" w:rsidP="006930D9">
      <w:pPr>
        <w:pStyle w:val="Paragraph"/>
        <w:tabs>
          <w:tab w:val="clear" w:pos="2448"/>
        </w:tabs>
        <w:spacing w:after="0"/>
        <w:ind w:left="720" w:hanging="756"/>
        <w:rPr>
          <w:rFonts w:ascii="Arial" w:hAnsi="Arial" w:cs="Arial"/>
          <w:sz w:val="22"/>
          <w:szCs w:val="22"/>
        </w:rPr>
      </w:pPr>
      <w:r>
        <w:rPr>
          <w:rFonts w:ascii="Arial" w:hAnsi="Arial" w:cs="Arial"/>
          <w:sz w:val="22"/>
          <w:szCs w:val="22"/>
        </w:rPr>
        <w:t xml:space="preserve">El objetivo de </w:t>
      </w:r>
      <w:r w:rsidR="00BF3467">
        <w:rPr>
          <w:rFonts w:ascii="Arial" w:hAnsi="Arial" w:cs="Arial"/>
          <w:sz w:val="22"/>
          <w:szCs w:val="22"/>
        </w:rPr>
        <w:t xml:space="preserve">este PBL es mejorar la gestión de las finanzas públicas a través de: (i) consolidar el marco </w:t>
      </w:r>
      <w:proofErr w:type="spellStart"/>
      <w:r w:rsidR="00BF3467">
        <w:rPr>
          <w:rFonts w:ascii="Arial" w:hAnsi="Arial" w:cs="Arial"/>
          <w:sz w:val="22"/>
          <w:szCs w:val="22"/>
        </w:rPr>
        <w:t>macro-fiscal</w:t>
      </w:r>
      <w:proofErr w:type="spellEnd"/>
      <w:r w:rsidR="00BF3467">
        <w:rPr>
          <w:rFonts w:ascii="Arial" w:hAnsi="Arial" w:cs="Arial"/>
          <w:sz w:val="22"/>
          <w:szCs w:val="22"/>
        </w:rPr>
        <w:t>; (</w:t>
      </w:r>
      <w:proofErr w:type="spellStart"/>
      <w:r w:rsidR="00BF3467">
        <w:rPr>
          <w:rFonts w:ascii="Arial" w:hAnsi="Arial" w:cs="Arial"/>
          <w:sz w:val="22"/>
          <w:szCs w:val="22"/>
        </w:rPr>
        <w:t>ii</w:t>
      </w:r>
      <w:proofErr w:type="spellEnd"/>
      <w:r w:rsidR="00BF3467">
        <w:rPr>
          <w:rFonts w:ascii="Arial" w:hAnsi="Arial" w:cs="Arial"/>
          <w:sz w:val="22"/>
          <w:szCs w:val="22"/>
        </w:rPr>
        <w:t>) fortalecer la política y la gestión tributaria; y (</w:t>
      </w:r>
      <w:proofErr w:type="spellStart"/>
      <w:r w:rsidR="00BF3467">
        <w:rPr>
          <w:rFonts w:ascii="Arial" w:hAnsi="Arial" w:cs="Arial"/>
          <w:sz w:val="22"/>
          <w:szCs w:val="22"/>
        </w:rPr>
        <w:t>iii</w:t>
      </w:r>
      <w:proofErr w:type="spellEnd"/>
      <w:r w:rsidR="00BF3467">
        <w:rPr>
          <w:rFonts w:ascii="Arial" w:hAnsi="Arial" w:cs="Arial"/>
          <w:sz w:val="22"/>
          <w:szCs w:val="22"/>
        </w:rPr>
        <w:t>) mejorar la gestión del gasto; esto permitirá consolidar la estabilidad macroeconómica, generar más recursos y aplicarlos de manera más efectiva, eficiente y transparente para contribuir al desarrollo sostenible de Paraguay</w:t>
      </w:r>
      <w:r w:rsidR="00BF3467">
        <w:rPr>
          <w:rFonts w:ascii="Arial" w:hAnsi="Arial" w:cs="Arial"/>
          <w:sz w:val="22"/>
          <w:szCs w:val="22"/>
          <w:lang w:val="es-ES_tradnl"/>
        </w:rPr>
        <w:t>.</w:t>
      </w:r>
      <w:r>
        <w:rPr>
          <w:rFonts w:ascii="Arial" w:hAnsi="Arial" w:cs="Arial"/>
          <w:sz w:val="22"/>
          <w:szCs w:val="22"/>
        </w:rPr>
        <w:t xml:space="preserve"> La evaluación final dará cuenta de la evolución de los indicadores de impacto y resultados contemplados en la Matriz de Resultados del programa (Cuadro 3).</w:t>
      </w:r>
    </w:p>
    <w:p w14:paraId="412B3E41" w14:textId="77777777" w:rsidR="00155EEA" w:rsidRDefault="00155EEA">
      <w:pPr>
        <w:pStyle w:val="Paragraph"/>
        <w:numPr>
          <w:ilvl w:val="0"/>
          <w:numId w:val="0"/>
        </w:numPr>
        <w:spacing w:before="360"/>
        <w:ind w:left="720"/>
        <w:jc w:val="center"/>
        <w:rPr>
          <w:rFonts w:ascii="Arial" w:hAnsi="Arial" w:cs="Arial"/>
          <w:sz w:val="22"/>
          <w:szCs w:val="22"/>
        </w:rPr>
        <w:sectPr w:rsidR="00155EEA">
          <w:pgSz w:w="12240" w:h="15840" w:code="1"/>
          <w:pgMar w:top="1440" w:right="1800" w:bottom="1440" w:left="1800" w:header="706" w:footer="706" w:gutter="0"/>
          <w:cols w:space="720"/>
          <w:formProt w:val="0"/>
          <w:titlePg/>
        </w:sectPr>
      </w:pPr>
    </w:p>
    <w:p w14:paraId="33001643" w14:textId="77777777" w:rsidR="00155EEA" w:rsidRDefault="00C2392C">
      <w:pPr>
        <w:pStyle w:val="Paragraph"/>
        <w:numPr>
          <w:ilvl w:val="0"/>
          <w:numId w:val="0"/>
        </w:numPr>
        <w:spacing w:before="360"/>
        <w:ind w:left="720"/>
        <w:jc w:val="center"/>
        <w:rPr>
          <w:rFonts w:ascii="Arial" w:hAnsi="Arial" w:cs="Arial"/>
          <w:b/>
          <w:sz w:val="20"/>
        </w:rPr>
      </w:pPr>
      <w:r>
        <w:rPr>
          <w:rFonts w:ascii="Arial" w:hAnsi="Arial" w:cs="Arial"/>
          <w:b/>
          <w:sz w:val="22"/>
          <w:szCs w:val="22"/>
        </w:rPr>
        <w:lastRenderedPageBreak/>
        <w:t>Cuadro 3: Indicadores de impacto y resultados</w:t>
      </w:r>
      <w:r>
        <w:rPr>
          <w:rFonts w:ascii="Arial" w:hAnsi="Arial" w:cs="Arial"/>
          <w:b/>
          <w:sz w:val="20"/>
        </w:rPr>
        <w:t xml:space="preserve"> </w:t>
      </w:r>
    </w:p>
    <w:tbl>
      <w:tblPr>
        <w:tblStyle w:val="TableGrid"/>
        <w:tblW w:w="5000" w:type="pct"/>
        <w:tblLayout w:type="fixed"/>
        <w:tblLook w:val="04A0" w:firstRow="1" w:lastRow="0" w:firstColumn="1" w:lastColumn="0" w:noHBand="0" w:noVBand="1"/>
      </w:tblPr>
      <w:tblGrid>
        <w:gridCol w:w="2336"/>
        <w:gridCol w:w="1300"/>
        <w:gridCol w:w="790"/>
        <w:gridCol w:w="901"/>
        <w:gridCol w:w="847"/>
        <w:gridCol w:w="901"/>
        <w:gridCol w:w="3238"/>
        <w:gridCol w:w="1352"/>
        <w:gridCol w:w="1285"/>
      </w:tblGrid>
      <w:tr w:rsidR="008033EB" w14:paraId="4077DDA8" w14:textId="77777777" w:rsidTr="00BE5978">
        <w:trPr>
          <w:trHeight w:val="20"/>
          <w:tblHeader/>
        </w:trPr>
        <w:tc>
          <w:tcPr>
            <w:tcW w:w="902" w:type="pct"/>
            <w:vMerge w:val="restart"/>
            <w:shd w:val="clear" w:color="auto" w:fill="B8CCE4" w:themeFill="accent1" w:themeFillTint="66"/>
            <w:vAlign w:val="center"/>
          </w:tcPr>
          <w:p w14:paraId="2562C93B" w14:textId="77777777" w:rsidR="00155EEA" w:rsidRDefault="00C2392C">
            <w:pPr>
              <w:pStyle w:val="Paragraph"/>
              <w:numPr>
                <w:ilvl w:val="0"/>
                <w:numId w:val="0"/>
              </w:numPr>
              <w:spacing w:before="0" w:after="0"/>
              <w:ind w:left="-107" w:right="-96"/>
              <w:jc w:val="center"/>
              <w:rPr>
                <w:rFonts w:ascii="Arial" w:hAnsi="Arial" w:cs="Arial"/>
                <w:b/>
                <w:sz w:val="20"/>
              </w:rPr>
            </w:pPr>
            <w:r>
              <w:rPr>
                <w:rFonts w:ascii="Arial" w:hAnsi="Arial" w:cs="Arial"/>
                <w:b/>
                <w:sz w:val="20"/>
              </w:rPr>
              <w:t>Indicadores</w:t>
            </w:r>
          </w:p>
        </w:tc>
        <w:tc>
          <w:tcPr>
            <w:tcW w:w="502" w:type="pct"/>
            <w:vMerge w:val="restart"/>
            <w:shd w:val="clear" w:color="auto" w:fill="B8CCE4" w:themeFill="accent1" w:themeFillTint="66"/>
            <w:vAlign w:val="center"/>
          </w:tcPr>
          <w:p w14:paraId="59CE9B72"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Unidad de medida</w:t>
            </w:r>
          </w:p>
        </w:tc>
        <w:tc>
          <w:tcPr>
            <w:tcW w:w="653" w:type="pct"/>
            <w:gridSpan w:val="2"/>
            <w:tcBorders>
              <w:bottom w:val="single" w:sz="4" w:space="0" w:color="auto"/>
            </w:tcBorders>
            <w:shd w:val="clear" w:color="auto" w:fill="B8CCE4" w:themeFill="accent1" w:themeFillTint="66"/>
            <w:vAlign w:val="center"/>
          </w:tcPr>
          <w:p w14:paraId="662E5B66"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Línea de base</w:t>
            </w:r>
          </w:p>
        </w:tc>
        <w:tc>
          <w:tcPr>
            <w:tcW w:w="675" w:type="pct"/>
            <w:gridSpan w:val="2"/>
            <w:shd w:val="clear" w:color="auto" w:fill="B8CCE4" w:themeFill="accent1" w:themeFillTint="66"/>
            <w:vAlign w:val="center"/>
          </w:tcPr>
          <w:p w14:paraId="1B7542FB"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Meta Final</w:t>
            </w:r>
          </w:p>
        </w:tc>
        <w:tc>
          <w:tcPr>
            <w:tcW w:w="1250" w:type="pct"/>
            <w:vMerge w:val="restart"/>
            <w:shd w:val="clear" w:color="auto" w:fill="B8CCE4" w:themeFill="accent1" w:themeFillTint="66"/>
            <w:vAlign w:val="center"/>
          </w:tcPr>
          <w:p w14:paraId="7C975260"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Fuente</w:t>
            </w:r>
          </w:p>
        </w:tc>
        <w:tc>
          <w:tcPr>
            <w:tcW w:w="522" w:type="pct"/>
            <w:vMerge w:val="restart"/>
            <w:shd w:val="clear" w:color="auto" w:fill="B8CCE4" w:themeFill="accent1" w:themeFillTint="66"/>
            <w:vAlign w:val="center"/>
          </w:tcPr>
          <w:p w14:paraId="544019BF"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Frecuencia de relevamiento</w:t>
            </w:r>
          </w:p>
        </w:tc>
        <w:tc>
          <w:tcPr>
            <w:tcW w:w="496" w:type="pct"/>
            <w:vMerge w:val="restart"/>
            <w:shd w:val="clear" w:color="auto" w:fill="B8CCE4" w:themeFill="accent1" w:themeFillTint="66"/>
            <w:vAlign w:val="center"/>
          </w:tcPr>
          <w:p w14:paraId="3A288B61"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Metodología de evaluación</w:t>
            </w:r>
          </w:p>
        </w:tc>
      </w:tr>
      <w:tr w:rsidR="008033EB" w14:paraId="18727DAE" w14:textId="77777777" w:rsidTr="00BE5978">
        <w:trPr>
          <w:trHeight w:val="20"/>
          <w:tblHeader/>
        </w:trPr>
        <w:tc>
          <w:tcPr>
            <w:tcW w:w="902" w:type="pct"/>
            <w:vMerge/>
            <w:vAlign w:val="center"/>
          </w:tcPr>
          <w:p w14:paraId="517F5291" w14:textId="77777777" w:rsidR="00155EEA" w:rsidRDefault="00155EEA">
            <w:pPr>
              <w:pStyle w:val="Paragraph"/>
              <w:numPr>
                <w:ilvl w:val="0"/>
                <w:numId w:val="0"/>
              </w:numPr>
              <w:spacing w:before="0" w:after="0"/>
              <w:jc w:val="center"/>
              <w:rPr>
                <w:rFonts w:ascii="Arial" w:hAnsi="Arial" w:cs="Arial"/>
                <w:sz w:val="20"/>
              </w:rPr>
            </w:pPr>
          </w:p>
        </w:tc>
        <w:tc>
          <w:tcPr>
            <w:tcW w:w="502" w:type="pct"/>
            <w:vMerge/>
            <w:vAlign w:val="center"/>
          </w:tcPr>
          <w:p w14:paraId="1C8F6B08" w14:textId="77777777" w:rsidR="00155EEA" w:rsidRDefault="00155EEA">
            <w:pPr>
              <w:pStyle w:val="Paragraph"/>
              <w:numPr>
                <w:ilvl w:val="0"/>
                <w:numId w:val="0"/>
              </w:numPr>
              <w:spacing w:before="20" w:after="20"/>
              <w:jc w:val="center"/>
              <w:rPr>
                <w:rFonts w:ascii="Arial" w:hAnsi="Arial" w:cs="Arial"/>
                <w:sz w:val="20"/>
              </w:rPr>
            </w:pPr>
          </w:p>
        </w:tc>
        <w:tc>
          <w:tcPr>
            <w:tcW w:w="305" w:type="pct"/>
            <w:shd w:val="clear" w:color="auto" w:fill="B8CCE4" w:themeFill="accent1" w:themeFillTint="66"/>
            <w:vAlign w:val="center"/>
          </w:tcPr>
          <w:p w14:paraId="4509CA07" w14:textId="77777777" w:rsidR="00155EEA" w:rsidRDefault="00C2392C">
            <w:pPr>
              <w:pStyle w:val="Paragraph"/>
              <w:numPr>
                <w:ilvl w:val="0"/>
                <w:numId w:val="0"/>
              </w:numPr>
              <w:spacing w:before="20" w:after="20"/>
              <w:jc w:val="center"/>
              <w:rPr>
                <w:rFonts w:ascii="Arial" w:hAnsi="Arial" w:cs="Arial"/>
                <w:b/>
                <w:sz w:val="20"/>
              </w:rPr>
            </w:pPr>
            <w:r>
              <w:rPr>
                <w:rFonts w:ascii="Arial" w:hAnsi="Arial" w:cs="Arial"/>
                <w:b/>
                <w:sz w:val="20"/>
              </w:rPr>
              <w:t>Valor</w:t>
            </w:r>
          </w:p>
        </w:tc>
        <w:tc>
          <w:tcPr>
            <w:tcW w:w="348" w:type="pct"/>
            <w:shd w:val="clear" w:color="auto" w:fill="B8CCE4" w:themeFill="accent1" w:themeFillTint="66"/>
            <w:vAlign w:val="center"/>
          </w:tcPr>
          <w:p w14:paraId="23984A42" w14:textId="77777777" w:rsidR="00155EEA" w:rsidRDefault="00C2392C">
            <w:pPr>
              <w:pStyle w:val="Paragraph"/>
              <w:numPr>
                <w:ilvl w:val="0"/>
                <w:numId w:val="0"/>
              </w:numPr>
              <w:spacing w:before="20" w:after="20"/>
              <w:jc w:val="center"/>
              <w:rPr>
                <w:rFonts w:ascii="Arial" w:hAnsi="Arial" w:cs="Arial"/>
                <w:b/>
                <w:sz w:val="20"/>
              </w:rPr>
            </w:pPr>
            <w:r>
              <w:rPr>
                <w:rFonts w:ascii="Arial" w:hAnsi="Arial" w:cs="Arial"/>
                <w:b/>
                <w:sz w:val="20"/>
              </w:rPr>
              <w:t>Año</w:t>
            </w:r>
          </w:p>
        </w:tc>
        <w:tc>
          <w:tcPr>
            <w:tcW w:w="327" w:type="pct"/>
            <w:shd w:val="clear" w:color="auto" w:fill="B8CCE4" w:themeFill="accent1" w:themeFillTint="66"/>
            <w:vAlign w:val="center"/>
          </w:tcPr>
          <w:p w14:paraId="2465860B" w14:textId="77777777" w:rsidR="00155EEA" w:rsidRDefault="00C2392C">
            <w:pPr>
              <w:pStyle w:val="Paragraph"/>
              <w:numPr>
                <w:ilvl w:val="0"/>
                <w:numId w:val="0"/>
              </w:numPr>
              <w:spacing w:before="20" w:after="20"/>
              <w:jc w:val="center"/>
              <w:rPr>
                <w:rFonts w:ascii="Arial" w:hAnsi="Arial" w:cs="Arial"/>
                <w:sz w:val="20"/>
              </w:rPr>
            </w:pPr>
            <w:r>
              <w:rPr>
                <w:rFonts w:ascii="Arial" w:hAnsi="Arial" w:cs="Arial"/>
                <w:b/>
                <w:sz w:val="20"/>
              </w:rPr>
              <w:t>Valor</w:t>
            </w:r>
          </w:p>
        </w:tc>
        <w:tc>
          <w:tcPr>
            <w:tcW w:w="348" w:type="pct"/>
            <w:shd w:val="clear" w:color="auto" w:fill="B8CCE4" w:themeFill="accent1" w:themeFillTint="66"/>
          </w:tcPr>
          <w:p w14:paraId="65D41315" w14:textId="77777777" w:rsidR="00155EEA" w:rsidRDefault="00C2392C">
            <w:pPr>
              <w:pStyle w:val="Paragraph"/>
              <w:numPr>
                <w:ilvl w:val="0"/>
                <w:numId w:val="0"/>
              </w:numPr>
              <w:spacing w:before="20" w:after="20"/>
              <w:jc w:val="center"/>
              <w:rPr>
                <w:rFonts w:ascii="Arial" w:hAnsi="Arial" w:cs="Arial"/>
                <w:sz w:val="20"/>
              </w:rPr>
            </w:pPr>
            <w:r>
              <w:rPr>
                <w:rFonts w:ascii="Arial" w:hAnsi="Arial" w:cs="Arial"/>
                <w:b/>
                <w:sz w:val="20"/>
              </w:rPr>
              <w:t>Año</w:t>
            </w:r>
          </w:p>
        </w:tc>
        <w:tc>
          <w:tcPr>
            <w:tcW w:w="1250" w:type="pct"/>
            <w:vMerge/>
            <w:shd w:val="clear" w:color="auto" w:fill="B8CCE4" w:themeFill="accent1" w:themeFillTint="66"/>
          </w:tcPr>
          <w:p w14:paraId="13ED0A96" w14:textId="77777777" w:rsidR="00155EEA" w:rsidRDefault="00155EEA">
            <w:pPr>
              <w:pStyle w:val="Paragraph"/>
              <w:numPr>
                <w:ilvl w:val="0"/>
                <w:numId w:val="0"/>
              </w:numPr>
              <w:spacing w:before="20" w:after="20"/>
              <w:rPr>
                <w:rFonts w:ascii="Arial" w:hAnsi="Arial" w:cs="Arial"/>
                <w:sz w:val="20"/>
              </w:rPr>
            </w:pPr>
          </w:p>
        </w:tc>
        <w:tc>
          <w:tcPr>
            <w:tcW w:w="522" w:type="pct"/>
            <w:vMerge/>
            <w:shd w:val="clear" w:color="auto" w:fill="B8CCE4" w:themeFill="accent1" w:themeFillTint="66"/>
          </w:tcPr>
          <w:p w14:paraId="07BBDCEF" w14:textId="77777777" w:rsidR="00155EEA" w:rsidRDefault="00155EEA">
            <w:pPr>
              <w:pStyle w:val="Paragraph"/>
              <w:numPr>
                <w:ilvl w:val="0"/>
                <w:numId w:val="0"/>
              </w:numPr>
              <w:spacing w:before="20" w:after="20"/>
              <w:rPr>
                <w:rFonts w:ascii="Arial" w:hAnsi="Arial" w:cs="Arial"/>
                <w:sz w:val="20"/>
              </w:rPr>
            </w:pPr>
          </w:p>
        </w:tc>
        <w:tc>
          <w:tcPr>
            <w:tcW w:w="496" w:type="pct"/>
            <w:vMerge/>
            <w:shd w:val="clear" w:color="auto" w:fill="B8CCE4" w:themeFill="accent1" w:themeFillTint="66"/>
          </w:tcPr>
          <w:p w14:paraId="4D177864" w14:textId="77777777" w:rsidR="00155EEA" w:rsidRDefault="00155EEA">
            <w:pPr>
              <w:pStyle w:val="Paragraph"/>
              <w:numPr>
                <w:ilvl w:val="0"/>
                <w:numId w:val="0"/>
              </w:numPr>
              <w:spacing w:before="20" w:after="20"/>
              <w:rPr>
                <w:rFonts w:ascii="Arial" w:hAnsi="Arial" w:cs="Arial"/>
                <w:sz w:val="20"/>
              </w:rPr>
            </w:pPr>
          </w:p>
        </w:tc>
      </w:tr>
      <w:tr w:rsidR="00155EEA" w14:paraId="37076B01" w14:textId="77777777" w:rsidTr="00BE5978">
        <w:trPr>
          <w:trHeight w:val="20"/>
        </w:trPr>
        <w:tc>
          <w:tcPr>
            <w:tcW w:w="5000" w:type="pct"/>
            <w:gridSpan w:val="9"/>
            <w:vAlign w:val="center"/>
          </w:tcPr>
          <w:p w14:paraId="7B4C3E85" w14:textId="77777777" w:rsidR="00155EEA" w:rsidRDefault="00C2392C">
            <w:pPr>
              <w:pStyle w:val="Paragraph"/>
              <w:numPr>
                <w:ilvl w:val="0"/>
                <w:numId w:val="0"/>
              </w:numPr>
              <w:spacing w:before="0" w:after="0"/>
              <w:jc w:val="center"/>
              <w:rPr>
                <w:rFonts w:ascii="Arial" w:hAnsi="Arial" w:cs="Arial"/>
                <w:b/>
                <w:sz w:val="20"/>
              </w:rPr>
            </w:pPr>
            <w:r>
              <w:rPr>
                <w:rFonts w:ascii="Arial" w:hAnsi="Arial" w:cs="Arial"/>
                <w:b/>
                <w:sz w:val="20"/>
              </w:rPr>
              <w:t>INDICADORES DE IMPACTO</w:t>
            </w:r>
          </w:p>
        </w:tc>
      </w:tr>
      <w:tr w:rsidR="008033EB" w14:paraId="51CB2C9B" w14:textId="77777777" w:rsidTr="008033EB">
        <w:trPr>
          <w:trHeight w:val="20"/>
        </w:trPr>
        <w:tc>
          <w:tcPr>
            <w:tcW w:w="902" w:type="pct"/>
          </w:tcPr>
          <w:p w14:paraId="32A0D46A" w14:textId="77777777" w:rsidR="00531EA4" w:rsidRDefault="00531EA4" w:rsidP="00531EA4">
            <w:pPr>
              <w:pStyle w:val="ListParagraph"/>
              <w:ind w:left="0"/>
              <w:contextualSpacing w:val="0"/>
              <w:rPr>
                <w:rFonts w:ascii="Arial" w:hAnsi="Arial" w:cs="Arial"/>
                <w:sz w:val="20"/>
              </w:rPr>
            </w:pPr>
            <w:r>
              <w:rPr>
                <w:rFonts w:ascii="Arial" w:hAnsi="Arial" w:cs="Arial"/>
                <w:sz w:val="20"/>
                <w:lang w:val="es-419"/>
              </w:rPr>
              <w:t>Cumplimiento regla déficit fiscal en trienio previo</w:t>
            </w:r>
            <w:r>
              <w:rPr>
                <w:rStyle w:val="FootnoteReference"/>
                <w:rFonts w:ascii="Arial" w:hAnsi="Arial" w:cs="Arial"/>
                <w:sz w:val="20"/>
                <w:lang w:val="es-419"/>
              </w:rPr>
              <w:footnoteReference w:id="4"/>
            </w:r>
          </w:p>
        </w:tc>
        <w:tc>
          <w:tcPr>
            <w:tcW w:w="502" w:type="pct"/>
            <w:vAlign w:val="center"/>
          </w:tcPr>
          <w:p w14:paraId="7F65E73A" w14:textId="77777777" w:rsidR="00531EA4" w:rsidRDefault="00531EA4" w:rsidP="00531EA4">
            <w:pPr>
              <w:pStyle w:val="Paragraph"/>
              <w:numPr>
                <w:ilvl w:val="0"/>
                <w:numId w:val="0"/>
              </w:numPr>
              <w:spacing w:before="20" w:after="20"/>
              <w:jc w:val="center"/>
              <w:rPr>
                <w:rFonts w:ascii="Arial" w:hAnsi="Arial" w:cs="Arial"/>
                <w:sz w:val="20"/>
                <w:lang w:val="es-419" w:eastAsia="zh-CN"/>
              </w:rPr>
            </w:pPr>
            <w:r>
              <w:rPr>
                <w:rFonts w:ascii="Arial" w:hAnsi="Arial" w:cs="Arial"/>
                <w:sz w:val="20"/>
                <w:lang w:val="es-419" w:eastAsia="zh-CN"/>
              </w:rPr>
              <w:t xml:space="preserve">% </w:t>
            </w:r>
          </w:p>
          <w:p w14:paraId="5F01B22F" w14:textId="52C479EE" w:rsidR="008033EB" w:rsidRPr="00BE5978" w:rsidRDefault="008033EB" w:rsidP="00531EA4">
            <w:pPr>
              <w:pStyle w:val="Paragraph"/>
              <w:numPr>
                <w:ilvl w:val="0"/>
                <w:numId w:val="0"/>
              </w:numPr>
              <w:spacing w:before="20" w:after="20"/>
              <w:jc w:val="center"/>
              <w:rPr>
                <w:rFonts w:ascii="Arial" w:hAnsi="Arial" w:cs="Arial"/>
                <w:sz w:val="20"/>
                <w:lang w:val="es-419"/>
              </w:rPr>
            </w:pPr>
            <w:r>
              <w:rPr>
                <w:rFonts w:ascii="Arial" w:hAnsi="Arial" w:cs="Arial"/>
                <w:sz w:val="20"/>
              </w:rPr>
              <w:t>(a</w:t>
            </w:r>
            <w:proofErr w:type="spellStart"/>
            <w:r>
              <w:rPr>
                <w:rFonts w:ascii="Arial" w:hAnsi="Arial" w:cs="Arial"/>
                <w:sz w:val="20"/>
                <w:lang w:val="es-419"/>
              </w:rPr>
              <w:t>ños</w:t>
            </w:r>
            <w:proofErr w:type="spellEnd"/>
            <w:r>
              <w:rPr>
                <w:rFonts w:ascii="Arial" w:hAnsi="Arial" w:cs="Arial"/>
                <w:sz w:val="20"/>
                <w:lang w:val="es-419"/>
              </w:rPr>
              <w:t xml:space="preserve"> </w:t>
            </w:r>
            <w:r>
              <w:rPr>
                <w:rFonts w:ascii="Arial" w:hAnsi="Arial" w:cs="Arial"/>
                <w:sz w:val="20"/>
                <w:lang w:val="en-US"/>
              </w:rPr>
              <w:t xml:space="preserve">/ </w:t>
            </w:r>
            <w:r>
              <w:rPr>
                <w:rFonts w:ascii="Arial" w:hAnsi="Arial" w:cs="Arial"/>
                <w:sz w:val="20"/>
                <w:lang w:val="es-419"/>
              </w:rPr>
              <w:t>años)</w:t>
            </w:r>
          </w:p>
        </w:tc>
        <w:tc>
          <w:tcPr>
            <w:tcW w:w="305" w:type="pct"/>
            <w:vAlign w:val="center"/>
          </w:tcPr>
          <w:p w14:paraId="5F1DA072" w14:textId="77777777" w:rsidR="00531EA4" w:rsidRDefault="00531EA4" w:rsidP="00531EA4">
            <w:pPr>
              <w:spacing w:before="20" w:after="20"/>
              <w:jc w:val="center"/>
              <w:rPr>
                <w:rFonts w:ascii="Arial" w:hAnsi="Arial" w:cs="Arial"/>
                <w:sz w:val="20"/>
              </w:rPr>
            </w:pPr>
            <w:r>
              <w:rPr>
                <w:rFonts w:ascii="Arial" w:hAnsi="Arial" w:cs="Arial"/>
                <w:sz w:val="20"/>
                <w:lang w:val="es-419" w:eastAsia="zh-CN"/>
              </w:rPr>
              <w:t>67</w:t>
            </w:r>
          </w:p>
        </w:tc>
        <w:tc>
          <w:tcPr>
            <w:tcW w:w="348" w:type="pct"/>
            <w:vAlign w:val="center"/>
          </w:tcPr>
          <w:p w14:paraId="0EA11A6C" w14:textId="77777777" w:rsidR="00531EA4" w:rsidRDefault="00531EA4" w:rsidP="00531EA4">
            <w:pPr>
              <w:spacing w:before="20" w:after="20"/>
              <w:jc w:val="center"/>
              <w:rPr>
                <w:rFonts w:ascii="Arial" w:hAnsi="Arial" w:cs="Arial"/>
                <w:sz w:val="20"/>
                <w:lang w:val="es-419" w:eastAsia="zh-CN"/>
              </w:rPr>
            </w:pPr>
            <w:r w:rsidRPr="56D17B07">
              <w:rPr>
                <w:rFonts w:ascii="Arial" w:hAnsi="Arial" w:cs="Arial"/>
                <w:sz w:val="16"/>
                <w:szCs w:val="16"/>
                <w:lang w:val="es-419" w:eastAsia="zh-CN"/>
              </w:rPr>
              <w:t>Promedio</w:t>
            </w:r>
            <w:r w:rsidRPr="56D17B07">
              <w:rPr>
                <w:rFonts w:ascii="Arial" w:hAnsi="Arial" w:cs="Arial"/>
                <w:sz w:val="20"/>
                <w:lang w:val="es-419" w:eastAsia="zh-CN"/>
              </w:rPr>
              <w:t xml:space="preserve"> (201</w:t>
            </w:r>
            <w:r>
              <w:rPr>
                <w:rFonts w:ascii="Arial" w:hAnsi="Arial" w:cs="Arial"/>
                <w:sz w:val="20"/>
                <w:lang w:val="es-419" w:eastAsia="zh-CN"/>
              </w:rPr>
              <w:t>5</w:t>
            </w:r>
            <w:r w:rsidRPr="56D17B07">
              <w:rPr>
                <w:rFonts w:ascii="Arial" w:hAnsi="Arial" w:cs="Arial"/>
                <w:sz w:val="20"/>
                <w:lang w:val="es-419" w:eastAsia="zh-CN"/>
              </w:rPr>
              <w:t>-201</w:t>
            </w:r>
            <w:r>
              <w:rPr>
                <w:rFonts w:ascii="Arial" w:hAnsi="Arial" w:cs="Arial"/>
                <w:sz w:val="20"/>
                <w:lang w:val="es-419" w:eastAsia="zh-CN"/>
              </w:rPr>
              <w:t>7</w:t>
            </w:r>
            <w:r w:rsidRPr="56D17B07">
              <w:rPr>
                <w:rFonts w:ascii="Arial" w:hAnsi="Arial" w:cs="Arial"/>
                <w:sz w:val="20"/>
                <w:lang w:val="es-419" w:eastAsia="zh-CN"/>
              </w:rPr>
              <w:t>)</w:t>
            </w:r>
          </w:p>
        </w:tc>
        <w:tc>
          <w:tcPr>
            <w:tcW w:w="327" w:type="pct"/>
            <w:vAlign w:val="center"/>
          </w:tcPr>
          <w:p w14:paraId="557F4F04" w14:textId="77777777" w:rsidR="00531EA4" w:rsidRDefault="00531EA4" w:rsidP="00531EA4">
            <w:pPr>
              <w:spacing w:before="20" w:after="20"/>
              <w:jc w:val="center"/>
              <w:rPr>
                <w:rFonts w:ascii="Arial" w:hAnsi="Arial" w:cs="Arial"/>
                <w:sz w:val="20"/>
              </w:rPr>
            </w:pPr>
            <w:r>
              <w:rPr>
                <w:rFonts w:ascii="Arial" w:hAnsi="Arial" w:eastAsia="Arial" w:cs="Arial"/>
                <w:color w:val="000000"/>
                <w:spacing w:val="-3"/>
                <w:sz w:val="20"/>
                <w:lang w:val="es-ES"/>
              </w:rPr>
              <w:t xml:space="preserve">100 </w:t>
            </w:r>
          </w:p>
        </w:tc>
        <w:tc>
          <w:tcPr>
            <w:tcW w:w="348" w:type="pct"/>
            <w:vAlign w:val="center"/>
          </w:tcPr>
          <w:p w14:paraId="1007259F" w14:textId="77777777" w:rsidR="00531EA4" w:rsidRDefault="00531EA4" w:rsidP="00531EA4">
            <w:pPr>
              <w:spacing w:before="20" w:after="20"/>
              <w:jc w:val="center"/>
              <w:rPr>
                <w:rFonts w:ascii="Arial" w:hAnsi="Arial" w:cs="Arial"/>
                <w:sz w:val="20"/>
              </w:rPr>
            </w:pPr>
            <w:r w:rsidRPr="56D17B07">
              <w:rPr>
                <w:rFonts w:ascii="Arial" w:hAnsi="Arial" w:cs="Arial"/>
                <w:sz w:val="16"/>
                <w:szCs w:val="16"/>
                <w:lang w:val="es-419" w:eastAsia="zh-CN"/>
              </w:rPr>
              <w:t>Promedio</w:t>
            </w:r>
            <w:r w:rsidRPr="56D17B07">
              <w:rPr>
                <w:rFonts w:ascii="Arial" w:hAnsi="Arial" w:cs="Arial"/>
                <w:sz w:val="20"/>
                <w:lang w:val="es-419" w:eastAsia="zh-CN"/>
              </w:rPr>
              <w:t xml:space="preserve"> (201</w:t>
            </w:r>
            <w:r>
              <w:rPr>
                <w:rFonts w:ascii="Arial" w:hAnsi="Arial" w:cs="Arial"/>
                <w:sz w:val="20"/>
                <w:lang w:val="es-419" w:eastAsia="zh-CN"/>
              </w:rPr>
              <w:t>8</w:t>
            </w:r>
            <w:r w:rsidRPr="56D17B07">
              <w:rPr>
                <w:rFonts w:ascii="Arial" w:hAnsi="Arial" w:cs="Arial"/>
                <w:sz w:val="20"/>
                <w:lang w:val="es-419" w:eastAsia="zh-CN"/>
              </w:rPr>
              <w:t>-20</w:t>
            </w:r>
            <w:r>
              <w:rPr>
                <w:rFonts w:ascii="Arial" w:hAnsi="Arial" w:cs="Arial"/>
                <w:sz w:val="20"/>
                <w:lang w:val="es-419" w:eastAsia="zh-CN"/>
              </w:rPr>
              <w:t>20)</w:t>
            </w:r>
          </w:p>
        </w:tc>
        <w:tc>
          <w:tcPr>
            <w:tcW w:w="1250" w:type="pct"/>
            <w:vAlign w:val="center"/>
          </w:tcPr>
          <w:p w14:paraId="7D3AFE14" w14:textId="02D9D8F5" w:rsidR="00531EA4" w:rsidRDefault="00531EA4" w:rsidP="00531EA4">
            <w:pPr>
              <w:spacing w:before="20" w:after="20"/>
              <w:jc w:val="center"/>
              <w:outlineLvl w:val="1"/>
              <w:rPr>
                <w:rFonts w:ascii="Arial" w:hAnsi="Arial" w:cs="Arial"/>
                <w:sz w:val="20"/>
                <w:lang w:val="es-MX"/>
              </w:rPr>
            </w:pPr>
            <w:r>
              <w:rPr>
                <w:rFonts w:ascii="Arial" w:hAnsi="Arial" w:cs="Arial"/>
                <w:sz w:val="20"/>
                <w:lang w:val="es-MX"/>
              </w:rPr>
              <w:t xml:space="preserve">MH </w:t>
            </w:r>
            <w:hyperlink r:id="rId23" w:history="1">
              <w:r w:rsidR="00D24AF4" w:rsidRPr="00D92A3D">
                <w:rPr>
                  <w:rStyle w:val="Hyperlink"/>
                  <w:rFonts w:ascii="Arial" w:hAnsi="Arial" w:cs="Arial"/>
                  <w:sz w:val="20"/>
                  <w:lang w:val="es-419"/>
                </w:rPr>
                <w:t>Informe de finanzas públicas</w:t>
              </w:r>
            </w:hyperlink>
          </w:p>
        </w:tc>
        <w:tc>
          <w:tcPr>
            <w:tcW w:w="522" w:type="pct"/>
            <w:vAlign w:val="center"/>
          </w:tcPr>
          <w:p w14:paraId="5B3243BE" w14:textId="77777777" w:rsidR="00531EA4" w:rsidRDefault="00531EA4" w:rsidP="00531EA4">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325DC13E" w14:textId="77777777" w:rsidR="00531EA4" w:rsidRDefault="00531EA4" w:rsidP="00531EA4">
            <w:pPr>
              <w:pStyle w:val="Paragraph"/>
              <w:numPr>
                <w:ilvl w:val="0"/>
                <w:numId w:val="0"/>
              </w:numPr>
              <w:spacing w:before="20" w:after="20"/>
              <w:jc w:val="center"/>
              <w:rPr>
                <w:rFonts w:ascii="Arial" w:hAnsi="Arial" w:cs="Arial"/>
                <w:sz w:val="20"/>
              </w:rPr>
            </w:pPr>
            <w:r>
              <w:rPr>
                <w:rFonts w:ascii="Arial" w:hAnsi="Arial" w:cs="Arial"/>
                <w:sz w:val="20"/>
              </w:rPr>
              <w:t>Antes y después</w:t>
            </w:r>
          </w:p>
        </w:tc>
      </w:tr>
      <w:tr w:rsidR="008033EB" w14:paraId="37B5125B" w14:textId="77777777" w:rsidTr="008033EB">
        <w:trPr>
          <w:trHeight w:val="20"/>
        </w:trPr>
        <w:tc>
          <w:tcPr>
            <w:tcW w:w="902" w:type="pct"/>
          </w:tcPr>
          <w:p w14:paraId="7A7B2247" w14:textId="77777777" w:rsidR="009B7741" w:rsidRDefault="009B7741" w:rsidP="009B7741">
            <w:pPr>
              <w:pStyle w:val="ListParagraph"/>
              <w:ind w:left="0"/>
              <w:contextualSpacing w:val="0"/>
              <w:rPr>
                <w:rFonts w:ascii="Arial" w:hAnsi="Arial" w:cs="Arial"/>
                <w:sz w:val="20"/>
              </w:rPr>
            </w:pPr>
            <w:r>
              <w:rPr>
                <w:rFonts w:ascii="Arial" w:hAnsi="Arial" w:cs="Arial"/>
                <w:sz w:val="20"/>
                <w:lang w:val="es-419"/>
              </w:rPr>
              <w:t>Presión tributaria/PIB</w:t>
            </w:r>
            <w:r>
              <w:rPr>
                <w:rStyle w:val="FootnoteReference"/>
                <w:rFonts w:ascii="Arial" w:hAnsi="Arial" w:cs="Arial"/>
                <w:sz w:val="20"/>
                <w:lang w:val="es-419"/>
              </w:rPr>
              <w:footnoteReference w:id="5"/>
            </w:r>
          </w:p>
        </w:tc>
        <w:tc>
          <w:tcPr>
            <w:tcW w:w="502" w:type="pct"/>
            <w:vAlign w:val="center"/>
          </w:tcPr>
          <w:p w14:paraId="7F1C39D3" w14:textId="77777777" w:rsidR="009B7741" w:rsidRDefault="009B7741" w:rsidP="009B7741">
            <w:pPr>
              <w:spacing w:before="20" w:after="20"/>
              <w:jc w:val="center"/>
              <w:rPr>
                <w:rFonts w:ascii="Arial" w:hAnsi="Arial" w:cs="Arial"/>
                <w:sz w:val="20"/>
                <w:lang w:val="es-419" w:eastAsia="zh-CN"/>
              </w:rPr>
            </w:pPr>
            <w:r>
              <w:rPr>
                <w:rFonts w:ascii="Arial" w:hAnsi="Arial" w:cs="Arial"/>
                <w:sz w:val="20"/>
                <w:lang w:val="es-419" w:eastAsia="zh-CN"/>
              </w:rPr>
              <w:t xml:space="preserve">% </w:t>
            </w:r>
          </w:p>
          <w:p w14:paraId="60DEF42E" w14:textId="43E0405B" w:rsidR="008033EB" w:rsidRPr="00BE5978" w:rsidRDefault="008033EB" w:rsidP="009B7741">
            <w:pPr>
              <w:spacing w:before="20" w:after="20"/>
              <w:jc w:val="center"/>
              <w:rPr>
                <w:rFonts w:ascii="Arial" w:hAnsi="Arial" w:cs="Arial"/>
                <w:sz w:val="20"/>
                <w:lang w:val="en-US"/>
              </w:rPr>
            </w:pPr>
            <w:r>
              <w:rPr>
                <w:rFonts w:ascii="Arial" w:hAnsi="Arial" w:cs="Arial"/>
                <w:sz w:val="20"/>
              </w:rPr>
              <w:t xml:space="preserve">(guaraníes </w:t>
            </w:r>
            <w:r>
              <w:rPr>
                <w:rFonts w:ascii="Arial" w:hAnsi="Arial" w:cs="Arial"/>
                <w:sz w:val="20"/>
                <w:lang w:val="en-US"/>
              </w:rPr>
              <w:t xml:space="preserve">/ </w:t>
            </w:r>
            <w:proofErr w:type="spellStart"/>
            <w:r>
              <w:rPr>
                <w:rFonts w:ascii="Arial" w:hAnsi="Arial" w:cs="Arial"/>
                <w:sz w:val="20"/>
                <w:lang w:val="en-US"/>
              </w:rPr>
              <w:t>guaraníes</w:t>
            </w:r>
            <w:proofErr w:type="spellEnd"/>
            <w:r>
              <w:rPr>
                <w:rFonts w:ascii="Arial" w:hAnsi="Arial" w:cs="Arial"/>
                <w:sz w:val="20"/>
                <w:lang w:val="en-US"/>
              </w:rPr>
              <w:t>)</w:t>
            </w:r>
          </w:p>
        </w:tc>
        <w:tc>
          <w:tcPr>
            <w:tcW w:w="305" w:type="pct"/>
            <w:vAlign w:val="center"/>
          </w:tcPr>
          <w:p w14:paraId="644A6240" w14:textId="77777777" w:rsidR="009B7741" w:rsidRDefault="009B7741" w:rsidP="009B7741">
            <w:pPr>
              <w:spacing w:before="20" w:after="20"/>
              <w:jc w:val="center"/>
              <w:rPr>
                <w:rFonts w:ascii="Arial" w:hAnsi="Arial" w:cs="Arial"/>
                <w:sz w:val="20"/>
              </w:rPr>
            </w:pPr>
            <w:r>
              <w:rPr>
                <w:rFonts w:ascii="Arial" w:hAnsi="Arial" w:cs="Arial"/>
                <w:sz w:val="20"/>
                <w:lang w:val="es-419" w:eastAsia="zh-CN"/>
              </w:rPr>
              <w:t>9,9</w:t>
            </w:r>
          </w:p>
        </w:tc>
        <w:tc>
          <w:tcPr>
            <w:tcW w:w="348" w:type="pct"/>
            <w:vAlign w:val="center"/>
          </w:tcPr>
          <w:p w14:paraId="14A80D6A" w14:textId="77777777" w:rsidR="009B7741" w:rsidRDefault="009B7741" w:rsidP="009B7741">
            <w:pPr>
              <w:spacing w:before="20" w:after="20"/>
              <w:jc w:val="center"/>
              <w:rPr>
                <w:rFonts w:ascii="Arial" w:hAnsi="Arial" w:cs="Arial"/>
                <w:sz w:val="20"/>
              </w:rPr>
            </w:pPr>
            <w:r w:rsidRPr="56D17B07">
              <w:rPr>
                <w:rFonts w:ascii="Arial" w:hAnsi="Arial" w:cs="Arial"/>
                <w:sz w:val="20"/>
                <w:lang w:val="es-419" w:eastAsia="zh-CN"/>
              </w:rPr>
              <w:t>2017</w:t>
            </w:r>
          </w:p>
        </w:tc>
        <w:tc>
          <w:tcPr>
            <w:tcW w:w="327" w:type="pct"/>
            <w:vAlign w:val="center"/>
          </w:tcPr>
          <w:p w14:paraId="0E175F06" w14:textId="7A64DD62" w:rsidR="009B7741" w:rsidRDefault="009B7741" w:rsidP="009B7741">
            <w:pPr>
              <w:pStyle w:val="Paragraph"/>
              <w:numPr>
                <w:ilvl w:val="0"/>
                <w:numId w:val="0"/>
              </w:numPr>
              <w:spacing w:before="20" w:after="20"/>
              <w:jc w:val="center"/>
              <w:rPr>
                <w:rFonts w:ascii="Arial" w:hAnsi="Arial" w:cs="Arial"/>
                <w:sz w:val="20"/>
              </w:rPr>
            </w:pPr>
            <w:r>
              <w:rPr>
                <w:rFonts w:ascii="Arial" w:hAnsi="Arial" w:eastAsia="Arial" w:cs="Arial"/>
                <w:color w:val="000000"/>
                <w:spacing w:val="-3"/>
                <w:sz w:val="20"/>
              </w:rPr>
              <w:t>10,</w:t>
            </w:r>
            <w:r w:rsidR="00486375">
              <w:rPr>
                <w:rFonts w:ascii="Arial" w:hAnsi="Arial" w:eastAsia="Arial" w:cs="Arial"/>
                <w:color w:val="000000"/>
                <w:spacing w:val="-3"/>
                <w:sz w:val="20"/>
              </w:rPr>
              <w:t>5</w:t>
            </w:r>
          </w:p>
        </w:tc>
        <w:tc>
          <w:tcPr>
            <w:tcW w:w="348" w:type="pct"/>
            <w:vAlign w:val="center"/>
          </w:tcPr>
          <w:p w14:paraId="31A50F8B" w14:textId="77777777" w:rsidR="009B7741" w:rsidRDefault="009B7741" w:rsidP="009B7741">
            <w:pPr>
              <w:pStyle w:val="Paragraph"/>
              <w:numPr>
                <w:ilvl w:val="0"/>
                <w:numId w:val="0"/>
              </w:numPr>
              <w:spacing w:before="20" w:after="20"/>
              <w:jc w:val="center"/>
              <w:rPr>
                <w:rFonts w:ascii="Arial" w:hAnsi="Arial" w:cs="Arial"/>
                <w:sz w:val="20"/>
              </w:rPr>
            </w:pPr>
            <w:r>
              <w:rPr>
                <w:rFonts w:ascii="Arial" w:hAnsi="Arial" w:cs="Arial"/>
                <w:sz w:val="20"/>
                <w:lang w:val="es-419" w:eastAsia="zh-CN"/>
              </w:rPr>
              <w:t>2021</w:t>
            </w:r>
          </w:p>
        </w:tc>
        <w:tc>
          <w:tcPr>
            <w:tcW w:w="1250" w:type="pct"/>
            <w:vAlign w:val="center"/>
          </w:tcPr>
          <w:p w14:paraId="24522156" w14:textId="77777777" w:rsidR="009B7741" w:rsidRDefault="00D2325B" w:rsidP="009B7741">
            <w:pPr>
              <w:pStyle w:val="Paragraph"/>
              <w:numPr>
                <w:ilvl w:val="0"/>
                <w:numId w:val="0"/>
              </w:numPr>
              <w:spacing w:before="20" w:after="20"/>
              <w:jc w:val="center"/>
              <w:rPr>
                <w:rFonts w:ascii="Arial" w:hAnsi="Arial" w:cs="Arial"/>
                <w:sz w:val="20"/>
              </w:rPr>
            </w:pPr>
            <w:r>
              <w:rPr>
                <w:rFonts w:ascii="Arial" w:hAnsi="Arial" w:cs="Arial"/>
                <w:sz w:val="20"/>
                <w:lang w:val="es-MX"/>
              </w:rPr>
              <w:t>Estadísticas SET</w:t>
            </w:r>
          </w:p>
        </w:tc>
        <w:tc>
          <w:tcPr>
            <w:tcW w:w="522" w:type="pct"/>
            <w:vAlign w:val="center"/>
          </w:tcPr>
          <w:p w14:paraId="7DD5B1E9" w14:textId="77777777" w:rsidR="009B7741" w:rsidRDefault="009B7741" w:rsidP="009B7741">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0A173767" w14:textId="049C6D03" w:rsidR="009B7741" w:rsidRDefault="009841EF" w:rsidP="009B7741">
            <w:pPr>
              <w:pStyle w:val="Paragraph"/>
              <w:numPr>
                <w:ilvl w:val="0"/>
                <w:numId w:val="0"/>
              </w:numPr>
              <w:spacing w:before="20" w:after="20"/>
              <w:jc w:val="center"/>
              <w:rPr>
                <w:rFonts w:ascii="Arial" w:hAnsi="Arial" w:cs="Arial"/>
                <w:sz w:val="20"/>
              </w:rPr>
            </w:pPr>
            <w:r>
              <w:rPr>
                <w:rFonts w:ascii="Arial" w:hAnsi="Arial" w:cs="Arial"/>
                <w:sz w:val="20"/>
              </w:rPr>
              <w:t>Aleatorio</w:t>
            </w:r>
          </w:p>
        </w:tc>
      </w:tr>
      <w:tr w:rsidR="008033EB" w14:paraId="7F6161D0" w14:textId="77777777" w:rsidTr="008033EB">
        <w:trPr>
          <w:trHeight w:val="20"/>
        </w:trPr>
        <w:tc>
          <w:tcPr>
            <w:tcW w:w="902" w:type="pct"/>
            <w:vAlign w:val="center"/>
          </w:tcPr>
          <w:p w14:paraId="388DFFC8" w14:textId="005024F7" w:rsidR="00155EEA" w:rsidRPr="00BE5978" w:rsidRDefault="00FA1702" w:rsidP="008339A8">
            <w:pPr>
              <w:rPr>
                <w:rFonts w:ascii="Arial" w:hAnsi="Arial" w:cs="Arial"/>
                <w:b/>
                <w:sz w:val="20"/>
                <w:lang w:val="es-419"/>
              </w:rPr>
            </w:pPr>
            <w:r>
              <w:rPr>
                <w:rFonts w:ascii="Arial" w:hAnsi="Arial" w:cs="Arial"/>
                <w:color w:val="000000"/>
                <w:sz w:val="20"/>
              </w:rPr>
              <w:t>G</w:t>
            </w:r>
            <w:r w:rsidR="000A7D5E">
              <w:rPr>
                <w:rFonts w:ascii="Arial" w:hAnsi="Arial" w:cs="Arial"/>
                <w:color w:val="000000"/>
                <w:sz w:val="20"/>
              </w:rPr>
              <w:t>asto social</w:t>
            </w:r>
            <w:r>
              <w:rPr>
                <w:rFonts w:ascii="Arial" w:hAnsi="Arial" w:cs="Arial"/>
                <w:color w:val="000000"/>
                <w:sz w:val="20"/>
                <w:lang w:val="en-US"/>
              </w:rPr>
              <w:t>/</w:t>
            </w:r>
            <w:proofErr w:type="spellStart"/>
            <w:r>
              <w:rPr>
                <w:rFonts w:ascii="Arial" w:hAnsi="Arial" w:cs="Arial"/>
                <w:color w:val="000000"/>
                <w:sz w:val="20"/>
                <w:lang w:val="en-US"/>
              </w:rPr>
              <w:t>gasto</w:t>
            </w:r>
            <w:proofErr w:type="spellEnd"/>
            <w:r>
              <w:rPr>
                <w:rFonts w:ascii="Arial" w:hAnsi="Arial" w:cs="Arial"/>
                <w:color w:val="000000"/>
                <w:sz w:val="20"/>
                <w:lang w:val="en-US"/>
              </w:rPr>
              <w:t xml:space="preserve"> total </w:t>
            </w:r>
            <w:proofErr w:type="spellStart"/>
            <w:r>
              <w:rPr>
                <w:rFonts w:ascii="Arial" w:hAnsi="Arial" w:cs="Arial"/>
                <w:color w:val="000000"/>
                <w:sz w:val="20"/>
                <w:lang w:val="en-US"/>
              </w:rPr>
              <w:t>ejecutado</w:t>
            </w:r>
            <w:proofErr w:type="spellEnd"/>
            <w:r w:rsidR="00736F55" w:rsidRPr="00D7ED56">
              <w:rPr>
                <w:rStyle w:val="FootnoteReference"/>
                <w:rFonts w:ascii="Arial" w:hAnsi="Arial" w:cs="Arial"/>
                <w:sz w:val="20"/>
                <w:lang w:val="es-419"/>
              </w:rPr>
              <w:footnoteReference w:id="6"/>
            </w:r>
          </w:p>
        </w:tc>
        <w:tc>
          <w:tcPr>
            <w:tcW w:w="502" w:type="pct"/>
            <w:vAlign w:val="center"/>
          </w:tcPr>
          <w:p w14:paraId="1FE18568" w14:textId="77777777" w:rsidR="00155EEA" w:rsidRDefault="00C2392C">
            <w:pPr>
              <w:spacing w:before="20" w:after="20"/>
              <w:jc w:val="center"/>
              <w:rPr>
                <w:rFonts w:ascii="Arial" w:hAnsi="Arial" w:cs="Arial"/>
                <w:sz w:val="20"/>
                <w:lang w:val="es-419" w:eastAsia="zh-CN"/>
              </w:rPr>
            </w:pPr>
            <w:r>
              <w:rPr>
                <w:rFonts w:ascii="Arial" w:hAnsi="Arial" w:cs="Arial"/>
                <w:sz w:val="20"/>
                <w:lang w:val="es-419" w:eastAsia="zh-CN"/>
              </w:rPr>
              <w:t xml:space="preserve">% </w:t>
            </w:r>
          </w:p>
          <w:p w14:paraId="3A9A6383" w14:textId="29C7AE90" w:rsidR="008033EB" w:rsidRDefault="008033EB">
            <w:pPr>
              <w:spacing w:before="20" w:after="20"/>
              <w:jc w:val="center"/>
              <w:rPr>
                <w:rFonts w:ascii="Arial" w:hAnsi="Arial" w:cs="Arial"/>
                <w:sz w:val="20"/>
              </w:rPr>
            </w:pPr>
            <w:r>
              <w:rPr>
                <w:rFonts w:ascii="Arial" w:hAnsi="Arial" w:cs="Arial"/>
                <w:sz w:val="20"/>
              </w:rPr>
              <w:t xml:space="preserve">(guaraníes </w:t>
            </w:r>
            <w:r>
              <w:rPr>
                <w:rFonts w:ascii="Arial" w:hAnsi="Arial" w:cs="Arial"/>
                <w:sz w:val="20"/>
                <w:lang w:val="en-US"/>
              </w:rPr>
              <w:t xml:space="preserve">/ </w:t>
            </w:r>
            <w:proofErr w:type="spellStart"/>
            <w:r>
              <w:rPr>
                <w:rFonts w:ascii="Arial" w:hAnsi="Arial" w:cs="Arial"/>
                <w:sz w:val="20"/>
                <w:lang w:val="en-US"/>
              </w:rPr>
              <w:t>guaraníes</w:t>
            </w:r>
            <w:proofErr w:type="spellEnd"/>
            <w:r>
              <w:rPr>
                <w:rFonts w:ascii="Arial" w:hAnsi="Arial" w:cs="Arial"/>
                <w:sz w:val="20"/>
                <w:lang w:val="en-US"/>
              </w:rPr>
              <w:t>)</w:t>
            </w:r>
          </w:p>
        </w:tc>
        <w:tc>
          <w:tcPr>
            <w:tcW w:w="305" w:type="pct"/>
            <w:vAlign w:val="center"/>
          </w:tcPr>
          <w:p w14:paraId="4FE879D9" w14:textId="77777777" w:rsidR="00155EEA" w:rsidRDefault="00D2325B" w:rsidP="56D17B07">
            <w:pPr>
              <w:spacing w:before="20" w:after="20"/>
              <w:jc w:val="center"/>
              <w:rPr>
                <w:rFonts w:ascii="Arial" w:hAnsi="Arial" w:cs="Arial"/>
                <w:sz w:val="20"/>
              </w:rPr>
            </w:pPr>
            <w:r>
              <w:rPr>
                <w:rFonts w:ascii="Arial" w:hAnsi="Arial" w:cs="Arial"/>
                <w:sz w:val="20"/>
                <w:lang w:val="es-419" w:eastAsia="zh-CN"/>
              </w:rPr>
              <w:t>54</w:t>
            </w:r>
          </w:p>
        </w:tc>
        <w:tc>
          <w:tcPr>
            <w:tcW w:w="348" w:type="pct"/>
            <w:vAlign w:val="center"/>
          </w:tcPr>
          <w:p w14:paraId="24974AD5" w14:textId="77777777" w:rsidR="00155EEA" w:rsidRDefault="00D2325B" w:rsidP="56D17B07">
            <w:pPr>
              <w:spacing w:before="20" w:after="20"/>
              <w:jc w:val="center"/>
              <w:rPr>
                <w:rFonts w:ascii="Arial" w:hAnsi="Arial" w:cs="Arial"/>
                <w:sz w:val="20"/>
                <w:lang w:val="es-419" w:eastAsia="zh-CN"/>
              </w:rPr>
            </w:pPr>
            <w:r w:rsidRPr="56D17B07">
              <w:rPr>
                <w:rFonts w:ascii="Arial" w:hAnsi="Arial" w:cs="Arial"/>
                <w:sz w:val="20"/>
                <w:lang w:val="es-419" w:eastAsia="zh-CN"/>
              </w:rPr>
              <w:t>2017</w:t>
            </w:r>
          </w:p>
        </w:tc>
        <w:tc>
          <w:tcPr>
            <w:tcW w:w="327" w:type="pct"/>
            <w:vAlign w:val="center"/>
          </w:tcPr>
          <w:p w14:paraId="5B1E8E6A" w14:textId="77777777" w:rsidR="00155EEA" w:rsidRDefault="00D2325B" w:rsidP="56D17B07">
            <w:pPr>
              <w:pStyle w:val="Paragraph"/>
              <w:numPr>
                <w:ilvl w:val="1"/>
                <w:numId w:val="0"/>
              </w:numPr>
              <w:spacing w:before="20" w:after="20"/>
              <w:jc w:val="center"/>
              <w:rPr>
                <w:rFonts w:ascii="Arial" w:hAnsi="Arial" w:cs="Arial"/>
                <w:sz w:val="20"/>
                <w:lang w:eastAsia="zh-CN"/>
              </w:rPr>
            </w:pPr>
            <w:r>
              <w:rPr>
                <w:rFonts w:ascii="Arial" w:hAnsi="Arial" w:eastAsia="Arial" w:cs="Arial"/>
                <w:color w:val="000000"/>
                <w:spacing w:val="-3"/>
                <w:sz w:val="20"/>
              </w:rPr>
              <w:t>55</w:t>
            </w:r>
          </w:p>
        </w:tc>
        <w:tc>
          <w:tcPr>
            <w:tcW w:w="348" w:type="pct"/>
            <w:vAlign w:val="center"/>
          </w:tcPr>
          <w:p w14:paraId="3E4A6BD3" w14:textId="77777777" w:rsidR="00155EEA" w:rsidRDefault="00D2325B">
            <w:pPr>
              <w:pStyle w:val="Paragraph"/>
              <w:numPr>
                <w:ilvl w:val="0"/>
                <w:numId w:val="0"/>
              </w:numPr>
              <w:spacing w:before="20" w:after="20"/>
              <w:jc w:val="center"/>
              <w:rPr>
                <w:rFonts w:ascii="Arial" w:hAnsi="Arial" w:cs="Arial"/>
                <w:sz w:val="20"/>
                <w:lang w:eastAsia="zh-CN"/>
              </w:rPr>
            </w:pPr>
            <w:r>
              <w:rPr>
                <w:rFonts w:ascii="Arial" w:hAnsi="Arial" w:cs="Arial"/>
                <w:sz w:val="20"/>
                <w:lang w:val="es-419" w:eastAsia="zh-CN"/>
              </w:rPr>
              <w:t>2021</w:t>
            </w:r>
          </w:p>
        </w:tc>
        <w:tc>
          <w:tcPr>
            <w:tcW w:w="1250" w:type="pct"/>
            <w:vAlign w:val="center"/>
          </w:tcPr>
          <w:p w14:paraId="48174608" w14:textId="08654018" w:rsidR="00155EEA" w:rsidRDefault="00736F55">
            <w:pPr>
              <w:pStyle w:val="Paragraph"/>
              <w:numPr>
                <w:ilvl w:val="0"/>
                <w:numId w:val="0"/>
              </w:numPr>
              <w:spacing w:before="20" w:after="20"/>
              <w:jc w:val="center"/>
              <w:rPr>
                <w:rFonts w:ascii="Arial" w:hAnsi="Arial" w:cs="Arial"/>
                <w:sz w:val="20"/>
              </w:rPr>
            </w:pPr>
            <w:r>
              <w:rPr>
                <w:rFonts w:ascii="Arial" w:hAnsi="Arial" w:cs="Arial"/>
                <w:noProof/>
                <w:sz w:val="20"/>
                <w:lang w:val="es-ES_tradnl"/>
              </w:rPr>
              <w:t xml:space="preserve">Informe </w:t>
            </w:r>
            <w:hyperlink r:id="rId24" w:history="1">
              <w:r w:rsidR="00D24AF4" w:rsidRPr="007E0907">
                <w:rPr>
                  <w:rStyle w:val="Hyperlink"/>
                  <w:rFonts w:ascii="Arial" w:hAnsi="Arial" w:cs="Arial"/>
                  <w:noProof/>
                  <w:sz w:val="20"/>
                  <w:u w:val="none"/>
                  <w:lang w:val="es-ES_tradnl"/>
                </w:rPr>
                <w:t>SITUFIN</w:t>
              </w:r>
            </w:hyperlink>
            <w:r w:rsidR="007E0907">
              <w:rPr>
                <w:rStyle w:val="Hyperlink"/>
                <w:rFonts w:ascii="Arial" w:hAnsi="Arial" w:cs="Arial"/>
                <w:noProof/>
                <w:sz w:val="20"/>
                <w:u w:val="none"/>
                <w:lang w:val="es-ES_tradnl"/>
              </w:rPr>
              <w:t xml:space="preserve"> </w:t>
            </w:r>
            <w:bookmarkStart w:id="9" w:name="_GoBack"/>
            <w:bookmarkEnd w:id="9"/>
            <w:r w:rsidRPr="007E0907">
              <w:rPr>
                <w:rFonts w:ascii="Arial" w:hAnsi="Arial" w:cs="Arial"/>
                <w:noProof/>
                <w:sz w:val="20"/>
                <w:lang w:val="es-ES_tradnl"/>
              </w:rPr>
              <w:t>MH</w:t>
            </w:r>
          </w:p>
        </w:tc>
        <w:tc>
          <w:tcPr>
            <w:tcW w:w="522" w:type="pct"/>
            <w:vAlign w:val="center"/>
          </w:tcPr>
          <w:p w14:paraId="3FE68C94" w14:textId="77777777" w:rsidR="00155EEA" w:rsidRDefault="00C2392C">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0AABE448" w14:textId="77777777" w:rsidR="00155EEA" w:rsidRDefault="00C2392C">
            <w:pPr>
              <w:pStyle w:val="Paragraph"/>
              <w:numPr>
                <w:ilvl w:val="0"/>
                <w:numId w:val="0"/>
              </w:numPr>
              <w:spacing w:before="20" w:after="20"/>
              <w:jc w:val="center"/>
              <w:rPr>
                <w:rFonts w:ascii="Arial" w:hAnsi="Arial" w:cs="Arial"/>
                <w:sz w:val="20"/>
              </w:rPr>
            </w:pPr>
            <w:r>
              <w:rPr>
                <w:rFonts w:ascii="Arial" w:hAnsi="Arial" w:cs="Arial"/>
                <w:sz w:val="20"/>
              </w:rPr>
              <w:t>Antes y después</w:t>
            </w:r>
          </w:p>
        </w:tc>
      </w:tr>
      <w:tr w:rsidR="008033EB" w14:paraId="09998127" w14:textId="77777777" w:rsidTr="008033EB">
        <w:trPr>
          <w:trHeight w:val="20"/>
        </w:trPr>
        <w:tc>
          <w:tcPr>
            <w:tcW w:w="902" w:type="pct"/>
            <w:vAlign w:val="center"/>
          </w:tcPr>
          <w:p w14:paraId="55F26997" w14:textId="5648B1EA" w:rsidR="00D2325B" w:rsidRDefault="00FA1702" w:rsidP="008339A8">
            <w:pPr>
              <w:rPr>
                <w:rFonts w:ascii="Arial" w:hAnsi="Arial" w:cs="Arial"/>
                <w:color w:val="000000"/>
                <w:sz w:val="20"/>
              </w:rPr>
            </w:pPr>
            <w:r>
              <w:rPr>
                <w:rFonts w:ascii="Arial" w:hAnsi="Arial" w:cs="Arial"/>
                <w:color w:val="000000"/>
                <w:sz w:val="20"/>
              </w:rPr>
              <w:t>Gasto de inversión/gasto total ejecutado</w:t>
            </w:r>
          </w:p>
        </w:tc>
        <w:tc>
          <w:tcPr>
            <w:tcW w:w="502" w:type="pct"/>
            <w:vAlign w:val="center"/>
          </w:tcPr>
          <w:p w14:paraId="1E377D11" w14:textId="77777777" w:rsidR="00D2325B" w:rsidRDefault="00D2325B" w:rsidP="00D2325B">
            <w:pPr>
              <w:spacing w:before="20" w:after="20"/>
              <w:jc w:val="center"/>
              <w:rPr>
                <w:rFonts w:ascii="Arial" w:hAnsi="Arial" w:cs="Arial"/>
                <w:sz w:val="20"/>
                <w:lang w:val="es-419" w:eastAsia="zh-CN"/>
              </w:rPr>
            </w:pPr>
            <w:r>
              <w:rPr>
                <w:rFonts w:ascii="Arial" w:hAnsi="Arial" w:cs="Arial"/>
                <w:sz w:val="20"/>
                <w:lang w:val="es-419" w:eastAsia="zh-CN"/>
              </w:rPr>
              <w:t>%</w:t>
            </w:r>
          </w:p>
          <w:p w14:paraId="4FC9979A" w14:textId="51C5B5D7" w:rsidR="008033EB" w:rsidRDefault="008033EB" w:rsidP="00D2325B">
            <w:pPr>
              <w:spacing w:before="20" w:after="20"/>
              <w:jc w:val="center"/>
              <w:rPr>
                <w:rFonts w:ascii="Arial" w:hAnsi="Arial" w:cs="Arial"/>
                <w:sz w:val="20"/>
                <w:lang w:val="es-419" w:eastAsia="zh-CN"/>
              </w:rPr>
            </w:pPr>
            <w:r>
              <w:rPr>
                <w:rFonts w:ascii="Arial" w:hAnsi="Arial" w:cs="Arial"/>
                <w:sz w:val="20"/>
              </w:rPr>
              <w:t xml:space="preserve">(guaraníes </w:t>
            </w:r>
            <w:r>
              <w:rPr>
                <w:rFonts w:ascii="Arial" w:hAnsi="Arial" w:cs="Arial"/>
                <w:sz w:val="20"/>
                <w:lang w:val="en-US"/>
              </w:rPr>
              <w:t xml:space="preserve">/ </w:t>
            </w:r>
            <w:proofErr w:type="spellStart"/>
            <w:r>
              <w:rPr>
                <w:rFonts w:ascii="Arial" w:hAnsi="Arial" w:cs="Arial"/>
                <w:sz w:val="20"/>
                <w:lang w:val="en-US"/>
              </w:rPr>
              <w:t>guaraníes</w:t>
            </w:r>
            <w:proofErr w:type="spellEnd"/>
            <w:r>
              <w:rPr>
                <w:rFonts w:ascii="Arial" w:hAnsi="Arial" w:cs="Arial"/>
                <w:sz w:val="20"/>
                <w:lang w:val="en-US"/>
              </w:rPr>
              <w:t>)</w:t>
            </w:r>
          </w:p>
        </w:tc>
        <w:tc>
          <w:tcPr>
            <w:tcW w:w="305" w:type="pct"/>
            <w:vAlign w:val="center"/>
          </w:tcPr>
          <w:p w14:paraId="03C9CF4F" w14:textId="1E72057B" w:rsidR="00D2325B" w:rsidRPr="56D17B07" w:rsidRDefault="00D2325B" w:rsidP="00D2325B">
            <w:pPr>
              <w:spacing w:before="20" w:after="20"/>
              <w:jc w:val="center"/>
              <w:rPr>
                <w:rFonts w:ascii="Arial" w:hAnsi="Arial" w:cs="Arial"/>
                <w:sz w:val="20"/>
                <w:lang w:val="es-419" w:eastAsia="zh-CN"/>
              </w:rPr>
            </w:pPr>
            <w:r>
              <w:rPr>
                <w:rFonts w:ascii="Arial" w:hAnsi="Arial" w:cs="Arial"/>
                <w:sz w:val="20"/>
                <w:lang w:val="es-419" w:eastAsia="zh-CN"/>
              </w:rPr>
              <w:t>1</w:t>
            </w:r>
            <w:r w:rsidR="00736F55">
              <w:rPr>
                <w:rFonts w:ascii="Arial" w:hAnsi="Arial" w:cs="Arial"/>
                <w:sz w:val="20"/>
                <w:lang w:val="es-419" w:eastAsia="zh-CN"/>
              </w:rPr>
              <w:t>6</w:t>
            </w:r>
          </w:p>
        </w:tc>
        <w:tc>
          <w:tcPr>
            <w:tcW w:w="348" w:type="pct"/>
            <w:vAlign w:val="center"/>
          </w:tcPr>
          <w:p w14:paraId="7022AD70" w14:textId="77777777" w:rsidR="00D2325B" w:rsidRPr="56D17B07" w:rsidRDefault="00D2325B" w:rsidP="00D2325B">
            <w:pPr>
              <w:spacing w:before="20" w:after="20"/>
              <w:jc w:val="center"/>
              <w:rPr>
                <w:rFonts w:ascii="Arial" w:hAnsi="Arial" w:cs="Arial"/>
                <w:sz w:val="16"/>
                <w:szCs w:val="16"/>
                <w:lang w:val="es-419" w:eastAsia="zh-CN"/>
              </w:rPr>
            </w:pPr>
            <w:r w:rsidRPr="56D17B07">
              <w:rPr>
                <w:rFonts w:ascii="Arial" w:hAnsi="Arial" w:cs="Arial"/>
                <w:sz w:val="20"/>
                <w:lang w:val="es-419" w:eastAsia="zh-CN"/>
              </w:rPr>
              <w:t>2017</w:t>
            </w:r>
          </w:p>
        </w:tc>
        <w:tc>
          <w:tcPr>
            <w:tcW w:w="327" w:type="pct"/>
            <w:vAlign w:val="center"/>
          </w:tcPr>
          <w:p w14:paraId="7D64942D" w14:textId="174901C6" w:rsidR="00D2325B" w:rsidRPr="56D17B07" w:rsidRDefault="00D2325B" w:rsidP="00D2325B">
            <w:pPr>
              <w:pStyle w:val="Paragraph"/>
              <w:numPr>
                <w:ilvl w:val="1"/>
                <w:numId w:val="0"/>
              </w:numPr>
              <w:spacing w:before="20" w:after="20"/>
              <w:jc w:val="center"/>
              <w:rPr>
                <w:rFonts w:ascii="Arial" w:eastAsia="Arial" w:hAnsi="Arial" w:cs="Arial"/>
                <w:color w:val="000000"/>
                <w:spacing w:val="-3"/>
                <w:sz w:val="20"/>
              </w:rPr>
            </w:pPr>
            <w:r>
              <w:rPr>
                <w:rFonts w:ascii="Arial" w:hAnsi="Arial" w:eastAsia="Arial" w:cs="Arial"/>
                <w:color w:val="000000"/>
                <w:spacing w:val="-3"/>
                <w:sz w:val="20"/>
              </w:rPr>
              <w:t>1</w:t>
            </w:r>
            <w:r w:rsidR="00736F55">
              <w:rPr>
                <w:rFonts w:ascii="Arial" w:hAnsi="Arial" w:eastAsia="Arial" w:cs="Arial"/>
                <w:color w:val="000000"/>
                <w:spacing w:val="-3"/>
                <w:sz w:val="20"/>
              </w:rPr>
              <w:t>8</w:t>
            </w:r>
          </w:p>
        </w:tc>
        <w:tc>
          <w:tcPr>
            <w:tcW w:w="348" w:type="pct"/>
            <w:vAlign w:val="center"/>
          </w:tcPr>
          <w:p w14:paraId="1695712B" w14:textId="77777777" w:rsidR="00D2325B" w:rsidRDefault="00D2325B" w:rsidP="00D2325B">
            <w:pPr>
              <w:pStyle w:val="Paragraph"/>
              <w:numPr>
                <w:ilvl w:val="0"/>
                <w:numId w:val="0"/>
              </w:numPr>
              <w:spacing w:before="20" w:after="20"/>
              <w:jc w:val="center"/>
              <w:rPr>
                <w:rFonts w:ascii="Arial" w:hAnsi="Arial" w:cs="Arial"/>
                <w:sz w:val="20"/>
                <w:lang w:val="es-419" w:eastAsia="zh-CN"/>
              </w:rPr>
            </w:pPr>
            <w:r>
              <w:rPr>
                <w:rFonts w:ascii="Arial" w:hAnsi="Arial" w:cs="Arial"/>
                <w:sz w:val="20"/>
                <w:lang w:val="es-419" w:eastAsia="zh-CN"/>
              </w:rPr>
              <w:t>2021</w:t>
            </w:r>
          </w:p>
        </w:tc>
        <w:tc>
          <w:tcPr>
            <w:tcW w:w="1250" w:type="pct"/>
            <w:vAlign w:val="center"/>
          </w:tcPr>
          <w:p w14:paraId="7E234AF8" w14:textId="66D5C459" w:rsidR="00D2325B" w:rsidRDefault="00736F55" w:rsidP="00D2325B">
            <w:pPr>
              <w:pStyle w:val="Paragraph"/>
              <w:numPr>
                <w:ilvl w:val="0"/>
                <w:numId w:val="0"/>
              </w:numPr>
              <w:spacing w:before="20" w:after="20"/>
              <w:jc w:val="center"/>
              <w:rPr>
                <w:rFonts w:ascii="Arial" w:hAnsi="Arial" w:cs="Arial"/>
                <w:sz w:val="20"/>
                <w:lang w:val="es-ES_tradnl" w:eastAsia="zh-CN"/>
              </w:rPr>
            </w:pPr>
            <w:r>
              <w:rPr>
                <w:rFonts w:ascii="Arial" w:hAnsi="Arial" w:cs="Arial"/>
                <w:noProof/>
                <w:sz w:val="20"/>
                <w:lang w:val="es-ES_tradnl"/>
              </w:rPr>
              <w:t>Informe SITUFIN MH</w:t>
            </w:r>
          </w:p>
        </w:tc>
        <w:tc>
          <w:tcPr>
            <w:tcW w:w="522" w:type="pct"/>
            <w:vAlign w:val="center"/>
          </w:tcPr>
          <w:p w14:paraId="2B000FD2" w14:textId="77777777" w:rsidR="00D2325B" w:rsidRDefault="00D2325B" w:rsidP="00D2325B">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3C6BAB5A" w14:textId="77777777" w:rsidR="00D2325B" w:rsidRDefault="00D2325B" w:rsidP="00D2325B">
            <w:pPr>
              <w:pStyle w:val="Paragraph"/>
              <w:numPr>
                <w:ilvl w:val="0"/>
                <w:numId w:val="0"/>
              </w:numPr>
              <w:spacing w:before="20" w:after="20"/>
              <w:jc w:val="center"/>
              <w:rPr>
                <w:rFonts w:ascii="Arial" w:hAnsi="Arial" w:cs="Arial"/>
                <w:sz w:val="20"/>
              </w:rPr>
            </w:pPr>
            <w:r>
              <w:rPr>
                <w:rFonts w:ascii="Arial" w:hAnsi="Arial" w:cs="Arial"/>
                <w:sz w:val="20"/>
              </w:rPr>
              <w:t>Antes y después</w:t>
            </w:r>
          </w:p>
        </w:tc>
      </w:tr>
      <w:tr w:rsidR="00D2325B" w14:paraId="4DF1177E" w14:textId="77777777" w:rsidTr="00BE5978">
        <w:trPr>
          <w:trHeight w:val="20"/>
        </w:trPr>
        <w:tc>
          <w:tcPr>
            <w:tcW w:w="5000" w:type="pct"/>
            <w:gridSpan w:val="9"/>
            <w:vAlign w:val="center"/>
          </w:tcPr>
          <w:p w14:paraId="60FC6665" w14:textId="77777777" w:rsidR="00D2325B" w:rsidRDefault="00D2325B" w:rsidP="00D2325B">
            <w:pPr>
              <w:pStyle w:val="Paragraph"/>
              <w:numPr>
                <w:ilvl w:val="0"/>
                <w:numId w:val="0"/>
              </w:numPr>
              <w:spacing w:before="0" w:after="0"/>
              <w:jc w:val="center"/>
              <w:rPr>
                <w:rFonts w:ascii="Arial" w:hAnsi="Arial" w:cs="Arial"/>
                <w:i/>
                <w:sz w:val="20"/>
              </w:rPr>
            </w:pPr>
            <w:r>
              <w:rPr>
                <w:rFonts w:ascii="Arial" w:hAnsi="Arial" w:cs="Arial"/>
                <w:b/>
                <w:sz w:val="20"/>
              </w:rPr>
              <w:t>INDICADORES DE RESULTADO</w:t>
            </w:r>
          </w:p>
        </w:tc>
      </w:tr>
      <w:tr w:rsidR="008033EB" w14:paraId="17F2DAC2" w14:textId="77777777" w:rsidTr="008033EB">
        <w:trPr>
          <w:trHeight w:val="20"/>
        </w:trPr>
        <w:tc>
          <w:tcPr>
            <w:tcW w:w="902" w:type="pct"/>
            <w:vAlign w:val="center"/>
          </w:tcPr>
          <w:p w14:paraId="351F1EB5" w14:textId="07D69ED0" w:rsidR="00087171" w:rsidRPr="00BE5978" w:rsidRDefault="00087171" w:rsidP="00087171">
            <w:pPr>
              <w:pStyle w:val="Paragraph"/>
              <w:numPr>
                <w:ilvl w:val="0"/>
                <w:numId w:val="0"/>
              </w:numPr>
              <w:spacing w:before="0" w:after="0"/>
              <w:jc w:val="left"/>
              <w:rPr>
                <w:rFonts w:ascii="Arial" w:hAnsi="Arial" w:cs="Arial"/>
                <w:sz w:val="20"/>
                <w:lang w:val="es-419"/>
              </w:rPr>
            </w:pPr>
            <w:r>
              <w:rPr>
                <w:rFonts w:ascii="Arial" w:hAnsi="Arial" w:cs="Arial"/>
                <w:sz w:val="20"/>
              </w:rPr>
              <w:t>Deuda pública a tasa fija</w:t>
            </w:r>
            <w:r w:rsidR="00CF1E08">
              <w:rPr>
                <w:rFonts w:ascii="Arial" w:hAnsi="Arial" w:cs="Arial"/>
                <w:sz w:val="20"/>
              </w:rPr>
              <w:t>/deuda total</w:t>
            </w:r>
            <w:r w:rsidR="00CF1E08">
              <w:rPr>
                <w:rStyle w:val="FootnoteReference"/>
                <w:rFonts w:ascii="Arial" w:hAnsi="Arial" w:cs="Arial"/>
                <w:sz w:val="20"/>
                <w:lang w:val="es-419"/>
              </w:rPr>
              <w:footnoteReference w:id="7"/>
            </w:r>
          </w:p>
        </w:tc>
        <w:tc>
          <w:tcPr>
            <w:tcW w:w="502" w:type="pct"/>
            <w:vAlign w:val="center"/>
          </w:tcPr>
          <w:p w14:paraId="088240FC" w14:textId="77777777" w:rsidR="00087171" w:rsidRDefault="00087171" w:rsidP="00087171">
            <w:pPr>
              <w:spacing w:before="20" w:after="20"/>
              <w:jc w:val="center"/>
              <w:rPr>
                <w:rFonts w:ascii="Arial" w:hAnsi="Arial" w:cs="Arial"/>
                <w:sz w:val="20"/>
                <w:lang w:val="es-419" w:eastAsia="zh-CN"/>
              </w:rPr>
            </w:pPr>
            <w:r>
              <w:rPr>
                <w:rFonts w:ascii="Arial" w:hAnsi="Arial" w:cs="Arial"/>
                <w:sz w:val="20"/>
                <w:lang w:val="es-419" w:eastAsia="zh-CN"/>
              </w:rPr>
              <w:t>%</w:t>
            </w:r>
          </w:p>
          <w:p w14:paraId="05E9C8BE" w14:textId="0803BB39" w:rsidR="008033EB" w:rsidRDefault="008033EB" w:rsidP="00087171">
            <w:pPr>
              <w:spacing w:before="20" w:after="20"/>
              <w:jc w:val="center"/>
              <w:rPr>
                <w:rFonts w:ascii="Arial" w:hAnsi="Arial" w:cs="Arial"/>
                <w:sz w:val="20"/>
                <w:lang w:val="es-419" w:eastAsia="zh-CN"/>
              </w:rPr>
            </w:pPr>
            <w:r>
              <w:rPr>
                <w:rFonts w:ascii="Arial" w:hAnsi="Arial" w:cs="Arial"/>
                <w:sz w:val="20"/>
                <w:lang w:val="es-419"/>
              </w:rPr>
              <w:t>(dólares / dólares)</w:t>
            </w:r>
          </w:p>
        </w:tc>
        <w:tc>
          <w:tcPr>
            <w:tcW w:w="305" w:type="pct"/>
            <w:vAlign w:val="center"/>
          </w:tcPr>
          <w:p w14:paraId="74C6E355" w14:textId="137E3593" w:rsidR="00087171" w:rsidRDefault="00087171" w:rsidP="00087171">
            <w:pPr>
              <w:spacing w:before="20" w:after="20"/>
              <w:jc w:val="center"/>
              <w:rPr>
                <w:rFonts w:ascii="Arial" w:hAnsi="Arial" w:cs="Arial"/>
                <w:sz w:val="20"/>
                <w:lang w:val="es-419" w:eastAsia="zh-CN"/>
              </w:rPr>
            </w:pPr>
            <w:r>
              <w:rPr>
                <w:rFonts w:ascii="Arial" w:hAnsi="Arial" w:cs="Arial"/>
                <w:sz w:val="20"/>
                <w:lang w:val="es-419" w:eastAsia="zh-CN"/>
              </w:rPr>
              <w:t>6</w:t>
            </w:r>
            <w:r w:rsidR="00486375">
              <w:rPr>
                <w:rFonts w:ascii="Arial" w:hAnsi="Arial" w:cs="Arial"/>
                <w:sz w:val="20"/>
                <w:lang w:val="es-419" w:eastAsia="zh-CN"/>
              </w:rPr>
              <w:t>9</w:t>
            </w:r>
            <w:r>
              <w:rPr>
                <w:rFonts w:ascii="Arial" w:hAnsi="Arial" w:cs="Arial"/>
                <w:sz w:val="20"/>
                <w:lang w:val="es-419" w:eastAsia="zh-CN"/>
              </w:rPr>
              <w:t>,</w:t>
            </w:r>
            <w:r w:rsidR="00486375">
              <w:rPr>
                <w:rFonts w:ascii="Arial" w:hAnsi="Arial" w:cs="Arial"/>
                <w:sz w:val="20"/>
                <w:lang w:val="es-419" w:eastAsia="zh-CN"/>
              </w:rPr>
              <w:t>5</w:t>
            </w:r>
          </w:p>
        </w:tc>
        <w:tc>
          <w:tcPr>
            <w:tcW w:w="348" w:type="pct"/>
            <w:vAlign w:val="center"/>
          </w:tcPr>
          <w:p w14:paraId="0D0C2A92" w14:textId="6BD9F3A2" w:rsidR="00087171" w:rsidRPr="56D17B07" w:rsidRDefault="00087171" w:rsidP="00087171">
            <w:pPr>
              <w:spacing w:before="20" w:after="20"/>
              <w:jc w:val="center"/>
              <w:rPr>
                <w:rFonts w:ascii="Arial" w:hAnsi="Arial" w:cs="Arial"/>
                <w:sz w:val="20"/>
                <w:lang w:val="es-419" w:eastAsia="zh-CN"/>
              </w:rPr>
            </w:pPr>
            <w:r>
              <w:rPr>
                <w:rFonts w:ascii="Arial" w:hAnsi="Arial" w:cs="Arial"/>
                <w:sz w:val="20"/>
                <w:lang w:val="es-419" w:eastAsia="zh-CN"/>
              </w:rPr>
              <w:t>201</w:t>
            </w:r>
            <w:r w:rsidR="00486375">
              <w:rPr>
                <w:rFonts w:ascii="Arial" w:hAnsi="Arial" w:cs="Arial"/>
                <w:sz w:val="20"/>
                <w:lang w:val="es-419" w:eastAsia="zh-CN"/>
              </w:rPr>
              <w:t>7</w:t>
            </w:r>
          </w:p>
        </w:tc>
        <w:tc>
          <w:tcPr>
            <w:tcW w:w="327" w:type="pct"/>
            <w:vAlign w:val="center"/>
          </w:tcPr>
          <w:p w14:paraId="26C9CBBA" w14:textId="77777777" w:rsidR="00087171" w:rsidRDefault="00087171" w:rsidP="00087171">
            <w:pPr>
              <w:spacing w:before="20" w:after="20"/>
              <w:jc w:val="center"/>
              <w:rPr>
                <w:rFonts w:ascii="Arial" w:eastAsia="Arial" w:hAnsi="Arial" w:cs="Arial"/>
                <w:color w:val="000000"/>
                <w:spacing w:val="-3"/>
                <w:sz w:val="20"/>
                <w:lang w:val="es-ES"/>
              </w:rPr>
            </w:pPr>
            <w:r>
              <w:rPr>
                <w:rFonts w:ascii="Arial" w:hAnsi="Arial" w:eastAsia="Arial" w:cs="Arial"/>
                <w:color w:val="000000"/>
                <w:spacing w:val="-3"/>
                <w:sz w:val="20"/>
                <w:lang w:val="es-ES"/>
              </w:rPr>
              <w:t>75</w:t>
            </w:r>
          </w:p>
        </w:tc>
        <w:tc>
          <w:tcPr>
            <w:tcW w:w="348" w:type="pct"/>
            <w:vAlign w:val="center"/>
          </w:tcPr>
          <w:p w14:paraId="26996A40" w14:textId="77777777" w:rsidR="00087171" w:rsidRDefault="00087171" w:rsidP="00087171">
            <w:pPr>
              <w:spacing w:before="20" w:after="20"/>
              <w:jc w:val="center"/>
              <w:rPr>
                <w:rFonts w:ascii="Arial" w:hAnsi="Arial" w:cs="Arial"/>
                <w:sz w:val="20"/>
                <w:lang w:val="es-419" w:eastAsia="zh-CN"/>
              </w:rPr>
            </w:pPr>
            <w:r>
              <w:rPr>
                <w:rFonts w:ascii="Arial" w:hAnsi="Arial" w:cs="Arial"/>
                <w:sz w:val="20"/>
                <w:lang w:val="es-419" w:eastAsia="zh-CN"/>
              </w:rPr>
              <w:t>2021</w:t>
            </w:r>
          </w:p>
        </w:tc>
        <w:tc>
          <w:tcPr>
            <w:tcW w:w="1250" w:type="pct"/>
            <w:vAlign w:val="center"/>
          </w:tcPr>
          <w:p w14:paraId="668DDE42" w14:textId="77777777" w:rsidR="00087171" w:rsidRDefault="00087171" w:rsidP="00087171">
            <w:pPr>
              <w:spacing w:before="20" w:after="20"/>
              <w:jc w:val="center"/>
              <w:outlineLvl w:val="1"/>
              <w:rPr>
                <w:rFonts w:ascii="Arial" w:hAnsi="Arial" w:cs="Arial"/>
                <w:sz w:val="20"/>
                <w:lang w:val="es-MX"/>
              </w:rPr>
            </w:pPr>
            <w:r>
              <w:rPr>
                <w:rFonts w:ascii="Arial" w:hAnsi="Arial" w:cs="Arial"/>
                <w:sz w:val="20"/>
                <w:lang w:val="es-MX"/>
              </w:rPr>
              <w:t xml:space="preserve">MH </w:t>
            </w:r>
            <w:r>
              <w:rPr>
                <w:rFonts w:ascii="Arial" w:hAnsi="Arial" w:cs="Arial"/>
                <w:sz w:val="20"/>
                <w:lang w:eastAsia="zh-CN"/>
              </w:rPr>
              <w:t>Informe de Finanzas Públicas</w:t>
            </w:r>
          </w:p>
        </w:tc>
        <w:tc>
          <w:tcPr>
            <w:tcW w:w="522" w:type="pct"/>
            <w:vAlign w:val="center"/>
          </w:tcPr>
          <w:p w14:paraId="6B946EFA" w14:textId="77777777" w:rsidR="00087171" w:rsidRDefault="00087171" w:rsidP="00087171">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38726754" w14:textId="77777777" w:rsidR="00087171" w:rsidRDefault="00087171" w:rsidP="00087171">
            <w:pPr>
              <w:pStyle w:val="Paragraph"/>
              <w:numPr>
                <w:ilvl w:val="0"/>
                <w:numId w:val="0"/>
              </w:numPr>
              <w:spacing w:before="20" w:after="20"/>
              <w:jc w:val="center"/>
              <w:rPr>
                <w:rFonts w:ascii="Arial" w:hAnsi="Arial" w:cs="Arial"/>
                <w:sz w:val="20"/>
              </w:rPr>
            </w:pPr>
            <w:r>
              <w:rPr>
                <w:rFonts w:ascii="Arial" w:hAnsi="Arial" w:cs="Arial"/>
                <w:sz w:val="20"/>
              </w:rPr>
              <w:t>Antes y después</w:t>
            </w:r>
          </w:p>
        </w:tc>
      </w:tr>
      <w:tr w:rsidR="008033EB" w14:paraId="0BACB0A9" w14:textId="77777777" w:rsidTr="008033EB">
        <w:trPr>
          <w:trHeight w:val="20"/>
        </w:trPr>
        <w:tc>
          <w:tcPr>
            <w:tcW w:w="902" w:type="pct"/>
            <w:vAlign w:val="center"/>
          </w:tcPr>
          <w:p w14:paraId="2CE11E53" w14:textId="77777777" w:rsidR="008339A8" w:rsidRDefault="008339A8" w:rsidP="008339A8">
            <w:pPr>
              <w:rPr>
                <w:rFonts w:ascii="Arial" w:hAnsi="Arial" w:cs="Arial"/>
                <w:sz w:val="20"/>
              </w:rPr>
            </w:pPr>
            <w:r>
              <w:rPr>
                <w:rFonts w:ascii="Arial" w:hAnsi="Arial" w:cs="Arial"/>
                <w:sz w:val="20"/>
                <w:lang w:eastAsia="zh-CN"/>
              </w:rPr>
              <w:t>Gasto social ejecutado/presupuestado</w:t>
            </w:r>
          </w:p>
        </w:tc>
        <w:tc>
          <w:tcPr>
            <w:tcW w:w="502" w:type="pct"/>
            <w:vAlign w:val="center"/>
          </w:tcPr>
          <w:p w14:paraId="29CD22FD" w14:textId="77777777" w:rsidR="008339A8" w:rsidRDefault="008339A8" w:rsidP="008339A8">
            <w:pPr>
              <w:spacing w:before="20" w:after="20"/>
              <w:jc w:val="center"/>
              <w:rPr>
                <w:rFonts w:ascii="Arial" w:hAnsi="Arial" w:cs="Arial"/>
                <w:sz w:val="20"/>
                <w:lang w:val="es-ES"/>
              </w:rPr>
            </w:pPr>
            <w:r>
              <w:rPr>
                <w:rFonts w:ascii="Arial" w:hAnsi="Arial" w:cs="Arial"/>
                <w:sz w:val="20"/>
                <w:lang w:val="es-ES"/>
              </w:rPr>
              <w:t>%</w:t>
            </w:r>
          </w:p>
          <w:p w14:paraId="53551B4F" w14:textId="3DC3FC7B" w:rsidR="008033EB" w:rsidRDefault="008033EB" w:rsidP="008339A8">
            <w:pPr>
              <w:spacing w:before="20" w:after="20"/>
              <w:jc w:val="center"/>
              <w:rPr>
                <w:rFonts w:ascii="Arial" w:hAnsi="Arial" w:cs="Arial"/>
                <w:sz w:val="20"/>
                <w:lang w:val="es-ES"/>
              </w:rPr>
            </w:pPr>
            <w:r>
              <w:rPr>
                <w:rFonts w:ascii="Arial" w:hAnsi="Arial" w:cs="Arial"/>
                <w:sz w:val="20"/>
                <w:lang w:val="es-419"/>
              </w:rPr>
              <w:t>(guaraníes / guaraníes)</w:t>
            </w:r>
          </w:p>
        </w:tc>
        <w:tc>
          <w:tcPr>
            <w:tcW w:w="305" w:type="pct"/>
            <w:vAlign w:val="center"/>
          </w:tcPr>
          <w:p w14:paraId="030598A5" w14:textId="77777777" w:rsidR="008339A8" w:rsidRDefault="008339A8" w:rsidP="008339A8">
            <w:pPr>
              <w:spacing w:before="20" w:after="20"/>
              <w:jc w:val="center"/>
              <w:rPr>
                <w:rFonts w:ascii="Arial" w:hAnsi="Arial" w:cs="Arial"/>
                <w:sz w:val="20"/>
                <w:lang w:val="es-ES"/>
              </w:rPr>
            </w:pPr>
            <w:r>
              <w:rPr>
                <w:rFonts w:ascii="Arial" w:hAnsi="Arial" w:cs="Arial"/>
                <w:sz w:val="20"/>
                <w:lang w:val="es-ES"/>
              </w:rPr>
              <w:t>80</w:t>
            </w:r>
          </w:p>
        </w:tc>
        <w:tc>
          <w:tcPr>
            <w:tcW w:w="348" w:type="pct"/>
            <w:vAlign w:val="center"/>
          </w:tcPr>
          <w:p w14:paraId="08BD977C" w14:textId="77777777" w:rsidR="008339A8" w:rsidRDefault="008339A8" w:rsidP="008339A8">
            <w:pPr>
              <w:spacing w:before="20" w:after="20"/>
              <w:jc w:val="center"/>
              <w:rPr>
                <w:rFonts w:ascii="Arial" w:hAnsi="Arial" w:cs="Arial"/>
                <w:sz w:val="20"/>
                <w:lang w:val="es-ES"/>
              </w:rPr>
            </w:pPr>
            <w:r>
              <w:rPr>
                <w:rFonts w:ascii="Arial" w:hAnsi="Arial" w:cs="Arial"/>
                <w:sz w:val="20"/>
                <w:lang w:val="es-ES"/>
              </w:rPr>
              <w:t>2017</w:t>
            </w:r>
          </w:p>
        </w:tc>
        <w:tc>
          <w:tcPr>
            <w:tcW w:w="327" w:type="pct"/>
            <w:vAlign w:val="center"/>
          </w:tcPr>
          <w:p w14:paraId="6C692399" w14:textId="77777777" w:rsidR="008339A8" w:rsidRPr="00D95FF0" w:rsidRDefault="008339A8" w:rsidP="008339A8">
            <w:pPr>
              <w:spacing w:before="20" w:after="20"/>
              <w:jc w:val="center"/>
              <w:rPr>
                <w:rFonts w:ascii="Arial" w:hAnsi="Arial" w:cs="Arial"/>
                <w:sz w:val="20"/>
                <w:lang w:val="es-ES"/>
              </w:rPr>
            </w:pPr>
            <w:r w:rsidRPr="00D95FF0">
              <w:rPr>
                <w:rFonts w:ascii="Arial" w:hAnsi="Arial" w:cs="Arial"/>
                <w:sz w:val="20"/>
                <w:lang w:val="es-ES"/>
              </w:rPr>
              <w:t>85</w:t>
            </w:r>
          </w:p>
        </w:tc>
        <w:tc>
          <w:tcPr>
            <w:tcW w:w="348" w:type="pct"/>
            <w:vAlign w:val="center"/>
          </w:tcPr>
          <w:p w14:paraId="18879438" w14:textId="77777777" w:rsidR="008339A8" w:rsidRPr="00D95FF0" w:rsidRDefault="008339A8" w:rsidP="008339A8">
            <w:pPr>
              <w:spacing w:before="20" w:after="20"/>
              <w:jc w:val="center"/>
              <w:rPr>
                <w:rFonts w:ascii="Arial" w:hAnsi="Arial" w:cs="Arial"/>
                <w:sz w:val="20"/>
                <w:lang w:val="es-ES"/>
              </w:rPr>
            </w:pPr>
            <w:r w:rsidRPr="00D95FF0">
              <w:rPr>
                <w:rFonts w:ascii="Arial" w:hAnsi="Arial" w:cs="Arial"/>
                <w:sz w:val="20"/>
                <w:lang w:val="es-ES"/>
              </w:rPr>
              <w:t>2021</w:t>
            </w:r>
          </w:p>
        </w:tc>
        <w:tc>
          <w:tcPr>
            <w:tcW w:w="1250" w:type="pct"/>
            <w:vAlign w:val="center"/>
          </w:tcPr>
          <w:p w14:paraId="244DE56A" w14:textId="77777777" w:rsidR="008339A8" w:rsidRDefault="008339A8" w:rsidP="008339A8">
            <w:pPr>
              <w:pStyle w:val="Paragraph"/>
              <w:numPr>
                <w:ilvl w:val="1"/>
                <w:numId w:val="0"/>
              </w:numPr>
              <w:spacing w:before="20" w:after="20"/>
              <w:jc w:val="center"/>
              <w:rPr>
                <w:rFonts w:ascii="Arial" w:hAnsi="Arial" w:cs="Arial"/>
                <w:sz w:val="20"/>
              </w:rPr>
            </w:pPr>
            <w:r>
              <w:rPr>
                <w:rFonts w:ascii="Arial" w:hAnsi="Arial" w:cs="Arial"/>
                <w:sz w:val="20"/>
                <w:lang w:val="es-419" w:eastAsia="zh-CN"/>
              </w:rPr>
              <w:t xml:space="preserve">Informe DGP – MH </w:t>
            </w:r>
          </w:p>
        </w:tc>
        <w:tc>
          <w:tcPr>
            <w:tcW w:w="522" w:type="pct"/>
            <w:vAlign w:val="center"/>
          </w:tcPr>
          <w:p w14:paraId="5B66C868" w14:textId="77777777" w:rsidR="008339A8" w:rsidRDefault="008339A8" w:rsidP="008339A8">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112320C4" w14:textId="77777777" w:rsidR="008339A8" w:rsidRDefault="008339A8" w:rsidP="008339A8">
            <w:pPr>
              <w:pStyle w:val="Paragraph"/>
              <w:numPr>
                <w:ilvl w:val="0"/>
                <w:numId w:val="0"/>
              </w:numPr>
              <w:spacing w:before="20" w:after="20"/>
              <w:jc w:val="center"/>
              <w:rPr>
                <w:rFonts w:ascii="Arial" w:hAnsi="Arial" w:cs="Arial"/>
                <w:sz w:val="20"/>
              </w:rPr>
            </w:pPr>
            <w:r>
              <w:rPr>
                <w:rFonts w:ascii="Arial" w:hAnsi="Arial" w:cs="Arial"/>
                <w:sz w:val="20"/>
              </w:rPr>
              <w:t>Antes y después</w:t>
            </w:r>
          </w:p>
        </w:tc>
      </w:tr>
      <w:tr w:rsidR="008033EB" w14:paraId="07BC6C21" w14:textId="77777777" w:rsidTr="008033EB">
        <w:trPr>
          <w:trHeight w:val="20"/>
        </w:trPr>
        <w:tc>
          <w:tcPr>
            <w:tcW w:w="902" w:type="pct"/>
            <w:vAlign w:val="center"/>
          </w:tcPr>
          <w:p w14:paraId="7B01F25F" w14:textId="77777777" w:rsidR="008339A8" w:rsidRDefault="008339A8" w:rsidP="008339A8">
            <w:pPr>
              <w:rPr>
                <w:rFonts w:ascii="Arial" w:hAnsi="Arial" w:cs="Arial"/>
                <w:sz w:val="20"/>
                <w:lang w:val="es-ES"/>
              </w:rPr>
            </w:pPr>
            <w:r>
              <w:rPr>
                <w:rFonts w:ascii="Arial" w:hAnsi="Arial" w:cs="Arial"/>
                <w:sz w:val="20"/>
                <w:lang w:val="es-ES"/>
              </w:rPr>
              <w:lastRenderedPageBreak/>
              <w:t>Gasto de inversión ejecutado/presupuestado</w:t>
            </w:r>
          </w:p>
        </w:tc>
        <w:tc>
          <w:tcPr>
            <w:tcW w:w="502" w:type="pct"/>
            <w:vAlign w:val="center"/>
          </w:tcPr>
          <w:p w14:paraId="0E73509E" w14:textId="77777777" w:rsidR="008339A8" w:rsidRDefault="008339A8" w:rsidP="008339A8">
            <w:pPr>
              <w:spacing w:before="20" w:after="20"/>
              <w:jc w:val="center"/>
              <w:rPr>
                <w:rFonts w:ascii="Arial" w:hAnsi="Arial" w:cs="Arial"/>
                <w:sz w:val="20"/>
                <w:lang w:val="es-419" w:eastAsia="zh-CN"/>
              </w:rPr>
            </w:pPr>
            <w:r>
              <w:rPr>
                <w:rFonts w:ascii="Arial" w:hAnsi="Arial" w:cs="Arial"/>
                <w:sz w:val="20"/>
                <w:lang w:val="es-419" w:eastAsia="zh-CN"/>
              </w:rPr>
              <w:t xml:space="preserve">% </w:t>
            </w:r>
          </w:p>
          <w:p w14:paraId="14BC2272" w14:textId="78E8754B" w:rsidR="008033EB" w:rsidRDefault="008033EB" w:rsidP="008339A8">
            <w:pPr>
              <w:spacing w:before="20" w:after="20"/>
              <w:jc w:val="center"/>
              <w:rPr>
                <w:rFonts w:ascii="Arial" w:hAnsi="Arial" w:cs="Arial"/>
                <w:sz w:val="20"/>
                <w:lang w:val="es-ES"/>
              </w:rPr>
            </w:pPr>
            <w:r>
              <w:rPr>
                <w:rFonts w:ascii="Arial" w:hAnsi="Arial" w:cs="Arial"/>
                <w:sz w:val="20"/>
                <w:lang w:val="es-419"/>
              </w:rPr>
              <w:t>(guaraníes / guaraníes)</w:t>
            </w:r>
          </w:p>
        </w:tc>
        <w:tc>
          <w:tcPr>
            <w:tcW w:w="305" w:type="pct"/>
            <w:vAlign w:val="center"/>
          </w:tcPr>
          <w:p w14:paraId="108233AD" w14:textId="77777777" w:rsidR="008339A8" w:rsidRDefault="008339A8" w:rsidP="008339A8">
            <w:pPr>
              <w:spacing w:before="20" w:after="20"/>
              <w:jc w:val="center"/>
              <w:rPr>
                <w:rFonts w:ascii="Arial" w:hAnsi="Arial" w:cs="Arial"/>
                <w:sz w:val="20"/>
                <w:lang w:val="es-ES"/>
              </w:rPr>
            </w:pPr>
            <w:r>
              <w:rPr>
                <w:rFonts w:ascii="Arial" w:hAnsi="Arial" w:cs="Arial"/>
                <w:sz w:val="20"/>
                <w:lang w:val="es-ES"/>
              </w:rPr>
              <w:t>69</w:t>
            </w:r>
          </w:p>
        </w:tc>
        <w:tc>
          <w:tcPr>
            <w:tcW w:w="348" w:type="pct"/>
            <w:vAlign w:val="center"/>
          </w:tcPr>
          <w:p w14:paraId="6E053987" w14:textId="77777777" w:rsidR="008339A8" w:rsidRDefault="008339A8" w:rsidP="008339A8">
            <w:pPr>
              <w:spacing w:before="20" w:after="20"/>
              <w:jc w:val="center"/>
              <w:rPr>
                <w:rFonts w:ascii="Arial" w:hAnsi="Arial" w:cs="Arial"/>
                <w:sz w:val="20"/>
                <w:lang w:val="es-ES"/>
              </w:rPr>
            </w:pPr>
            <w:r>
              <w:rPr>
                <w:rFonts w:ascii="Arial" w:hAnsi="Arial" w:cs="Arial"/>
                <w:sz w:val="20"/>
                <w:lang w:val="es-419" w:eastAsia="zh-CN"/>
              </w:rPr>
              <w:t>2017</w:t>
            </w:r>
          </w:p>
        </w:tc>
        <w:tc>
          <w:tcPr>
            <w:tcW w:w="327" w:type="pct"/>
            <w:vAlign w:val="center"/>
          </w:tcPr>
          <w:p w14:paraId="597CED66" w14:textId="77777777" w:rsidR="008339A8" w:rsidRDefault="008339A8" w:rsidP="008339A8">
            <w:pPr>
              <w:pStyle w:val="Paragraph"/>
              <w:numPr>
                <w:ilvl w:val="0"/>
                <w:numId w:val="0"/>
              </w:numPr>
              <w:spacing w:before="20" w:after="20"/>
              <w:jc w:val="center"/>
              <w:rPr>
                <w:rFonts w:ascii="Arial" w:hAnsi="Arial" w:cs="Arial"/>
                <w:sz w:val="20"/>
              </w:rPr>
            </w:pPr>
            <w:r>
              <w:rPr>
                <w:rFonts w:ascii="Arial" w:hAnsi="Arial" w:eastAsia="Arial" w:cs="Arial"/>
                <w:color w:val="000000"/>
                <w:spacing w:val="-3"/>
                <w:sz w:val="20"/>
              </w:rPr>
              <w:t>75</w:t>
            </w:r>
          </w:p>
        </w:tc>
        <w:tc>
          <w:tcPr>
            <w:tcW w:w="348" w:type="pct"/>
            <w:vAlign w:val="center"/>
          </w:tcPr>
          <w:p w14:paraId="28AC378D" w14:textId="77777777" w:rsidR="008339A8" w:rsidRDefault="008339A8" w:rsidP="008339A8">
            <w:pPr>
              <w:pStyle w:val="Paragraph"/>
              <w:numPr>
                <w:ilvl w:val="0"/>
                <w:numId w:val="0"/>
              </w:numPr>
              <w:spacing w:before="20" w:after="20"/>
              <w:jc w:val="center"/>
              <w:rPr>
                <w:rFonts w:ascii="Arial" w:hAnsi="Arial" w:cs="Arial"/>
                <w:sz w:val="20"/>
              </w:rPr>
            </w:pPr>
            <w:r>
              <w:rPr>
                <w:rFonts w:ascii="Arial" w:hAnsi="Arial" w:cs="Arial"/>
                <w:sz w:val="20"/>
                <w:lang w:val="es-419" w:eastAsia="zh-CN"/>
              </w:rPr>
              <w:t>2021</w:t>
            </w:r>
          </w:p>
        </w:tc>
        <w:tc>
          <w:tcPr>
            <w:tcW w:w="1250" w:type="pct"/>
            <w:vAlign w:val="center"/>
          </w:tcPr>
          <w:p w14:paraId="71DBD95D" w14:textId="77777777" w:rsidR="008339A8" w:rsidRDefault="008339A8" w:rsidP="008339A8">
            <w:pPr>
              <w:pStyle w:val="Paragraph"/>
              <w:numPr>
                <w:ilvl w:val="0"/>
                <w:numId w:val="0"/>
              </w:numPr>
              <w:spacing w:before="20" w:after="20"/>
              <w:jc w:val="center"/>
              <w:rPr>
                <w:rFonts w:ascii="Arial" w:hAnsi="Arial" w:cs="Arial"/>
                <w:sz w:val="20"/>
              </w:rPr>
            </w:pPr>
            <w:r>
              <w:rPr>
                <w:rFonts w:ascii="Arial" w:hAnsi="Arial" w:eastAsia="Arial" w:cs="Arial"/>
                <w:color w:val="000000"/>
                <w:spacing w:val="-3"/>
                <w:sz w:val="20"/>
              </w:rPr>
              <w:t xml:space="preserve">Informe DGP – MH </w:t>
            </w:r>
          </w:p>
        </w:tc>
        <w:tc>
          <w:tcPr>
            <w:tcW w:w="522" w:type="pct"/>
            <w:vAlign w:val="center"/>
          </w:tcPr>
          <w:p w14:paraId="1A2EA705" w14:textId="77777777" w:rsidR="008339A8" w:rsidRDefault="008339A8" w:rsidP="008339A8">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0ACA2364" w14:textId="77777777" w:rsidR="008339A8" w:rsidRDefault="008339A8" w:rsidP="008339A8">
            <w:pPr>
              <w:pStyle w:val="Paragraph"/>
              <w:numPr>
                <w:ilvl w:val="0"/>
                <w:numId w:val="0"/>
              </w:numPr>
              <w:spacing w:before="20" w:after="20"/>
              <w:jc w:val="center"/>
              <w:rPr>
                <w:rFonts w:ascii="Arial" w:hAnsi="Arial" w:cs="Arial"/>
                <w:sz w:val="20"/>
              </w:rPr>
            </w:pPr>
            <w:r>
              <w:rPr>
                <w:rFonts w:ascii="Arial" w:hAnsi="Arial" w:cs="Arial"/>
                <w:sz w:val="20"/>
              </w:rPr>
              <w:t>Antes y después</w:t>
            </w:r>
          </w:p>
        </w:tc>
      </w:tr>
    </w:tbl>
    <w:p w14:paraId="628CD553" w14:textId="77777777" w:rsidR="00155EEA" w:rsidRDefault="00155EEA">
      <w:pPr>
        <w:rPr>
          <w:lang w:val="es-ES"/>
        </w:rPr>
        <w:sectPr w:rsidR="00155EEA">
          <w:pgSz w:w="15840" w:h="12240" w:orient="landscape" w:code="1"/>
          <w:pgMar w:top="1800" w:right="1440" w:bottom="1800" w:left="1440" w:header="706" w:footer="706" w:gutter="0"/>
          <w:cols w:space="720"/>
          <w:formProt w:val="0"/>
          <w:titlePg/>
        </w:sectPr>
      </w:pPr>
    </w:p>
    <w:p w14:paraId="25DCDA14" w14:textId="628DED8F" w:rsidR="00155EEA" w:rsidRDefault="00C2392C" w:rsidP="006930D9">
      <w:pPr>
        <w:pStyle w:val="Paragraph"/>
        <w:tabs>
          <w:tab w:val="clear" w:pos="2448"/>
        </w:tabs>
        <w:spacing w:after="0"/>
        <w:ind w:left="720" w:hanging="756"/>
        <w:rPr>
          <w:rFonts w:ascii="Arial" w:hAnsi="Arial" w:cs="Arial"/>
          <w:sz w:val="22"/>
          <w:szCs w:val="22"/>
        </w:rPr>
      </w:pPr>
      <w:r>
        <w:rPr>
          <w:rFonts w:ascii="Arial" w:hAnsi="Arial" w:cs="Arial"/>
          <w:sz w:val="22"/>
          <w:szCs w:val="22"/>
        </w:rPr>
        <w:lastRenderedPageBreak/>
        <w:t>Para la evaluación ex</w:t>
      </w:r>
      <w:r w:rsidR="00CE4F09">
        <w:rPr>
          <w:rFonts w:ascii="Arial" w:hAnsi="Arial" w:cs="Arial"/>
          <w:sz w:val="22"/>
          <w:szCs w:val="22"/>
        </w:rPr>
        <w:t xml:space="preserve"> </w:t>
      </w:r>
      <w:r>
        <w:rPr>
          <w:rFonts w:ascii="Arial" w:hAnsi="Arial" w:cs="Arial"/>
          <w:sz w:val="22"/>
          <w:szCs w:val="22"/>
        </w:rPr>
        <w:t xml:space="preserve">post, las principales preguntas están referidas a si las reformas introducidas lograron el impacto deseado en términos fortalecer la sostenibilidad fiscal. Asimismo, se </w:t>
      </w:r>
      <w:r w:rsidR="00486375">
        <w:rPr>
          <w:rFonts w:ascii="Arial" w:hAnsi="Arial" w:cs="Arial"/>
          <w:sz w:val="22"/>
          <w:szCs w:val="22"/>
        </w:rPr>
        <w:t xml:space="preserve">realizará una evaluación de impacto </w:t>
      </w:r>
      <w:proofErr w:type="gramStart"/>
      <w:r w:rsidR="00486375">
        <w:rPr>
          <w:rFonts w:ascii="Arial" w:hAnsi="Arial" w:cs="Arial"/>
          <w:sz w:val="22"/>
          <w:szCs w:val="22"/>
        </w:rPr>
        <w:t xml:space="preserve">de </w:t>
      </w:r>
      <w:r>
        <w:rPr>
          <w:rFonts w:ascii="Arial" w:hAnsi="Arial" w:cs="Arial"/>
          <w:sz w:val="22"/>
          <w:szCs w:val="22"/>
        </w:rPr>
        <w:t xml:space="preserve"> la</w:t>
      </w:r>
      <w:proofErr w:type="gramEnd"/>
      <w:r>
        <w:rPr>
          <w:rFonts w:ascii="Arial" w:hAnsi="Arial" w:cs="Arial"/>
          <w:sz w:val="22"/>
          <w:szCs w:val="22"/>
        </w:rPr>
        <w:t xml:space="preserve"> </w:t>
      </w:r>
      <w:r w:rsidR="0064444F">
        <w:rPr>
          <w:rFonts w:ascii="Arial" w:hAnsi="Arial" w:cs="Arial"/>
          <w:sz w:val="22"/>
          <w:szCs w:val="22"/>
        </w:rPr>
        <w:t>implementación</w:t>
      </w:r>
      <w:r>
        <w:rPr>
          <w:rFonts w:ascii="Arial" w:hAnsi="Arial" w:cs="Arial"/>
          <w:sz w:val="22"/>
          <w:szCs w:val="22"/>
        </w:rPr>
        <w:t xml:space="preserve"> del</w:t>
      </w:r>
      <w:r w:rsidR="0064444F">
        <w:rPr>
          <w:rFonts w:ascii="Arial" w:hAnsi="Arial" w:cs="Arial"/>
          <w:sz w:val="22"/>
          <w:szCs w:val="22"/>
        </w:rPr>
        <w:t xml:space="preserve"> SIFEN</w:t>
      </w:r>
      <w:r>
        <w:rPr>
          <w:rFonts w:ascii="Arial" w:hAnsi="Arial" w:cs="Arial"/>
          <w:sz w:val="22"/>
          <w:szCs w:val="22"/>
        </w:rPr>
        <w:t>.</w:t>
      </w:r>
    </w:p>
    <w:p w14:paraId="24A6F83A" w14:textId="77777777" w:rsidR="00155EEA" w:rsidRDefault="00C2392C">
      <w:pPr>
        <w:pStyle w:val="FirstHeading"/>
        <w:spacing w:before="240" w:after="0"/>
        <w:rPr>
          <w:rFonts w:ascii="Arial" w:hAnsi="Arial" w:cs="Arial"/>
          <w:noProof/>
          <w:sz w:val="22"/>
          <w:szCs w:val="22"/>
        </w:rPr>
      </w:pPr>
      <w:bookmarkStart w:id="10" w:name="_Toc508105582"/>
      <w:r>
        <w:rPr>
          <w:rFonts w:ascii="Arial" w:hAnsi="Arial" w:cs="Arial"/>
          <w:sz w:val="22"/>
          <w:szCs w:val="22"/>
        </w:rPr>
        <w:t>B.</w:t>
      </w:r>
      <w:r>
        <w:rPr>
          <w:rFonts w:ascii="Arial" w:hAnsi="Arial" w:cs="Arial"/>
          <w:sz w:val="22"/>
          <w:szCs w:val="22"/>
        </w:rPr>
        <w:tab/>
      </w:r>
      <w:r>
        <w:rPr>
          <w:rFonts w:ascii="Arial" w:hAnsi="Arial" w:cs="Arial"/>
          <w:sz w:val="22"/>
          <w:szCs w:val="22"/>
        </w:rPr>
        <w:t>Conocimiento Existente</w:t>
      </w:r>
      <w:bookmarkEnd w:id="10"/>
    </w:p>
    <w:p w14:paraId="348D7D12" w14:textId="1D97FD55" w:rsidR="00155EEA" w:rsidRPr="0046422A" w:rsidRDefault="00C2392C" w:rsidP="006930D9">
      <w:pPr>
        <w:pStyle w:val="Paragraph"/>
        <w:tabs>
          <w:tab w:val="clear" w:pos="2448"/>
        </w:tabs>
        <w:spacing w:after="0"/>
        <w:ind w:left="720" w:hanging="756"/>
        <w:rPr>
          <w:rFonts w:ascii="Arial" w:hAnsi="Arial" w:cs="Arial"/>
          <w:sz w:val="22"/>
          <w:szCs w:val="22"/>
        </w:rPr>
      </w:pPr>
      <w:r w:rsidRPr="00CA1B54">
        <w:rPr>
          <w:rFonts w:ascii="Arial" w:hAnsi="Arial" w:cs="Arial"/>
          <w:sz w:val="22"/>
          <w:szCs w:val="22"/>
        </w:rPr>
        <w:t xml:space="preserve">Existen diversos análisis que dan cuenta de </w:t>
      </w:r>
      <w:r w:rsidR="002347F8" w:rsidRPr="00CA1B54">
        <w:rPr>
          <w:rFonts w:ascii="Arial" w:hAnsi="Arial" w:cs="Arial"/>
          <w:sz w:val="22"/>
          <w:szCs w:val="22"/>
        </w:rPr>
        <w:t xml:space="preserve">opciones para fortalecer </w:t>
      </w:r>
      <w:r w:rsidR="00063C06" w:rsidRPr="00CA1B54">
        <w:rPr>
          <w:rFonts w:ascii="Arial" w:hAnsi="Arial" w:cs="Arial"/>
          <w:sz w:val="22"/>
          <w:szCs w:val="22"/>
        </w:rPr>
        <w:t xml:space="preserve">el marco macro fiscal de Paraguay, mejorar la política y la gestión tributaria y mejorar la calidad del gasto. </w:t>
      </w:r>
      <w:r w:rsidRPr="00CA1B54">
        <w:rPr>
          <w:rFonts w:ascii="Arial" w:hAnsi="Arial" w:cs="Arial"/>
          <w:sz w:val="22"/>
          <w:szCs w:val="22"/>
          <w:lang w:val="es-AR"/>
        </w:rPr>
        <w:t xml:space="preserve">En lo referente a las medidas </w:t>
      </w:r>
      <w:r w:rsidR="00CA1B54">
        <w:rPr>
          <w:rFonts w:ascii="Arial" w:hAnsi="Arial" w:cs="Arial"/>
          <w:sz w:val="22"/>
          <w:szCs w:val="22"/>
          <w:lang w:val="es-AR"/>
        </w:rPr>
        <w:t xml:space="preserve">específicas </w:t>
      </w:r>
      <w:r w:rsidRPr="00CA1B54">
        <w:rPr>
          <w:rFonts w:ascii="Arial" w:hAnsi="Arial" w:cs="Arial"/>
          <w:sz w:val="22"/>
          <w:szCs w:val="22"/>
          <w:lang w:val="es-AR"/>
        </w:rPr>
        <w:t xml:space="preserve">propuestas para </w:t>
      </w:r>
      <w:r w:rsidR="00CA1B54">
        <w:rPr>
          <w:rFonts w:ascii="Arial" w:hAnsi="Arial" w:cs="Arial"/>
          <w:sz w:val="22"/>
          <w:szCs w:val="22"/>
          <w:lang w:val="es-AR"/>
        </w:rPr>
        <w:t xml:space="preserve">el presente proyecto, a </w:t>
      </w:r>
      <w:r w:rsidR="00CE4F09" w:rsidRPr="00CA1B54">
        <w:rPr>
          <w:rFonts w:ascii="Arial" w:hAnsi="Arial" w:cs="Arial"/>
          <w:sz w:val="22"/>
          <w:szCs w:val="22"/>
          <w:lang w:val="es-AR"/>
        </w:rPr>
        <w:t>continuación,</w:t>
      </w:r>
      <w:r w:rsidRPr="00CA1B54">
        <w:rPr>
          <w:rFonts w:ascii="Arial" w:hAnsi="Arial" w:cs="Arial"/>
          <w:sz w:val="22"/>
          <w:szCs w:val="22"/>
          <w:lang w:val="es-AR"/>
        </w:rPr>
        <w:t xml:space="preserve"> se describe</w:t>
      </w:r>
      <w:r w:rsidR="00CA1B54">
        <w:rPr>
          <w:rFonts w:ascii="Arial" w:hAnsi="Arial" w:cs="Arial"/>
          <w:sz w:val="22"/>
          <w:szCs w:val="22"/>
          <w:lang w:val="es-AR"/>
        </w:rPr>
        <w:t xml:space="preserve"> conocimiento y la </w:t>
      </w:r>
      <w:r w:rsidRPr="00CA1B54">
        <w:rPr>
          <w:rFonts w:ascii="Arial" w:hAnsi="Arial" w:cs="Arial"/>
          <w:sz w:val="22"/>
          <w:szCs w:val="22"/>
          <w:lang w:val="es-AR"/>
        </w:rPr>
        <w:t xml:space="preserve">evidencia </w:t>
      </w:r>
      <w:r w:rsidR="00CA1B54">
        <w:rPr>
          <w:rFonts w:ascii="Arial" w:hAnsi="Arial" w:cs="Arial"/>
          <w:sz w:val="22"/>
          <w:szCs w:val="22"/>
          <w:lang w:val="es-AR"/>
        </w:rPr>
        <w:t xml:space="preserve">referidos a </w:t>
      </w:r>
      <w:r w:rsidRPr="00CA1B54">
        <w:rPr>
          <w:rFonts w:ascii="Arial" w:hAnsi="Arial" w:cs="Arial"/>
          <w:sz w:val="22"/>
          <w:szCs w:val="22"/>
          <w:lang w:val="es-AR"/>
        </w:rPr>
        <w:t>las distintas áreas de intervención.</w:t>
      </w:r>
    </w:p>
    <w:p w14:paraId="3303F7A1" w14:textId="6ADE6172" w:rsidR="0046422A" w:rsidRPr="0046422A" w:rsidRDefault="0046422A" w:rsidP="006930D9">
      <w:pPr>
        <w:pStyle w:val="Paragraph"/>
        <w:tabs>
          <w:tab w:val="clear" w:pos="2448"/>
        </w:tabs>
        <w:ind w:left="720" w:hanging="756"/>
        <w:rPr>
          <w:rFonts w:ascii="Arial" w:hAnsi="Arial" w:cs="Arial"/>
          <w:sz w:val="22"/>
        </w:rPr>
      </w:pPr>
      <w:r w:rsidRPr="0046422A">
        <w:rPr>
          <w:rFonts w:ascii="Arial" w:hAnsi="Arial" w:cs="Arial"/>
          <w:b/>
          <w:sz w:val="22"/>
        </w:rPr>
        <w:t>Marco macro fiscal</w:t>
      </w:r>
      <w:r w:rsidRPr="0046422A">
        <w:rPr>
          <w:rFonts w:ascii="Arial" w:hAnsi="Arial" w:cs="Arial"/>
          <w:sz w:val="22"/>
        </w:rPr>
        <w:t>.</w:t>
      </w:r>
      <w:r w:rsidRPr="0046422A">
        <w:rPr>
          <w:rFonts w:ascii="Arial" w:hAnsi="Arial" w:cs="Arial"/>
          <w:b/>
          <w:sz w:val="22"/>
        </w:rPr>
        <w:t xml:space="preserve"> </w:t>
      </w:r>
      <w:r w:rsidRPr="0046422A">
        <w:rPr>
          <w:rFonts w:ascii="Arial" w:hAnsi="Arial" w:cs="Arial"/>
          <w:sz w:val="22"/>
        </w:rPr>
        <w:t>La experiencia con los CFA muestra que existen más de 40</w:t>
      </w:r>
      <w:r w:rsidR="00CE4F09">
        <w:rPr>
          <w:rFonts w:ascii="Arial" w:hAnsi="Arial" w:cs="Arial"/>
          <w:sz w:val="22"/>
        </w:rPr>
        <w:t> </w:t>
      </w:r>
      <w:r w:rsidRPr="0046422A">
        <w:rPr>
          <w:rFonts w:ascii="Arial" w:hAnsi="Arial" w:cs="Arial"/>
          <w:sz w:val="22"/>
        </w:rPr>
        <w:t>en el mundo: su creación se aceleró a partir de la crisis de 2009, y aunque su origen fue en países de la OCDE, se están expandiendo a países en desarrollo. La función principal de los CFA es el monitoreo de la política fiscal: opinar sobre las estimaciones macroeconómicas, supervisar el cumplimiento de las reglas fiscales, analizar el costo fiscal de cambios legales, entre otros. Dado que su rol es influir y persuadir en la opinión pública y los tomadores de decisión, un factor crítico de éxito es su credibilidad, que está vinculada con su percepción de independencia</w:t>
      </w:r>
      <w:r w:rsidRPr="0046422A">
        <w:rPr>
          <w:rStyle w:val="FootnoteReference"/>
          <w:rFonts w:ascii="Arial" w:hAnsi="Arial" w:cs="Arial"/>
          <w:sz w:val="22"/>
          <w:lang w:val="es-ES_tradnl"/>
        </w:rPr>
        <w:footnoteReference w:id="8"/>
      </w:r>
      <w:r w:rsidRPr="0046422A">
        <w:rPr>
          <w:rFonts w:ascii="Arial" w:hAnsi="Arial" w:cs="Arial"/>
          <w:sz w:val="22"/>
        </w:rPr>
        <w:t xml:space="preserve">; para esto contribuye que cuente con recursos y acceso a información. En la experiencia internacional, los resultados preliminares de los CFA muestran que han sido efectivos en mejorar la precisión de las proyecciones </w:t>
      </w:r>
      <w:proofErr w:type="spellStart"/>
      <w:r w:rsidRPr="0046422A">
        <w:rPr>
          <w:rFonts w:ascii="Arial" w:hAnsi="Arial" w:cs="Arial"/>
          <w:sz w:val="22"/>
        </w:rPr>
        <w:t>macro-fiscales</w:t>
      </w:r>
      <w:proofErr w:type="spellEnd"/>
      <w:r w:rsidRPr="0046422A">
        <w:rPr>
          <w:rFonts w:ascii="Arial" w:hAnsi="Arial" w:cs="Arial"/>
          <w:sz w:val="22"/>
        </w:rPr>
        <w:t xml:space="preserve"> y el cumplimiento de reglas fiscales</w:t>
      </w:r>
      <w:r w:rsidRPr="0046422A">
        <w:rPr>
          <w:rStyle w:val="FootnoteReference"/>
          <w:rFonts w:ascii="Arial" w:hAnsi="Arial" w:cs="Arial"/>
          <w:sz w:val="22"/>
          <w:lang w:val="es-ES_tradnl"/>
        </w:rPr>
        <w:footnoteReference w:id="9"/>
      </w:r>
      <w:r w:rsidRPr="0046422A">
        <w:rPr>
          <w:rFonts w:ascii="Arial" w:hAnsi="Arial" w:cs="Arial"/>
          <w:sz w:val="22"/>
        </w:rPr>
        <w:t>. Entre las lecciones aprendidas, es importante que sean consideradas como instituciones legítimas, adaptadas a la realidad del país en cuestión, y que tengan una clara estrategia de comunicación</w:t>
      </w:r>
      <w:r w:rsidRPr="0046422A">
        <w:rPr>
          <w:rStyle w:val="FootnoteReference"/>
          <w:rFonts w:ascii="Arial" w:hAnsi="Arial" w:cs="Arial"/>
          <w:sz w:val="22"/>
          <w:lang w:val="es-ES_tradnl"/>
        </w:rPr>
        <w:footnoteReference w:id="10"/>
      </w:r>
      <w:r w:rsidRPr="0046422A">
        <w:rPr>
          <w:rFonts w:ascii="Arial" w:hAnsi="Arial" w:cs="Arial"/>
          <w:sz w:val="22"/>
        </w:rPr>
        <w:t xml:space="preserve">. </w:t>
      </w:r>
    </w:p>
    <w:p w14:paraId="3A3F9808" w14:textId="7ED5F3E3" w:rsidR="0046422A" w:rsidRPr="0046422A" w:rsidRDefault="0046422A" w:rsidP="006930D9">
      <w:pPr>
        <w:pStyle w:val="Paragraph"/>
        <w:tabs>
          <w:tab w:val="clear" w:pos="2448"/>
        </w:tabs>
        <w:ind w:left="720" w:hanging="756"/>
        <w:rPr>
          <w:rFonts w:ascii="Arial" w:hAnsi="Arial" w:cs="Arial"/>
          <w:sz w:val="22"/>
          <w:lang w:val="es-ES_tradnl"/>
        </w:rPr>
      </w:pPr>
      <w:r w:rsidRPr="0046422A">
        <w:rPr>
          <w:rFonts w:ascii="Arial" w:hAnsi="Arial" w:cs="Arial"/>
          <w:sz w:val="22"/>
        </w:rPr>
        <w:t xml:space="preserve">Con respecto a los MFMP, son instrumentos que permiten extender la planificación de la política fiscal más allá del presupuesto anual, contribuyendo a metas fiscales de mediano y largo plazo. Un MFMP bien diseñado permite producir presupuestos anuales creíbles, proveer proyecciones </w:t>
      </w:r>
      <w:proofErr w:type="spellStart"/>
      <w:r w:rsidRPr="0046422A">
        <w:rPr>
          <w:rFonts w:ascii="Arial" w:hAnsi="Arial" w:cs="Arial"/>
          <w:sz w:val="22"/>
        </w:rPr>
        <w:t>macro-fiscales</w:t>
      </w:r>
      <w:proofErr w:type="spellEnd"/>
      <w:r w:rsidRPr="0046422A">
        <w:rPr>
          <w:rFonts w:ascii="Arial" w:hAnsi="Arial" w:cs="Arial"/>
          <w:sz w:val="22"/>
        </w:rPr>
        <w:t xml:space="preserve"> de mediano plazo precisas y entender la fuente y el tamaño de los riesgos fiscales</w:t>
      </w:r>
      <w:r w:rsidRPr="0046422A">
        <w:rPr>
          <w:rStyle w:val="FootnoteReference"/>
          <w:rFonts w:ascii="Arial" w:hAnsi="Arial" w:cs="Arial"/>
          <w:bCs/>
          <w:sz w:val="22"/>
        </w:rPr>
        <w:footnoteReference w:id="11"/>
      </w:r>
      <w:r w:rsidRPr="0046422A">
        <w:rPr>
          <w:rFonts w:ascii="Arial" w:hAnsi="Arial" w:cs="Arial"/>
          <w:sz w:val="22"/>
        </w:rPr>
        <w:t>. Además, al integrar la planificación con la presupuestación, contribuye a mejorar la asignación de los recursos a nivel sectorial y funcional</w:t>
      </w:r>
      <w:r w:rsidRPr="0046422A">
        <w:rPr>
          <w:rStyle w:val="FootnoteReference"/>
          <w:rFonts w:ascii="Arial" w:hAnsi="Arial" w:cs="Arial"/>
          <w:bCs/>
          <w:sz w:val="22"/>
        </w:rPr>
        <w:footnoteReference w:id="12"/>
      </w:r>
      <w:r w:rsidRPr="0046422A">
        <w:rPr>
          <w:rFonts w:ascii="Arial" w:hAnsi="Arial" w:cs="Arial"/>
          <w:sz w:val="22"/>
        </w:rPr>
        <w:t xml:space="preserve">. Es importante que el MFMP incluya los flujos esperados de financiamiento provenientes de la estrategia de gestión de deuda (EGD), que describa las metas de financiamiento con sus potenciales instrumentos, la composición de deuda deseada e identifique los </w:t>
      </w:r>
      <w:r w:rsidRPr="0046422A">
        <w:rPr>
          <w:rFonts w:ascii="Arial" w:hAnsi="Arial" w:cs="Arial"/>
          <w:sz w:val="22"/>
        </w:rPr>
        <w:lastRenderedPageBreak/>
        <w:t>riesgos de financiamiento y las medidas de mitigación</w:t>
      </w:r>
      <w:r w:rsidRPr="0046422A">
        <w:rPr>
          <w:rStyle w:val="FootnoteReference"/>
          <w:rFonts w:ascii="Arial" w:hAnsi="Arial" w:cs="Arial"/>
          <w:bCs/>
          <w:sz w:val="22"/>
          <w:lang w:val="es-CR"/>
        </w:rPr>
        <w:footnoteReference w:id="13"/>
      </w:r>
      <w:r w:rsidRPr="0046422A">
        <w:rPr>
          <w:rFonts w:ascii="Arial" w:hAnsi="Arial" w:cs="Arial"/>
          <w:sz w:val="22"/>
        </w:rPr>
        <w:t xml:space="preserve">. Los países que han adoptado MFMP mejoraron en promedio su posición fiscal en más de </w:t>
      </w:r>
      <w:r w:rsidR="00FD61A1">
        <w:rPr>
          <w:rFonts w:ascii="Arial" w:hAnsi="Arial" w:cs="Arial"/>
          <w:sz w:val="22"/>
        </w:rPr>
        <w:t>dos</w:t>
      </w:r>
      <w:r w:rsidRPr="0046422A">
        <w:rPr>
          <w:rFonts w:ascii="Arial" w:hAnsi="Arial" w:cs="Arial"/>
          <w:sz w:val="22"/>
        </w:rPr>
        <w:t xml:space="preserve"> puntos porcentuales del PIB luego de su implementación, y han reducido la volatilidad del gasto público social</w:t>
      </w:r>
      <w:r w:rsidRPr="0046422A">
        <w:rPr>
          <w:rStyle w:val="FootnoteReference"/>
          <w:rFonts w:ascii="Arial" w:hAnsi="Arial" w:cs="Arial"/>
          <w:bCs/>
          <w:sz w:val="22"/>
        </w:rPr>
        <w:footnoteReference w:id="14"/>
      </w:r>
      <w:r w:rsidRPr="0046422A">
        <w:rPr>
          <w:rFonts w:ascii="Arial" w:hAnsi="Arial" w:cs="Arial"/>
          <w:sz w:val="22"/>
        </w:rPr>
        <w:t>.</w:t>
      </w:r>
    </w:p>
    <w:p w14:paraId="34B83BC1" w14:textId="77777777" w:rsidR="0046422A" w:rsidRPr="0046422A" w:rsidRDefault="0046422A" w:rsidP="006930D9">
      <w:pPr>
        <w:pStyle w:val="Paragraph"/>
        <w:tabs>
          <w:tab w:val="clear" w:pos="2448"/>
        </w:tabs>
        <w:ind w:left="720" w:hanging="756"/>
        <w:rPr>
          <w:rFonts w:ascii="Arial" w:hAnsi="Arial" w:cs="Arial"/>
          <w:sz w:val="22"/>
        </w:rPr>
      </w:pPr>
      <w:r w:rsidRPr="0046422A">
        <w:rPr>
          <w:rFonts w:ascii="Arial" w:hAnsi="Arial" w:cs="Arial"/>
          <w:sz w:val="22"/>
        </w:rPr>
        <w:t>Con relación a los FSE, sus funciones incluyen: (i) estabilización, buscando reducir la volatilidad del gasto; (</w:t>
      </w:r>
      <w:proofErr w:type="spellStart"/>
      <w:r w:rsidRPr="0046422A">
        <w:rPr>
          <w:rFonts w:ascii="Arial" w:hAnsi="Arial" w:cs="Arial"/>
          <w:sz w:val="22"/>
        </w:rPr>
        <w:t>ii</w:t>
      </w:r>
      <w:proofErr w:type="spellEnd"/>
      <w:r w:rsidRPr="0046422A">
        <w:rPr>
          <w:rFonts w:ascii="Arial" w:hAnsi="Arial" w:cs="Arial"/>
          <w:sz w:val="22"/>
        </w:rPr>
        <w:t xml:space="preserve">) ahorro, para distribuir ingresos extraordinarios de manera </w:t>
      </w:r>
      <w:proofErr w:type="spellStart"/>
      <w:r w:rsidRPr="0046422A">
        <w:rPr>
          <w:rFonts w:ascii="Arial" w:hAnsi="Arial" w:cs="Arial"/>
          <w:sz w:val="22"/>
        </w:rPr>
        <w:t>inter-temporal</w:t>
      </w:r>
      <w:proofErr w:type="spellEnd"/>
      <w:r w:rsidRPr="0046422A">
        <w:rPr>
          <w:rFonts w:ascii="Arial" w:hAnsi="Arial" w:cs="Arial"/>
          <w:sz w:val="22"/>
        </w:rPr>
        <w:t>; y (</w:t>
      </w:r>
      <w:proofErr w:type="spellStart"/>
      <w:r w:rsidRPr="0046422A">
        <w:rPr>
          <w:rFonts w:ascii="Arial" w:hAnsi="Arial" w:cs="Arial"/>
          <w:sz w:val="22"/>
        </w:rPr>
        <w:t>iii</w:t>
      </w:r>
      <w:proofErr w:type="spellEnd"/>
      <w:r w:rsidRPr="0046422A">
        <w:rPr>
          <w:rFonts w:ascii="Arial" w:hAnsi="Arial" w:cs="Arial"/>
          <w:sz w:val="22"/>
        </w:rPr>
        <w:t xml:space="preserve">) desarrollo económico, para utilizar los recursos en gastos prioritarios, como inversión pública. Su relevancia es mayor en países con alta dependencia de </w:t>
      </w:r>
      <w:r w:rsidRPr="0046422A">
        <w:rPr>
          <w:rFonts w:ascii="Arial" w:hAnsi="Arial" w:cs="Arial"/>
          <w:i/>
          <w:sz w:val="22"/>
        </w:rPr>
        <w:t>commodities</w:t>
      </w:r>
      <w:r w:rsidRPr="0046422A">
        <w:rPr>
          <w:rFonts w:ascii="Arial" w:hAnsi="Arial" w:cs="Arial"/>
          <w:sz w:val="22"/>
        </w:rPr>
        <w:t>. Así, existen en el mundo más de 70 FSE, que administran activos por más de US$ 7,000 billones. En ALC los FSE más relevantes son los de Chile y Perú, que representaron en 2017 alrededor de 8% y 4% del PIB, respectivamente</w:t>
      </w:r>
      <w:r w:rsidRPr="0046422A">
        <w:rPr>
          <w:rStyle w:val="FootnoteReference"/>
          <w:rFonts w:ascii="Arial" w:hAnsi="Arial" w:cs="Arial"/>
          <w:sz w:val="22"/>
          <w:lang w:val="es-ES_tradnl"/>
        </w:rPr>
        <w:footnoteReference w:id="15"/>
      </w:r>
      <w:r w:rsidRPr="0046422A">
        <w:rPr>
          <w:rFonts w:ascii="Arial" w:hAnsi="Arial" w:cs="Arial"/>
          <w:sz w:val="22"/>
        </w:rPr>
        <w:t>. Entre las lecciones aprendidas resalta la importancia de su creación por ley, para darles legitimidad; su consistencia con las reglas fiscales; y la atención a la institucionalidad en la gestión de los fondos, con reglas claras sobre las fuentes de conformación del FSE, los criterios para el uso de los recursos, y transparencia en la administración de los fondos. La administración del FSE suele ser conjunta entre el MH y el Banco Central, que cuenta con experiencia en invertir sus reservas</w:t>
      </w:r>
      <w:r w:rsidRPr="0046422A">
        <w:rPr>
          <w:rStyle w:val="FootnoteReference"/>
          <w:rFonts w:ascii="Arial" w:hAnsi="Arial" w:cs="Arial"/>
          <w:sz w:val="22"/>
          <w:lang w:val="es-ES_tradnl"/>
        </w:rPr>
        <w:footnoteReference w:id="16"/>
      </w:r>
      <w:r w:rsidRPr="0046422A">
        <w:rPr>
          <w:rFonts w:ascii="Arial" w:hAnsi="Arial" w:cs="Arial"/>
          <w:sz w:val="22"/>
        </w:rPr>
        <w:t>. Con respecto a su efectividad, una evaluación en 68 países ricos en recursos naturales encontró que la volatilidad del gasto durante el período 1988-2012 se redujo 13% en países que cuentan con un FSE</w:t>
      </w:r>
      <w:r w:rsidRPr="0046422A">
        <w:rPr>
          <w:rStyle w:val="FootnoteReference"/>
          <w:rFonts w:ascii="Arial" w:hAnsi="Arial" w:cs="Arial"/>
          <w:sz w:val="22"/>
          <w:lang w:val="es-ES_tradnl"/>
        </w:rPr>
        <w:footnoteReference w:id="17"/>
      </w:r>
      <w:r w:rsidRPr="0046422A">
        <w:rPr>
          <w:rFonts w:ascii="Arial" w:hAnsi="Arial" w:cs="Arial"/>
          <w:sz w:val="22"/>
        </w:rPr>
        <w:t xml:space="preserve">. </w:t>
      </w:r>
    </w:p>
    <w:p w14:paraId="1AD93495" w14:textId="77777777" w:rsidR="0046422A" w:rsidRPr="0046422A" w:rsidRDefault="0046422A" w:rsidP="006930D9">
      <w:pPr>
        <w:pStyle w:val="Paragraph"/>
        <w:tabs>
          <w:tab w:val="clear" w:pos="2448"/>
        </w:tabs>
        <w:ind w:left="720" w:hanging="756"/>
        <w:rPr>
          <w:rFonts w:ascii="Arial" w:hAnsi="Arial" w:cs="Arial"/>
          <w:sz w:val="22"/>
        </w:rPr>
      </w:pPr>
      <w:r w:rsidRPr="0046422A">
        <w:rPr>
          <w:rFonts w:ascii="Arial" w:hAnsi="Arial" w:cs="Arial"/>
          <w:b/>
          <w:sz w:val="22"/>
        </w:rPr>
        <w:t>Política y gestión tributaria</w:t>
      </w:r>
      <w:r w:rsidRPr="0046422A">
        <w:rPr>
          <w:rFonts w:ascii="Arial" w:hAnsi="Arial" w:cs="Arial"/>
          <w:sz w:val="22"/>
        </w:rPr>
        <w:t xml:space="preserve">. La teoría de finanzas públicas y la buena práctica internacional indican ciertos principios de tributación para conciliar los objetivos a veces contrapuestos entre eficiencia, equidad y capacidad recaudatoria. Con respecto al IRPF la recomendación es acotar las deducciones, para reducir filtraciones, mantener capacidad recaudatoria y simplificar el recaudo; junto a tasas diferenciales por tramos de ingreso que reflejen la progresividad del tributo. Con relación al impuesto a la renta de empresas, es conveniente unificar el tributo entre sectores para mantener un tratamiento equitativo y simplificar el cumplimiento y su control. Con respecto al IVA, es recomendable minimizar el número de bienes gravados con tasa diferencial, para reducir filtraciones, presión de grupos de interés y mayores costos de administración: genera más recaudación y resulta más eficiente generalizar la tasa </w:t>
      </w:r>
      <w:r w:rsidRPr="0046422A">
        <w:rPr>
          <w:rFonts w:ascii="Arial" w:hAnsi="Arial" w:eastAsia="Arial" w:cs="Arial"/>
          <w:bCs/>
          <w:sz w:val="22"/>
          <w:lang w:val="es-AR"/>
        </w:rPr>
        <w:t xml:space="preserve">y realizar transferencias focalizadas a la población que se busca favorecer. Por último, con respecto a los impuestos selectivos al consumo, se justifican para gravar bienes que generan externalidades negativas, como el tabaco y alcohol, que además tienen demanda inelástica, lo que aporta capacidad recaudatoria; es importante mantener la </w:t>
      </w:r>
      <w:r w:rsidRPr="0046422A">
        <w:rPr>
          <w:rFonts w:ascii="Arial" w:hAnsi="Arial" w:eastAsia="Arial" w:cs="Arial"/>
          <w:bCs/>
          <w:sz w:val="22"/>
          <w:lang w:val="es-AR"/>
        </w:rPr>
        <w:lastRenderedPageBreak/>
        <w:t>simplicidad del tributo para no gravar de manera innecesaria bienes que no generan externalidades, tienen escasa recaudación y agregan complejidad administrativa</w:t>
      </w:r>
      <w:r w:rsidRPr="0046422A">
        <w:rPr>
          <w:rStyle w:val="FootnoteReference"/>
          <w:rFonts w:ascii="Arial" w:hAnsi="Arial" w:eastAsia="Arial" w:cs="Arial"/>
          <w:bCs/>
          <w:sz w:val="22"/>
          <w:lang w:val="es-AR"/>
        </w:rPr>
        <w:footnoteReference w:id="18"/>
      </w:r>
      <w:r w:rsidRPr="0046422A">
        <w:rPr>
          <w:rFonts w:ascii="Arial" w:hAnsi="Arial" w:eastAsia="Arial" w:cs="Arial"/>
          <w:bCs/>
          <w:sz w:val="22"/>
          <w:lang w:val="es-AR"/>
        </w:rPr>
        <w:t xml:space="preserve">. </w:t>
      </w:r>
    </w:p>
    <w:p w14:paraId="19C2E6F6" w14:textId="77777777" w:rsidR="0046422A" w:rsidRPr="0046422A" w:rsidRDefault="0046422A" w:rsidP="006930D9">
      <w:pPr>
        <w:pStyle w:val="Paragraph"/>
        <w:tabs>
          <w:tab w:val="clear" w:pos="2448"/>
        </w:tabs>
        <w:ind w:left="720" w:hanging="756"/>
        <w:rPr>
          <w:rFonts w:ascii="Arial" w:hAnsi="Arial" w:cs="Arial"/>
          <w:sz w:val="22"/>
        </w:rPr>
      </w:pPr>
      <w:r w:rsidRPr="0046422A">
        <w:rPr>
          <w:rFonts w:ascii="Arial" w:hAnsi="Arial" w:cs="Arial"/>
          <w:sz w:val="22"/>
        </w:rPr>
        <w:t xml:space="preserve">Con relación a la FE, evaluaciones de impacto realizadas en países de la región donde su implementación tiene mayor desarrollo (Argentina, </w:t>
      </w:r>
      <w:r w:rsidRPr="0046422A">
        <w:rPr>
          <w:rFonts w:ascii="Arial" w:hAnsi="Arial" w:cs="Arial"/>
          <w:sz w:val="22"/>
          <w:lang w:val="es-CR"/>
        </w:rPr>
        <w:t>Brasil-Sao Paulo, Ecuador, México y Uruguay)</w:t>
      </w:r>
      <w:r w:rsidRPr="0046422A">
        <w:rPr>
          <w:rFonts w:ascii="Arial" w:hAnsi="Arial" w:cs="Arial"/>
          <w:sz w:val="22"/>
        </w:rPr>
        <w:t>, muestran efectos positivos en la recaudación</w:t>
      </w:r>
      <w:r w:rsidRPr="0046422A">
        <w:rPr>
          <w:rStyle w:val="FootnoteReference"/>
          <w:rFonts w:ascii="Arial" w:hAnsi="Arial" w:cs="Arial"/>
          <w:sz w:val="22"/>
          <w:lang w:val="es-ES_tradnl"/>
        </w:rPr>
        <w:footnoteReference w:id="19"/>
      </w:r>
      <w:r w:rsidRPr="0046422A">
        <w:rPr>
          <w:rFonts w:ascii="Arial" w:hAnsi="Arial" w:cs="Arial"/>
          <w:sz w:val="22"/>
        </w:rPr>
        <w:t xml:space="preserve">. Por su parte, la información generada a través de la implementación de la FE está teniendo usos más allá de la administración tributaria. En Chile, por ejemplo, la obligatoriedad del uso de la FE impulsó el desarrollo del </w:t>
      </w:r>
      <w:proofErr w:type="spellStart"/>
      <w:r w:rsidRPr="00FD61A1">
        <w:rPr>
          <w:rFonts w:ascii="Arial" w:hAnsi="Arial" w:cs="Arial"/>
          <w:i/>
          <w:sz w:val="22"/>
        </w:rPr>
        <w:t>factoring</w:t>
      </w:r>
      <w:proofErr w:type="spellEnd"/>
      <w:r w:rsidRPr="0046422A">
        <w:rPr>
          <w:rFonts w:ascii="Arial" w:hAnsi="Arial" w:cs="Arial"/>
          <w:sz w:val="22"/>
        </w:rPr>
        <w:t xml:space="preserve">, facilitando el acceso a financiamiento de los contribuyentes, particularmente de micro y pequeñas empresas. En Brasil se utilizan las FE para el seguimiento de la circulación de mercancía en tiempo real, lo cual se espera que contribuya a reducir los robos de vehículos y cargas; también se utilizan para definir precios máximos aceptados en adquisiciones públicas.  </w:t>
      </w:r>
    </w:p>
    <w:p w14:paraId="652332FF" w14:textId="77777777" w:rsidR="0046422A" w:rsidRPr="0046422A" w:rsidRDefault="0046422A" w:rsidP="006930D9">
      <w:pPr>
        <w:pStyle w:val="Paragraph"/>
        <w:tabs>
          <w:tab w:val="clear" w:pos="2448"/>
        </w:tabs>
        <w:ind w:left="720" w:hanging="756"/>
        <w:rPr>
          <w:rFonts w:ascii="Arial" w:hAnsi="Arial" w:cs="Arial"/>
          <w:sz w:val="22"/>
        </w:rPr>
      </w:pPr>
      <w:r w:rsidRPr="0046422A">
        <w:rPr>
          <w:rFonts w:ascii="Arial" w:hAnsi="Arial" w:cs="Arial"/>
          <w:b/>
          <w:sz w:val="22"/>
        </w:rPr>
        <w:t>Gestión del gasto</w:t>
      </w:r>
      <w:r w:rsidRPr="0046422A">
        <w:rPr>
          <w:rFonts w:ascii="Arial" w:hAnsi="Arial" w:cs="Arial"/>
          <w:sz w:val="22"/>
        </w:rPr>
        <w:t>. Con respecto a los SIAF, la literatura destaca sus beneficios vinculados a la sostenibilidad fiscal y mayor eficiencia y transparencia en la gestión de los recursos. No obstante, es alta la incidencia de fracasos en su implementación. Al respecto, algunas lecciones incluyen la importancia de un compromiso fuerte de las autoridades; dotar de suficientes recursos técnicos y financieros; procurar amplio apoyo de las autoridades; y construir una agenda de gestión del cambio. Los SIAF son proyectos que deben enmarcarse en una reforma amplia de la GFP, deben ser graduales y por tanto llevan muchos años. Dadas las necesidades de cooperación es establecer un comité de coordinación, con una cabeza clara y un equipo técnico sólido con experiencia en gestión de proyectos</w:t>
      </w:r>
      <w:r w:rsidRPr="0046422A">
        <w:rPr>
          <w:rStyle w:val="FootnoteReference"/>
          <w:rFonts w:ascii="Arial" w:hAnsi="Arial" w:cs="Arial"/>
          <w:sz w:val="22"/>
          <w:lang w:val="es-ES_tradnl"/>
        </w:rPr>
        <w:footnoteReference w:id="20"/>
      </w:r>
      <w:r w:rsidRPr="0046422A">
        <w:rPr>
          <w:rFonts w:ascii="Arial" w:hAnsi="Arial" w:cs="Arial"/>
          <w:sz w:val="22"/>
        </w:rPr>
        <w:t xml:space="preserve">.    </w:t>
      </w:r>
    </w:p>
    <w:p w14:paraId="1268535B" w14:textId="77777777" w:rsidR="0046422A" w:rsidRPr="0046422A" w:rsidRDefault="0046422A" w:rsidP="006930D9">
      <w:pPr>
        <w:pStyle w:val="Paragraph"/>
        <w:tabs>
          <w:tab w:val="clear" w:pos="2448"/>
        </w:tabs>
        <w:ind w:left="720" w:hanging="756"/>
        <w:rPr>
          <w:rFonts w:ascii="Arial" w:hAnsi="Arial" w:cs="Arial"/>
          <w:sz w:val="22"/>
        </w:rPr>
      </w:pPr>
      <w:r w:rsidRPr="0046422A">
        <w:rPr>
          <w:rFonts w:ascii="Arial" w:hAnsi="Arial" w:cs="Arial"/>
          <w:sz w:val="22"/>
        </w:rPr>
        <w:t>Con relación a PPR, si bien por problemas de medición son escasas las estimaciones precisas de su efecto sobre la calidad del gasto</w:t>
      </w:r>
      <w:r w:rsidRPr="0046422A">
        <w:rPr>
          <w:rStyle w:val="FootnoteReference"/>
          <w:rFonts w:ascii="Arial" w:hAnsi="Arial" w:cs="Arial"/>
          <w:sz w:val="22"/>
          <w:lang w:val="es-ES_tradnl"/>
        </w:rPr>
        <w:footnoteReference w:id="21"/>
      </w:r>
      <w:r w:rsidRPr="0046422A">
        <w:rPr>
          <w:rFonts w:ascii="Arial" w:hAnsi="Arial" w:cs="Arial"/>
          <w:sz w:val="22"/>
        </w:rPr>
        <w:t>, algunos estudios de caso en Chile</w:t>
      </w:r>
      <w:r w:rsidRPr="0046422A">
        <w:rPr>
          <w:rStyle w:val="FootnoteReference"/>
          <w:rFonts w:ascii="Arial" w:hAnsi="Arial" w:cs="Arial"/>
          <w:sz w:val="22"/>
          <w:lang w:val="es-ES_tradnl"/>
        </w:rPr>
        <w:footnoteReference w:id="22"/>
      </w:r>
      <w:r w:rsidRPr="0046422A">
        <w:rPr>
          <w:rFonts w:ascii="Arial" w:hAnsi="Arial" w:cs="Arial"/>
          <w:sz w:val="22"/>
        </w:rPr>
        <w:t xml:space="preserve"> y Estados Unidos</w:t>
      </w:r>
      <w:r w:rsidRPr="0046422A">
        <w:rPr>
          <w:rStyle w:val="FootnoteReference"/>
          <w:rFonts w:ascii="Arial" w:hAnsi="Arial" w:cs="Arial"/>
          <w:sz w:val="22"/>
          <w:lang w:val="es-ES_tradnl"/>
        </w:rPr>
        <w:footnoteReference w:id="23"/>
      </w:r>
      <w:r w:rsidRPr="0046422A">
        <w:rPr>
          <w:rFonts w:ascii="Arial" w:hAnsi="Arial" w:cs="Arial"/>
          <w:sz w:val="22"/>
        </w:rPr>
        <w:t xml:space="preserve">, encontraron una correlación significativa entre las evaluaciones de desempeño de los programas y las variaciones anuales en sus asignaciones presupuestarias, lo que sugiere que la información sobre desempeño incide sobre la asignación de recursos. Algunas lecciones de la experiencia internacional incluyen: (i) apropiar a los ministerios de línea, lo que requiere incentivos, mejorar habilidades y comportamientos, y simplificar </w:t>
      </w:r>
      <w:r w:rsidRPr="0046422A">
        <w:rPr>
          <w:rFonts w:ascii="Arial" w:hAnsi="Arial" w:cs="Arial"/>
          <w:sz w:val="22"/>
        </w:rPr>
        <w:lastRenderedPageBreak/>
        <w:t>metodologías para programas menos estratégicos; (</w:t>
      </w:r>
      <w:proofErr w:type="spellStart"/>
      <w:r w:rsidRPr="0046422A">
        <w:rPr>
          <w:rFonts w:ascii="Arial" w:hAnsi="Arial" w:cs="Arial"/>
          <w:sz w:val="22"/>
        </w:rPr>
        <w:t>ii</w:t>
      </w:r>
      <w:proofErr w:type="spellEnd"/>
      <w:r w:rsidRPr="0046422A">
        <w:rPr>
          <w:rFonts w:ascii="Arial" w:hAnsi="Arial" w:cs="Arial"/>
          <w:sz w:val="22"/>
        </w:rPr>
        <w:t>) mejorar capacidades locales en temas como planificación estratégica y contabilidad; y (</w:t>
      </w:r>
      <w:proofErr w:type="spellStart"/>
      <w:r w:rsidRPr="0046422A">
        <w:rPr>
          <w:rFonts w:ascii="Arial" w:hAnsi="Arial" w:cs="Arial"/>
          <w:sz w:val="22"/>
        </w:rPr>
        <w:t>iii</w:t>
      </w:r>
      <w:proofErr w:type="spellEnd"/>
      <w:r w:rsidRPr="0046422A">
        <w:rPr>
          <w:rFonts w:ascii="Arial" w:hAnsi="Arial" w:cs="Arial"/>
          <w:sz w:val="22"/>
        </w:rPr>
        <w:t>) los países que más avanzan son los que se adaptan frente a las dificultades: corrigen errores del pasado y hacen cambios graduales, dando continuidad frente a cambios de gobierno para construir credibilidad</w:t>
      </w:r>
      <w:r w:rsidRPr="0046422A">
        <w:rPr>
          <w:rStyle w:val="FootnoteReference"/>
          <w:rFonts w:ascii="Arial" w:hAnsi="Arial" w:cs="Arial"/>
          <w:sz w:val="22"/>
          <w:lang w:val="es-ES_tradnl"/>
        </w:rPr>
        <w:footnoteReference w:id="24"/>
      </w:r>
      <w:r w:rsidRPr="0046422A">
        <w:rPr>
          <w:rFonts w:ascii="Arial" w:hAnsi="Arial" w:cs="Arial"/>
          <w:sz w:val="22"/>
        </w:rPr>
        <w:t>.</w:t>
      </w:r>
    </w:p>
    <w:p w14:paraId="4752810E" w14:textId="77777777" w:rsidR="0046422A" w:rsidRPr="0046422A" w:rsidRDefault="0046422A" w:rsidP="006930D9">
      <w:pPr>
        <w:pStyle w:val="Paragraph"/>
        <w:tabs>
          <w:tab w:val="clear" w:pos="2448"/>
        </w:tabs>
        <w:ind w:left="720" w:hanging="756"/>
        <w:rPr>
          <w:rFonts w:ascii="Arial" w:hAnsi="Arial" w:cs="Arial"/>
          <w:sz w:val="20"/>
          <w:szCs w:val="22"/>
        </w:rPr>
      </w:pPr>
      <w:r w:rsidRPr="0046422A">
        <w:rPr>
          <w:rFonts w:ascii="Arial" w:hAnsi="Arial" w:cs="Arial"/>
          <w:sz w:val="22"/>
        </w:rPr>
        <w:t>Por último, con referencia al SNIP, existe amplia evidencia sobre cómo la inversión pública puede servir como catalizador del crecimiento económico, al financiar la provisión de servicios públicos clave para la población y las empresas. A su vez, hay evidencia reciente que muestra que el impacto de dicha inversión pública depende de manera crítica de su eficiencia, que incluye una adecuada planificación y formulación de los PIP. Así, para una muestra de más de 100 países, la relación entre el gasto de capital y medidas de cobertura y calidad de la infraestructura revela ineficiencias en los procesos de inversión pública que promedian 30% respecto a los países más eficientes, con retornos económicos substanciales de reducir este valor: los países que invierten de manera más eficiente obtienen el doble de rendimiento en crecimiento por los mismos recursos que los menos eficientes</w:t>
      </w:r>
      <w:r w:rsidRPr="0046422A">
        <w:rPr>
          <w:rStyle w:val="FootnoteReference"/>
          <w:rFonts w:ascii="Arial" w:hAnsi="Arial" w:cs="Arial"/>
          <w:sz w:val="22"/>
          <w:lang w:val="es-ES_tradnl"/>
        </w:rPr>
        <w:footnoteReference w:id="25"/>
      </w:r>
      <w:r>
        <w:rPr>
          <w:rFonts w:ascii="Arial" w:hAnsi="Arial" w:cs="Arial"/>
          <w:sz w:val="22"/>
        </w:rPr>
        <w:t>.</w:t>
      </w:r>
    </w:p>
    <w:p w14:paraId="432DDC5D" w14:textId="77777777" w:rsidR="00155EEA" w:rsidRDefault="00C2392C">
      <w:pPr>
        <w:pStyle w:val="FirstHeading"/>
        <w:spacing w:before="240" w:after="0"/>
        <w:rPr>
          <w:rFonts w:ascii="Arial" w:hAnsi="Arial" w:cs="Arial"/>
          <w:noProof/>
          <w:sz w:val="22"/>
          <w:szCs w:val="22"/>
        </w:rPr>
      </w:pPr>
      <w:bookmarkStart w:id="11" w:name="_Toc508105583"/>
      <w:r>
        <w:rPr>
          <w:rFonts w:ascii="Arial" w:hAnsi="Arial" w:cs="Arial"/>
          <w:sz w:val="22"/>
          <w:szCs w:val="22"/>
        </w:rPr>
        <w:t>C.</w:t>
      </w:r>
      <w:r>
        <w:rPr>
          <w:rFonts w:ascii="Arial" w:hAnsi="Arial" w:cs="Arial"/>
          <w:sz w:val="22"/>
          <w:szCs w:val="22"/>
        </w:rPr>
        <w:tab/>
      </w:r>
      <w:r>
        <w:rPr>
          <w:rFonts w:ascii="Arial" w:hAnsi="Arial" w:cs="Arial"/>
          <w:sz w:val="22"/>
          <w:szCs w:val="22"/>
        </w:rPr>
        <w:t>Metodología de la Evaluación Ex-Post</w:t>
      </w:r>
      <w:bookmarkEnd w:id="11"/>
      <w:r>
        <w:rPr>
          <w:rFonts w:ascii="Arial" w:hAnsi="Arial" w:cs="Arial"/>
          <w:sz w:val="22"/>
          <w:szCs w:val="22"/>
        </w:rPr>
        <w:t xml:space="preserve"> </w:t>
      </w:r>
    </w:p>
    <w:p w14:paraId="516BB34D" w14:textId="628AE8E9" w:rsidR="00155EEA" w:rsidRDefault="00C2392C" w:rsidP="006930D9">
      <w:pPr>
        <w:pStyle w:val="Paragraph"/>
        <w:tabs>
          <w:tab w:val="clear" w:pos="2448"/>
        </w:tabs>
        <w:spacing w:after="0"/>
        <w:ind w:left="720" w:hanging="756"/>
        <w:rPr>
          <w:rFonts w:ascii="Arial" w:hAnsi="Arial" w:cs="Arial"/>
          <w:b/>
          <w:sz w:val="22"/>
          <w:szCs w:val="22"/>
        </w:rPr>
      </w:pPr>
      <w:r>
        <w:rPr>
          <w:rFonts w:ascii="Arial" w:hAnsi="Arial" w:cs="Arial"/>
          <w:sz w:val="22"/>
          <w:szCs w:val="22"/>
        </w:rPr>
        <w:t xml:space="preserve">La </w:t>
      </w:r>
      <w:r>
        <w:rPr>
          <w:rFonts w:ascii="Arial" w:hAnsi="Arial" w:cs="Arial"/>
          <w:b/>
          <w:sz w:val="22"/>
          <w:szCs w:val="22"/>
        </w:rPr>
        <w:t>evaluación ex post</w:t>
      </w:r>
      <w:r>
        <w:rPr>
          <w:rFonts w:ascii="Arial" w:hAnsi="Arial" w:cs="Arial"/>
          <w:sz w:val="22"/>
          <w:szCs w:val="22"/>
        </w:rPr>
        <w:t xml:space="preserve"> del </w:t>
      </w:r>
      <w:r w:rsidR="00754009">
        <w:rPr>
          <w:rFonts w:ascii="Arial" w:hAnsi="Arial" w:cs="Arial"/>
          <w:sz w:val="22"/>
          <w:szCs w:val="22"/>
        </w:rPr>
        <w:t>p</w:t>
      </w:r>
      <w:r>
        <w:rPr>
          <w:rFonts w:ascii="Arial" w:hAnsi="Arial" w:cs="Arial"/>
          <w:sz w:val="22"/>
          <w:szCs w:val="22"/>
        </w:rPr>
        <w:t xml:space="preserve">rograma constará de dos partes. Por un lado, se realizará un análisis </w:t>
      </w:r>
      <w:r w:rsidR="00385B42">
        <w:rPr>
          <w:rFonts w:ascii="Arial" w:hAnsi="Arial" w:cs="Arial"/>
          <w:sz w:val="22"/>
          <w:szCs w:val="22"/>
        </w:rPr>
        <w:t xml:space="preserve">antes y después </w:t>
      </w:r>
      <w:r>
        <w:rPr>
          <w:rFonts w:ascii="Arial" w:hAnsi="Arial" w:cs="Arial"/>
          <w:sz w:val="22"/>
          <w:szCs w:val="22"/>
        </w:rPr>
        <w:t xml:space="preserve">de </w:t>
      </w:r>
      <w:r w:rsidR="00385B42">
        <w:rPr>
          <w:rFonts w:ascii="Arial" w:hAnsi="Arial" w:cs="Arial"/>
          <w:sz w:val="22"/>
          <w:szCs w:val="22"/>
        </w:rPr>
        <w:t xml:space="preserve">la evolución </w:t>
      </w:r>
      <w:r w:rsidR="00422AFF">
        <w:rPr>
          <w:rFonts w:ascii="Arial" w:hAnsi="Arial" w:cs="Arial"/>
          <w:sz w:val="22"/>
          <w:szCs w:val="22"/>
        </w:rPr>
        <w:t xml:space="preserve">de </w:t>
      </w:r>
      <w:r>
        <w:rPr>
          <w:rFonts w:ascii="Arial" w:hAnsi="Arial" w:cs="Arial"/>
          <w:sz w:val="22"/>
          <w:szCs w:val="22"/>
        </w:rPr>
        <w:t xml:space="preserve">las finanzas públicas de </w:t>
      </w:r>
      <w:r w:rsidR="001865DF">
        <w:rPr>
          <w:rFonts w:ascii="Arial" w:hAnsi="Arial" w:cs="Arial"/>
          <w:sz w:val="22"/>
          <w:szCs w:val="22"/>
        </w:rPr>
        <w:t>Paraguay</w:t>
      </w:r>
      <w:r>
        <w:rPr>
          <w:rFonts w:ascii="Arial" w:hAnsi="Arial" w:cs="Arial"/>
          <w:sz w:val="22"/>
          <w:szCs w:val="22"/>
        </w:rPr>
        <w:t xml:space="preserve"> tras la implementación de las reformas incluidas en el programa, a fin de corroborar </w:t>
      </w:r>
      <w:r w:rsidR="00385B42">
        <w:rPr>
          <w:rFonts w:ascii="Arial" w:hAnsi="Arial" w:cs="Arial"/>
          <w:sz w:val="22"/>
          <w:szCs w:val="22"/>
        </w:rPr>
        <w:t xml:space="preserve">los indicadores de resultados del Cuadro 3 vinculados </w:t>
      </w:r>
      <w:r w:rsidR="001B6BD1">
        <w:rPr>
          <w:rFonts w:ascii="Arial" w:hAnsi="Arial" w:cs="Arial"/>
          <w:sz w:val="22"/>
          <w:szCs w:val="22"/>
        </w:rPr>
        <w:t xml:space="preserve">con </w:t>
      </w:r>
      <w:r w:rsidR="00385B42">
        <w:rPr>
          <w:rFonts w:ascii="Arial" w:hAnsi="Arial" w:cs="Arial"/>
          <w:sz w:val="22"/>
          <w:szCs w:val="22"/>
        </w:rPr>
        <w:t xml:space="preserve">la consolidación del marco </w:t>
      </w:r>
      <w:proofErr w:type="spellStart"/>
      <w:r w:rsidR="00385B42">
        <w:rPr>
          <w:rFonts w:ascii="Arial" w:hAnsi="Arial" w:cs="Arial"/>
          <w:sz w:val="22"/>
          <w:szCs w:val="22"/>
        </w:rPr>
        <w:t>macro-fiscal</w:t>
      </w:r>
      <w:proofErr w:type="spellEnd"/>
      <w:r w:rsidR="00385B42">
        <w:rPr>
          <w:rFonts w:ascii="Arial" w:hAnsi="Arial" w:cs="Arial"/>
          <w:sz w:val="22"/>
          <w:szCs w:val="22"/>
        </w:rPr>
        <w:t xml:space="preserve">, el fortalecimiento de la política y la gestión tributaria; y la mejora en la gestión del gasto. </w:t>
      </w:r>
    </w:p>
    <w:p w14:paraId="5D447565" w14:textId="653C029E" w:rsidR="007574FD" w:rsidRPr="006930D9" w:rsidRDefault="00C2392C" w:rsidP="006930D9">
      <w:pPr>
        <w:pStyle w:val="Paragraph"/>
        <w:tabs>
          <w:tab w:val="clear" w:pos="2448"/>
        </w:tabs>
        <w:spacing w:after="0"/>
        <w:ind w:left="720" w:hanging="756"/>
        <w:rPr>
          <w:rFonts w:ascii="Arial" w:hAnsi="Arial" w:cs="Arial"/>
          <w:sz w:val="22"/>
          <w:szCs w:val="22"/>
        </w:rPr>
      </w:pPr>
      <w:r>
        <w:rPr>
          <w:rFonts w:ascii="Arial" w:hAnsi="Arial" w:cs="Arial"/>
          <w:sz w:val="22"/>
          <w:szCs w:val="22"/>
        </w:rPr>
        <w:t xml:space="preserve">Por otro lado, como parte de la evaluación </w:t>
      </w:r>
      <w:proofErr w:type="spellStart"/>
      <w:r>
        <w:rPr>
          <w:rFonts w:ascii="Arial" w:hAnsi="Arial" w:cs="Arial"/>
          <w:sz w:val="22"/>
          <w:szCs w:val="22"/>
        </w:rPr>
        <w:t>ex-post</w:t>
      </w:r>
      <w:proofErr w:type="spellEnd"/>
      <w:r>
        <w:rPr>
          <w:rFonts w:ascii="Arial" w:hAnsi="Arial" w:cs="Arial"/>
          <w:sz w:val="22"/>
          <w:szCs w:val="22"/>
        </w:rPr>
        <w:t xml:space="preserve"> de la operación se analizará el impacto de </w:t>
      </w:r>
      <w:r w:rsidR="00422AFF">
        <w:rPr>
          <w:rFonts w:ascii="Arial" w:hAnsi="Arial" w:cs="Arial"/>
          <w:sz w:val="22"/>
          <w:szCs w:val="22"/>
        </w:rPr>
        <w:t xml:space="preserve">una de las </w:t>
      </w:r>
      <w:r>
        <w:rPr>
          <w:rFonts w:ascii="Arial" w:hAnsi="Arial" w:cs="Arial"/>
          <w:sz w:val="22"/>
          <w:szCs w:val="22"/>
        </w:rPr>
        <w:t xml:space="preserve">medidas específicas introducidas dentro del nuevo marco regulatorio. Se propone </w:t>
      </w:r>
      <w:r w:rsidR="00422AFF">
        <w:rPr>
          <w:rFonts w:ascii="Arial" w:hAnsi="Arial" w:cs="Arial"/>
          <w:sz w:val="22"/>
          <w:szCs w:val="22"/>
        </w:rPr>
        <w:t>e</w:t>
      </w:r>
      <w:r>
        <w:rPr>
          <w:rFonts w:ascii="Arial" w:hAnsi="Arial" w:cs="Arial"/>
          <w:sz w:val="22"/>
          <w:szCs w:val="22"/>
        </w:rPr>
        <w:t>l siguiente estudio:</w:t>
      </w:r>
      <w:r w:rsidR="00422AFF">
        <w:rPr>
          <w:rFonts w:ascii="Arial" w:hAnsi="Arial" w:cs="Arial"/>
          <w:sz w:val="22"/>
          <w:szCs w:val="22"/>
        </w:rPr>
        <w:t xml:space="preserve"> </w:t>
      </w:r>
      <w:r w:rsidR="00422AFF">
        <w:rPr>
          <w:rFonts w:ascii="Arial" w:hAnsi="Arial" w:cs="Arial"/>
          <w:b/>
          <w:sz w:val="22"/>
          <w:szCs w:val="22"/>
        </w:rPr>
        <w:t xml:space="preserve">Efecto de la implementación del SIFEN. </w:t>
      </w:r>
    </w:p>
    <w:p w14:paraId="4F7D20CB" w14:textId="3EAB0327" w:rsidR="003454BC" w:rsidRDefault="007574FD" w:rsidP="006930D9">
      <w:pPr>
        <w:pStyle w:val="Paragraph"/>
        <w:tabs>
          <w:tab w:val="clear" w:pos="2448"/>
        </w:tabs>
        <w:spacing w:after="0"/>
        <w:ind w:left="720" w:hanging="756"/>
        <w:rPr>
          <w:rFonts w:ascii="Arial" w:hAnsi="Arial" w:cs="Arial"/>
          <w:sz w:val="22"/>
          <w:szCs w:val="22"/>
        </w:rPr>
      </w:pPr>
      <w:r>
        <w:rPr>
          <w:rFonts w:ascii="Arial" w:hAnsi="Arial" w:cs="Arial"/>
          <w:b/>
          <w:sz w:val="22"/>
          <w:szCs w:val="22"/>
        </w:rPr>
        <w:t>Objetivo</w:t>
      </w:r>
      <w:r>
        <w:rPr>
          <w:rFonts w:ascii="Arial" w:hAnsi="Arial" w:cs="Arial"/>
          <w:sz w:val="22"/>
          <w:szCs w:val="22"/>
        </w:rPr>
        <w:t>.</w:t>
      </w:r>
      <w:r>
        <w:rPr>
          <w:rFonts w:ascii="Arial" w:hAnsi="Arial" w:cs="Arial"/>
          <w:b/>
          <w:sz w:val="22"/>
          <w:szCs w:val="22"/>
        </w:rPr>
        <w:t xml:space="preserve"> </w:t>
      </w:r>
      <w:r w:rsidR="00422AFF" w:rsidRPr="00E8123B">
        <w:rPr>
          <w:rFonts w:ascii="Arial" w:hAnsi="Arial" w:cs="Arial"/>
          <w:sz w:val="22"/>
          <w:szCs w:val="22"/>
        </w:rPr>
        <w:t xml:space="preserve">La Factura Electrónica </w:t>
      </w:r>
      <w:r w:rsidR="007631F6">
        <w:rPr>
          <w:rFonts w:ascii="Arial" w:hAnsi="Arial" w:cs="Arial"/>
          <w:sz w:val="22"/>
          <w:szCs w:val="22"/>
        </w:rPr>
        <w:t xml:space="preserve">(FE) </w:t>
      </w:r>
      <w:r w:rsidR="00422AFF" w:rsidRPr="00E8123B">
        <w:rPr>
          <w:rFonts w:ascii="Arial" w:hAnsi="Arial" w:cs="Arial"/>
          <w:sz w:val="22"/>
          <w:szCs w:val="22"/>
        </w:rPr>
        <w:t>es un instrumento que permite a la</w:t>
      </w:r>
      <w:r w:rsidR="00422AFF">
        <w:rPr>
          <w:rFonts w:ascii="Arial" w:hAnsi="Arial" w:cs="Arial"/>
          <w:sz w:val="22"/>
          <w:szCs w:val="22"/>
        </w:rPr>
        <w:t xml:space="preserve"> administración tributaria contar con vasta información sobre los contribuyentes. </w:t>
      </w:r>
      <w:r w:rsidR="007631F6" w:rsidRPr="006930D9">
        <w:rPr>
          <w:rFonts w:ascii="Arial" w:hAnsi="Arial" w:cs="Arial"/>
          <w:sz w:val="22"/>
          <w:szCs w:val="22"/>
        </w:rPr>
        <w:t>Al reducir los costos de cumplimiento</w:t>
      </w:r>
      <w:r w:rsidR="007631F6">
        <w:rPr>
          <w:rFonts w:ascii="Arial" w:hAnsi="Arial" w:cs="Arial"/>
          <w:sz w:val="22"/>
          <w:szCs w:val="22"/>
        </w:rPr>
        <w:t>,</w:t>
      </w:r>
      <w:r w:rsidR="007631F6" w:rsidRPr="006930D9">
        <w:rPr>
          <w:rFonts w:ascii="Arial" w:hAnsi="Arial" w:cs="Arial"/>
          <w:sz w:val="22"/>
          <w:szCs w:val="22"/>
        </w:rPr>
        <w:t xml:space="preserve"> la FE incentiva su adopción por los contribuyentes. Además</w:t>
      </w:r>
      <w:r w:rsidR="007631F6">
        <w:rPr>
          <w:rFonts w:ascii="Arial" w:hAnsi="Arial" w:cs="Arial"/>
          <w:sz w:val="22"/>
          <w:szCs w:val="22"/>
        </w:rPr>
        <w:t>,</w:t>
      </w:r>
      <w:r w:rsidR="007631F6" w:rsidRPr="006930D9">
        <w:rPr>
          <w:rFonts w:ascii="Arial" w:hAnsi="Arial" w:cs="Arial"/>
          <w:sz w:val="22"/>
          <w:szCs w:val="22"/>
        </w:rPr>
        <w:t xml:space="preserve"> se espera que mejore el cumplimento por la mayor percepción de riesgo de detección; mejor capacidad de fiscalización; y ampliación de contribuyentes. Además del IVA, la mejor trazabilidad de la facturación mejora el cumplimiento del IRP, al reducir las “facturas clonadas”; del IRACIS e IRAGRO, al reducir fraudes en deducciones por costos y gastos; y de impuestos selectivos, al mejorar los cruces de información. </w:t>
      </w:r>
      <w:r w:rsidR="00422AFF">
        <w:rPr>
          <w:rFonts w:ascii="Arial" w:hAnsi="Arial" w:cs="Arial"/>
          <w:sz w:val="22"/>
          <w:szCs w:val="22"/>
        </w:rPr>
        <w:t xml:space="preserve">Con esto </w:t>
      </w:r>
      <w:r w:rsidR="00422AFF" w:rsidRPr="00CA3A25">
        <w:rPr>
          <w:rFonts w:ascii="Arial" w:hAnsi="Arial" w:cs="Arial"/>
          <w:sz w:val="22"/>
          <w:szCs w:val="22"/>
        </w:rPr>
        <w:t>el</w:t>
      </w:r>
      <w:r w:rsidR="00422AFF" w:rsidRPr="00E8123B">
        <w:rPr>
          <w:rFonts w:ascii="Arial" w:hAnsi="Arial" w:cs="Arial"/>
          <w:sz w:val="22"/>
          <w:szCs w:val="22"/>
        </w:rPr>
        <w:t xml:space="preserve"> control</w:t>
      </w:r>
      <w:r w:rsidR="00422AFF">
        <w:rPr>
          <w:rFonts w:ascii="Arial" w:hAnsi="Arial" w:cs="Arial"/>
          <w:sz w:val="22"/>
          <w:szCs w:val="22"/>
        </w:rPr>
        <w:t xml:space="preserve"> tributario se facilita y, por lo tanto, es esperable que haya una mejora en la recaudación. </w:t>
      </w:r>
      <w:r w:rsidR="008729FA">
        <w:rPr>
          <w:rFonts w:ascii="Arial" w:hAnsi="Arial" w:cs="Arial"/>
          <w:sz w:val="22"/>
          <w:szCs w:val="22"/>
        </w:rPr>
        <w:t xml:space="preserve">La FE contribuye además a generar eficiencias que van más allá de la función recaudadora: entre otros, agiliza las transacciones comerciales entre las empresas; establece precios de referencia para las compras públicas; promueve la formalización de empresas </w:t>
      </w:r>
      <w:r w:rsidR="008729FA">
        <w:rPr>
          <w:rFonts w:ascii="Arial" w:hAnsi="Arial" w:cs="Arial"/>
          <w:sz w:val="22"/>
          <w:szCs w:val="22"/>
        </w:rPr>
        <w:lastRenderedPageBreak/>
        <w:t xml:space="preserve">y sus empleados; y reduce el consumo de papel, con impacto positivo sobre el medio ambiente. </w:t>
      </w:r>
    </w:p>
    <w:p w14:paraId="5FCF1170" w14:textId="3245BB30" w:rsidR="00155EEA" w:rsidRDefault="00422AFF" w:rsidP="006930D9">
      <w:pPr>
        <w:pStyle w:val="Paragraph"/>
        <w:tabs>
          <w:tab w:val="clear" w:pos="2448"/>
        </w:tabs>
        <w:ind w:left="720" w:hanging="756"/>
        <w:rPr>
          <w:lang w:val="es-MX"/>
        </w:rPr>
      </w:pPr>
      <w:r>
        <w:rPr>
          <w:rFonts w:ascii="Arial" w:hAnsi="Arial" w:cs="Arial"/>
          <w:sz w:val="22"/>
          <w:szCs w:val="22"/>
        </w:rPr>
        <w:t>En América Latina se han llevado a cabo evaluaciones de impacto de la implementación de la Factura Electrónica en variables fiscales clave, entre ellas la recaudación, donde se han encontrado efectos positivos y significativos</w:t>
      </w:r>
      <w:r>
        <w:rPr>
          <w:rStyle w:val="FootnoteReference"/>
          <w:rFonts w:ascii="Arial" w:hAnsi="Arial" w:cs="Arial"/>
          <w:sz w:val="22"/>
          <w:szCs w:val="22"/>
        </w:rPr>
        <w:footnoteReference w:id="26"/>
      </w:r>
      <w:r w:rsidR="00AF0A0E">
        <w:rPr>
          <w:rFonts w:ascii="Arial" w:hAnsi="Arial" w:cs="Arial"/>
          <w:sz w:val="22"/>
          <w:szCs w:val="22"/>
        </w:rPr>
        <w:t xml:space="preserve">. </w:t>
      </w:r>
      <w:r w:rsidR="00A323CD">
        <w:rPr>
          <w:rFonts w:ascii="Arial" w:hAnsi="Arial" w:cs="Arial"/>
          <w:sz w:val="22"/>
          <w:szCs w:val="22"/>
        </w:rPr>
        <w:t xml:space="preserve">En este marco, la presente operación, junto al préstamo de inversión PR-L1150 (que está siendo formulado en paralelo a la presente operación), apoyarán la implementación del SIFEN por parte de la SET a partir de 2018, con el objetivo de mejorar la recaudación y reducir la evasión. Así, el objetivo de este documento es definir la metodología de la evaluación de impacto de la implementación del SIFEN en el país. </w:t>
      </w:r>
    </w:p>
    <w:p w14:paraId="25DCE1E3" w14:textId="77777777" w:rsidR="00155EEA" w:rsidRDefault="00C2392C">
      <w:pPr>
        <w:pStyle w:val="FirstHeading"/>
        <w:spacing w:before="240" w:after="0"/>
        <w:rPr>
          <w:rFonts w:ascii="Arial" w:hAnsi="Arial" w:cs="Arial"/>
          <w:noProof/>
          <w:sz w:val="22"/>
          <w:szCs w:val="22"/>
        </w:rPr>
      </w:pPr>
      <w:bookmarkStart w:id="12" w:name="_Toc508105584"/>
      <w:r>
        <w:rPr>
          <w:rFonts w:ascii="Arial" w:hAnsi="Arial" w:cs="Arial"/>
          <w:sz w:val="22"/>
          <w:szCs w:val="22"/>
        </w:rPr>
        <w:t>D.</w:t>
      </w:r>
      <w:r>
        <w:rPr>
          <w:rFonts w:ascii="Arial" w:hAnsi="Arial" w:cs="Arial"/>
          <w:sz w:val="22"/>
          <w:szCs w:val="22"/>
        </w:rPr>
        <w:tab/>
      </w:r>
      <w:r>
        <w:rPr>
          <w:rFonts w:ascii="Arial" w:hAnsi="Arial" w:cs="Arial"/>
          <w:sz w:val="22"/>
          <w:szCs w:val="22"/>
        </w:rPr>
        <w:t>Aspectos Técnicos de la Metodología Seleccionada</w:t>
      </w:r>
      <w:bookmarkEnd w:id="12"/>
    </w:p>
    <w:p w14:paraId="23453383" w14:textId="4D67127D" w:rsidR="00BF5BA6" w:rsidRDefault="00A323CD" w:rsidP="006930D9">
      <w:pPr>
        <w:pStyle w:val="Paragraph"/>
        <w:tabs>
          <w:tab w:val="clear" w:pos="2448"/>
        </w:tabs>
        <w:spacing w:after="0"/>
        <w:ind w:left="720" w:hanging="756"/>
        <w:rPr>
          <w:rFonts w:ascii="Arial" w:hAnsi="Arial" w:cs="Arial"/>
          <w:sz w:val="22"/>
          <w:szCs w:val="22"/>
        </w:rPr>
      </w:pPr>
      <w:r>
        <w:rPr>
          <w:rFonts w:ascii="Arial" w:hAnsi="Arial" w:cs="Arial"/>
          <w:b/>
          <w:sz w:val="22"/>
          <w:szCs w:val="22"/>
        </w:rPr>
        <w:t>Indicadores</w:t>
      </w:r>
      <w:r w:rsidR="00BF5BA6">
        <w:rPr>
          <w:rFonts w:ascii="Arial" w:hAnsi="Arial" w:cs="Arial"/>
          <w:sz w:val="22"/>
          <w:szCs w:val="22"/>
        </w:rPr>
        <w:t>.</w:t>
      </w:r>
      <w:r>
        <w:rPr>
          <w:rFonts w:ascii="Arial" w:hAnsi="Arial" w:cs="Arial"/>
          <w:b/>
          <w:sz w:val="22"/>
          <w:szCs w:val="22"/>
        </w:rPr>
        <w:t xml:space="preserve"> </w:t>
      </w:r>
      <w:r w:rsidR="00BF5BA6">
        <w:rPr>
          <w:rFonts w:ascii="Arial" w:hAnsi="Arial" w:cs="Arial"/>
          <w:sz w:val="22"/>
          <w:szCs w:val="22"/>
        </w:rPr>
        <w:t xml:space="preserve">Para medir el impacto de esta intervención se definieron tres indicadores, que contribuyen al indicador 2 de la matriz de resultados (presión tributaria como porcentaje del PIB), resumidos en el Cuadro 4. </w:t>
      </w:r>
    </w:p>
    <w:p w14:paraId="730AB4C2" w14:textId="75E5E2C6" w:rsidR="00BF5BA6" w:rsidRPr="006930D9" w:rsidRDefault="00BF5BA6" w:rsidP="006930D9">
      <w:pPr>
        <w:pStyle w:val="Paragraph"/>
        <w:numPr>
          <w:ilvl w:val="0"/>
          <w:numId w:val="0"/>
        </w:numPr>
        <w:jc w:val="center"/>
        <w:rPr>
          <w:rFonts w:ascii="Arial" w:hAnsi="Arial" w:cs="Arial"/>
          <w:b/>
          <w:sz w:val="22"/>
          <w:szCs w:val="22"/>
        </w:rPr>
      </w:pPr>
      <w:r w:rsidRPr="006930D9">
        <w:rPr>
          <w:rFonts w:ascii="Arial" w:hAnsi="Arial" w:cs="Arial"/>
          <w:b/>
          <w:sz w:val="20"/>
        </w:rPr>
        <w:t>Cuadro 4 – Indicadores de resultados</w:t>
      </w:r>
    </w:p>
    <w:tbl>
      <w:tblPr>
        <w:tblStyle w:val="TableGrid3"/>
        <w:tblW w:w="5682" w:type="dxa"/>
        <w:jc w:val="center"/>
        <w:tblLook w:val="0420" w:firstRow="1" w:lastRow="0" w:firstColumn="0" w:lastColumn="0" w:noHBand="0" w:noVBand="1"/>
      </w:tblPr>
      <w:tblGrid>
        <w:gridCol w:w="3445"/>
        <w:gridCol w:w="2237"/>
      </w:tblGrid>
      <w:tr w:rsidR="00BF5BA6" w:rsidRPr="006930D9" w14:paraId="60E946C3" w14:textId="77777777" w:rsidTr="006930D9">
        <w:trPr>
          <w:trHeight w:val="509"/>
          <w:jc w:val="center"/>
        </w:trPr>
        <w:tc>
          <w:tcPr>
            <w:tcW w:w="3445" w:type="dxa"/>
            <w:shd w:val="clear" w:color="auto" w:fill="DBE5F1" w:themeFill="accent1" w:themeFillTint="33"/>
            <w:vAlign w:val="center"/>
            <w:hideMark/>
          </w:tcPr>
          <w:p w14:paraId="5D43B4B3" w14:textId="77777777" w:rsidR="00BF5BA6" w:rsidRPr="006930D9" w:rsidRDefault="00BF5BA6" w:rsidP="007E1B23">
            <w:pPr>
              <w:pStyle w:val="ColorfulList-Accent11"/>
              <w:spacing w:line="360" w:lineRule="auto"/>
              <w:ind w:left="0" w:firstLine="17"/>
              <w:jc w:val="center"/>
              <w:rPr>
                <w:rFonts w:ascii="Arial" w:hAnsi="Arial" w:cs="Arial"/>
                <w:sz w:val="20"/>
                <w:szCs w:val="20"/>
                <w:lang w:val="en-US"/>
              </w:rPr>
            </w:pPr>
            <w:r w:rsidRPr="006930D9">
              <w:rPr>
                <w:rFonts w:ascii="Arial" w:hAnsi="Arial" w:cs="Arial"/>
                <w:b/>
                <w:bCs/>
                <w:sz w:val="20"/>
                <w:szCs w:val="20"/>
                <w:lang w:val="es-AR"/>
              </w:rPr>
              <w:t>Indicador de resultado</w:t>
            </w:r>
          </w:p>
        </w:tc>
        <w:tc>
          <w:tcPr>
            <w:tcW w:w="2237" w:type="dxa"/>
            <w:shd w:val="clear" w:color="auto" w:fill="DBE5F1" w:themeFill="accent1" w:themeFillTint="33"/>
            <w:vAlign w:val="center"/>
          </w:tcPr>
          <w:p w14:paraId="09782327" w14:textId="77777777" w:rsidR="00BF5BA6" w:rsidRPr="006930D9" w:rsidRDefault="00BF5BA6" w:rsidP="007E1B23">
            <w:pPr>
              <w:pStyle w:val="ColorfulList-Accent11"/>
              <w:spacing w:line="360" w:lineRule="auto"/>
              <w:ind w:left="0"/>
              <w:jc w:val="center"/>
              <w:rPr>
                <w:rFonts w:ascii="Arial" w:hAnsi="Arial" w:cs="Arial"/>
                <w:b/>
                <w:bCs/>
                <w:sz w:val="20"/>
                <w:szCs w:val="20"/>
                <w:lang w:val="es-AR"/>
              </w:rPr>
            </w:pPr>
            <w:r w:rsidRPr="006930D9">
              <w:rPr>
                <w:rFonts w:ascii="Arial" w:hAnsi="Arial" w:cs="Arial"/>
                <w:b/>
                <w:bCs/>
                <w:sz w:val="20"/>
                <w:szCs w:val="20"/>
                <w:lang w:val="es-AR"/>
              </w:rPr>
              <w:t>Fuente</w:t>
            </w:r>
          </w:p>
        </w:tc>
      </w:tr>
      <w:tr w:rsidR="00BF5BA6" w:rsidRPr="006930D9" w14:paraId="5630ABF9" w14:textId="77777777" w:rsidTr="006930D9">
        <w:trPr>
          <w:trHeight w:val="509"/>
          <w:jc w:val="center"/>
        </w:trPr>
        <w:tc>
          <w:tcPr>
            <w:tcW w:w="3445" w:type="dxa"/>
            <w:vAlign w:val="center"/>
            <w:hideMark/>
          </w:tcPr>
          <w:p w14:paraId="704C9E7F" w14:textId="77777777" w:rsidR="00BF5BA6" w:rsidRPr="006930D9" w:rsidRDefault="00BF5BA6" w:rsidP="007E1B23">
            <w:pPr>
              <w:pStyle w:val="ColorfulList-Accent11"/>
              <w:spacing w:line="360" w:lineRule="auto"/>
              <w:ind w:left="0" w:firstLine="17"/>
              <w:jc w:val="center"/>
              <w:rPr>
                <w:rFonts w:ascii="Arial" w:hAnsi="Arial" w:cs="Arial"/>
                <w:sz w:val="20"/>
                <w:szCs w:val="20"/>
                <w:lang w:val="es-AR"/>
              </w:rPr>
            </w:pPr>
            <w:r w:rsidRPr="006930D9">
              <w:rPr>
                <w:rFonts w:ascii="Arial" w:hAnsi="Arial" w:cs="Arial"/>
                <w:sz w:val="20"/>
                <w:szCs w:val="20"/>
                <w:lang w:val="es-AR"/>
              </w:rPr>
              <w:t xml:space="preserve">Facturación mensual </w:t>
            </w:r>
          </w:p>
        </w:tc>
        <w:tc>
          <w:tcPr>
            <w:tcW w:w="2237" w:type="dxa"/>
            <w:vAlign w:val="center"/>
          </w:tcPr>
          <w:p w14:paraId="46697169" w14:textId="77777777" w:rsidR="00BF5BA6" w:rsidRPr="006930D9" w:rsidRDefault="00BF5BA6" w:rsidP="007E1B23">
            <w:pPr>
              <w:pStyle w:val="ColorfulList-Accent11"/>
              <w:spacing w:line="360" w:lineRule="auto"/>
              <w:ind w:left="0"/>
              <w:jc w:val="center"/>
              <w:rPr>
                <w:rFonts w:ascii="Arial" w:hAnsi="Arial" w:cs="Arial"/>
                <w:i/>
                <w:iCs/>
                <w:sz w:val="20"/>
                <w:szCs w:val="20"/>
                <w:lang w:val="es-AR"/>
              </w:rPr>
            </w:pPr>
            <w:r w:rsidRPr="006930D9">
              <w:rPr>
                <w:rFonts w:ascii="Arial" w:hAnsi="Arial" w:cs="Arial"/>
                <w:sz w:val="20"/>
                <w:szCs w:val="20"/>
                <w:lang w:val="es-AR"/>
              </w:rPr>
              <w:t xml:space="preserve">Datos administrativos </w:t>
            </w:r>
          </w:p>
        </w:tc>
      </w:tr>
      <w:tr w:rsidR="00BF5BA6" w:rsidRPr="006930D9" w14:paraId="35EEE2DB" w14:textId="77777777" w:rsidTr="006930D9">
        <w:trPr>
          <w:trHeight w:val="509"/>
          <w:jc w:val="center"/>
        </w:trPr>
        <w:tc>
          <w:tcPr>
            <w:tcW w:w="3445" w:type="dxa"/>
            <w:vAlign w:val="center"/>
            <w:hideMark/>
          </w:tcPr>
          <w:p w14:paraId="24425FB4" w14:textId="77777777" w:rsidR="00BF5BA6" w:rsidRPr="006930D9" w:rsidRDefault="00BF5BA6" w:rsidP="007E1B23">
            <w:pPr>
              <w:pStyle w:val="ColorfulList-Accent11"/>
              <w:spacing w:line="360" w:lineRule="auto"/>
              <w:ind w:left="0" w:firstLine="17"/>
              <w:jc w:val="center"/>
              <w:rPr>
                <w:rFonts w:ascii="Arial" w:hAnsi="Arial" w:cs="Arial"/>
                <w:sz w:val="20"/>
                <w:szCs w:val="20"/>
                <w:lang w:val="es-AR"/>
              </w:rPr>
            </w:pPr>
            <w:r w:rsidRPr="006930D9">
              <w:rPr>
                <w:rFonts w:ascii="Arial" w:hAnsi="Arial" w:cs="Arial"/>
                <w:sz w:val="20"/>
                <w:szCs w:val="20"/>
                <w:lang w:val="es-AR"/>
              </w:rPr>
              <w:t xml:space="preserve">Recaudación mensual </w:t>
            </w:r>
          </w:p>
        </w:tc>
        <w:tc>
          <w:tcPr>
            <w:tcW w:w="2237" w:type="dxa"/>
            <w:vAlign w:val="center"/>
          </w:tcPr>
          <w:p w14:paraId="215E339D" w14:textId="77777777" w:rsidR="00BF5BA6" w:rsidRPr="006930D9" w:rsidRDefault="00BF5BA6" w:rsidP="007E1B23">
            <w:pPr>
              <w:pStyle w:val="ColorfulList-Accent11"/>
              <w:spacing w:line="360" w:lineRule="auto"/>
              <w:ind w:left="0"/>
              <w:jc w:val="center"/>
              <w:rPr>
                <w:rFonts w:ascii="Arial" w:hAnsi="Arial" w:cs="Arial"/>
                <w:sz w:val="20"/>
                <w:szCs w:val="20"/>
                <w:lang w:val="es-AR"/>
              </w:rPr>
            </w:pPr>
            <w:r w:rsidRPr="006930D9">
              <w:rPr>
                <w:rFonts w:ascii="Arial" w:hAnsi="Arial" w:cs="Arial"/>
                <w:sz w:val="20"/>
                <w:szCs w:val="20"/>
                <w:lang w:val="es-AR"/>
              </w:rPr>
              <w:t xml:space="preserve">Datos administrativos </w:t>
            </w:r>
          </w:p>
        </w:tc>
      </w:tr>
      <w:tr w:rsidR="00BF5BA6" w:rsidRPr="006930D9" w14:paraId="49A5C564" w14:textId="77777777" w:rsidTr="006930D9">
        <w:trPr>
          <w:trHeight w:val="691"/>
          <w:jc w:val="center"/>
        </w:trPr>
        <w:tc>
          <w:tcPr>
            <w:tcW w:w="3445" w:type="dxa"/>
            <w:vAlign w:val="center"/>
            <w:hideMark/>
          </w:tcPr>
          <w:p w14:paraId="2881B6B7" w14:textId="77777777" w:rsidR="00BF5BA6" w:rsidRPr="006930D9" w:rsidRDefault="00BF5BA6" w:rsidP="007E1B23">
            <w:pPr>
              <w:pStyle w:val="ColorfulList-Accent11"/>
              <w:spacing w:line="360" w:lineRule="auto"/>
              <w:ind w:left="0" w:firstLine="17"/>
              <w:jc w:val="center"/>
              <w:rPr>
                <w:rFonts w:ascii="Arial" w:hAnsi="Arial" w:cs="Arial"/>
                <w:sz w:val="20"/>
                <w:szCs w:val="20"/>
                <w:lang w:val="es-AR"/>
              </w:rPr>
            </w:pPr>
            <w:r w:rsidRPr="006930D9">
              <w:rPr>
                <w:rFonts w:ascii="Arial" w:hAnsi="Arial" w:cs="Arial"/>
                <w:sz w:val="20"/>
                <w:szCs w:val="20"/>
                <w:lang w:val="es-AR"/>
              </w:rPr>
              <w:t>Casos detectados de evasión fiscal</w:t>
            </w:r>
          </w:p>
        </w:tc>
        <w:tc>
          <w:tcPr>
            <w:tcW w:w="2237" w:type="dxa"/>
            <w:vAlign w:val="center"/>
          </w:tcPr>
          <w:p w14:paraId="134B4514" w14:textId="77777777" w:rsidR="00BF5BA6" w:rsidRPr="006930D9" w:rsidRDefault="00BF5BA6" w:rsidP="007E1B23">
            <w:pPr>
              <w:pStyle w:val="ColorfulList-Accent11"/>
              <w:spacing w:line="360" w:lineRule="auto"/>
              <w:ind w:left="0"/>
              <w:jc w:val="center"/>
              <w:rPr>
                <w:rFonts w:ascii="Arial" w:hAnsi="Arial" w:cs="Arial"/>
                <w:sz w:val="20"/>
                <w:szCs w:val="20"/>
                <w:lang w:val="es-AR"/>
              </w:rPr>
            </w:pPr>
            <w:r w:rsidRPr="006930D9">
              <w:rPr>
                <w:rFonts w:ascii="Arial" w:hAnsi="Arial" w:cs="Arial"/>
                <w:sz w:val="20"/>
                <w:szCs w:val="20"/>
                <w:lang w:val="es-AR"/>
              </w:rPr>
              <w:t xml:space="preserve">Datos administrativos </w:t>
            </w:r>
          </w:p>
        </w:tc>
      </w:tr>
    </w:tbl>
    <w:p w14:paraId="7CA5E8A8" w14:textId="211B4D1C" w:rsidR="00E62250" w:rsidRDefault="00BF5BA6" w:rsidP="006930D9">
      <w:pPr>
        <w:pStyle w:val="Paragraph"/>
        <w:tabs>
          <w:tab w:val="clear" w:pos="2448"/>
        </w:tabs>
        <w:spacing w:before="240"/>
        <w:ind w:left="720" w:hanging="756"/>
      </w:pPr>
      <w:r>
        <w:rPr>
          <w:rFonts w:ascii="Arial" w:hAnsi="Arial" w:cs="Arial"/>
          <w:b/>
          <w:sz w:val="22"/>
          <w:szCs w:val="22"/>
        </w:rPr>
        <w:t xml:space="preserve">Metodología de la </w:t>
      </w:r>
      <w:r w:rsidRPr="00BF5BA6">
        <w:rPr>
          <w:rFonts w:ascii="Arial" w:hAnsi="Arial" w:cs="Arial"/>
          <w:b/>
          <w:sz w:val="22"/>
          <w:szCs w:val="22"/>
        </w:rPr>
        <w:t>evaluación</w:t>
      </w:r>
      <w:r>
        <w:rPr>
          <w:rFonts w:ascii="Arial" w:hAnsi="Arial" w:cs="Arial"/>
          <w:sz w:val="22"/>
          <w:szCs w:val="22"/>
        </w:rPr>
        <w:t xml:space="preserve">. </w:t>
      </w:r>
      <w:r w:rsidR="00746F14" w:rsidRPr="006930D9">
        <w:rPr>
          <w:rFonts w:ascii="Arial" w:hAnsi="Arial" w:cs="Arial"/>
          <w:sz w:val="22"/>
          <w:szCs w:val="22"/>
        </w:rPr>
        <w:t>A</w:t>
      </w:r>
      <w:r w:rsidR="00D177EE" w:rsidRPr="00E62250">
        <w:rPr>
          <w:rFonts w:ascii="Arial" w:hAnsi="Arial" w:cs="Arial"/>
          <w:sz w:val="22"/>
          <w:szCs w:val="22"/>
        </w:rPr>
        <w:t xml:space="preserve"> </w:t>
      </w:r>
      <w:r w:rsidR="00746F14" w:rsidRPr="006930D9">
        <w:rPr>
          <w:rFonts w:ascii="Arial" w:hAnsi="Arial" w:cs="Arial"/>
          <w:sz w:val="22"/>
          <w:szCs w:val="22"/>
        </w:rPr>
        <w:t>diferencia de los estudios realizados por el BID en Argentina</w:t>
      </w:r>
      <w:r w:rsidR="00746F14" w:rsidRPr="006930D9">
        <w:rPr>
          <w:rStyle w:val="FootnoteReference"/>
          <w:rFonts w:ascii="Arial" w:hAnsi="Arial" w:cs="Arial"/>
          <w:sz w:val="22"/>
          <w:szCs w:val="22"/>
          <w:lang w:val="es-AR"/>
        </w:rPr>
        <w:footnoteReference w:id="27"/>
      </w:r>
      <w:r w:rsidR="00746F14" w:rsidRPr="006930D9">
        <w:rPr>
          <w:rFonts w:ascii="Arial" w:hAnsi="Arial" w:cs="Arial"/>
          <w:sz w:val="22"/>
          <w:szCs w:val="22"/>
        </w:rPr>
        <w:t>, Ecuador</w:t>
      </w:r>
      <w:r w:rsidR="00746F14" w:rsidRPr="006930D9">
        <w:rPr>
          <w:rStyle w:val="FootnoteReference"/>
          <w:rFonts w:ascii="Arial" w:hAnsi="Arial" w:cs="Arial"/>
          <w:sz w:val="22"/>
          <w:szCs w:val="22"/>
          <w:lang w:val="es-AR"/>
        </w:rPr>
        <w:footnoteReference w:id="28"/>
      </w:r>
      <w:r w:rsidR="00746F14" w:rsidRPr="006930D9">
        <w:rPr>
          <w:rFonts w:ascii="Arial" w:hAnsi="Arial" w:cs="Arial"/>
          <w:sz w:val="22"/>
          <w:szCs w:val="22"/>
        </w:rPr>
        <w:t xml:space="preserve"> y Uruguay</w:t>
      </w:r>
      <w:r w:rsidR="00746F14" w:rsidRPr="006930D9">
        <w:rPr>
          <w:rStyle w:val="FootnoteReference"/>
          <w:rFonts w:ascii="Arial" w:hAnsi="Arial" w:cs="Arial"/>
          <w:sz w:val="22"/>
          <w:szCs w:val="22"/>
          <w:lang w:val="es-AR"/>
        </w:rPr>
        <w:footnoteReference w:id="29"/>
      </w:r>
      <w:r w:rsidR="00746F14" w:rsidRPr="006930D9">
        <w:rPr>
          <w:rFonts w:ascii="Arial" w:hAnsi="Arial" w:cs="Arial"/>
          <w:sz w:val="22"/>
          <w:szCs w:val="22"/>
        </w:rPr>
        <w:t>, en este caso se utilizar</w:t>
      </w:r>
      <w:r w:rsidR="00E62250">
        <w:rPr>
          <w:rFonts w:ascii="Arial" w:hAnsi="Arial" w:cs="Arial"/>
          <w:sz w:val="22"/>
          <w:szCs w:val="22"/>
        </w:rPr>
        <w:t>á</w:t>
      </w:r>
      <w:r w:rsidR="00746F14" w:rsidRPr="006930D9">
        <w:rPr>
          <w:rFonts w:ascii="Arial" w:hAnsi="Arial" w:cs="Arial"/>
          <w:sz w:val="22"/>
          <w:szCs w:val="22"/>
        </w:rPr>
        <w:t xml:space="preserve"> la metodología de experimento controlado aleatorio. </w:t>
      </w:r>
      <w:r w:rsidR="00E62250" w:rsidRPr="006930D9">
        <w:rPr>
          <w:rFonts w:ascii="Arial" w:hAnsi="Arial" w:cs="Arial"/>
          <w:sz w:val="22"/>
          <w:szCs w:val="22"/>
          <w:lang w:val="es-AR"/>
        </w:rPr>
        <w:t>Las empresas grandes en general no evaden, o lo hacen en una menor proporción, debido a la importancia y visibilidad que tienen</w:t>
      </w:r>
      <w:r w:rsidR="00E62250" w:rsidRPr="006930D9">
        <w:rPr>
          <w:rStyle w:val="FootnoteReference"/>
          <w:rFonts w:ascii="Arial" w:hAnsi="Arial" w:cs="Arial"/>
          <w:sz w:val="22"/>
          <w:szCs w:val="22"/>
          <w:lang w:val="es-AR"/>
        </w:rPr>
        <w:footnoteReference w:id="30"/>
      </w:r>
      <w:r w:rsidR="00E62250" w:rsidRPr="006930D9">
        <w:rPr>
          <w:rFonts w:ascii="Arial" w:hAnsi="Arial" w:cs="Arial"/>
          <w:sz w:val="22"/>
          <w:szCs w:val="22"/>
          <w:lang w:val="es-AR"/>
        </w:rPr>
        <w:t>. Por esto nos vamos a enfocar en todos los contribuyentes medianos de Paraguay. Estos conforman un universo de 4200 contribuyentes aproximadamente</w:t>
      </w:r>
      <w:r w:rsidR="00090EDA">
        <w:rPr>
          <w:rFonts w:ascii="Arial" w:hAnsi="Arial" w:cs="Arial"/>
          <w:sz w:val="22"/>
          <w:szCs w:val="22"/>
          <w:lang w:val="es-AR"/>
        </w:rPr>
        <w:t xml:space="preserve">. </w:t>
      </w:r>
    </w:p>
    <w:p w14:paraId="2A8B3AD3" w14:textId="77777777" w:rsidR="00E62250" w:rsidRPr="006930D9" w:rsidRDefault="00E62250" w:rsidP="006930D9">
      <w:pPr>
        <w:pStyle w:val="Paragraph"/>
        <w:tabs>
          <w:tab w:val="clear" w:pos="2448"/>
        </w:tabs>
        <w:ind w:left="720" w:hanging="756"/>
        <w:rPr>
          <w:rFonts w:ascii="Arial" w:hAnsi="Arial" w:cs="Arial"/>
          <w:sz w:val="22"/>
          <w:szCs w:val="22"/>
        </w:rPr>
      </w:pPr>
      <w:r w:rsidRPr="006930D9">
        <w:rPr>
          <w:rFonts w:ascii="Arial" w:hAnsi="Arial" w:cs="Arial"/>
          <w:sz w:val="22"/>
          <w:szCs w:val="22"/>
        </w:rPr>
        <w:lastRenderedPageBreak/>
        <w:t>Este universo se dividirá de manera aleatoria en un grupo tratamiento y un grupo control. Todos los contribuyentes tendrán la misma probabilidad de recibir el tratamiento. El grupo tratamiento estará conformado por 200 empresas. El grupo control por el resto del universo analizado. El grupo tratamiento recibirá la invención, es decir, tendrá la obligación de facturar mediante factura electrónica. En cambio, el grupo control, no tendrá esta posibilidad y facturaran mediante el sistema en papel que está vigente actualmente en el país. El contraste de ambos grupos y la aleatorización nos permitirá determinar de manera causal los cambios generados por la intervención. Las integrantes del grupo control tendrán que comenzar a utilizar la FE de manera obligatoria 12 meses después de la intervención en el grupo tratado. Esto genera una ventaja para medir los resultados de la herramienta.</w:t>
      </w:r>
    </w:p>
    <w:p w14:paraId="6796CE8D" w14:textId="60C3CC77" w:rsidR="00E7382F" w:rsidRDefault="00E7382F" w:rsidP="006930D9">
      <w:pPr>
        <w:pStyle w:val="Paragraph"/>
        <w:tabs>
          <w:tab w:val="clear" w:pos="2448"/>
        </w:tabs>
        <w:spacing w:after="0"/>
        <w:ind w:left="720" w:hanging="756"/>
        <w:rPr>
          <w:rFonts w:ascii="Arial" w:hAnsi="Arial" w:cs="Arial"/>
          <w:sz w:val="22"/>
          <w:szCs w:val="22"/>
        </w:rPr>
      </w:pPr>
      <w:r>
        <w:rPr>
          <w:rFonts w:ascii="Arial" w:hAnsi="Arial" w:cs="Arial"/>
          <w:sz w:val="22"/>
          <w:szCs w:val="22"/>
        </w:rPr>
        <w:t xml:space="preserve">Para poder medir el impacto, se estimará la siguiente ecuación: </w:t>
      </w:r>
    </w:p>
    <w:p w14:paraId="5287E42B" w14:textId="77777777" w:rsidR="00E7382F" w:rsidRPr="00E7382F" w:rsidRDefault="00E7382F" w:rsidP="006930D9">
      <w:pPr>
        <w:pStyle w:val="Paragraph"/>
        <w:numPr>
          <w:ilvl w:val="0"/>
          <w:numId w:val="0"/>
        </w:numPr>
        <w:spacing w:before="0" w:after="0"/>
        <w:ind w:left="720"/>
        <w:rPr>
          <w:rFonts w:ascii="Arial" w:hAnsi="Arial" w:cs="Arial"/>
          <w:sz w:val="22"/>
          <w:szCs w:val="22"/>
        </w:rPr>
      </w:pPr>
    </w:p>
    <w:p w14:paraId="3ED25A15" w14:textId="77777777" w:rsidR="00E7382F" w:rsidRPr="006930D9" w:rsidRDefault="007E0907" w:rsidP="006930D9">
      <w:pPr>
        <w:spacing w:before="120" w:after="120"/>
        <w:ind w:left="1134"/>
        <w:jc w:val="center"/>
        <w:textAlignment w:val="top"/>
        <w:rPr>
          <w:rFonts w:ascii="Arial" w:hAnsi="Arial" w:cs="Arial"/>
          <w:iCs/>
          <w:sz w:val="22"/>
          <w:szCs w:val="22"/>
          <w:lang w:val="es-AR"/>
        </w:rPr>
      </w:pPr>
      <m:oMath>
        <m:sSub>
          <m:sSubPr>
            <m:ctrlPr>
              <w:rPr>
                <w:rFonts w:ascii="Cambria Math" w:hAnsi="Cambria Math" w:cs="Arial"/>
                <w:i/>
                <w:iCs/>
                <w:sz w:val="22"/>
                <w:szCs w:val="22"/>
                <w:lang w:val="es-AR"/>
              </w:rPr>
            </m:ctrlPr>
          </m:sSubPr>
          <m:e>
            <m:r>
              <w:rPr>
                <w:rFonts w:ascii="Cambria Math" w:hAnsi="Cambria Math" w:cs="Arial"/>
                <w:sz w:val="22"/>
                <w:szCs w:val="22"/>
                <w:lang w:val="es-AR"/>
              </w:rPr>
              <m:t>y</m:t>
            </m:r>
          </m:e>
          <m:sub>
            <m:r>
              <w:rPr>
                <w:rFonts w:ascii="Cambria Math" w:hAnsi="Cambria Math" w:cs="Arial"/>
                <w:sz w:val="22"/>
                <w:szCs w:val="22"/>
                <w:lang w:val="es-AR"/>
              </w:rPr>
              <m:t>igt</m:t>
            </m:r>
          </m:sub>
        </m:sSub>
        <m:r>
          <w:rPr>
            <w:rFonts w:ascii="Cambria Math" w:hAnsi="Cambria Math" w:cs="Arial"/>
            <w:sz w:val="22"/>
            <w:szCs w:val="22"/>
            <w:lang w:val="es-AR"/>
          </w:rPr>
          <m:t>=</m:t>
        </m:r>
        <m:sSub>
          <m:sSubPr>
            <m:ctrlPr>
              <w:rPr>
                <w:rFonts w:ascii="Cambria Math" w:hAnsi="Cambria Math" w:cs="Arial"/>
                <w:i/>
                <w:iCs/>
                <w:sz w:val="22"/>
                <w:szCs w:val="22"/>
                <w:lang w:val="es-AR"/>
              </w:rPr>
            </m:ctrlPr>
          </m:sSubPr>
          <m:e>
            <m:r>
              <w:rPr>
                <w:rFonts w:ascii="Cambria Math" w:hAnsi="Cambria Math" w:cs="Arial"/>
                <w:sz w:val="22"/>
                <w:szCs w:val="22"/>
                <w:lang w:val="es-AR"/>
              </w:rPr>
              <m:t>β Xigt</m:t>
            </m:r>
          </m:e>
          <m:sub/>
        </m:sSub>
        <m:r>
          <w:rPr>
            <w:rFonts w:ascii="Cambria Math" w:hAnsi="Cambria Math" w:cs="Arial"/>
            <w:sz w:val="22"/>
            <w:szCs w:val="22"/>
            <w:lang w:val="es-AR"/>
          </w:rPr>
          <m:t xml:space="preserve">+ρ  </m:t>
        </m:r>
        <m:sSub>
          <m:sSubPr>
            <m:ctrlPr>
              <w:rPr>
                <w:rFonts w:ascii="Cambria Math" w:hAnsi="Cambria Math" w:cs="Arial"/>
                <w:i/>
                <w:sz w:val="22"/>
                <w:szCs w:val="22"/>
                <w:lang w:val="es-AR"/>
              </w:rPr>
            </m:ctrlPr>
          </m:sSubPr>
          <m:e>
            <m:r>
              <w:rPr>
                <w:rFonts w:ascii="Cambria Math" w:hAnsi="Cambria Math" w:cs="Arial"/>
                <w:sz w:val="22"/>
                <w:szCs w:val="22"/>
                <w:lang w:val="es-AR"/>
              </w:rPr>
              <m:t>T</m:t>
            </m:r>
          </m:e>
          <m:sub>
            <m:r>
              <w:rPr>
                <w:rFonts w:ascii="Cambria Math" w:hAnsi="Cambria Math" w:cs="Arial"/>
                <w:sz w:val="22"/>
                <w:szCs w:val="22"/>
                <w:lang w:val="es-AR"/>
              </w:rPr>
              <m:t>it</m:t>
            </m:r>
          </m:sub>
        </m:sSub>
        <m:r>
          <w:rPr>
            <w:rFonts w:ascii="Cambria Math" w:hAnsi="Cambria Math" w:cs="Arial"/>
            <w:sz w:val="22"/>
            <w:szCs w:val="22"/>
            <w:lang w:val="es-AR"/>
          </w:rPr>
          <m:t>+ +</m:t>
        </m:r>
        <m:sSub>
          <m:sSubPr>
            <m:ctrlPr>
              <w:rPr>
                <w:rFonts w:ascii="Cambria Math" w:hAnsi="Cambria Math" w:cs="Arial"/>
                <w:i/>
                <w:sz w:val="22"/>
                <w:szCs w:val="22"/>
                <w:lang w:val="es-AR"/>
              </w:rPr>
            </m:ctrlPr>
          </m:sSubPr>
          <m:e>
            <m:r>
              <w:rPr>
                <w:rFonts w:ascii="Cambria Math" w:hAnsi="Cambria Math" w:cs="Arial"/>
                <w:sz w:val="22"/>
                <w:szCs w:val="22"/>
                <w:lang w:val="es-AR"/>
              </w:rPr>
              <m:t>μ</m:t>
            </m:r>
          </m:e>
          <m:sub>
            <m:r>
              <w:rPr>
                <w:rFonts w:ascii="Cambria Math" w:hAnsi="Cambria Math" w:cs="Arial"/>
                <w:sz w:val="22"/>
                <w:szCs w:val="22"/>
                <w:lang w:val="es-AR"/>
              </w:rPr>
              <m:t>t</m:t>
            </m:r>
          </m:sub>
        </m:sSub>
        <m:r>
          <w:rPr>
            <w:rFonts w:ascii="Cambria Math" w:hAnsi="Cambria Math" w:cs="Arial"/>
            <w:sz w:val="22"/>
            <w:szCs w:val="22"/>
            <w:lang w:val="es-AR"/>
          </w:rPr>
          <m:t xml:space="preserve">+ </m:t>
        </m:r>
        <m:sSub>
          <m:sSubPr>
            <m:ctrlPr>
              <w:rPr>
                <w:rFonts w:ascii="Cambria Math" w:hAnsi="Cambria Math" w:cs="Arial"/>
                <w:i/>
                <w:sz w:val="22"/>
                <w:szCs w:val="22"/>
                <w:lang w:val="es-AR"/>
              </w:rPr>
            </m:ctrlPr>
          </m:sSubPr>
          <m:e>
            <m:r>
              <w:rPr>
                <w:rFonts w:ascii="Cambria Math" w:hAnsi="Cambria Math" w:cs="Arial"/>
                <w:sz w:val="22"/>
                <w:szCs w:val="22"/>
                <w:lang w:val="es-AR"/>
              </w:rPr>
              <m:t>θ</m:t>
            </m:r>
          </m:e>
          <m:sub>
            <m:r>
              <w:rPr>
                <w:rFonts w:ascii="Cambria Math" w:hAnsi="Cambria Math" w:cs="Arial"/>
                <w:sz w:val="22"/>
                <w:szCs w:val="22"/>
                <w:lang w:val="es-AR"/>
              </w:rPr>
              <m:t>g</m:t>
            </m:r>
          </m:sub>
        </m:sSub>
        <m:r>
          <w:rPr>
            <w:rFonts w:ascii="Cambria Math" w:hAnsi="Cambria Math" w:cs="Arial"/>
            <w:sz w:val="22"/>
            <w:szCs w:val="22"/>
            <w:lang w:val="es-AR"/>
          </w:rPr>
          <m:t>+</m:t>
        </m:r>
        <m:sSub>
          <m:sSubPr>
            <m:ctrlPr>
              <w:rPr>
                <w:rFonts w:ascii="Cambria Math" w:hAnsi="Cambria Math" w:cs="Arial"/>
                <w:i/>
                <w:sz w:val="22"/>
                <w:szCs w:val="22"/>
                <w:lang w:val="es-AR"/>
              </w:rPr>
            </m:ctrlPr>
          </m:sSubPr>
          <m:e>
            <m:r>
              <w:rPr>
                <w:rFonts w:ascii="Cambria Math" w:hAnsi="Cambria Math" w:cs="Arial"/>
                <w:sz w:val="22"/>
                <w:szCs w:val="22"/>
                <w:lang w:val="es-AR"/>
              </w:rPr>
              <m:t>W</m:t>
            </m:r>
          </m:e>
          <m:sub>
            <m:r>
              <w:rPr>
                <w:rFonts w:ascii="Cambria Math" w:hAnsi="Cambria Math" w:cs="Arial"/>
                <w:sz w:val="22"/>
                <w:szCs w:val="22"/>
                <w:lang w:val="es-AR"/>
              </w:rPr>
              <m:t>i</m:t>
            </m:r>
          </m:sub>
        </m:sSub>
        <m:r>
          <w:rPr>
            <w:rFonts w:ascii="Cambria Math" w:hAnsi="Cambria Math" w:cs="Arial"/>
            <w:sz w:val="22"/>
            <w:szCs w:val="22"/>
            <w:lang w:val="es-AR"/>
          </w:rPr>
          <m:t xml:space="preserve">+ </m:t>
        </m:r>
      </m:oMath>
      <w:r w:rsidR="00E7382F" w:rsidRPr="006930D9">
        <w:rPr>
          <w:rFonts w:ascii="Arial" w:hAnsi="Arial" w:cs="Arial"/>
          <w:sz w:val="22"/>
          <w:szCs w:val="22"/>
          <w:lang w:val="es-AR"/>
        </w:rPr>
        <w:t xml:space="preserve"> </w:t>
      </w:r>
      <m:oMath>
        <m:sSub>
          <m:sSubPr>
            <m:ctrlPr>
              <w:rPr>
                <w:rFonts w:ascii="Cambria Math" w:hAnsi="Cambria Math" w:cs="Arial"/>
                <w:i/>
                <w:iCs/>
                <w:sz w:val="22"/>
                <w:szCs w:val="22"/>
                <w:lang w:val="es-AR"/>
              </w:rPr>
            </m:ctrlPr>
          </m:sSubPr>
          <m:e>
            <m:r>
              <w:rPr>
                <w:rFonts w:ascii="Cambria Math" w:hAnsi="Cambria Math" w:cs="Arial"/>
                <w:sz w:val="22"/>
                <w:szCs w:val="22"/>
                <w:lang w:val="es-AR"/>
              </w:rPr>
              <m:t>ε</m:t>
            </m:r>
          </m:e>
          <m:sub>
            <m:r>
              <w:rPr>
                <w:rFonts w:ascii="Cambria Math" w:hAnsi="Cambria Math" w:cs="Arial"/>
                <w:sz w:val="22"/>
                <w:szCs w:val="22"/>
                <w:lang w:val="es-AR"/>
              </w:rPr>
              <m:t>igt</m:t>
            </m:r>
          </m:sub>
        </m:sSub>
      </m:oMath>
      <w:r w:rsidR="00E7382F" w:rsidRPr="006930D9">
        <w:rPr>
          <w:rFonts w:ascii="Arial" w:hAnsi="Arial" w:cs="Arial"/>
          <w:iCs/>
          <w:sz w:val="22"/>
          <w:szCs w:val="22"/>
          <w:lang w:val="es-AR"/>
        </w:rPr>
        <w:t xml:space="preserve"> </w:t>
      </w:r>
    </w:p>
    <w:p w14:paraId="26D6AD6C" w14:textId="77777777" w:rsidR="00E7382F" w:rsidRPr="006930D9" w:rsidRDefault="00E7382F" w:rsidP="006930D9">
      <w:pPr>
        <w:spacing w:before="120" w:after="120"/>
        <w:ind w:left="1134"/>
        <w:jc w:val="both"/>
        <w:textAlignment w:val="top"/>
        <w:rPr>
          <w:rFonts w:ascii="Arial" w:hAnsi="Arial" w:cs="Arial"/>
          <w:sz w:val="22"/>
          <w:szCs w:val="22"/>
          <w:lang w:val="es-AR"/>
        </w:rPr>
      </w:pPr>
      <w:r w:rsidRPr="006930D9">
        <w:rPr>
          <w:rFonts w:ascii="Arial" w:hAnsi="Arial" w:cs="Arial"/>
          <w:sz w:val="22"/>
          <w:szCs w:val="22"/>
          <w:lang w:val="es-AR"/>
        </w:rPr>
        <w:t>Donde:</w:t>
      </w:r>
    </w:p>
    <w:p w14:paraId="14C7E141" w14:textId="77777777" w:rsidR="00E7382F" w:rsidRPr="006930D9" w:rsidRDefault="007E0907" w:rsidP="006930D9">
      <w:pPr>
        <w:pStyle w:val="ListParagraph"/>
        <w:numPr>
          <w:ilvl w:val="0"/>
          <w:numId w:val="38"/>
        </w:numPr>
        <w:spacing w:before="120" w:after="120"/>
        <w:ind w:left="1134" w:firstLine="0"/>
        <w:jc w:val="both"/>
        <w:textAlignment w:val="top"/>
        <w:rPr>
          <w:rFonts w:ascii="Arial" w:hAnsi="Arial" w:cs="Arial"/>
          <w:sz w:val="22"/>
          <w:szCs w:val="22"/>
          <w:lang w:val="es-AR"/>
        </w:rPr>
      </w:pPr>
      <m:oMath>
        <m:sSub>
          <m:sSubPr>
            <m:ctrlPr>
              <w:rPr>
                <w:rFonts w:ascii="Cambria Math" w:hAnsi="Cambria Math" w:cs="Arial"/>
                <w:i/>
                <w:iCs/>
                <w:sz w:val="22"/>
                <w:szCs w:val="22"/>
                <w:lang w:val="es-AR"/>
              </w:rPr>
            </m:ctrlPr>
          </m:sSubPr>
          <m:e>
            <m:r>
              <w:rPr>
                <w:rFonts w:ascii="Cambria Math" w:hAnsi="Cambria Math" w:cs="Arial"/>
                <w:sz w:val="22"/>
                <w:szCs w:val="22"/>
                <w:lang w:val="es-AR"/>
              </w:rPr>
              <m:t>y</m:t>
            </m:r>
          </m:e>
          <m:sub>
            <m:r>
              <w:rPr>
                <w:rFonts w:ascii="Cambria Math" w:hAnsi="Cambria Math" w:cs="Arial"/>
                <w:sz w:val="22"/>
                <w:szCs w:val="22"/>
                <w:lang w:val="es-AR"/>
              </w:rPr>
              <m:t>igt</m:t>
            </m:r>
          </m:sub>
        </m:sSub>
      </m:oMath>
      <w:r w:rsidR="00E7382F" w:rsidRPr="006930D9">
        <w:rPr>
          <w:rFonts w:ascii="Arial" w:hAnsi="Arial" w:cs="Arial"/>
          <w:sz w:val="22"/>
          <w:szCs w:val="22"/>
          <w:lang w:val="es-AR"/>
        </w:rPr>
        <w:t xml:space="preserve"> denota el indicador a evaluar</w:t>
      </w:r>
    </w:p>
    <w:p w14:paraId="531925FF" w14:textId="77777777" w:rsidR="00E7382F" w:rsidRPr="006930D9" w:rsidRDefault="00E7382F" w:rsidP="006930D9">
      <w:pPr>
        <w:pStyle w:val="ListParagraph"/>
        <w:numPr>
          <w:ilvl w:val="0"/>
          <w:numId w:val="38"/>
        </w:numPr>
        <w:spacing w:before="120" w:after="120"/>
        <w:ind w:left="1134" w:firstLine="0"/>
        <w:jc w:val="both"/>
        <w:textAlignment w:val="top"/>
        <w:rPr>
          <w:rFonts w:ascii="Arial" w:hAnsi="Arial" w:cs="Arial"/>
          <w:sz w:val="22"/>
          <w:szCs w:val="22"/>
          <w:lang w:val="es-AR"/>
        </w:rPr>
      </w:pPr>
      <w:r w:rsidRPr="006930D9">
        <w:rPr>
          <w:rFonts w:ascii="Arial" w:hAnsi="Arial" w:cs="Arial"/>
          <w:sz w:val="22"/>
          <w:szCs w:val="22"/>
          <w:lang w:val="es-AR"/>
        </w:rPr>
        <w:t xml:space="preserve">X es un vector con variables de control, </w:t>
      </w:r>
    </w:p>
    <w:p w14:paraId="06D38800" w14:textId="77777777" w:rsidR="00E7382F" w:rsidRPr="006930D9" w:rsidRDefault="007E0907" w:rsidP="006930D9">
      <w:pPr>
        <w:pStyle w:val="ListParagraph"/>
        <w:numPr>
          <w:ilvl w:val="0"/>
          <w:numId w:val="38"/>
        </w:numPr>
        <w:spacing w:before="120" w:after="120"/>
        <w:ind w:left="1134" w:firstLine="0"/>
        <w:jc w:val="both"/>
        <w:textAlignment w:val="top"/>
        <w:rPr>
          <w:rFonts w:ascii="Arial" w:hAnsi="Arial" w:cs="Arial"/>
          <w:sz w:val="22"/>
          <w:szCs w:val="22"/>
          <w:lang w:val="es-AR"/>
        </w:rPr>
      </w:pPr>
      <m:oMath>
        <m:sSub>
          <m:sSubPr>
            <m:ctrlPr>
              <w:rPr>
                <w:rFonts w:ascii="Cambria Math" w:hAnsi="Cambria Math" w:cs="Arial"/>
                <w:i/>
                <w:sz w:val="22"/>
                <w:szCs w:val="22"/>
                <w:lang w:val="es-AR"/>
              </w:rPr>
            </m:ctrlPr>
          </m:sSubPr>
          <m:e>
            <m:r>
              <w:rPr>
                <w:rFonts w:ascii="Cambria Math" w:hAnsi="Cambria Math" w:cs="Arial"/>
                <w:sz w:val="22"/>
                <w:szCs w:val="22"/>
                <w:lang w:val="es-AR"/>
              </w:rPr>
              <m:t>θ</m:t>
            </m:r>
          </m:e>
          <m:sub>
            <m:r>
              <w:rPr>
                <w:rFonts w:ascii="Cambria Math" w:hAnsi="Cambria Math" w:cs="Arial"/>
                <w:sz w:val="22"/>
                <w:szCs w:val="22"/>
                <w:lang w:val="es-AR"/>
              </w:rPr>
              <m:t>g</m:t>
            </m:r>
          </m:sub>
        </m:sSub>
        <m:r>
          <w:rPr>
            <w:rFonts w:ascii="Cambria Math" w:hAnsi="Cambria Math" w:cs="Arial"/>
            <w:sz w:val="22"/>
            <w:szCs w:val="22"/>
            <w:lang w:val="es-AR"/>
          </w:rPr>
          <m:t xml:space="preserve"> </m:t>
        </m:r>
      </m:oMath>
      <w:r w:rsidR="00E7382F" w:rsidRPr="006930D9">
        <w:rPr>
          <w:rFonts w:ascii="Arial" w:hAnsi="Arial" w:cs="Arial"/>
          <w:sz w:val="22"/>
          <w:szCs w:val="22"/>
          <w:lang w:val="es-AR"/>
        </w:rPr>
        <w:t>controla los efectos fijos por tipo de actividad que desarrolla el contribuyente,</w:t>
      </w:r>
    </w:p>
    <w:p w14:paraId="7C150BBD" w14:textId="77777777" w:rsidR="00E7382F" w:rsidRPr="006930D9" w:rsidRDefault="007E0907" w:rsidP="006930D9">
      <w:pPr>
        <w:pStyle w:val="ListParagraph"/>
        <w:numPr>
          <w:ilvl w:val="0"/>
          <w:numId w:val="38"/>
        </w:numPr>
        <w:spacing w:before="120" w:after="120"/>
        <w:ind w:left="1134" w:firstLine="0"/>
        <w:jc w:val="both"/>
        <w:textAlignment w:val="top"/>
        <w:rPr>
          <w:rFonts w:ascii="Arial" w:hAnsi="Arial" w:cs="Arial"/>
          <w:sz w:val="22"/>
          <w:szCs w:val="22"/>
          <w:lang w:val="es-AR"/>
        </w:rPr>
      </w:pPr>
      <m:oMath>
        <m:sSub>
          <m:sSubPr>
            <m:ctrlPr>
              <w:rPr>
                <w:rFonts w:ascii="Cambria Math" w:hAnsi="Cambria Math" w:cs="Arial"/>
                <w:i/>
                <w:sz w:val="22"/>
                <w:szCs w:val="22"/>
                <w:lang w:val="es-AR"/>
              </w:rPr>
            </m:ctrlPr>
          </m:sSubPr>
          <m:e>
            <m:r>
              <w:rPr>
                <w:rFonts w:ascii="Cambria Math" w:hAnsi="Cambria Math" w:cs="Arial"/>
                <w:sz w:val="22"/>
                <w:szCs w:val="22"/>
                <w:lang w:val="es-AR"/>
              </w:rPr>
              <m:t>W</m:t>
            </m:r>
          </m:e>
          <m:sub>
            <m:r>
              <w:rPr>
                <w:rFonts w:ascii="Cambria Math" w:hAnsi="Cambria Math" w:cs="Arial"/>
                <w:sz w:val="22"/>
                <w:szCs w:val="22"/>
                <w:lang w:val="es-AR"/>
              </w:rPr>
              <m:t>i</m:t>
            </m:r>
          </m:sub>
        </m:sSub>
      </m:oMath>
      <w:r w:rsidR="00E7382F" w:rsidRPr="006930D9">
        <w:rPr>
          <w:rFonts w:ascii="Arial" w:hAnsi="Arial" w:cs="Arial"/>
          <w:sz w:val="22"/>
          <w:szCs w:val="22"/>
          <w:lang w:val="es-AR"/>
        </w:rPr>
        <w:t xml:space="preserve"> es un control de efecto fijo por cada contribuyente,</w:t>
      </w:r>
    </w:p>
    <w:p w14:paraId="4E704426" w14:textId="77777777" w:rsidR="00E7382F" w:rsidRPr="006930D9" w:rsidRDefault="007E0907" w:rsidP="006930D9">
      <w:pPr>
        <w:pStyle w:val="ListParagraph"/>
        <w:numPr>
          <w:ilvl w:val="0"/>
          <w:numId w:val="38"/>
        </w:numPr>
        <w:spacing w:before="120" w:after="120"/>
        <w:ind w:left="1134" w:firstLine="0"/>
        <w:jc w:val="both"/>
        <w:textAlignment w:val="top"/>
        <w:rPr>
          <w:rFonts w:ascii="Arial" w:hAnsi="Arial" w:cs="Arial"/>
          <w:sz w:val="22"/>
          <w:szCs w:val="22"/>
          <w:lang w:val="es-AR"/>
        </w:rPr>
      </w:pPr>
      <m:oMath>
        <m:sSub>
          <m:sSubPr>
            <m:ctrlPr>
              <w:rPr>
                <w:rFonts w:ascii="Cambria Math" w:hAnsi="Cambria Math" w:cs="Arial"/>
                <w:i/>
                <w:sz w:val="22"/>
                <w:szCs w:val="22"/>
                <w:lang w:val="es-AR"/>
              </w:rPr>
            </m:ctrlPr>
          </m:sSubPr>
          <m:e>
            <m:r>
              <w:rPr>
                <w:rFonts w:ascii="Cambria Math" w:hAnsi="Cambria Math" w:cs="Arial"/>
                <w:sz w:val="22"/>
                <w:szCs w:val="22"/>
                <w:lang w:val="es-AR"/>
              </w:rPr>
              <m:t>μ</m:t>
            </m:r>
          </m:e>
          <m:sub>
            <m:r>
              <w:rPr>
                <w:rFonts w:ascii="Cambria Math" w:hAnsi="Cambria Math" w:cs="Arial"/>
                <w:sz w:val="22"/>
                <w:szCs w:val="22"/>
                <w:lang w:val="es-AR"/>
              </w:rPr>
              <m:t>t</m:t>
            </m:r>
          </m:sub>
        </m:sSub>
      </m:oMath>
      <w:r w:rsidR="00E7382F" w:rsidRPr="006930D9">
        <w:rPr>
          <w:rFonts w:ascii="Arial" w:hAnsi="Arial" w:cs="Arial"/>
          <w:sz w:val="22"/>
          <w:szCs w:val="22"/>
          <w:lang w:val="es-AR"/>
        </w:rPr>
        <w:t xml:space="preserve"> controla por efectos fijos de tiempo,</w:t>
      </w:r>
    </w:p>
    <w:p w14:paraId="43F354A0" w14:textId="77777777" w:rsidR="00E7382F" w:rsidRPr="006930D9" w:rsidRDefault="00E7382F" w:rsidP="006930D9">
      <w:pPr>
        <w:pStyle w:val="ListParagraph"/>
        <w:numPr>
          <w:ilvl w:val="0"/>
          <w:numId w:val="38"/>
        </w:numPr>
        <w:spacing w:before="120" w:after="120"/>
        <w:ind w:left="1134" w:firstLine="0"/>
        <w:jc w:val="both"/>
        <w:textAlignment w:val="top"/>
        <w:rPr>
          <w:rFonts w:ascii="Arial" w:hAnsi="Arial" w:cs="Arial"/>
          <w:iCs/>
          <w:sz w:val="22"/>
          <w:szCs w:val="22"/>
          <w:lang w:val="es-AR"/>
        </w:rPr>
      </w:pPr>
      <w:r w:rsidRPr="006930D9">
        <w:rPr>
          <w:rFonts w:ascii="Arial" w:hAnsi="Arial" w:cs="Arial"/>
          <w:sz w:val="22"/>
          <w:szCs w:val="22"/>
          <w:lang w:val="es-AR"/>
        </w:rPr>
        <w:t xml:space="preserve">T es una variable dicotómica que toma valor 1 si el contribuyente fue asignado al grupo tratamiento y 0 en caso contrario. </w:t>
      </w:r>
    </w:p>
    <w:p w14:paraId="69024A66" w14:textId="77777777" w:rsidR="00E7382F" w:rsidRPr="006930D9" w:rsidRDefault="00E7382F" w:rsidP="006930D9">
      <w:pPr>
        <w:pStyle w:val="ListParagraph"/>
        <w:numPr>
          <w:ilvl w:val="0"/>
          <w:numId w:val="38"/>
        </w:numPr>
        <w:spacing w:before="120" w:after="120"/>
        <w:ind w:left="1134" w:firstLine="0"/>
        <w:jc w:val="both"/>
        <w:textAlignment w:val="top"/>
        <w:rPr>
          <w:rFonts w:ascii="Arial" w:hAnsi="Arial" w:cs="Arial"/>
          <w:iCs/>
          <w:sz w:val="22"/>
          <w:szCs w:val="22"/>
          <w:lang w:val="es-AR"/>
        </w:rPr>
      </w:pPr>
      <m:oMath>
        <m:r>
          <w:rPr>
            <w:rFonts w:ascii="Cambria Math" w:hAnsi="Cambria Math" w:cs="Arial"/>
            <w:sz w:val="22"/>
            <w:szCs w:val="22"/>
            <w:lang w:val="es-AR"/>
          </w:rPr>
          <m:t>ε</m:t>
        </m:r>
      </m:oMath>
      <w:r w:rsidRPr="006930D9">
        <w:rPr>
          <w:rFonts w:ascii="Arial" w:hAnsi="Arial" w:cs="Arial"/>
          <w:iCs/>
          <w:sz w:val="22"/>
          <w:szCs w:val="22"/>
          <w:lang w:val="es-AR"/>
        </w:rPr>
        <w:t xml:space="preserve"> es el término de error. </w:t>
      </w:r>
    </w:p>
    <w:p w14:paraId="568A5B86" w14:textId="0BC2BA36" w:rsidR="00E7382F" w:rsidRPr="001219E9" w:rsidRDefault="00E7382F" w:rsidP="006930D9">
      <w:pPr>
        <w:pStyle w:val="ColorfulList-Accent11"/>
        <w:spacing w:before="120" w:after="120"/>
        <w:ind w:left="1134"/>
        <w:jc w:val="both"/>
        <w:rPr>
          <w:rFonts w:ascii="Times New Roman" w:hAnsi="Times New Roman"/>
          <w:b/>
          <w:lang w:val="es-AR"/>
        </w:rPr>
      </w:pPr>
      <w:r w:rsidRPr="006930D9">
        <w:rPr>
          <w:rFonts w:ascii="Arial" w:hAnsi="Arial" w:cs="Arial"/>
          <w:iCs/>
          <w:lang w:val="es-AR"/>
        </w:rPr>
        <w:t xml:space="preserve">El subíndice </w:t>
      </w:r>
      <w:r w:rsidRPr="006930D9">
        <w:rPr>
          <w:rFonts w:ascii="Arial" w:hAnsi="Arial" w:cs="Arial"/>
          <w:i/>
          <w:iCs/>
          <w:lang w:val="es-AR"/>
        </w:rPr>
        <w:t>t</w:t>
      </w:r>
      <w:r w:rsidRPr="006930D9">
        <w:rPr>
          <w:rFonts w:ascii="Arial" w:hAnsi="Arial" w:cs="Arial"/>
          <w:iCs/>
          <w:lang w:val="es-AR"/>
        </w:rPr>
        <w:t xml:space="preserve"> denota el mes, el subíndice g denota la actividad del contribuyente y el subíndice i denota el contribuyente. Los errores se calculan de manera robusta. La unidad de observación </w:t>
      </w:r>
      <w:r>
        <w:rPr>
          <w:rFonts w:ascii="Arial" w:hAnsi="Arial" w:cs="Arial"/>
          <w:iCs/>
          <w:lang w:val="es-AR"/>
        </w:rPr>
        <w:t xml:space="preserve">será </w:t>
      </w:r>
      <w:r w:rsidRPr="006930D9">
        <w:rPr>
          <w:rFonts w:ascii="Arial" w:hAnsi="Arial" w:cs="Arial"/>
          <w:iCs/>
          <w:lang w:val="es-AR"/>
        </w:rPr>
        <w:t xml:space="preserve">la recaudación/facturación de cada empresa en un mes determinado. Los datos estarán </w:t>
      </w:r>
      <w:proofErr w:type="spellStart"/>
      <w:r w:rsidRPr="006930D9">
        <w:rPr>
          <w:rFonts w:ascii="Arial" w:hAnsi="Arial" w:cs="Arial"/>
          <w:iCs/>
          <w:lang w:val="es-AR"/>
        </w:rPr>
        <w:t>clusterizados</w:t>
      </w:r>
      <w:proofErr w:type="spellEnd"/>
      <w:r w:rsidRPr="006930D9">
        <w:rPr>
          <w:rFonts w:ascii="Arial" w:hAnsi="Arial" w:cs="Arial"/>
          <w:iCs/>
          <w:lang w:val="es-AR"/>
        </w:rPr>
        <w:t xml:space="preserve"> a nivel contribuyente. El impacto se la variable de interés se medirá como la diferencia de promedios entre el grupo de control y el grupo tratado.</w:t>
      </w:r>
      <w:r w:rsidRPr="001219E9">
        <w:rPr>
          <w:rFonts w:ascii="Times New Roman" w:hAnsi="Times New Roman"/>
          <w:lang w:val="es-AR"/>
        </w:rPr>
        <w:t xml:space="preserve"> </w:t>
      </w:r>
    </w:p>
    <w:p w14:paraId="559FF380" w14:textId="57BF8B44" w:rsidR="00E7382F" w:rsidRDefault="004C7119" w:rsidP="006930D9">
      <w:pPr>
        <w:pStyle w:val="Paragraph"/>
        <w:tabs>
          <w:tab w:val="clear" w:pos="2448"/>
        </w:tabs>
        <w:ind w:left="720" w:hanging="756"/>
        <w:rPr>
          <w:rFonts w:ascii="Arial" w:hAnsi="Arial" w:cs="Arial"/>
          <w:sz w:val="22"/>
          <w:szCs w:val="22"/>
        </w:rPr>
      </w:pPr>
      <w:r>
        <w:rPr>
          <w:rFonts w:ascii="Arial" w:hAnsi="Arial" w:cs="Arial"/>
          <w:b/>
          <w:sz w:val="22"/>
          <w:szCs w:val="22"/>
        </w:rPr>
        <w:t>Grupos de tratamiento y control</w:t>
      </w:r>
      <w:r>
        <w:rPr>
          <w:rFonts w:ascii="Arial" w:hAnsi="Arial" w:cs="Arial"/>
          <w:sz w:val="22"/>
          <w:szCs w:val="22"/>
        </w:rPr>
        <w:t xml:space="preserve">. </w:t>
      </w:r>
      <w:r>
        <w:rPr>
          <w:rFonts w:ascii="Arial" w:hAnsi="Arial" w:cs="Arial"/>
          <w:b/>
          <w:sz w:val="22"/>
          <w:szCs w:val="22"/>
        </w:rPr>
        <w:t xml:space="preserve"> </w:t>
      </w:r>
      <w:r w:rsidR="007B703C">
        <w:rPr>
          <w:rFonts w:ascii="Arial" w:hAnsi="Arial" w:cs="Arial"/>
          <w:sz w:val="22"/>
          <w:szCs w:val="22"/>
        </w:rPr>
        <w:t xml:space="preserve">Los </w:t>
      </w:r>
      <w:r w:rsidR="007B703C" w:rsidRPr="006930D9">
        <w:rPr>
          <w:rFonts w:ascii="Arial" w:hAnsi="Arial" w:cs="Arial"/>
          <w:sz w:val="22"/>
          <w:szCs w:val="22"/>
        </w:rPr>
        <w:t xml:space="preserve">grupos de tratamiento y control se definirán por asignación aleatoria. </w:t>
      </w:r>
      <w:r w:rsidR="00610D8E" w:rsidRPr="007B703C">
        <w:rPr>
          <w:rFonts w:ascii="Arial" w:hAnsi="Arial" w:cs="Arial"/>
          <w:sz w:val="22"/>
          <w:szCs w:val="22"/>
        </w:rPr>
        <w:t>El universo para analizar</w:t>
      </w:r>
      <w:r w:rsidR="007B703C" w:rsidRPr="006930D9">
        <w:rPr>
          <w:rFonts w:ascii="Arial" w:hAnsi="Arial" w:cs="Arial"/>
          <w:sz w:val="22"/>
          <w:szCs w:val="22"/>
        </w:rPr>
        <w:t xml:space="preserve"> estará conformado solamente por los contribuyentes medianos. Por construcción, se espera que el promedio de las variables observables e inobservables sea igual en ambos grupos (i.e. diferencias no estadísticamente significativas).</w:t>
      </w:r>
    </w:p>
    <w:p w14:paraId="694ABA0C" w14:textId="241BB381" w:rsidR="00D059E7" w:rsidRPr="006930D9" w:rsidRDefault="00D059E7" w:rsidP="006930D9">
      <w:pPr>
        <w:pStyle w:val="Paragraph"/>
        <w:tabs>
          <w:tab w:val="clear" w:pos="2448"/>
        </w:tabs>
        <w:ind w:left="720" w:hanging="756"/>
        <w:rPr>
          <w:rFonts w:ascii="Arial" w:hAnsi="Arial" w:cs="Arial"/>
          <w:sz w:val="22"/>
          <w:szCs w:val="22"/>
        </w:rPr>
      </w:pPr>
      <w:r>
        <w:rPr>
          <w:rFonts w:ascii="Arial" w:hAnsi="Arial" w:cs="Arial"/>
          <w:b/>
          <w:sz w:val="22"/>
          <w:szCs w:val="22"/>
        </w:rPr>
        <w:t>Cálculos de poder</w:t>
      </w:r>
      <w:r>
        <w:rPr>
          <w:rFonts w:ascii="Arial" w:hAnsi="Arial" w:cs="Arial"/>
          <w:sz w:val="22"/>
          <w:szCs w:val="22"/>
        </w:rPr>
        <w:t xml:space="preserve">. </w:t>
      </w:r>
      <w:r w:rsidR="00382CB6">
        <w:rPr>
          <w:rFonts w:ascii="Arial" w:hAnsi="Arial" w:cs="Arial"/>
          <w:sz w:val="22"/>
          <w:szCs w:val="22"/>
        </w:rPr>
        <w:t xml:space="preserve">Para </w:t>
      </w:r>
      <w:r w:rsidR="00382CB6" w:rsidRPr="006930D9">
        <w:rPr>
          <w:rFonts w:ascii="Arial" w:hAnsi="Arial" w:cs="Arial"/>
          <w:sz w:val="22"/>
          <w:szCs w:val="22"/>
        </w:rPr>
        <w:t>realizar el cálculo de poder, tomamos como referencias el universo de contribuyentes medianos de Paraguay y la proporción de unidades que van a pertenecer al grupo tratamiento (200). Para estos cálculos, asumimos un poder de la prueba de 80 por ciento y niveles de confianza del 95 por ciento</w:t>
      </w:r>
      <w:r w:rsidR="00382CB6" w:rsidRPr="006930D9">
        <w:rPr>
          <w:rStyle w:val="FootnoteReference"/>
          <w:rFonts w:ascii="Arial" w:hAnsi="Arial" w:cs="Arial"/>
          <w:sz w:val="22"/>
          <w:szCs w:val="22"/>
          <w:lang w:val="es-AR"/>
        </w:rPr>
        <w:footnoteReference w:id="31"/>
      </w:r>
      <w:r w:rsidR="00382CB6">
        <w:rPr>
          <w:rFonts w:ascii="Arial" w:hAnsi="Arial" w:cs="Arial"/>
          <w:sz w:val="22"/>
          <w:szCs w:val="22"/>
        </w:rPr>
        <w:t>.</w:t>
      </w:r>
      <w:r w:rsidR="00FA4B77">
        <w:rPr>
          <w:rFonts w:ascii="Arial" w:hAnsi="Arial" w:cs="Arial"/>
          <w:sz w:val="22"/>
          <w:szCs w:val="22"/>
        </w:rPr>
        <w:t xml:space="preserve"> </w:t>
      </w:r>
      <w:r w:rsidR="00FA4B77">
        <w:rPr>
          <w:rFonts w:ascii="Arial" w:hAnsi="Arial" w:cs="Arial"/>
          <w:sz w:val="22"/>
          <w:szCs w:val="22"/>
        </w:rPr>
        <w:lastRenderedPageBreak/>
        <w:t xml:space="preserve">Como </w:t>
      </w:r>
      <w:r w:rsidR="00FA4B77" w:rsidRPr="006930D9">
        <w:rPr>
          <w:rFonts w:ascii="Arial" w:hAnsi="Arial" w:cs="Arial"/>
          <w:sz w:val="22"/>
          <w:szCs w:val="22"/>
        </w:rPr>
        <w:t>se observa en el Gráfico I, para la muestra que se posee el efecto mínimo detectable seria aproximadamente de 0.19 desvíos estándar.</w:t>
      </w:r>
      <w:r w:rsidR="00FA4B77">
        <w:rPr>
          <w:lang w:val="es-AR"/>
        </w:rPr>
        <w:t xml:space="preserve"> </w:t>
      </w:r>
    </w:p>
    <w:p w14:paraId="2A8B0740" w14:textId="6269CB1C" w:rsidR="00FA4B77" w:rsidRPr="006930D9" w:rsidRDefault="00FA4B77" w:rsidP="006930D9">
      <w:pPr>
        <w:pStyle w:val="Paragraph"/>
        <w:numPr>
          <w:ilvl w:val="0"/>
          <w:numId w:val="0"/>
        </w:numPr>
        <w:spacing w:after="0"/>
        <w:ind w:left="720"/>
        <w:jc w:val="center"/>
        <w:rPr>
          <w:rFonts w:ascii="Arial" w:hAnsi="Arial" w:cs="Arial"/>
          <w:b/>
          <w:sz w:val="20"/>
          <w:lang w:val="pt-BR"/>
        </w:rPr>
      </w:pPr>
      <w:r w:rsidRPr="006930D9">
        <w:rPr>
          <w:rFonts w:ascii="Arial" w:hAnsi="Arial" w:cs="Arial"/>
          <w:b/>
          <w:sz w:val="20"/>
          <w:lang w:val="pt-BR"/>
        </w:rPr>
        <w:t xml:space="preserve">Gráfico I – </w:t>
      </w:r>
      <w:proofErr w:type="spellStart"/>
      <w:r w:rsidRPr="006930D9">
        <w:rPr>
          <w:rFonts w:ascii="Arial" w:hAnsi="Arial" w:cs="Arial"/>
          <w:b/>
          <w:sz w:val="20"/>
          <w:lang w:val="pt-BR"/>
        </w:rPr>
        <w:t>Efecto</w:t>
      </w:r>
      <w:proofErr w:type="spellEnd"/>
      <w:r w:rsidRPr="006930D9">
        <w:rPr>
          <w:rFonts w:ascii="Arial" w:hAnsi="Arial" w:cs="Arial"/>
          <w:b/>
          <w:sz w:val="20"/>
          <w:lang w:val="pt-BR"/>
        </w:rPr>
        <w:t xml:space="preserve"> mínimo </w:t>
      </w:r>
      <w:proofErr w:type="spellStart"/>
      <w:r w:rsidRPr="006930D9">
        <w:rPr>
          <w:rFonts w:ascii="Arial" w:hAnsi="Arial" w:cs="Arial"/>
          <w:b/>
          <w:sz w:val="20"/>
          <w:lang w:val="pt-BR"/>
        </w:rPr>
        <w:t>detectable</w:t>
      </w:r>
      <w:proofErr w:type="spellEnd"/>
    </w:p>
    <w:p w14:paraId="019FB07D" w14:textId="7099E830" w:rsidR="00FA4B77" w:rsidRDefault="00FA4B77" w:rsidP="006930D9">
      <w:pPr>
        <w:pStyle w:val="Chapter"/>
        <w:numPr>
          <w:ilvl w:val="0"/>
          <w:numId w:val="0"/>
        </w:numPr>
      </w:pPr>
      <w:r w:rsidRPr="001219E9">
        <w:rPr>
          <w:noProof/>
          <w:lang w:val="en-US"/>
        </w:rPr>
        <w:drawing>
          <wp:inline distT="0" distB="0" distL="0" distR="0" wp14:anchorId="0EAEF843" wp14:editId="7AD58D90">
            <wp:extent cx="3474720" cy="210285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aguay.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484339" cy="2108678"/>
                    </a:xfrm>
                    <a:prstGeom prst="rect">
                      <a:avLst/>
                    </a:prstGeom>
                  </pic:spPr>
                </pic:pic>
              </a:graphicData>
            </a:graphic>
          </wp:inline>
        </w:drawing>
      </w:r>
    </w:p>
    <w:p w14:paraId="5A113C16" w14:textId="77777777" w:rsidR="00FA4B77" w:rsidRPr="00FA4B77" w:rsidRDefault="00FA4B77" w:rsidP="006930D9"/>
    <w:p w14:paraId="490417C6" w14:textId="254957E3" w:rsidR="00CA6EB4" w:rsidRPr="006F27E9" w:rsidRDefault="00CA6EB4" w:rsidP="006930D9">
      <w:pPr>
        <w:pStyle w:val="Paragraph"/>
        <w:tabs>
          <w:tab w:val="clear" w:pos="2448"/>
        </w:tabs>
        <w:ind w:left="720" w:hanging="756"/>
        <w:rPr>
          <w:rFonts w:ascii="Arial" w:hAnsi="Arial" w:cs="Arial"/>
          <w:sz w:val="22"/>
          <w:szCs w:val="22"/>
        </w:rPr>
      </w:pPr>
      <w:r>
        <w:rPr>
          <w:rFonts w:ascii="Arial" w:hAnsi="Arial" w:cs="Arial"/>
          <w:b/>
          <w:sz w:val="22"/>
          <w:szCs w:val="22"/>
        </w:rPr>
        <w:t>Recolección de datos</w:t>
      </w:r>
      <w:r>
        <w:rPr>
          <w:rFonts w:ascii="Arial" w:hAnsi="Arial" w:cs="Arial"/>
          <w:sz w:val="22"/>
          <w:szCs w:val="22"/>
        </w:rPr>
        <w:t xml:space="preserve">. </w:t>
      </w:r>
      <w:r w:rsidR="00CA5A81">
        <w:rPr>
          <w:rFonts w:ascii="Arial" w:hAnsi="Arial" w:cs="Arial"/>
          <w:sz w:val="22"/>
          <w:szCs w:val="22"/>
        </w:rPr>
        <w:t xml:space="preserve">Los datos para la evaluación se obtendrán de la SET de Paraguay. </w:t>
      </w:r>
      <w:r w:rsidR="00DF788F">
        <w:rPr>
          <w:rFonts w:ascii="Arial" w:hAnsi="Arial" w:cs="Arial"/>
          <w:sz w:val="22"/>
          <w:szCs w:val="22"/>
        </w:rPr>
        <w:t>Es importante destacar la expresa colaboración de la SET para efectuar un experimento controlado en la fase masiva de implementación de la FE. En tal caso, se han identificado a las declaraciones de IVA (control de omisos), ingresos (ventas gravadas y exentas de IVA) así como el saldo neto de IVA (saldo de créditos y débitos) como los agregados claves</w:t>
      </w:r>
      <w:r w:rsidRPr="006F27E9">
        <w:rPr>
          <w:rFonts w:ascii="Arial" w:hAnsi="Arial" w:cs="Arial"/>
          <w:sz w:val="22"/>
          <w:szCs w:val="22"/>
        </w:rPr>
        <w:t>.</w:t>
      </w:r>
      <w:r>
        <w:rPr>
          <w:lang w:val="es-AR"/>
        </w:rPr>
        <w:t xml:space="preserve"> </w:t>
      </w:r>
    </w:p>
    <w:p w14:paraId="51985AA4" w14:textId="77777777" w:rsidR="00155EEA" w:rsidRDefault="00C2392C" w:rsidP="006930D9">
      <w:pPr>
        <w:pStyle w:val="FirstHeading"/>
        <w:rPr>
          <w:rFonts w:ascii="Arial" w:hAnsi="Arial" w:cs="Arial"/>
          <w:noProof/>
          <w:sz w:val="22"/>
          <w:szCs w:val="22"/>
        </w:rPr>
      </w:pPr>
      <w:r>
        <w:rPr>
          <w:rFonts w:ascii="Arial" w:hAnsi="Arial" w:cs="Arial"/>
          <w:sz w:val="22"/>
          <w:szCs w:val="22"/>
        </w:rPr>
        <w:t>E.</w:t>
      </w:r>
      <w:r>
        <w:rPr>
          <w:rFonts w:ascii="Arial" w:hAnsi="Arial" w:cs="Arial"/>
          <w:sz w:val="22"/>
          <w:szCs w:val="22"/>
        </w:rPr>
        <w:tab/>
      </w:r>
      <w:r>
        <w:rPr>
          <w:rFonts w:ascii="Arial" w:hAnsi="Arial" w:cs="Arial"/>
          <w:sz w:val="22"/>
          <w:szCs w:val="22"/>
        </w:rPr>
        <w:t>Coordinación, Plan de Trabajo y Presupuesto de la Evaluación</w:t>
      </w:r>
    </w:p>
    <w:p w14:paraId="5FA1D34D" w14:textId="1C987BFC" w:rsidR="004A5794" w:rsidRPr="006F27E9" w:rsidRDefault="004A5794" w:rsidP="006930D9">
      <w:pPr>
        <w:pStyle w:val="Paragraph"/>
        <w:tabs>
          <w:tab w:val="clear" w:pos="2448"/>
        </w:tabs>
        <w:ind w:left="720" w:hanging="756"/>
        <w:rPr>
          <w:rFonts w:ascii="Arial" w:hAnsi="Arial" w:cs="Arial"/>
          <w:sz w:val="22"/>
          <w:szCs w:val="22"/>
        </w:rPr>
      </w:pPr>
      <w:r>
        <w:rPr>
          <w:rFonts w:ascii="Arial" w:hAnsi="Arial" w:cs="Arial"/>
          <w:b/>
          <w:sz w:val="22"/>
          <w:szCs w:val="22"/>
        </w:rPr>
        <w:t>Recolección de datos</w:t>
      </w:r>
      <w:r>
        <w:rPr>
          <w:rFonts w:ascii="Arial" w:hAnsi="Arial" w:cs="Arial"/>
          <w:sz w:val="22"/>
          <w:szCs w:val="22"/>
        </w:rPr>
        <w:t xml:space="preserve">. El plan de evaluación será ejecutado por el BID en estrecha coordinación con el equipo de la SET. Los plazos y el presupuesto asignado a cada una de las evaluaciones de impacto y su fuente de financiamiento se detallan en el Cuadro </w:t>
      </w:r>
      <w:r w:rsidR="00B468BD">
        <w:rPr>
          <w:rFonts w:ascii="Arial" w:hAnsi="Arial" w:cs="Arial"/>
          <w:sz w:val="22"/>
          <w:szCs w:val="22"/>
        </w:rPr>
        <w:t>5.</w:t>
      </w:r>
    </w:p>
    <w:p w14:paraId="369261F1" w14:textId="3AD87D03" w:rsidR="00155EEA" w:rsidRPr="006930D9" w:rsidRDefault="00C2392C" w:rsidP="006930D9">
      <w:pPr>
        <w:spacing w:before="120" w:after="120"/>
        <w:jc w:val="center"/>
        <w:rPr>
          <w:rFonts w:ascii="Arial" w:hAnsi="Arial" w:cs="Arial"/>
          <w:b/>
          <w:sz w:val="20"/>
          <w:lang w:val="es-ES"/>
        </w:rPr>
      </w:pPr>
      <w:r w:rsidRPr="006930D9">
        <w:rPr>
          <w:rFonts w:ascii="Arial" w:hAnsi="Arial" w:cs="Arial"/>
          <w:b/>
          <w:sz w:val="20"/>
          <w:lang w:val="es-ES"/>
        </w:rPr>
        <w:t xml:space="preserve">Cuadro </w:t>
      </w:r>
      <w:r w:rsidR="001F5135" w:rsidRPr="006930D9">
        <w:rPr>
          <w:rFonts w:ascii="Arial" w:hAnsi="Arial" w:cs="Arial"/>
          <w:b/>
          <w:sz w:val="20"/>
          <w:lang w:val="es-ES"/>
        </w:rPr>
        <w:t>5</w:t>
      </w:r>
      <w:r w:rsidRPr="006930D9">
        <w:rPr>
          <w:rFonts w:ascii="Arial" w:hAnsi="Arial" w:cs="Arial"/>
          <w:b/>
          <w:sz w:val="20"/>
          <w:lang w:val="es-ES"/>
        </w:rPr>
        <w:t xml:space="preserve">: </w:t>
      </w:r>
      <w:r w:rsidRPr="006930D9">
        <w:rPr>
          <w:rFonts w:ascii="Arial" w:hAnsi="Arial" w:cs="Arial"/>
          <w:b/>
          <w:bCs/>
          <w:color w:val="000000"/>
          <w:sz w:val="20"/>
          <w:lang w:val="es-ES"/>
        </w:rPr>
        <w:t>Principales actividades de evaluación</w:t>
      </w:r>
    </w:p>
    <w:tbl>
      <w:tblPr>
        <w:tblW w:w="8464" w:type="dxa"/>
        <w:jc w:val="center"/>
        <w:tblLayout w:type="fixed"/>
        <w:tblLook w:val="04A0" w:firstRow="1" w:lastRow="0" w:firstColumn="1" w:lastColumn="0" w:noHBand="0" w:noVBand="1"/>
      </w:tblPr>
      <w:tblGrid>
        <w:gridCol w:w="1970"/>
        <w:gridCol w:w="720"/>
        <w:gridCol w:w="810"/>
        <w:gridCol w:w="720"/>
        <w:gridCol w:w="1530"/>
        <w:gridCol w:w="900"/>
        <w:gridCol w:w="1814"/>
      </w:tblGrid>
      <w:tr w:rsidR="00C81ACB" w14:paraId="1E586907" w14:textId="77777777" w:rsidTr="006930D9">
        <w:trPr>
          <w:trHeight w:val="980"/>
          <w:tblHeader/>
          <w:jc w:val="center"/>
        </w:trPr>
        <w:tc>
          <w:tcPr>
            <w:tcW w:w="197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28C4269B" w14:textId="77777777" w:rsidR="00C81ACB" w:rsidRDefault="00C81ACB">
            <w:pPr>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720" w:type="dxa"/>
            <w:tcBorders>
              <w:top w:val="single" w:sz="8" w:space="0" w:color="000000"/>
              <w:left w:val="nil"/>
              <w:bottom w:val="single" w:sz="8" w:space="0" w:color="000000"/>
              <w:right w:val="single" w:sz="8" w:space="0" w:color="000000"/>
            </w:tcBorders>
            <w:shd w:val="clear" w:color="000000" w:fill="8DB3E2"/>
            <w:vAlign w:val="center"/>
            <w:hideMark/>
          </w:tcPr>
          <w:p w14:paraId="0809C9CD" w14:textId="77777777" w:rsidR="00C81ACB" w:rsidRDefault="00C81ACB">
            <w:pPr>
              <w:jc w:val="center"/>
              <w:rPr>
                <w:rFonts w:ascii="Arial" w:hAnsi="Arial" w:cs="Arial"/>
                <w:b/>
                <w:bCs/>
                <w:color w:val="000000"/>
                <w:sz w:val="20"/>
                <w:lang w:val="en-US"/>
              </w:rPr>
            </w:pPr>
            <w:r>
              <w:rPr>
                <w:rFonts w:ascii="Arial" w:hAnsi="Arial" w:cs="Arial"/>
                <w:b/>
                <w:bCs/>
                <w:color w:val="000000"/>
                <w:sz w:val="20"/>
                <w:lang w:val="es-ES"/>
              </w:rPr>
              <w:t>2018</w:t>
            </w:r>
          </w:p>
        </w:tc>
        <w:tc>
          <w:tcPr>
            <w:tcW w:w="81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347C8472" w14:textId="77777777" w:rsidR="00C81ACB" w:rsidRDefault="00C81ACB">
            <w:pPr>
              <w:jc w:val="center"/>
              <w:rPr>
                <w:rFonts w:ascii="Arial" w:hAnsi="Arial" w:cs="Arial"/>
                <w:b/>
                <w:bCs/>
                <w:color w:val="000000"/>
                <w:sz w:val="20"/>
                <w:lang w:val="es-ES"/>
              </w:rPr>
            </w:pPr>
            <w:r>
              <w:rPr>
                <w:rFonts w:ascii="Arial" w:hAnsi="Arial" w:cs="Arial"/>
                <w:b/>
                <w:bCs/>
                <w:color w:val="000000"/>
                <w:sz w:val="20"/>
                <w:lang w:val="es-ES"/>
              </w:rPr>
              <w:t>2019</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27F1CECD" w14:textId="77777777" w:rsidR="00C81ACB" w:rsidRDefault="00C81ACB">
            <w:pPr>
              <w:jc w:val="center"/>
              <w:rPr>
                <w:rFonts w:ascii="Arial" w:hAnsi="Arial" w:cs="Arial"/>
                <w:b/>
                <w:bCs/>
                <w:color w:val="000000"/>
                <w:sz w:val="20"/>
                <w:lang w:val="es-ES"/>
              </w:rPr>
            </w:pPr>
            <w:r>
              <w:rPr>
                <w:rFonts w:ascii="Arial" w:hAnsi="Arial" w:cs="Arial"/>
                <w:b/>
                <w:bCs/>
                <w:color w:val="000000"/>
                <w:sz w:val="20"/>
                <w:lang w:val="es-ES"/>
              </w:rPr>
              <w:t>2020</w:t>
            </w:r>
          </w:p>
        </w:tc>
        <w:tc>
          <w:tcPr>
            <w:tcW w:w="153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02974998" w14:textId="1E40AA05" w:rsidR="00C81ACB" w:rsidRDefault="00C81ACB">
            <w:pPr>
              <w:jc w:val="center"/>
              <w:rPr>
                <w:rFonts w:ascii="Arial" w:hAnsi="Arial" w:cs="Arial"/>
                <w:b/>
                <w:bCs/>
                <w:color w:val="000000"/>
                <w:sz w:val="20"/>
                <w:lang w:val="en-US"/>
              </w:rPr>
            </w:pPr>
            <w:r>
              <w:rPr>
                <w:rFonts w:ascii="Arial" w:hAnsi="Arial" w:cs="Arial"/>
                <w:b/>
                <w:bCs/>
                <w:color w:val="000000"/>
                <w:sz w:val="20"/>
                <w:lang w:val="es-ES"/>
              </w:rPr>
              <w:t>Responsable</w:t>
            </w:r>
          </w:p>
        </w:tc>
        <w:tc>
          <w:tcPr>
            <w:tcW w:w="900" w:type="dxa"/>
            <w:tcBorders>
              <w:top w:val="single" w:sz="8" w:space="0" w:color="000000"/>
              <w:left w:val="nil"/>
              <w:bottom w:val="single" w:sz="8" w:space="0" w:color="000000"/>
              <w:right w:val="single" w:sz="8" w:space="0" w:color="000000"/>
            </w:tcBorders>
            <w:shd w:val="clear" w:color="000000" w:fill="8DB3E2"/>
            <w:vAlign w:val="center"/>
            <w:hideMark/>
          </w:tcPr>
          <w:p w14:paraId="677AA797" w14:textId="77777777" w:rsidR="00C81ACB" w:rsidRDefault="00C81ACB">
            <w:pPr>
              <w:jc w:val="center"/>
              <w:rPr>
                <w:rFonts w:ascii="Arial" w:hAnsi="Arial" w:cs="Arial"/>
                <w:b/>
                <w:bCs/>
                <w:color w:val="000000"/>
                <w:sz w:val="20"/>
                <w:lang w:val="en-US"/>
              </w:rPr>
            </w:pPr>
            <w:r>
              <w:rPr>
                <w:rFonts w:ascii="Arial" w:hAnsi="Arial" w:cs="Arial"/>
                <w:b/>
                <w:bCs/>
                <w:color w:val="000000"/>
                <w:sz w:val="20"/>
                <w:lang w:val="es-ES"/>
              </w:rPr>
              <w:t>Costo</w:t>
            </w:r>
          </w:p>
          <w:p w14:paraId="00EF0BC3" w14:textId="677C36ED" w:rsidR="00C81ACB" w:rsidRDefault="00C81ACB" w:rsidP="000E0C74">
            <w:pPr>
              <w:jc w:val="center"/>
              <w:rPr>
                <w:rFonts w:ascii="Arial" w:hAnsi="Arial" w:cs="Arial"/>
                <w:b/>
                <w:bCs/>
                <w:color w:val="000000"/>
                <w:sz w:val="20"/>
                <w:lang w:val="en-US"/>
              </w:rPr>
            </w:pPr>
            <w:r>
              <w:rPr>
                <w:rFonts w:ascii="Arial" w:hAnsi="Arial" w:cs="Arial"/>
                <w:b/>
                <w:bCs/>
                <w:color w:val="000000"/>
                <w:sz w:val="20"/>
                <w:lang w:val="es-ES"/>
              </w:rPr>
              <w:t>US$</w:t>
            </w:r>
          </w:p>
        </w:tc>
        <w:tc>
          <w:tcPr>
            <w:tcW w:w="1814"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6DA2EC84" w14:textId="31C731B2" w:rsidR="00C81ACB" w:rsidRDefault="00C81ACB">
            <w:pPr>
              <w:jc w:val="center"/>
              <w:rPr>
                <w:rFonts w:ascii="Arial" w:hAnsi="Arial" w:cs="Arial"/>
                <w:b/>
                <w:bCs/>
                <w:color w:val="000000"/>
                <w:sz w:val="20"/>
                <w:lang w:val="en-US"/>
              </w:rPr>
            </w:pPr>
            <w:r>
              <w:rPr>
                <w:rFonts w:ascii="Arial" w:hAnsi="Arial" w:cs="Arial"/>
                <w:b/>
                <w:bCs/>
                <w:color w:val="000000"/>
                <w:sz w:val="20"/>
                <w:lang w:val="es-ES"/>
              </w:rPr>
              <w:t>Financiamiento</w:t>
            </w:r>
          </w:p>
        </w:tc>
      </w:tr>
      <w:tr w:rsidR="00C81ACB" w14:paraId="31A272D3" w14:textId="77777777" w:rsidTr="006930D9">
        <w:trPr>
          <w:trHeight w:val="525"/>
          <w:jc w:val="center"/>
        </w:trPr>
        <w:tc>
          <w:tcPr>
            <w:tcW w:w="197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6C93C14" w14:textId="77777777" w:rsidR="00155EEA" w:rsidRDefault="00C2392C">
            <w:pPr>
              <w:rPr>
                <w:rFonts w:ascii="Arial" w:hAnsi="Arial" w:cs="Arial"/>
                <w:color w:val="000000"/>
                <w:sz w:val="20"/>
                <w:lang w:val="es-ES"/>
              </w:rPr>
            </w:pPr>
            <w:r>
              <w:rPr>
                <w:rFonts w:ascii="Arial" w:hAnsi="Arial" w:cs="Arial"/>
                <w:color w:val="000000"/>
                <w:sz w:val="20"/>
                <w:lang w:val="es-ES"/>
              </w:rPr>
              <w:t xml:space="preserve">Evaluación ex post del Programa </w:t>
            </w:r>
          </w:p>
        </w:tc>
        <w:tc>
          <w:tcPr>
            <w:tcW w:w="7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12BA8A" w14:textId="77777777" w:rsidR="00155EEA" w:rsidRDefault="00155EEA">
            <w:pPr>
              <w:jc w:val="right"/>
              <w:rPr>
                <w:rFonts w:ascii="Arial" w:hAnsi="Arial" w:cs="Arial"/>
                <w:color w:val="000000"/>
                <w:sz w:val="20"/>
                <w:lang w:val="es-ES"/>
              </w:rPr>
            </w:pPr>
          </w:p>
        </w:tc>
        <w:tc>
          <w:tcPr>
            <w:tcW w:w="810" w:type="dxa"/>
            <w:tcBorders>
              <w:top w:val="single" w:sz="8" w:space="0" w:color="000000"/>
              <w:left w:val="single" w:sz="8" w:space="0" w:color="000000"/>
              <w:bottom w:val="single" w:sz="8" w:space="0" w:color="000000"/>
              <w:right w:val="single" w:sz="8" w:space="0" w:color="000000"/>
            </w:tcBorders>
          </w:tcPr>
          <w:p w14:paraId="468AE97E" w14:textId="77777777" w:rsidR="00155EEA" w:rsidRDefault="00155EEA">
            <w:pPr>
              <w:jc w:val="cente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5A2C6ACD" w14:textId="77777777" w:rsidR="00155EEA" w:rsidRDefault="00C2392C" w:rsidP="006930D9">
            <w:pPr>
              <w:ind w:left="-648" w:right="256"/>
              <w:jc w:val="right"/>
              <w:rPr>
                <w:rFonts w:ascii="Arial" w:hAnsi="Arial" w:cs="Arial"/>
                <w:color w:val="000000"/>
                <w:sz w:val="20"/>
                <w:lang w:val="es-ES"/>
              </w:rPr>
            </w:pPr>
            <w:r>
              <w:rPr>
                <w:rFonts w:ascii="Arial" w:hAnsi="Arial" w:cs="Arial"/>
                <w:color w:val="000000"/>
                <w:sz w:val="20"/>
                <w:lang w:val="es-ES"/>
              </w:rPr>
              <w:t>1</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50A3294" w14:textId="77777777" w:rsidR="00155EEA" w:rsidRDefault="00C2392C">
            <w:pPr>
              <w:jc w:val="center"/>
              <w:rPr>
                <w:rFonts w:ascii="Arial" w:hAnsi="Arial" w:cs="Arial"/>
                <w:color w:val="000000"/>
                <w:sz w:val="20"/>
                <w:lang w:val="en-US"/>
              </w:rPr>
            </w:pPr>
            <w:r>
              <w:rPr>
                <w:rFonts w:ascii="Arial" w:hAnsi="Arial" w:cs="Arial"/>
                <w:color w:val="000000"/>
                <w:sz w:val="20"/>
                <w:lang w:val="es-ES"/>
              </w:rPr>
              <w:t>BID</w:t>
            </w:r>
          </w:p>
        </w:tc>
        <w:tc>
          <w:tcPr>
            <w:tcW w:w="900" w:type="dxa"/>
            <w:tcBorders>
              <w:top w:val="single" w:sz="8" w:space="0" w:color="000000"/>
              <w:left w:val="nil"/>
              <w:bottom w:val="single" w:sz="8" w:space="0" w:color="000000"/>
              <w:right w:val="single" w:sz="8" w:space="0" w:color="000000"/>
            </w:tcBorders>
            <w:shd w:val="clear" w:color="auto" w:fill="auto"/>
            <w:vAlign w:val="center"/>
            <w:hideMark/>
          </w:tcPr>
          <w:p w14:paraId="23435E7D" w14:textId="41CA5620" w:rsidR="00155EEA" w:rsidRDefault="00C2392C" w:rsidP="006930D9">
            <w:pPr>
              <w:ind w:left="-291" w:right="73"/>
              <w:jc w:val="right"/>
              <w:rPr>
                <w:rFonts w:ascii="Arial" w:hAnsi="Arial" w:cs="Arial"/>
                <w:color w:val="000000"/>
                <w:sz w:val="20"/>
                <w:lang w:val="en-US"/>
              </w:rPr>
            </w:pPr>
            <w:r>
              <w:rPr>
                <w:rFonts w:ascii="Arial" w:hAnsi="Arial" w:cs="Arial"/>
                <w:color w:val="000000"/>
                <w:sz w:val="20"/>
                <w:lang w:val="en-US"/>
              </w:rPr>
              <w:t>10</w:t>
            </w:r>
            <w:r w:rsidR="00C81ACB">
              <w:rPr>
                <w:rFonts w:ascii="Arial" w:hAnsi="Arial" w:cs="Arial"/>
                <w:color w:val="000000"/>
                <w:sz w:val="20"/>
                <w:lang w:val="en-US"/>
              </w:rPr>
              <w:t>.</w:t>
            </w:r>
            <w:r>
              <w:rPr>
                <w:rFonts w:ascii="Arial" w:hAnsi="Arial" w:cs="Arial"/>
                <w:color w:val="000000"/>
                <w:sz w:val="20"/>
                <w:lang w:val="en-US"/>
              </w:rPr>
              <w:t>000</w:t>
            </w:r>
          </w:p>
        </w:tc>
        <w:tc>
          <w:tcPr>
            <w:tcW w:w="1814" w:type="dxa"/>
            <w:tcBorders>
              <w:top w:val="single" w:sz="8" w:space="0" w:color="000000"/>
              <w:left w:val="nil"/>
              <w:bottom w:val="single" w:sz="8" w:space="0" w:color="000000"/>
              <w:right w:val="single" w:sz="8" w:space="0" w:color="000000"/>
            </w:tcBorders>
            <w:shd w:val="clear" w:color="auto" w:fill="auto"/>
            <w:vAlign w:val="center"/>
            <w:hideMark/>
          </w:tcPr>
          <w:p w14:paraId="6A8CABA9" w14:textId="77777777" w:rsidR="00155EEA" w:rsidRDefault="00C2392C">
            <w:pPr>
              <w:jc w:val="center"/>
              <w:rPr>
                <w:rFonts w:ascii="Arial" w:hAnsi="Arial" w:cs="Arial"/>
                <w:color w:val="000000"/>
                <w:sz w:val="20"/>
                <w:lang w:val="en-US"/>
              </w:rPr>
            </w:pPr>
            <w:r>
              <w:rPr>
                <w:rFonts w:ascii="Arial" w:hAnsi="Arial" w:cs="Arial"/>
                <w:color w:val="000000"/>
                <w:sz w:val="20"/>
                <w:lang w:val="en-US"/>
              </w:rPr>
              <w:t>BID</w:t>
            </w:r>
          </w:p>
        </w:tc>
      </w:tr>
      <w:tr w:rsidR="00C81ACB" w14:paraId="5D2DA00A" w14:textId="77777777" w:rsidTr="006930D9">
        <w:trPr>
          <w:trHeight w:val="525"/>
          <w:jc w:val="center"/>
        </w:trPr>
        <w:tc>
          <w:tcPr>
            <w:tcW w:w="1970" w:type="dxa"/>
            <w:tcBorders>
              <w:top w:val="nil"/>
              <w:left w:val="single" w:sz="8" w:space="0" w:color="000000"/>
              <w:bottom w:val="single" w:sz="8" w:space="0" w:color="000000"/>
              <w:right w:val="single" w:sz="8" w:space="0" w:color="000000"/>
            </w:tcBorders>
            <w:shd w:val="clear" w:color="auto" w:fill="auto"/>
            <w:vAlign w:val="center"/>
            <w:hideMark/>
          </w:tcPr>
          <w:p w14:paraId="401BC8DE" w14:textId="4335D455" w:rsidR="00155EEA" w:rsidRDefault="00C2392C">
            <w:pPr>
              <w:rPr>
                <w:rFonts w:ascii="Arial" w:hAnsi="Arial" w:cs="Arial"/>
                <w:color w:val="000000"/>
                <w:sz w:val="20"/>
                <w:lang w:val="es-ES"/>
              </w:rPr>
            </w:pPr>
            <w:r>
              <w:rPr>
                <w:rFonts w:ascii="Arial" w:hAnsi="Arial" w:cs="Arial"/>
                <w:color w:val="000000"/>
                <w:sz w:val="20"/>
                <w:lang w:val="es-ES"/>
              </w:rPr>
              <w:t xml:space="preserve">Evaluaciones de medida específica del Programa </w:t>
            </w:r>
          </w:p>
        </w:tc>
        <w:tc>
          <w:tcPr>
            <w:tcW w:w="720" w:type="dxa"/>
            <w:tcBorders>
              <w:top w:val="nil"/>
              <w:left w:val="single" w:sz="8" w:space="0" w:color="000000"/>
              <w:bottom w:val="single" w:sz="8" w:space="0" w:color="000000"/>
              <w:right w:val="single" w:sz="8" w:space="0" w:color="000000"/>
            </w:tcBorders>
            <w:shd w:val="clear" w:color="auto" w:fill="auto"/>
            <w:vAlign w:val="center"/>
          </w:tcPr>
          <w:p w14:paraId="04F5B9AE" w14:textId="77777777" w:rsidR="00155EEA" w:rsidRDefault="00155EEA">
            <w:pPr>
              <w:jc w:val="right"/>
              <w:rPr>
                <w:rFonts w:ascii="Arial" w:hAnsi="Arial" w:cs="Arial"/>
                <w:color w:val="000000"/>
                <w:sz w:val="20"/>
                <w:lang w:val="es-ES"/>
              </w:rPr>
            </w:pPr>
          </w:p>
        </w:tc>
        <w:tc>
          <w:tcPr>
            <w:tcW w:w="810" w:type="dxa"/>
            <w:tcBorders>
              <w:top w:val="nil"/>
              <w:left w:val="single" w:sz="8" w:space="0" w:color="000000"/>
              <w:bottom w:val="single" w:sz="8" w:space="0" w:color="000000"/>
              <w:right w:val="single" w:sz="8" w:space="0" w:color="000000"/>
            </w:tcBorders>
          </w:tcPr>
          <w:p w14:paraId="61E0F132" w14:textId="77777777" w:rsidR="00155EEA" w:rsidRDefault="00155EEA">
            <w:pPr>
              <w:jc w:val="center"/>
              <w:rPr>
                <w:rFonts w:ascii="Arial" w:hAnsi="Arial" w:cs="Arial"/>
                <w:color w:val="000000"/>
                <w:sz w:val="20"/>
                <w:lang w:val="es-ES"/>
              </w:rPr>
            </w:pPr>
          </w:p>
        </w:tc>
        <w:tc>
          <w:tcPr>
            <w:tcW w:w="720" w:type="dxa"/>
            <w:tcBorders>
              <w:top w:val="nil"/>
              <w:left w:val="single" w:sz="8" w:space="0" w:color="000000"/>
              <w:bottom w:val="single" w:sz="8" w:space="0" w:color="000000"/>
              <w:right w:val="single" w:sz="8" w:space="0" w:color="000000"/>
            </w:tcBorders>
            <w:vAlign w:val="center"/>
          </w:tcPr>
          <w:p w14:paraId="0D91F2B8" w14:textId="031F9C38" w:rsidR="00155EEA" w:rsidRDefault="00A92F12" w:rsidP="006930D9">
            <w:pPr>
              <w:ind w:left="-648" w:right="256"/>
              <w:jc w:val="right"/>
              <w:rPr>
                <w:rFonts w:ascii="Arial" w:hAnsi="Arial" w:cs="Arial"/>
                <w:color w:val="000000"/>
                <w:sz w:val="20"/>
                <w:lang w:val="es-ES"/>
              </w:rPr>
            </w:pPr>
            <w:r>
              <w:rPr>
                <w:rFonts w:ascii="Arial" w:hAnsi="Arial" w:cs="Arial"/>
                <w:color w:val="000000"/>
                <w:sz w:val="20"/>
                <w:lang w:val="es-ES"/>
              </w:rPr>
              <w:t>1</w:t>
            </w:r>
          </w:p>
        </w:tc>
        <w:tc>
          <w:tcPr>
            <w:tcW w:w="1530" w:type="dxa"/>
            <w:tcBorders>
              <w:top w:val="nil"/>
              <w:left w:val="single" w:sz="8" w:space="0" w:color="000000"/>
              <w:bottom w:val="single" w:sz="8" w:space="0" w:color="000000"/>
              <w:right w:val="single" w:sz="8" w:space="0" w:color="000000"/>
            </w:tcBorders>
            <w:shd w:val="clear" w:color="auto" w:fill="auto"/>
            <w:vAlign w:val="center"/>
            <w:hideMark/>
          </w:tcPr>
          <w:p w14:paraId="3319315F" w14:textId="77777777" w:rsidR="00155EEA" w:rsidRDefault="00C2392C">
            <w:pPr>
              <w:jc w:val="center"/>
              <w:rPr>
                <w:rFonts w:ascii="Arial" w:hAnsi="Arial" w:cs="Arial"/>
                <w:color w:val="000000"/>
                <w:sz w:val="20"/>
                <w:lang w:val="en-US"/>
              </w:rPr>
            </w:pPr>
            <w:r>
              <w:rPr>
                <w:rFonts w:ascii="Arial" w:hAnsi="Arial" w:cs="Arial"/>
                <w:color w:val="000000"/>
                <w:sz w:val="20"/>
                <w:lang w:val="es-ES"/>
              </w:rPr>
              <w:t>BID</w:t>
            </w:r>
          </w:p>
        </w:tc>
        <w:tc>
          <w:tcPr>
            <w:tcW w:w="900" w:type="dxa"/>
            <w:tcBorders>
              <w:top w:val="nil"/>
              <w:left w:val="nil"/>
              <w:bottom w:val="single" w:sz="8" w:space="0" w:color="000000"/>
              <w:right w:val="single" w:sz="8" w:space="0" w:color="000000"/>
            </w:tcBorders>
            <w:shd w:val="clear" w:color="auto" w:fill="auto"/>
            <w:vAlign w:val="center"/>
            <w:hideMark/>
          </w:tcPr>
          <w:p w14:paraId="6887C9A6" w14:textId="6EB8D3ED" w:rsidR="00155EEA" w:rsidRDefault="00C2392C" w:rsidP="006930D9">
            <w:pPr>
              <w:ind w:left="-291" w:right="73"/>
              <w:jc w:val="right"/>
              <w:rPr>
                <w:rFonts w:ascii="Arial" w:hAnsi="Arial" w:cs="Arial"/>
                <w:color w:val="000000"/>
                <w:sz w:val="20"/>
                <w:lang w:val="en-US"/>
              </w:rPr>
            </w:pPr>
            <w:r>
              <w:rPr>
                <w:rFonts w:ascii="Arial" w:hAnsi="Arial" w:cs="Arial"/>
                <w:color w:val="000000"/>
                <w:sz w:val="20"/>
                <w:lang w:val="en-US"/>
              </w:rPr>
              <w:t>30</w:t>
            </w:r>
            <w:r w:rsidR="00C81ACB">
              <w:rPr>
                <w:rFonts w:ascii="Arial" w:hAnsi="Arial" w:cs="Arial"/>
                <w:color w:val="000000"/>
                <w:sz w:val="20"/>
                <w:lang w:val="en-US"/>
              </w:rPr>
              <w:t>.</w:t>
            </w:r>
            <w:r>
              <w:rPr>
                <w:rFonts w:ascii="Arial" w:hAnsi="Arial" w:cs="Arial"/>
                <w:color w:val="000000"/>
                <w:sz w:val="20"/>
                <w:lang w:val="en-US"/>
              </w:rPr>
              <w:t>000</w:t>
            </w:r>
          </w:p>
        </w:tc>
        <w:tc>
          <w:tcPr>
            <w:tcW w:w="1814" w:type="dxa"/>
            <w:tcBorders>
              <w:top w:val="nil"/>
              <w:left w:val="nil"/>
              <w:bottom w:val="single" w:sz="8" w:space="0" w:color="000000"/>
              <w:right w:val="single" w:sz="8" w:space="0" w:color="000000"/>
            </w:tcBorders>
            <w:shd w:val="clear" w:color="auto" w:fill="auto"/>
            <w:vAlign w:val="center"/>
            <w:hideMark/>
          </w:tcPr>
          <w:p w14:paraId="3C4FD1BA" w14:textId="77777777" w:rsidR="00155EEA" w:rsidRDefault="00C2392C">
            <w:pPr>
              <w:jc w:val="center"/>
              <w:rPr>
                <w:rFonts w:ascii="Arial" w:hAnsi="Arial" w:cs="Arial"/>
                <w:color w:val="000000"/>
                <w:sz w:val="20"/>
                <w:lang w:val="en-US"/>
              </w:rPr>
            </w:pPr>
            <w:r>
              <w:rPr>
                <w:rFonts w:ascii="Arial" w:hAnsi="Arial" w:cs="Arial"/>
                <w:color w:val="000000"/>
                <w:sz w:val="20"/>
                <w:lang w:val="en-US"/>
              </w:rPr>
              <w:t>BID</w:t>
            </w:r>
          </w:p>
        </w:tc>
      </w:tr>
      <w:tr w:rsidR="00C81ACB" w14:paraId="06D1B7A6" w14:textId="77777777" w:rsidTr="006930D9">
        <w:trPr>
          <w:trHeight w:val="525"/>
          <w:jc w:val="center"/>
        </w:trPr>
        <w:tc>
          <w:tcPr>
            <w:tcW w:w="19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6186CF" w14:textId="77777777" w:rsidR="00155EEA" w:rsidRDefault="00C2392C">
            <w:pPr>
              <w:rPr>
                <w:rFonts w:ascii="Arial" w:hAnsi="Arial" w:cs="Arial"/>
                <w:b/>
                <w:color w:val="000000"/>
                <w:sz w:val="20"/>
                <w:lang w:val="es-ES"/>
              </w:rPr>
            </w:pPr>
            <w:r>
              <w:rPr>
                <w:rFonts w:ascii="Arial" w:hAnsi="Arial" w:cs="Arial"/>
                <w:b/>
                <w:color w:val="000000"/>
                <w:sz w:val="20"/>
                <w:lang w:val="es-ES"/>
              </w:rPr>
              <w:t>Total</w:t>
            </w:r>
          </w:p>
        </w:tc>
        <w:tc>
          <w:tcPr>
            <w:tcW w:w="7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7D919C" w14:textId="77777777" w:rsidR="00155EEA" w:rsidRDefault="00155EEA">
            <w:pPr>
              <w:jc w:val="right"/>
              <w:rPr>
                <w:rFonts w:ascii="Arial" w:hAnsi="Arial" w:cs="Arial"/>
                <w:b/>
                <w:color w:val="000000"/>
                <w:sz w:val="20"/>
                <w:lang w:val="es-ES"/>
              </w:rPr>
            </w:pPr>
          </w:p>
        </w:tc>
        <w:tc>
          <w:tcPr>
            <w:tcW w:w="810" w:type="dxa"/>
            <w:tcBorders>
              <w:top w:val="single" w:sz="8" w:space="0" w:color="000000"/>
              <w:left w:val="single" w:sz="8" w:space="0" w:color="000000"/>
              <w:bottom w:val="single" w:sz="8" w:space="0" w:color="000000"/>
              <w:right w:val="single" w:sz="8" w:space="0" w:color="000000"/>
            </w:tcBorders>
          </w:tcPr>
          <w:p w14:paraId="4E47E26A" w14:textId="77777777" w:rsidR="00155EEA" w:rsidRDefault="00155EEA">
            <w:pPr>
              <w:rPr>
                <w:rFonts w:ascii="Arial" w:hAnsi="Arial" w:cs="Arial"/>
                <w:b/>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36C5E70F" w14:textId="77777777" w:rsidR="00155EEA" w:rsidRDefault="00155EEA">
            <w:pPr>
              <w:rPr>
                <w:rFonts w:ascii="Arial" w:hAnsi="Arial" w:cs="Arial"/>
                <w:b/>
                <w:color w:val="000000"/>
                <w:sz w:val="20"/>
                <w:lang w:val="es-ES"/>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3DE92A" w14:textId="77777777" w:rsidR="00155EEA" w:rsidRDefault="00155EEA">
            <w:pPr>
              <w:jc w:val="center"/>
              <w:rPr>
                <w:rFonts w:ascii="Arial" w:hAnsi="Arial" w:cs="Arial"/>
                <w:b/>
                <w:color w:val="000000"/>
                <w:sz w:val="20"/>
                <w:lang w:val="es-ES"/>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26CB5F" w14:textId="43A72529" w:rsidR="00155EEA" w:rsidRDefault="00C2392C" w:rsidP="006930D9">
            <w:pPr>
              <w:ind w:left="-291" w:right="73"/>
              <w:jc w:val="right"/>
              <w:rPr>
                <w:rFonts w:ascii="Arial" w:hAnsi="Arial" w:cs="Arial"/>
                <w:b/>
                <w:color w:val="000000"/>
                <w:sz w:val="20"/>
                <w:lang w:val="en-US"/>
              </w:rPr>
            </w:pPr>
            <w:r>
              <w:rPr>
                <w:rFonts w:ascii="Arial" w:hAnsi="Arial" w:cs="Arial"/>
                <w:b/>
                <w:color w:val="000000"/>
                <w:sz w:val="20"/>
                <w:lang w:val="en-US"/>
              </w:rPr>
              <w:t>40</w:t>
            </w:r>
            <w:r w:rsidR="00C81ACB">
              <w:rPr>
                <w:rFonts w:ascii="Arial" w:hAnsi="Arial" w:cs="Arial"/>
                <w:b/>
                <w:color w:val="000000"/>
                <w:sz w:val="20"/>
                <w:lang w:val="en-US"/>
              </w:rPr>
              <w:t>.</w:t>
            </w:r>
            <w:r>
              <w:rPr>
                <w:rFonts w:ascii="Arial" w:hAnsi="Arial" w:cs="Arial"/>
                <w:b/>
                <w:color w:val="000000"/>
                <w:sz w:val="20"/>
                <w:lang w:val="en-US"/>
              </w:rPr>
              <w:t>000</w:t>
            </w:r>
          </w:p>
        </w:tc>
        <w:tc>
          <w:tcPr>
            <w:tcW w:w="181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54D08F" w14:textId="77777777" w:rsidR="00155EEA" w:rsidRDefault="00C2392C">
            <w:pPr>
              <w:jc w:val="center"/>
              <w:rPr>
                <w:rFonts w:ascii="Arial" w:hAnsi="Arial" w:cs="Arial"/>
                <w:color w:val="000000"/>
                <w:sz w:val="20"/>
                <w:lang w:val="en-US"/>
              </w:rPr>
            </w:pPr>
            <w:r>
              <w:rPr>
                <w:rFonts w:ascii="Arial" w:hAnsi="Arial" w:cs="Arial"/>
                <w:color w:val="000000"/>
                <w:sz w:val="20"/>
                <w:lang w:val="en-US"/>
              </w:rPr>
              <w:t>BID</w:t>
            </w:r>
          </w:p>
        </w:tc>
      </w:tr>
    </w:tbl>
    <w:p w14:paraId="367F0989" w14:textId="77777777" w:rsidR="00B50154" w:rsidRDefault="00B50154">
      <w:pPr>
        <w:spacing w:after="200" w:line="276" w:lineRule="auto"/>
        <w:rPr>
          <w:rFonts w:ascii="Arial" w:hAnsi="Arial" w:cs="Arial"/>
          <w:b/>
          <w:sz w:val="22"/>
          <w:szCs w:val="22"/>
          <w:lang w:val="es-ES"/>
        </w:rPr>
      </w:pPr>
    </w:p>
    <w:p w14:paraId="429DA962" w14:textId="77777777" w:rsidR="00B50154" w:rsidRDefault="00B50154">
      <w:pPr>
        <w:spacing w:after="200" w:line="276" w:lineRule="auto"/>
        <w:rPr>
          <w:rFonts w:ascii="Arial" w:hAnsi="Arial" w:cs="Arial"/>
          <w:b/>
          <w:sz w:val="22"/>
          <w:szCs w:val="22"/>
          <w:lang w:val="es-ES"/>
        </w:rPr>
      </w:pPr>
      <w:r>
        <w:rPr>
          <w:rFonts w:ascii="Arial" w:hAnsi="Arial" w:cs="Arial"/>
          <w:b/>
          <w:sz w:val="22"/>
          <w:szCs w:val="22"/>
          <w:lang w:val="es-ES"/>
        </w:rPr>
        <w:br w:type="page"/>
      </w:r>
    </w:p>
    <w:p w14:paraId="3577DB8F" w14:textId="77777777" w:rsidR="00155EEA" w:rsidRDefault="00C2392C">
      <w:pPr>
        <w:spacing w:after="120" w:line="276" w:lineRule="auto"/>
        <w:rPr>
          <w:rFonts w:ascii="Arial" w:hAnsi="Arial" w:cs="Arial"/>
          <w:b/>
          <w:sz w:val="22"/>
          <w:szCs w:val="22"/>
          <w:lang w:val="es-MX"/>
        </w:rPr>
      </w:pPr>
      <w:r>
        <w:rPr>
          <w:rFonts w:ascii="Arial" w:hAnsi="Arial" w:cs="Arial"/>
          <w:b/>
          <w:sz w:val="22"/>
          <w:szCs w:val="22"/>
          <w:lang w:val="es-MX"/>
        </w:rPr>
        <w:lastRenderedPageBreak/>
        <w:t>Referencias</w:t>
      </w:r>
    </w:p>
    <w:p w14:paraId="725A1B0E" w14:textId="05CCC9CC" w:rsidR="00374DB0" w:rsidRPr="00374DB0" w:rsidRDefault="00374DB0">
      <w:pPr>
        <w:spacing w:after="60" w:line="276" w:lineRule="auto"/>
        <w:ind w:left="720" w:hanging="720"/>
        <w:jc w:val="both"/>
        <w:rPr>
          <w:rFonts w:ascii="Arial" w:hAnsi="Arial" w:cs="Arial"/>
          <w:sz w:val="22"/>
          <w:szCs w:val="22"/>
          <w:lang w:val="en-US"/>
        </w:rPr>
      </w:pPr>
      <w:r w:rsidRPr="006930D9">
        <w:rPr>
          <w:rFonts w:ascii="Arial" w:hAnsi="Arial" w:cs="Arial"/>
          <w:sz w:val="22"/>
          <w:szCs w:val="22"/>
          <w:lang w:val="en-US"/>
        </w:rPr>
        <w:t xml:space="preserve">Allen y Caruana (2008), </w:t>
      </w:r>
      <w:r w:rsidRPr="006930D9">
        <w:rPr>
          <w:rFonts w:ascii="Arial" w:hAnsi="Arial" w:cs="Arial"/>
          <w:i/>
          <w:sz w:val="22"/>
          <w:szCs w:val="22"/>
          <w:lang w:val="en-US"/>
        </w:rPr>
        <w:t>Sovereign wealth funds – A work agenda</w:t>
      </w:r>
      <w:r w:rsidRPr="006930D9">
        <w:rPr>
          <w:rFonts w:ascii="Arial" w:hAnsi="Arial" w:cs="Arial"/>
          <w:sz w:val="22"/>
          <w:szCs w:val="22"/>
          <w:lang w:val="en-US"/>
        </w:rPr>
        <w:t>, IMF</w:t>
      </w:r>
    </w:p>
    <w:p w14:paraId="36BD4D77" w14:textId="77777777" w:rsidR="00486375" w:rsidRPr="00CC5596" w:rsidRDefault="00486375" w:rsidP="00486375">
      <w:pPr>
        <w:spacing w:after="60" w:line="276" w:lineRule="auto"/>
        <w:ind w:left="720" w:hanging="720"/>
        <w:jc w:val="both"/>
        <w:rPr>
          <w:rFonts w:ascii="Arial" w:hAnsi="Arial" w:cs="Arial"/>
          <w:sz w:val="22"/>
          <w:szCs w:val="22"/>
          <w:lang w:val="es-419"/>
        </w:rPr>
      </w:pPr>
      <w:r w:rsidRPr="00CC5596">
        <w:rPr>
          <w:rFonts w:ascii="Arial" w:hAnsi="Arial" w:cs="Arial"/>
          <w:sz w:val="22"/>
          <w:szCs w:val="22"/>
          <w:lang w:val="es-419"/>
        </w:rPr>
        <w:t xml:space="preserve">Artana (2018). Análisis del </w:t>
      </w:r>
      <w:r>
        <w:rPr>
          <w:rFonts w:ascii="Arial" w:hAnsi="Arial" w:cs="Arial"/>
          <w:sz w:val="22"/>
          <w:szCs w:val="22"/>
          <w:lang w:val="es-419"/>
        </w:rPr>
        <w:t>s</w:t>
      </w:r>
      <w:r w:rsidRPr="00CC5596">
        <w:rPr>
          <w:rFonts w:ascii="Arial" w:hAnsi="Arial" w:cs="Arial"/>
          <w:sz w:val="22"/>
          <w:szCs w:val="22"/>
          <w:lang w:val="es-419"/>
        </w:rPr>
        <w:t>istema tributario d</w:t>
      </w:r>
      <w:r>
        <w:rPr>
          <w:rFonts w:ascii="Arial" w:hAnsi="Arial" w:cs="Arial"/>
          <w:sz w:val="22"/>
          <w:szCs w:val="22"/>
          <w:lang w:val="es-419"/>
        </w:rPr>
        <w:t xml:space="preserve">e Paraguay y sugerencias de reforma. </w:t>
      </w:r>
      <w:proofErr w:type="spellStart"/>
      <w:r>
        <w:rPr>
          <w:rFonts w:ascii="Arial" w:hAnsi="Arial" w:cs="Arial"/>
          <w:sz w:val="22"/>
          <w:szCs w:val="22"/>
          <w:lang w:val="es-419"/>
        </w:rPr>
        <w:t>Mimeo</w:t>
      </w:r>
      <w:proofErr w:type="spellEnd"/>
      <w:r>
        <w:rPr>
          <w:rFonts w:ascii="Arial" w:hAnsi="Arial" w:cs="Arial"/>
          <w:sz w:val="22"/>
          <w:szCs w:val="22"/>
          <w:lang w:val="es-419"/>
        </w:rPr>
        <w:t xml:space="preserve">, BID. </w:t>
      </w:r>
    </w:p>
    <w:p w14:paraId="6A06F426" w14:textId="3DB9854C" w:rsidR="00155EEA" w:rsidRPr="006930D9" w:rsidRDefault="00C2392C">
      <w:pPr>
        <w:spacing w:after="60" w:line="276" w:lineRule="auto"/>
        <w:ind w:left="720" w:hanging="720"/>
        <w:jc w:val="both"/>
        <w:rPr>
          <w:rFonts w:ascii="Arial" w:hAnsi="Arial" w:cs="Arial"/>
          <w:sz w:val="22"/>
          <w:szCs w:val="22"/>
          <w:lang w:val="en-US"/>
        </w:rPr>
      </w:pPr>
      <w:r w:rsidRPr="00374DB0">
        <w:rPr>
          <w:rFonts w:ascii="Arial" w:hAnsi="Arial" w:cs="Arial"/>
          <w:sz w:val="22"/>
          <w:szCs w:val="22"/>
          <w:lang w:val="en-US"/>
        </w:rPr>
        <w:t xml:space="preserve">Badinger, H., y Reuter, W. 2017. “The Case for Fiscal Rules”. </w:t>
      </w:r>
      <w:r w:rsidRPr="006930D9">
        <w:rPr>
          <w:rFonts w:ascii="Arial" w:hAnsi="Arial" w:cs="Arial"/>
          <w:sz w:val="22"/>
          <w:szCs w:val="22"/>
          <w:lang w:val="en-US"/>
        </w:rPr>
        <w:t>Economic Modelling, Vol. 60: pp. 334-343.</w:t>
      </w:r>
    </w:p>
    <w:p w14:paraId="234A65B7" w14:textId="05C2317F" w:rsidR="00BF27E1" w:rsidRPr="006930D9" w:rsidRDefault="00BF27E1">
      <w:pPr>
        <w:spacing w:after="60" w:line="276" w:lineRule="auto"/>
        <w:ind w:left="720" w:hanging="720"/>
        <w:jc w:val="both"/>
        <w:rPr>
          <w:rFonts w:ascii="Arial" w:hAnsi="Arial" w:cs="Arial"/>
          <w:sz w:val="22"/>
          <w:szCs w:val="22"/>
          <w:lang w:val="en-US"/>
        </w:rPr>
      </w:pPr>
      <w:r w:rsidRPr="006930D9">
        <w:rPr>
          <w:rFonts w:ascii="Arial" w:hAnsi="Arial" w:cs="Arial"/>
          <w:sz w:val="22"/>
          <w:szCs w:val="22"/>
          <w:lang w:val="en-US"/>
        </w:rPr>
        <w:t xml:space="preserve">Banco Mundial. 2013. Beyond the Annual Budget: Global Experience with Medium-Term Expenditure Frameworks. Washington, DC: World Bank. © World Bank. Disponible </w:t>
      </w:r>
      <w:proofErr w:type="spellStart"/>
      <w:r w:rsidRPr="006930D9">
        <w:rPr>
          <w:rFonts w:ascii="Arial" w:hAnsi="Arial" w:cs="Arial"/>
          <w:sz w:val="22"/>
          <w:szCs w:val="22"/>
          <w:lang w:val="en-US"/>
        </w:rPr>
        <w:t>en</w:t>
      </w:r>
      <w:proofErr w:type="spellEnd"/>
      <w:r w:rsidRPr="006930D9">
        <w:rPr>
          <w:rFonts w:ascii="Arial" w:hAnsi="Arial" w:cs="Arial"/>
          <w:sz w:val="22"/>
          <w:szCs w:val="22"/>
          <w:lang w:val="en-US"/>
        </w:rPr>
        <w:t xml:space="preserve">: </w:t>
      </w:r>
      <w:hyperlink r:id="rId26" w:history="1">
        <w:r w:rsidRPr="006930D9">
          <w:rPr>
            <w:sz w:val="22"/>
            <w:szCs w:val="22"/>
            <w:lang w:val="en-US"/>
          </w:rPr>
          <w:t>https://openknowledge.worldbank.org/handle/10986/11971</w:t>
        </w:r>
      </w:hyperlink>
      <w:r w:rsidRPr="006930D9">
        <w:rPr>
          <w:rFonts w:ascii="Arial" w:hAnsi="Arial" w:cs="Arial"/>
          <w:sz w:val="22"/>
          <w:szCs w:val="22"/>
          <w:lang w:val="en-US"/>
        </w:rPr>
        <w:t xml:space="preserve"> License: CC BY 3.0 IGO.</w:t>
      </w:r>
    </w:p>
    <w:p w14:paraId="27D138B6" w14:textId="1BC302AD" w:rsidR="006C71FC" w:rsidRPr="006930D9" w:rsidRDefault="006C71FC">
      <w:pPr>
        <w:spacing w:after="60" w:line="276" w:lineRule="auto"/>
        <w:ind w:left="720" w:hanging="720"/>
        <w:jc w:val="both"/>
        <w:rPr>
          <w:rFonts w:ascii="Arial" w:hAnsi="Arial" w:cs="Arial"/>
          <w:sz w:val="22"/>
          <w:szCs w:val="22"/>
          <w:lang w:val="en-US"/>
        </w:rPr>
      </w:pPr>
      <w:r w:rsidRPr="00374DB0">
        <w:rPr>
          <w:rFonts w:ascii="Arial" w:hAnsi="Arial" w:cs="Arial"/>
          <w:sz w:val="22"/>
          <w:szCs w:val="22"/>
          <w:lang w:val="es-419"/>
        </w:rPr>
        <w:t xml:space="preserve">Barreix y Zambrano (2018), La Factura Electrónica en América Latina. </w:t>
      </w:r>
      <w:r w:rsidRPr="00374DB0">
        <w:rPr>
          <w:rFonts w:ascii="Arial" w:hAnsi="Arial" w:cs="Arial"/>
          <w:sz w:val="22"/>
          <w:szCs w:val="22"/>
          <w:lang w:val="en-US"/>
        </w:rPr>
        <w:t xml:space="preserve">BID. </w:t>
      </w:r>
    </w:p>
    <w:p w14:paraId="7B21066A" w14:textId="3D0019A1" w:rsidR="00BF27E1" w:rsidRPr="00374DB0" w:rsidRDefault="00BF27E1">
      <w:pPr>
        <w:spacing w:after="60" w:line="276" w:lineRule="auto"/>
        <w:ind w:left="720" w:hanging="720"/>
        <w:jc w:val="both"/>
        <w:rPr>
          <w:rFonts w:ascii="Arial" w:hAnsi="Arial" w:cs="Arial"/>
          <w:sz w:val="22"/>
          <w:szCs w:val="22"/>
          <w:lang w:val="en-US"/>
        </w:rPr>
      </w:pPr>
      <w:proofErr w:type="spellStart"/>
      <w:r w:rsidRPr="006930D9">
        <w:rPr>
          <w:rFonts w:ascii="Arial" w:hAnsi="Arial" w:cs="Arial"/>
          <w:sz w:val="22"/>
          <w:szCs w:val="22"/>
          <w:lang w:val="en-US"/>
        </w:rPr>
        <w:t>Beetsma</w:t>
      </w:r>
      <w:proofErr w:type="spellEnd"/>
      <w:r w:rsidRPr="006930D9">
        <w:rPr>
          <w:rFonts w:ascii="Arial" w:hAnsi="Arial" w:cs="Arial"/>
          <w:sz w:val="22"/>
          <w:szCs w:val="22"/>
          <w:lang w:val="en-US"/>
        </w:rPr>
        <w:t xml:space="preserve"> and </w:t>
      </w:r>
      <w:proofErr w:type="spellStart"/>
      <w:r w:rsidRPr="006930D9">
        <w:rPr>
          <w:rFonts w:ascii="Arial" w:hAnsi="Arial" w:cs="Arial"/>
          <w:sz w:val="22"/>
          <w:szCs w:val="22"/>
          <w:lang w:val="en-US"/>
        </w:rPr>
        <w:t>Debrun</w:t>
      </w:r>
      <w:proofErr w:type="spellEnd"/>
      <w:r w:rsidRPr="006930D9">
        <w:rPr>
          <w:rFonts w:ascii="Arial" w:hAnsi="Arial" w:cs="Arial"/>
          <w:sz w:val="22"/>
          <w:szCs w:val="22"/>
          <w:lang w:val="en-US"/>
        </w:rPr>
        <w:t xml:space="preserve"> (2016), </w:t>
      </w:r>
      <w:r w:rsidRPr="006930D9">
        <w:rPr>
          <w:rFonts w:ascii="Arial" w:hAnsi="Arial" w:cs="Arial"/>
          <w:i/>
          <w:sz w:val="22"/>
          <w:szCs w:val="22"/>
          <w:lang w:val="en-US"/>
        </w:rPr>
        <w:t>Fiscal councils: rationale and effectiveness</w:t>
      </w:r>
      <w:r w:rsidRPr="006930D9">
        <w:rPr>
          <w:rFonts w:ascii="Arial" w:hAnsi="Arial" w:cs="Arial"/>
          <w:sz w:val="22"/>
          <w:szCs w:val="22"/>
          <w:lang w:val="en-US"/>
        </w:rPr>
        <w:t xml:space="preserve">, IMF WP/16/86, y </w:t>
      </w:r>
      <w:proofErr w:type="spellStart"/>
      <w:r w:rsidRPr="006930D9">
        <w:rPr>
          <w:rFonts w:ascii="Arial" w:hAnsi="Arial" w:cs="Arial"/>
          <w:sz w:val="22"/>
          <w:szCs w:val="22"/>
          <w:lang w:val="en-US"/>
        </w:rPr>
        <w:t>Beetsma</w:t>
      </w:r>
      <w:proofErr w:type="spellEnd"/>
      <w:r w:rsidRPr="006930D9">
        <w:rPr>
          <w:rFonts w:ascii="Arial" w:hAnsi="Arial" w:cs="Arial"/>
          <w:sz w:val="22"/>
          <w:szCs w:val="22"/>
          <w:lang w:val="en-US"/>
        </w:rPr>
        <w:t xml:space="preserve"> et al (2018), </w:t>
      </w:r>
      <w:r w:rsidRPr="006930D9">
        <w:rPr>
          <w:rFonts w:ascii="Arial" w:hAnsi="Arial" w:cs="Arial"/>
          <w:i/>
          <w:sz w:val="22"/>
          <w:szCs w:val="22"/>
          <w:lang w:val="en-US"/>
        </w:rPr>
        <w:t xml:space="preserve">Independent fiscal councils: recent trends and performance, </w:t>
      </w:r>
      <w:r w:rsidRPr="006930D9">
        <w:rPr>
          <w:rFonts w:ascii="Arial" w:hAnsi="Arial" w:cs="Arial"/>
          <w:sz w:val="22"/>
          <w:szCs w:val="22"/>
          <w:lang w:val="en-US"/>
        </w:rPr>
        <w:t>IMF WP/18/68.</w:t>
      </w:r>
    </w:p>
    <w:p w14:paraId="21B12EC5" w14:textId="77777777" w:rsidR="00486375" w:rsidRPr="00CC5596" w:rsidRDefault="00486375" w:rsidP="00486375">
      <w:pPr>
        <w:spacing w:after="60" w:line="276" w:lineRule="auto"/>
        <w:ind w:left="720" w:hanging="720"/>
        <w:jc w:val="both"/>
        <w:rPr>
          <w:rFonts w:ascii="Arial" w:hAnsi="Arial" w:cs="Arial"/>
          <w:sz w:val="22"/>
          <w:szCs w:val="22"/>
          <w:lang w:val="es-419"/>
        </w:rPr>
      </w:pPr>
      <w:proofErr w:type="spellStart"/>
      <w:r w:rsidRPr="00CC5596">
        <w:rPr>
          <w:rFonts w:ascii="Arial" w:hAnsi="Arial" w:cs="Arial"/>
          <w:sz w:val="22"/>
          <w:szCs w:val="22"/>
          <w:lang w:val="es-419"/>
        </w:rPr>
        <w:t>Bérgolo</w:t>
      </w:r>
      <w:proofErr w:type="spellEnd"/>
      <w:r w:rsidRPr="00CC5596">
        <w:rPr>
          <w:rFonts w:ascii="Arial" w:hAnsi="Arial" w:cs="Arial"/>
          <w:sz w:val="22"/>
          <w:szCs w:val="22"/>
          <w:lang w:val="es-419"/>
        </w:rPr>
        <w:t xml:space="preserve">, </w:t>
      </w:r>
      <w:proofErr w:type="spellStart"/>
      <w:r w:rsidRPr="00CC5596">
        <w:rPr>
          <w:rFonts w:ascii="Arial" w:hAnsi="Arial" w:cs="Arial"/>
          <w:sz w:val="22"/>
          <w:szCs w:val="22"/>
          <w:lang w:val="es-419"/>
        </w:rPr>
        <w:t>Ceni</w:t>
      </w:r>
      <w:proofErr w:type="spellEnd"/>
      <w:r w:rsidRPr="00CC5596">
        <w:rPr>
          <w:rFonts w:ascii="Arial" w:hAnsi="Arial" w:cs="Arial"/>
          <w:sz w:val="22"/>
          <w:szCs w:val="22"/>
          <w:lang w:val="es-419"/>
        </w:rPr>
        <w:t xml:space="preserve"> y </w:t>
      </w:r>
      <w:proofErr w:type="spellStart"/>
      <w:r w:rsidRPr="00CC5596">
        <w:rPr>
          <w:rFonts w:ascii="Arial" w:hAnsi="Arial" w:cs="Arial"/>
          <w:sz w:val="22"/>
          <w:szCs w:val="22"/>
          <w:lang w:val="es-419"/>
        </w:rPr>
        <w:t>Sauval</w:t>
      </w:r>
      <w:proofErr w:type="spellEnd"/>
      <w:r w:rsidRPr="00CC5596">
        <w:rPr>
          <w:rFonts w:ascii="Arial" w:hAnsi="Arial" w:cs="Arial"/>
          <w:sz w:val="22"/>
          <w:szCs w:val="22"/>
          <w:lang w:val="es-419"/>
        </w:rPr>
        <w:t xml:space="preserve"> (2017). </w:t>
      </w:r>
      <w:r>
        <w:rPr>
          <w:rFonts w:ascii="Arial" w:hAnsi="Arial" w:cs="Arial"/>
          <w:sz w:val="22"/>
          <w:szCs w:val="22"/>
          <w:lang w:val="es-419"/>
        </w:rPr>
        <w:t xml:space="preserve">Factura electrónica y cumplimiento tributario. Evidencia a partir de un enfoque </w:t>
      </w:r>
      <w:proofErr w:type="spellStart"/>
      <w:proofErr w:type="gramStart"/>
      <w:r>
        <w:rPr>
          <w:rFonts w:ascii="Arial" w:hAnsi="Arial" w:cs="Arial"/>
          <w:sz w:val="22"/>
          <w:szCs w:val="22"/>
          <w:lang w:val="es-419"/>
        </w:rPr>
        <w:t>cuasi-experimental</w:t>
      </w:r>
      <w:proofErr w:type="spellEnd"/>
      <w:proofErr w:type="gramEnd"/>
      <w:r>
        <w:rPr>
          <w:rFonts w:ascii="Arial" w:hAnsi="Arial" w:cs="Arial"/>
          <w:i/>
          <w:sz w:val="22"/>
          <w:szCs w:val="22"/>
          <w:lang w:val="es-419"/>
        </w:rPr>
        <w:t xml:space="preserve">. </w:t>
      </w:r>
      <w:r>
        <w:rPr>
          <w:rFonts w:ascii="Arial" w:hAnsi="Arial" w:cs="Arial"/>
          <w:sz w:val="22"/>
          <w:szCs w:val="22"/>
          <w:lang w:val="es-419"/>
        </w:rPr>
        <w:t xml:space="preserve">Documento para discusión Nº IDB-DP-561, BID.  </w:t>
      </w:r>
    </w:p>
    <w:p w14:paraId="20796EF8" w14:textId="272DB791" w:rsidR="00155EEA" w:rsidRPr="006930D9" w:rsidRDefault="00C2392C">
      <w:pPr>
        <w:spacing w:after="60" w:line="276" w:lineRule="auto"/>
        <w:ind w:left="720" w:hanging="720"/>
        <w:jc w:val="both"/>
        <w:rPr>
          <w:rFonts w:ascii="Arial" w:hAnsi="Arial" w:cs="Arial"/>
          <w:sz w:val="22"/>
          <w:szCs w:val="22"/>
        </w:rPr>
      </w:pPr>
      <w:r w:rsidRPr="006930D9">
        <w:rPr>
          <w:rFonts w:ascii="Arial" w:hAnsi="Arial" w:cs="Arial"/>
          <w:sz w:val="22"/>
          <w:szCs w:val="22"/>
          <w:lang w:val="en-US"/>
        </w:rPr>
        <w:t xml:space="preserve">Brumby, J.; </w:t>
      </w:r>
      <w:proofErr w:type="spellStart"/>
      <w:r w:rsidRPr="006930D9">
        <w:rPr>
          <w:rFonts w:ascii="Arial" w:hAnsi="Arial" w:cs="Arial"/>
          <w:sz w:val="22"/>
          <w:szCs w:val="22"/>
          <w:lang w:val="en-US"/>
        </w:rPr>
        <w:t>Biletska</w:t>
      </w:r>
      <w:proofErr w:type="spellEnd"/>
      <w:r w:rsidRPr="006930D9">
        <w:rPr>
          <w:rFonts w:ascii="Arial" w:hAnsi="Arial" w:cs="Arial"/>
          <w:sz w:val="22"/>
          <w:szCs w:val="22"/>
          <w:lang w:val="en-US"/>
        </w:rPr>
        <w:t xml:space="preserve">, N.; Grigoli, F.; Hemming, R.; Kang, Y.; Lee, J.; Mills, Z.; Min, S.; Moreno-Dodson, B.; Vlaicu, R.; Verhoeven, M.; Vu, H.; </w:t>
      </w:r>
      <w:proofErr w:type="spellStart"/>
      <w:r w:rsidRPr="006930D9">
        <w:rPr>
          <w:rFonts w:ascii="Arial" w:hAnsi="Arial" w:cs="Arial"/>
          <w:sz w:val="22"/>
          <w:szCs w:val="22"/>
          <w:lang w:val="en-US"/>
        </w:rPr>
        <w:t>Zoratto</w:t>
      </w:r>
      <w:proofErr w:type="spellEnd"/>
      <w:r w:rsidRPr="006930D9">
        <w:rPr>
          <w:rFonts w:ascii="Arial" w:hAnsi="Arial" w:cs="Arial"/>
          <w:sz w:val="22"/>
          <w:szCs w:val="22"/>
          <w:lang w:val="en-US"/>
        </w:rPr>
        <w:t>, L. 2013. </w:t>
      </w:r>
      <w:r w:rsidRPr="00374DB0">
        <w:rPr>
          <w:rFonts w:ascii="Arial" w:hAnsi="Arial" w:cs="Arial"/>
          <w:sz w:val="22"/>
          <w:szCs w:val="22"/>
          <w:lang w:val="en-US"/>
        </w:rPr>
        <w:t xml:space="preserve">Beyond the annual </w:t>
      </w:r>
      <w:proofErr w:type="gramStart"/>
      <w:r w:rsidRPr="00374DB0">
        <w:rPr>
          <w:rFonts w:ascii="Arial" w:hAnsi="Arial" w:cs="Arial"/>
          <w:sz w:val="22"/>
          <w:szCs w:val="22"/>
          <w:lang w:val="en-US"/>
        </w:rPr>
        <w:t>budget :</w:t>
      </w:r>
      <w:proofErr w:type="gramEnd"/>
      <w:r w:rsidRPr="00374DB0">
        <w:rPr>
          <w:rFonts w:ascii="Arial" w:hAnsi="Arial" w:cs="Arial"/>
          <w:sz w:val="22"/>
          <w:szCs w:val="22"/>
          <w:lang w:val="en-US"/>
        </w:rPr>
        <w:t xml:space="preserve"> global experience with medium-term expenditure frameworks (Chinese). </w:t>
      </w:r>
      <w:r w:rsidRPr="006930D9">
        <w:rPr>
          <w:rFonts w:ascii="Arial" w:hAnsi="Arial" w:cs="Arial"/>
          <w:sz w:val="22"/>
          <w:szCs w:val="22"/>
        </w:rPr>
        <w:t xml:space="preserve">Washington, </w:t>
      </w:r>
      <w:proofErr w:type="gramStart"/>
      <w:r w:rsidRPr="006930D9">
        <w:rPr>
          <w:rFonts w:ascii="Arial" w:hAnsi="Arial" w:cs="Arial"/>
          <w:sz w:val="22"/>
          <w:szCs w:val="22"/>
        </w:rPr>
        <w:t>DC :</w:t>
      </w:r>
      <w:proofErr w:type="gramEnd"/>
      <w:r w:rsidRPr="006930D9">
        <w:rPr>
          <w:rFonts w:ascii="Arial" w:hAnsi="Arial" w:cs="Arial"/>
          <w:sz w:val="22"/>
          <w:szCs w:val="22"/>
        </w:rPr>
        <w:t xml:space="preserve"> World Bank Group. </w:t>
      </w:r>
    </w:p>
    <w:p w14:paraId="0F185B7E" w14:textId="347AA885" w:rsidR="00374DB0" w:rsidRPr="006930D9" w:rsidRDefault="00374DB0">
      <w:pPr>
        <w:spacing w:after="60" w:line="276" w:lineRule="auto"/>
        <w:ind w:left="720" w:hanging="720"/>
        <w:jc w:val="both"/>
        <w:rPr>
          <w:rFonts w:ascii="Arial" w:hAnsi="Arial" w:cs="Arial"/>
          <w:sz w:val="22"/>
          <w:szCs w:val="22"/>
          <w:lang w:val="es-419"/>
        </w:rPr>
      </w:pPr>
      <w:r w:rsidRPr="006930D9">
        <w:rPr>
          <w:rFonts w:ascii="Arial" w:hAnsi="Arial" w:cs="Arial"/>
          <w:sz w:val="22"/>
          <w:szCs w:val="22"/>
          <w:lang w:val="es-419"/>
        </w:rPr>
        <w:t xml:space="preserve">Cerda y Larraín (2017), </w:t>
      </w:r>
      <w:r w:rsidRPr="006930D9">
        <w:rPr>
          <w:rFonts w:ascii="Arial" w:hAnsi="Arial" w:cs="Arial"/>
          <w:i/>
          <w:sz w:val="22"/>
          <w:szCs w:val="22"/>
          <w:lang w:val="es-419"/>
        </w:rPr>
        <w:t>Mejorando la institucionalidad fiscal del Paraguay - ¿Por qué implementar un fondo soberano?</w:t>
      </w:r>
      <w:r w:rsidRPr="006930D9">
        <w:rPr>
          <w:rFonts w:ascii="Arial" w:hAnsi="Arial" w:cs="Arial"/>
          <w:sz w:val="22"/>
          <w:szCs w:val="22"/>
          <w:lang w:val="es-419"/>
        </w:rPr>
        <w:t xml:space="preserve">, </w:t>
      </w:r>
      <w:proofErr w:type="spellStart"/>
      <w:r w:rsidRPr="006930D9">
        <w:rPr>
          <w:rFonts w:ascii="Arial" w:hAnsi="Arial" w:cs="Arial"/>
          <w:sz w:val="22"/>
          <w:szCs w:val="22"/>
          <w:lang w:val="es-419"/>
        </w:rPr>
        <w:t>mimeo</w:t>
      </w:r>
      <w:proofErr w:type="spellEnd"/>
      <w:r w:rsidRPr="006930D9">
        <w:rPr>
          <w:rFonts w:ascii="Arial" w:hAnsi="Arial" w:cs="Arial"/>
          <w:sz w:val="22"/>
          <w:szCs w:val="22"/>
          <w:lang w:val="es-419"/>
        </w:rPr>
        <w:t xml:space="preserve"> BID</w:t>
      </w:r>
    </w:p>
    <w:p w14:paraId="1298DB8A" w14:textId="77777777" w:rsidR="00486375" w:rsidRDefault="00486375" w:rsidP="00486375">
      <w:pPr>
        <w:spacing w:after="60" w:line="276" w:lineRule="auto"/>
        <w:ind w:left="720" w:hanging="720"/>
        <w:jc w:val="both"/>
        <w:rPr>
          <w:rFonts w:ascii="Arial" w:hAnsi="Arial" w:cs="Arial"/>
          <w:sz w:val="22"/>
          <w:szCs w:val="22"/>
          <w:lang w:val="en-US"/>
        </w:rPr>
      </w:pPr>
      <w:r>
        <w:rPr>
          <w:rFonts w:ascii="Arial" w:hAnsi="Arial" w:cs="Arial"/>
          <w:sz w:val="22"/>
          <w:szCs w:val="22"/>
          <w:lang w:val="en-US"/>
        </w:rPr>
        <w:t xml:space="preserve">David and </w:t>
      </w:r>
      <w:proofErr w:type="spellStart"/>
      <w:r>
        <w:rPr>
          <w:rFonts w:ascii="Arial" w:hAnsi="Arial" w:cs="Arial"/>
          <w:sz w:val="22"/>
          <w:szCs w:val="22"/>
          <w:lang w:val="en-US"/>
        </w:rPr>
        <w:t>Nopta</w:t>
      </w:r>
      <w:proofErr w:type="spellEnd"/>
      <w:r>
        <w:rPr>
          <w:rFonts w:ascii="Arial" w:hAnsi="Arial" w:cs="Arial"/>
          <w:sz w:val="22"/>
          <w:szCs w:val="22"/>
          <w:lang w:val="en-US"/>
        </w:rPr>
        <w:t xml:space="preserve"> (2016). A balancing act: Reform options for Paraguay’s fiscal responsibility law. IMF WP/16/226. </w:t>
      </w:r>
    </w:p>
    <w:p w14:paraId="2D18638B" w14:textId="38DA42E8" w:rsidR="00374DB0" w:rsidRPr="006930D9" w:rsidRDefault="00374DB0">
      <w:pPr>
        <w:spacing w:after="60" w:line="276" w:lineRule="auto"/>
        <w:ind w:left="720" w:hanging="720"/>
        <w:jc w:val="both"/>
        <w:rPr>
          <w:rFonts w:ascii="Arial" w:hAnsi="Arial" w:cs="Arial"/>
          <w:sz w:val="22"/>
          <w:szCs w:val="22"/>
          <w:lang w:val="en-US"/>
        </w:rPr>
      </w:pPr>
      <w:r w:rsidRPr="006930D9">
        <w:rPr>
          <w:rFonts w:ascii="Arial" w:hAnsi="Arial" w:cs="Arial"/>
          <w:sz w:val="22"/>
          <w:szCs w:val="22"/>
          <w:lang w:val="en-US"/>
        </w:rPr>
        <w:t xml:space="preserve">Diamond y Khemani (2005), </w:t>
      </w:r>
      <w:r w:rsidRPr="006930D9">
        <w:rPr>
          <w:rFonts w:ascii="Arial" w:hAnsi="Arial" w:cs="Arial"/>
          <w:i/>
          <w:sz w:val="22"/>
          <w:szCs w:val="22"/>
          <w:lang w:val="en-US"/>
        </w:rPr>
        <w:t>Introducing financial management information systems in developing countries</w:t>
      </w:r>
      <w:r w:rsidRPr="006930D9">
        <w:rPr>
          <w:rFonts w:ascii="Arial" w:hAnsi="Arial" w:cs="Arial"/>
          <w:sz w:val="22"/>
          <w:szCs w:val="22"/>
          <w:lang w:val="en-US"/>
        </w:rPr>
        <w:t>, IMF Working Paper 05/196</w:t>
      </w:r>
    </w:p>
    <w:p w14:paraId="518E17F1" w14:textId="77777777" w:rsidR="00486375" w:rsidRPr="007519B1" w:rsidRDefault="00486375" w:rsidP="00486375">
      <w:pPr>
        <w:spacing w:after="60" w:line="276" w:lineRule="auto"/>
        <w:ind w:left="720" w:hanging="720"/>
        <w:jc w:val="both"/>
        <w:rPr>
          <w:rFonts w:ascii="Arial" w:hAnsi="Arial" w:cs="Arial"/>
          <w:sz w:val="22"/>
          <w:szCs w:val="22"/>
          <w:lang w:val="en-US"/>
        </w:rPr>
      </w:pPr>
      <w:r>
        <w:rPr>
          <w:rFonts w:ascii="Arial" w:hAnsi="Arial" w:cs="Arial"/>
          <w:sz w:val="22"/>
          <w:szCs w:val="22"/>
          <w:lang w:val="en-US"/>
        </w:rPr>
        <w:t xml:space="preserve">FMI (2013). </w:t>
      </w:r>
      <w:r>
        <w:rPr>
          <w:rFonts w:ascii="Arial" w:hAnsi="Arial" w:cs="Arial"/>
          <w:i/>
          <w:sz w:val="22"/>
          <w:szCs w:val="22"/>
          <w:lang w:val="en-US"/>
        </w:rPr>
        <w:t xml:space="preserve">The functions and impact of fiscal councils, </w:t>
      </w:r>
      <w:r>
        <w:rPr>
          <w:rFonts w:ascii="Arial" w:hAnsi="Arial" w:cs="Arial"/>
          <w:sz w:val="22"/>
          <w:szCs w:val="22"/>
          <w:lang w:val="en-US"/>
        </w:rPr>
        <w:t xml:space="preserve">IMF Policy Paper. </w:t>
      </w:r>
    </w:p>
    <w:p w14:paraId="53395D67" w14:textId="77777777" w:rsidR="00486375" w:rsidRPr="00374DB0" w:rsidRDefault="00486375" w:rsidP="00486375">
      <w:pPr>
        <w:spacing w:after="60" w:line="276" w:lineRule="auto"/>
        <w:ind w:left="720" w:hanging="720"/>
        <w:jc w:val="both"/>
        <w:rPr>
          <w:rFonts w:ascii="Arial" w:hAnsi="Arial" w:cs="Arial"/>
          <w:sz w:val="22"/>
          <w:szCs w:val="22"/>
          <w:lang w:val="en-US"/>
        </w:rPr>
      </w:pPr>
      <w:r>
        <w:rPr>
          <w:rFonts w:ascii="Arial" w:hAnsi="Arial" w:cs="Arial"/>
          <w:sz w:val="22"/>
          <w:szCs w:val="22"/>
          <w:lang w:val="en-US"/>
        </w:rPr>
        <w:t>FMI (</w:t>
      </w:r>
      <w:r w:rsidRPr="006930D9">
        <w:rPr>
          <w:rFonts w:ascii="Arial" w:hAnsi="Arial" w:cs="Arial"/>
          <w:sz w:val="22"/>
          <w:szCs w:val="22"/>
          <w:lang w:val="en-US"/>
        </w:rPr>
        <w:t>2014</w:t>
      </w:r>
      <w:r>
        <w:rPr>
          <w:rFonts w:ascii="Arial" w:hAnsi="Arial" w:cs="Arial"/>
          <w:sz w:val="22"/>
          <w:szCs w:val="22"/>
          <w:lang w:val="en-US"/>
        </w:rPr>
        <w:t>)</w:t>
      </w:r>
      <w:r w:rsidRPr="006930D9">
        <w:rPr>
          <w:rFonts w:ascii="Arial" w:hAnsi="Arial" w:cs="Arial"/>
          <w:sz w:val="22"/>
          <w:szCs w:val="22"/>
          <w:lang w:val="en-US"/>
        </w:rPr>
        <w:t xml:space="preserve">. </w:t>
      </w:r>
      <w:r w:rsidRPr="006930D9">
        <w:rPr>
          <w:rFonts w:ascii="Arial" w:hAnsi="Arial" w:cs="Arial"/>
          <w:i/>
          <w:sz w:val="22"/>
          <w:szCs w:val="22"/>
          <w:lang w:val="en-US"/>
        </w:rPr>
        <w:t>Revised guidelines for public debt management</w:t>
      </w:r>
      <w:r w:rsidRPr="006930D9">
        <w:rPr>
          <w:rFonts w:ascii="Arial" w:hAnsi="Arial" w:cs="Arial"/>
          <w:sz w:val="22"/>
          <w:szCs w:val="22"/>
          <w:lang w:val="en-US"/>
        </w:rPr>
        <w:t>, IMF Policy Paper.</w:t>
      </w:r>
    </w:p>
    <w:p w14:paraId="5AC124FD" w14:textId="77777777" w:rsidR="00486375" w:rsidRPr="00374DB0" w:rsidRDefault="00486375" w:rsidP="00486375">
      <w:pPr>
        <w:spacing w:after="60" w:line="276" w:lineRule="auto"/>
        <w:ind w:left="720" w:hanging="720"/>
        <w:jc w:val="both"/>
        <w:rPr>
          <w:rFonts w:ascii="Arial" w:hAnsi="Arial" w:cs="Arial"/>
          <w:sz w:val="22"/>
          <w:szCs w:val="22"/>
          <w:lang w:val="en-US"/>
        </w:rPr>
      </w:pPr>
      <w:r w:rsidRPr="00374DB0">
        <w:rPr>
          <w:rFonts w:ascii="Arial" w:hAnsi="Arial" w:cs="Arial"/>
          <w:sz w:val="22"/>
          <w:szCs w:val="22"/>
          <w:lang w:val="en-US"/>
        </w:rPr>
        <w:t>F</w:t>
      </w:r>
      <w:r>
        <w:rPr>
          <w:rFonts w:ascii="Arial" w:hAnsi="Arial" w:cs="Arial"/>
          <w:sz w:val="22"/>
          <w:szCs w:val="22"/>
          <w:lang w:val="en-US"/>
        </w:rPr>
        <w:t>MI</w:t>
      </w:r>
      <w:r w:rsidRPr="00374DB0">
        <w:rPr>
          <w:rFonts w:ascii="Arial" w:hAnsi="Arial" w:cs="Arial"/>
          <w:sz w:val="22"/>
          <w:szCs w:val="22"/>
          <w:lang w:val="en-US"/>
        </w:rPr>
        <w:t xml:space="preserve"> </w:t>
      </w:r>
      <w:r>
        <w:rPr>
          <w:rFonts w:ascii="Arial" w:hAnsi="Arial" w:cs="Arial"/>
          <w:sz w:val="22"/>
          <w:szCs w:val="22"/>
          <w:lang w:val="en-US"/>
        </w:rPr>
        <w:t>(</w:t>
      </w:r>
      <w:r w:rsidRPr="00374DB0">
        <w:rPr>
          <w:rFonts w:ascii="Arial" w:hAnsi="Arial" w:cs="Arial"/>
          <w:sz w:val="22"/>
          <w:szCs w:val="22"/>
          <w:lang w:val="en-US"/>
        </w:rPr>
        <w:t>2015</w:t>
      </w:r>
      <w:r>
        <w:rPr>
          <w:rFonts w:ascii="Arial" w:hAnsi="Arial" w:cs="Arial"/>
          <w:sz w:val="22"/>
          <w:szCs w:val="22"/>
          <w:lang w:val="en-US"/>
        </w:rPr>
        <w:t>)</w:t>
      </w:r>
      <w:r w:rsidRPr="00374DB0">
        <w:rPr>
          <w:rFonts w:ascii="Arial" w:hAnsi="Arial" w:cs="Arial"/>
          <w:sz w:val="22"/>
          <w:szCs w:val="22"/>
          <w:lang w:val="en-US"/>
        </w:rPr>
        <w:t>. “Making Public Investment More Efficient”. IMF Policy Papers Series.</w:t>
      </w:r>
    </w:p>
    <w:p w14:paraId="3EB4DF51" w14:textId="77777777" w:rsidR="00486375" w:rsidRDefault="00486375" w:rsidP="00486375">
      <w:pPr>
        <w:spacing w:after="60" w:line="276" w:lineRule="auto"/>
        <w:ind w:left="720" w:hanging="720"/>
        <w:jc w:val="both"/>
        <w:rPr>
          <w:rFonts w:ascii="Arial" w:hAnsi="Arial" w:cs="Arial"/>
          <w:sz w:val="22"/>
          <w:szCs w:val="22"/>
          <w:lang w:val="en-US"/>
        </w:rPr>
      </w:pPr>
      <w:r>
        <w:rPr>
          <w:rFonts w:ascii="Arial" w:hAnsi="Arial" w:cs="Arial"/>
          <w:sz w:val="22"/>
          <w:szCs w:val="22"/>
          <w:lang w:val="en-US"/>
        </w:rPr>
        <w:t xml:space="preserve">FMI (2016). “Paraguay: Establishing a structural balance rule and a public debt objective. Technical assistance report, IMF. </w:t>
      </w:r>
    </w:p>
    <w:p w14:paraId="4B4FE2A7" w14:textId="52B71016" w:rsidR="00374DB0" w:rsidRPr="006930D9" w:rsidRDefault="00374DB0">
      <w:pPr>
        <w:spacing w:after="60" w:line="276" w:lineRule="auto"/>
        <w:ind w:left="720" w:hanging="720"/>
        <w:jc w:val="both"/>
        <w:rPr>
          <w:rFonts w:ascii="Arial" w:hAnsi="Arial" w:cs="Arial"/>
          <w:sz w:val="22"/>
          <w:szCs w:val="22"/>
          <w:lang w:val="en-US"/>
        </w:rPr>
      </w:pPr>
      <w:proofErr w:type="spellStart"/>
      <w:r w:rsidRPr="006930D9">
        <w:rPr>
          <w:rFonts w:ascii="Arial" w:hAnsi="Arial" w:cs="Arial"/>
          <w:sz w:val="22"/>
          <w:szCs w:val="22"/>
          <w:lang w:val="fr-FR"/>
        </w:rPr>
        <w:t>Gilmour</w:t>
      </w:r>
      <w:proofErr w:type="spellEnd"/>
      <w:r w:rsidRPr="006930D9">
        <w:rPr>
          <w:rFonts w:ascii="Arial" w:hAnsi="Arial" w:cs="Arial"/>
          <w:sz w:val="22"/>
          <w:szCs w:val="22"/>
          <w:lang w:val="fr-FR"/>
        </w:rPr>
        <w:t xml:space="preserve">, J.B. y D.E. Lewis (2006). </w:t>
      </w:r>
      <w:r w:rsidRPr="006930D9">
        <w:rPr>
          <w:rFonts w:ascii="Arial" w:hAnsi="Arial" w:cs="Arial"/>
          <w:sz w:val="22"/>
          <w:szCs w:val="22"/>
          <w:lang w:val="en-US"/>
        </w:rPr>
        <w:t xml:space="preserve">“Assessing Performance Assessment for Budgeting: The Influence of Politics, Performance and Program Size”. </w:t>
      </w:r>
      <w:r w:rsidRPr="006930D9">
        <w:rPr>
          <w:rFonts w:ascii="Arial" w:hAnsi="Arial" w:cs="Arial"/>
          <w:i/>
          <w:sz w:val="22"/>
          <w:szCs w:val="22"/>
          <w:lang w:val="en-US"/>
        </w:rPr>
        <w:t>Journal of Public Administration Theory and Research</w:t>
      </w:r>
      <w:r w:rsidRPr="006930D9">
        <w:rPr>
          <w:rFonts w:ascii="Arial" w:hAnsi="Arial" w:cs="Arial"/>
          <w:sz w:val="22"/>
          <w:szCs w:val="22"/>
          <w:lang w:val="en-US"/>
        </w:rPr>
        <w:t xml:space="preserve"> 16: 169-186</w:t>
      </w:r>
    </w:p>
    <w:p w14:paraId="7CB36B19" w14:textId="0A209C6A" w:rsidR="00374DB0" w:rsidRPr="006930D9" w:rsidRDefault="00374DB0">
      <w:pPr>
        <w:spacing w:after="60" w:line="276" w:lineRule="auto"/>
        <w:ind w:left="720" w:hanging="720"/>
        <w:jc w:val="both"/>
        <w:rPr>
          <w:rFonts w:ascii="Arial" w:hAnsi="Arial" w:cs="Arial"/>
          <w:sz w:val="22"/>
          <w:szCs w:val="22"/>
          <w:lang w:val="en-US"/>
        </w:rPr>
      </w:pPr>
      <w:r w:rsidRPr="006930D9">
        <w:rPr>
          <w:rFonts w:ascii="Arial" w:hAnsi="Arial" w:cs="Arial"/>
          <w:sz w:val="22"/>
          <w:szCs w:val="22"/>
          <w:lang w:val="en-US"/>
        </w:rPr>
        <w:t xml:space="preserve">Gilmour, J.B. y D.E. Lewis (2006). “Does Performance Budgeting Work? An Examination of OMB’s PART Scores”. </w:t>
      </w:r>
      <w:r w:rsidRPr="006930D9">
        <w:rPr>
          <w:rFonts w:ascii="Arial" w:hAnsi="Arial" w:cs="Arial"/>
          <w:i/>
          <w:sz w:val="22"/>
          <w:szCs w:val="22"/>
          <w:lang w:val="en-US"/>
        </w:rPr>
        <w:t>Public Administration Review</w:t>
      </w:r>
      <w:r w:rsidRPr="006930D9">
        <w:rPr>
          <w:rFonts w:ascii="Arial" w:hAnsi="Arial" w:cs="Arial"/>
          <w:sz w:val="22"/>
          <w:szCs w:val="22"/>
          <w:lang w:val="en-US"/>
        </w:rPr>
        <w:t xml:space="preserve"> 66(5): 742-752</w:t>
      </w:r>
    </w:p>
    <w:p w14:paraId="14ECC199" w14:textId="2E75EA8A" w:rsidR="00374DB0" w:rsidRPr="006930D9" w:rsidRDefault="00374DB0">
      <w:pPr>
        <w:spacing w:after="60" w:line="276" w:lineRule="auto"/>
        <w:ind w:left="720" w:hanging="720"/>
        <w:jc w:val="both"/>
        <w:rPr>
          <w:rFonts w:ascii="Arial" w:hAnsi="Arial" w:cs="Arial"/>
          <w:sz w:val="22"/>
          <w:szCs w:val="22"/>
          <w:lang w:val="en-US"/>
        </w:rPr>
      </w:pPr>
      <w:r w:rsidRPr="006930D9">
        <w:rPr>
          <w:rFonts w:ascii="Arial" w:hAnsi="Arial" w:cs="Arial"/>
          <w:sz w:val="22"/>
          <w:szCs w:val="22"/>
          <w:lang w:val="en-US"/>
        </w:rPr>
        <w:t xml:space="preserve">Hashim y </w:t>
      </w:r>
      <w:proofErr w:type="spellStart"/>
      <w:r w:rsidRPr="006930D9">
        <w:rPr>
          <w:rFonts w:ascii="Arial" w:hAnsi="Arial" w:cs="Arial"/>
          <w:sz w:val="22"/>
          <w:szCs w:val="22"/>
          <w:lang w:val="en-US"/>
        </w:rPr>
        <w:t>Piatti-Funfkirchen</w:t>
      </w:r>
      <w:proofErr w:type="spellEnd"/>
      <w:r w:rsidRPr="006930D9">
        <w:rPr>
          <w:rFonts w:ascii="Arial" w:hAnsi="Arial" w:cs="Arial"/>
          <w:sz w:val="22"/>
          <w:szCs w:val="22"/>
          <w:lang w:val="en-US"/>
        </w:rPr>
        <w:t xml:space="preserve"> (2018), </w:t>
      </w:r>
      <w:r w:rsidRPr="006930D9">
        <w:rPr>
          <w:rFonts w:ascii="Arial" w:hAnsi="Arial" w:cs="Arial"/>
          <w:i/>
          <w:sz w:val="22"/>
          <w:szCs w:val="22"/>
          <w:lang w:val="en-US"/>
        </w:rPr>
        <w:t xml:space="preserve">Lessons from reforming financial management information systems: A review of the evidence, </w:t>
      </w:r>
      <w:r w:rsidRPr="006930D9">
        <w:rPr>
          <w:rFonts w:ascii="Arial" w:hAnsi="Arial" w:cs="Arial"/>
          <w:sz w:val="22"/>
          <w:szCs w:val="22"/>
          <w:lang w:val="en-US"/>
        </w:rPr>
        <w:t>WB Policy Research Working Paper 8312</w:t>
      </w:r>
    </w:p>
    <w:p w14:paraId="78A299E2" w14:textId="10F65FAD" w:rsidR="00374DB0" w:rsidRPr="006930D9" w:rsidRDefault="00374DB0">
      <w:pPr>
        <w:spacing w:after="60" w:line="276" w:lineRule="auto"/>
        <w:ind w:left="720" w:hanging="720"/>
        <w:jc w:val="both"/>
        <w:rPr>
          <w:rFonts w:ascii="Arial" w:hAnsi="Arial" w:cs="Arial"/>
          <w:sz w:val="22"/>
          <w:szCs w:val="22"/>
          <w:lang w:val="en-US"/>
        </w:rPr>
      </w:pPr>
      <w:r w:rsidRPr="006930D9">
        <w:rPr>
          <w:rFonts w:ascii="Arial" w:hAnsi="Arial" w:cs="Arial"/>
          <w:sz w:val="22"/>
          <w:szCs w:val="22"/>
          <w:lang w:val="en-US"/>
        </w:rPr>
        <w:lastRenderedPageBreak/>
        <w:t xml:space="preserve">Hashim y Allan (2008), </w:t>
      </w:r>
      <w:r w:rsidRPr="006930D9">
        <w:rPr>
          <w:rFonts w:ascii="Arial" w:hAnsi="Arial" w:cs="Arial"/>
          <w:i/>
          <w:sz w:val="22"/>
          <w:szCs w:val="22"/>
          <w:lang w:val="en-US"/>
        </w:rPr>
        <w:t>Information systems for government fiscal management</w:t>
      </w:r>
      <w:r w:rsidRPr="006930D9">
        <w:rPr>
          <w:rFonts w:ascii="Arial" w:hAnsi="Arial" w:cs="Arial"/>
          <w:sz w:val="22"/>
          <w:szCs w:val="22"/>
          <w:lang w:val="en-US"/>
        </w:rPr>
        <w:t>, WB Sector Studies Series #18669</w:t>
      </w:r>
    </w:p>
    <w:p w14:paraId="1137EA9A" w14:textId="292FDE1A" w:rsidR="00BF27E1" w:rsidRPr="00374DB0" w:rsidRDefault="00BF27E1">
      <w:pPr>
        <w:spacing w:after="60" w:line="276" w:lineRule="auto"/>
        <w:ind w:left="720" w:hanging="720"/>
        <w:jc w:val="both"/>
        <w:rPr>
          <w:rFonts w:ascii="Arial" w:hAnsi="Arial" w:cs="Arial"/>
          <w:sz w:val="22"/>
          <w:szCs w:val="22"/>
          <w:lang w:val="en-US"/>
        </w:rPr>
      </w:pPr>
      <w:proofErr w:type="spellStart"/>
      <w:r w:rsidRPr="006930D9">
        <w:rPr>
          <w:rFonts w:ascii="Arial" w:hAnsi="Arial" w:cs="Arial"/>
          <w:sz w:val="22"/>
          <w:szCs w:val="22"/>
          <w:lang w:val="en-US"/>
        </w:rPr>
        <w:t>Kopits</w:t>
      </w:r>
      <w:proofErr w:type="spellEnd"/>
      <w:r w:rsidRPr="006930D9">
        <w:rPr>
          <w:rFonts w:ascii="Arial" w:hAnsi="Arial" w:cs="Arial"/>
          <w:sz w:val="22"/>
          <w:szCs w:val="22"/>
          <w:lang w:val="en-US"/>
        </w:rPr>
        <w:t xml:space="preserve"> (2011), </w:t>
      </w:r>
      <w:r w:rsidRPr="006930D9">
        <w:rPr>
          <w:rFonts w:ascii="Arial" w:hAnsi="Arial" w:cs="Arial"/>
          <w:i/>
          <w:sz w:val="22"/>
          <w:szCs w:val="22"/>
          <w:lang w:val="en-US"/>
        </w:rPr>
        <w:t>Independent fiscal institutions: developing goods practices</w:t>
      </w:r>
      <w:r w:rsidRPr="006930D9">
        <w:rPr>
          <w:rFonts w:ascii="Arial" w:hAnsi="Arial" w:cs="Arial"/>
          <w:sz w:val="22"/>
          <w:szCs w:val="22"/>
          <w:lang w:val="en-US"/>
        </w:rPr>
        <w:t xml:space="preserve">, OECD Journal on Budgeting; FMI (2016a) y FMI (2013), </w:t>
      </w:r>
      <w:r w:rsidRPr="006930D9">
        <w:rPr>
          <w:rFonts w:ascii="Arial" w:hAnsi="Arial" w:cs="Arial"/>
          <w:i/>
          <w:sz w:val="22"/>
          <w:szCs w:val="22"/>
          <w:lang w:val="en-US"/>
        </w:rPr>
        <w:t>The functions and impact of fiscal councils</w:t>
      </w:r>
      <w:r w:rsidRPr="006930D9">
        <w:rPr>
          <w:rFonts w:ascii="Arial" w:hAnsi="Arial" w:cs="Arial"/>
          <w:sz w:val="22"/>
          <w:szCs w:val="22"/>
          <w:lang w:val="en-US"/>
        </w:rPr>
        <w:t xml:space="preserve">, IMF Policy Paper. </w:t>
      </w:r>
      <w:r w:rsidRPr="006930D9">
        <w:rPr>
          <w:rFonts w:ascii="Arial" w:hAnsi="Arial" w:cs="Arial"/>
          <w:i/>
          <w:sz w:val="22"/>
          <w:szCs w:val="22"/>
          <w:lang w:val="en-US"/>
        </w:rPr>
        <w:t xml:space="preserve"> </w:t>
      </w:r>
    </w:p>
    <w:p w14:paraId="1A8CFA5C" w14:textId="4743DB11" w:rsidR="00155EEA" w:rsidRPr="006930D9" w:rsidRDefault="00C2392C">
      <w:pPr>
        <w:spacing w:after="60" w:line="276" w:lineRule="auto"/>
        <w:ind w:left="720" w:hanging="720"/>
        <w:jc w:val="both"/>
        <w:rPr>
          <w:rFonts w:ascii="Arial" w:hAnsi="Arial" w:cs="Arial"/>
          <w:sz w:val="22"/>
          <w:szCs w:val="22"/>
        </w:rPr>
      </w:pPr>
      <w:r w:rsidRPr="00374DB0">
        <w:rPr>
          <w:rFonts w:ascii="Arial" w:hAnsi="Arial" w:cs="Arial"/>
          <w:sz w:val="22"/>
          <w:szCs w:val="22"/>
          <w:lang w:val="en-US"/>
        </w:rPr>
        <w:t xml:space="preserve">Langenmayr, D. 2015. “Voluntary disclosure of evaded taxes – Increasing </w:t>
      </w:r>
      <w:proofErr w:type="gramStart"/>
      <w:r w:rsidRPr="00374DB0">
        <w:rPr>
          <w:rFonts w:ascii="Arial" w:hAnsi="Arial" w:cs="Arial"/>
          <w:sz w:val="22"/>
          <w:szCs w:val="22"/>
          <w:lang w:val="en-US"/>
        </w:rPr>
        <w:t>revenue, or</w:t>
      </w:r>
      <w:proofErr w:type="gramEnd"/>
      <w:r w:rsidRPr="00374DB0">
        <w:rPr>
          <w:rFonts w:ascii="Arial" w:hAnsi="Arial" w:cs="Arial"/>
          <w:sz w:val="22"/>
          <w:szCs w:val="22"/>
          <w:lang w:val="en-US"/>
        </w:rPr>
        <w:t xml:space="preserve"> increasing incentives to evade?”. </w:t>
      </w:r>
      <w:r w:rsidRPr="006930D9">
        <w:rPr>
          <w:rFonts w:ascii="Arial" w:hAnsi="Arial" w:cs="Arial"/>
          <w:sz w:val="22"/>
          <w:szCs w:val="22"/>
        </w:rPr>
        <w:t>Journal of Public Economics, Vol. 151: pp. 110-125.</w:t>
      </w:r>
    </w:p>
    <w:p w14:paraId="16F8BA5E" w14:textId="5F125A6C" w:rsidR="00BF27E1" w:rsidRPr="006930D9" w:rsidRDefault="00BF27E1">
      <w:pPr>
        <w:spacing w:after="60" w:line="276" w:lineRule="auto"/>
        <w:ind w:left="720" w:hanging="720"/>
        <w:jc w:val="both"/>
        <w:rPr>
          <w:rFonts w:ascii="Arial" w:hAnsi="Arial" w:cs="Arial"/>
          <w:sz w:val="22"/>
          <w:szCs w:val="22"/>
          <w:lang w:val="es-419"/>
        </w:rPr>
      </w:pPr>
      <w:r w:rsidRPr="006930D9">
        <w:rPr>
          <w:rFonts w:ascii="Arial" w:hAnsi="Arial" w:cs="Arial"/>
          <w:sz w:val="22"/>
          <w:szCs w:val="22"/>
          <w:lang w:val="es-419"/>
        </w:rPr>
        <w:t xml:space="preserve">Larraín y Cerda (2016), </w:t>
      </w:r>
      <w:r w:rsidRPr="006930D9">
        <w:rPr>
          <w:rFonts w:ascii="Arial" w:hAnsi="Arial" w:cs="Arial"/>
          <w:i/>
          <w:sz w:val="22"/>
          <w:szCs w:val="22"/>
          <w:lang w:val="es-419"/>
        </w:rPr>
        <w:t>El Consejo Fiscal: experiencia en el mundo y lecciones para Paraguay</w:t>
      </w:r>
      <w:r w:rsidRPr="006930D9">
        <w:rPr>
          <w:rFonts w:ascii="Arial" w:hAnsi="Arial" w:cs="Arial"/>
          <w:sz w:val="22"/>
          <w:szCs w:val="22"/>
          <w:lang w:val="es-419"/>
        </w:rPr>
        <w:t xml:space="preserve">, </w:t>
      </w:r>
      <w:proofErr w:type="spellStart"/>
      <w:r w:rsidRPr="006930D9">
        <w:rPr>
          <w:rFonts w:ascii="Arial" w:hAnsi="Arial" w:cs="Arial"/>
          <w:sz w:val="22"/>
          <w:szCs w:val="22"/>
          <w:lang w:val="es-419"/>
        </w:rPr>
        <w:t>mimeo</w:t>
      </w:r>
      <w:proofErr w:type="spellEnd"/>
      <w:r w:rsidRPr="006930D9">
        <w:rPr>
          <w:rFonts w:ascii="Arial" w:hAnsi="Arial" w:cs="Arial"/>
          <w:sz w:val="22"/>
          <w:szCs w:val="22"/>
          <w:lang w:val="es-419"/>
        </w:rPr>
        <w:t>, BID.</w:t>
      </w:r>
    </w:p>
    <w:p w14:paraId="2D6D6321" w14:textId="4794150F" w:rsidR="00155EEA" w:rsidRPr="00374DB0" w:rsidRDefault="00C2392C">
      <w:pPr>
        <w:spacing w:after="60" w:line="276" w:lineRule="auto"/>
        <w:ind w:left="720" w:hanging="720"/>
        <w:jc w:val="both"/>
        <w:rPr>
          <w:rFonts w:ascii="Arial" w:hAnsi="Arial" w:cs="Arial"/>
          <w:sz w:val="22"/>
          <w:szCs w:val="22"/>
          <w:lang w:val="es-419"/>
        </w:rPr>
      </w:pPr>
      <w:r w:rsidRPr="00374DB0">
        <w:rPr>
          <w:rFonts w:ascii="Arial" w:hAnsi="Arial" w:cs="Arial"/>
          <w:sz w:val="22"/>
          <w:szCs w:val="22"/>
          <w:lang w:val="en-US"/>
        </w:rPr>
        <w:t xml:space="preserve">Lee, S.; Park, H.; </w:t>
      </w:r>
      <w:proofErr w:type="spellStart"/>
      <w:r w:rsidRPr="00374DB0">
        <w:rPr>
          <w:rFonts w:ascii="Arial" w:hAnsi="Arial" w:cs="Arial"/>
          <w:sz w:val="22"/>
          <w:szCs w:val="22"/>
          <w:lang w:val="en-US"/>
        </w:rPr>
        <w:t>Seo</w:t>
      </w:r>
      <w:proofErr w:type="spellEnd"/>
      <w:r w:rsidRPr="00374DB0">
        <w:rPr>
          <w:rFonts w:ascii="Arial" w:hAnsi="Arial" w:cs="Arial"/>
          <w:sz w:val="22"/>
          <w:szCs w:val="22"/>
          <w:lang w:val="en-US"/>
        </w:rPr>
        <w:t xml:space="preserve">, M.; y Shin, Y. 2017. “Testing for a debt-threshold effect on output growth”. </w:t>
      </w:r>
      <w:r w:rsidRPr="00374DB0">
        <w:rPr>
          <w:rFonts w:ascii="Arial" w:hAnsi="Arial" w:cs="Arial"/>
          <w:sz w:val="22"/>
          <w:szCs w:val="22"/>
          <w:lang w:val="es-419"/>
        </w:rPr>
        <w:t xml:space="preserve">Fiscal </w:t>
      </w:r>
      <w:proofErr w:type="spellStart"/>
      <w:r w:rsidRPr="00374DB0">
        <w:rPr>
          <w:rFonts w:ascii="Arial" w:hAnsi="Arial" w:cs="Arial"/>
          <w:sz w:val="22"/>
          <w:szCs w:val="22"/>
          <w:lang w:val="es-419"/>
        </w:rPr>
        <w:t>studies</w:t>
      </w:r>
      <w:proofErr w:type="spellEnd"/>
      <w:r w:rsidRPr="00374DB0">
        <w:rPr>
          <w:rFonts w:ascii="Arial" w:hAnsi="Arial" w:cs="Arial"/>
          <w:sz w:val="22"/>
          <w:szCs w:val="22"/>
          <w:lang w:val="es-419"/>
        </w:rPr>
        <w:t xml:space="preserve">. 2017 </w:t>
      </w:r>
      <w:proofErr w:type="spellStart"/>
      <w:r w:rsidRPr="00374DB0">
        <w:rPr>
          <w:rFonts w:ascii="Arial" w:hAnsi="Arial" w:cs="Arial"/>
          <w:sz w:val="22"/>
          <w:szCs w:val="22"/>
          <w:lang w:val="es-419"/>
        </w:rPr>
        <w:t>Dec</w:t>
      </w:r>
      <w:proofErr w:type="spellEnd"/>
      <w:r w:rsidRPr="00374DB0">
        <w:rPr>
          <w:rFonts w:ascii="Arial" w:hAnsi="Arial" w:cs="Arial"/>
          <w:sz w:val="22"/>
          <w:szCs w:val="22"/>
          <w:lang w:val="es-419"/>
        </w:rPr>
        <w:t xml:space="preserve">, 38(4):701-717. </w:t>
      </w:r>
    </w:p>
    <w:p w14:paraId="5880BC4F" w14:textId="77777777" w:rsidR="00155EEA" w:rsidRPr="00374DB0" w:rsidRDefault="00C2392C">
      <w:pPr>
        <w:spacing w:after="60" w:line="276" w:lineRule="auto"/>
        <w:ind w:left="720" w:hanging="720"/>
        <w:jc w:val="both"/>
        <w:rPr>
          <w:rFonts w:ascii="Arial" w:hAnsi="Arial" w:cs="Arial"/>
          <w:sz w:val="22"/>
          <w:szCs w:val="22"/>
          <w:lang w:val="es-AR"/>
        </w:rPr>
      </w:pPr>
      <w:r w:rsidRPr="00374DB0">
        <w:rPr>
          <w:rFonts w:ascii="Arial" w:hAnsi="Arial" w:cs="Arial"/>
          <w:sz w:val="22"/>
          <w:szCs w:val="22"/>
          <w:lang w:val="es-MX"/>
        </w:rPr>
        <w:t xml:space="preserve">Marcel, M., Martínez, J.P. y </w:t>
      </w:r>
      <w:proofErr w:type="spellStart"/>
      <w:r w:rsidRPr="00374DB0">
        <w:rPr>
          <w:rFonts w:ascii="Arial" w:hAnsi="Arial" w:cs="Arial"/>
          <w:sz w:val="22"/>
          <w:szCs w:val="22"/>
          <w:lang w:val="es-MX"/>
        </w:rPr>
        <w:t>Sanginés</w:t>
      </w:r>
      <w:proofErr w:type="spellEnd"/>
      <w:r w:rsidRPr="00374DB0">
        <w:rPr>
          <w:rFonts w:ascii="Arial" w:hAnsi="Arial" w:cs="Arial"/>
          <w:sz w:val="22"/>
          <w:szCs w:val="22"/>
          <w:lang w:val="es-MX"/>
        </w:rPr>
        <w:t>, M. 2012. “</w:t>
      </w:r>
      <w:r w:rsidRPr="00374DB0">
        <w:rPr>
          <w:rFonts w:ascii="Arial" w:hAnsi="Arial" w:cs="Arial"/>
          <w:sz w:val="22"/>
          <w:szCs w:val="22"/>
          <w:lang w:val="es-AR"/>
        </w:rPr>
        <w:t>El presupuesto basado en resultados: una vía para mejorar el gasto público”. En el libro, Las Instituciones Fiscales del Mañana. Banco Interamericano de Desarrollo.</w:t>
      </w:r>
    </w:p>
    <w:p w14:paraId="5DC4FBF0" w14:textId="77777777" w:rsidR="00155EEA" w:rsidRPr="00374DB0" w:rsidRDefault="00C2392C">
      <w:pPr>
        <w:spacing w:after="60" w:line="276" w:lineRule="auto"/>
        <w:ind w:left="720" w:hanging="720"/>
        <w:jc w:val="both"/>
        <w:rPr>
          <w:rFonts w:ascii="Arial" w:hAnsi="Arial" w:cs="Arial"/>
          <w:sz w:val="22"/>
          <w:szCs w:val="22"/>
          <w:lang w:val="en-US"/>
        </w:rPr>
      </w:pPr>
      <w:r w:rsidRPr="00374DB0">
        <w:rPr>
          <w:rFonts w:ascii="Arial" w:hAnsi="Arial" w:cs="Arial"/>
          <w:sz w:val="22"/>
          <w:szCs w:val="22"/>
          <w:lang w:val="en-US"/>
        </w:rPr>
        <w:t>OCDE. 2014. “Working Smarter in Tax Debt Management”. OECD Publishing. http://dx.doi.org/10.1787/9789264223257-en</w:t>
      </w:r>
    </w:p>
    <w:p w14:paraId="3B35EB63" w14:textId="1E941301" w:rsidR="00374DB0" w:rsidRPr="00374DB0" w:rsidRDefault="00374DB0">
      <w:pPr>
        <w:spacing w:after="60" w:line="276" w:lineRule="auto"/>
        <w:ind w:left="720" w:hanging="720"/>
        <w:jc w:val="both"/>
        <w:rPr>
          <w:rFonts w:ascii="Arial" w:hAnsi="Arial" w:cs="Arial"/>
          <w:sz w:val="22"/>
          <w:szCs w:val="22"/>
          <w:lang w:val="en-US"/>
        </w:rPr>
      </w:pPr>
      <w:r w:rsidRPr="006930D9">
        <w:rPr>
          <w:rFonts w:ascii="Arial" w:hAnsi="Arial" w:cs="Arial"/>
          <w:sz w:val="22"/>
          <w:szCs w:val="22"/>
          <w:lang w:val="es-419"/>
        </w:rPr>
        <w:t xml:space="preserve">Pimenta y Pessoa (2015), </w:t>
      </w:r>
      <w:r w:rsidRPr="006930D9">
        <w:rPr>
          <w:rFonts w:ascii="Arial" w:hAnsi="Arial" w:cs="Arial"/>
          <w:i/>
          <w:sz w:val="22"/>
          <w:szCs w:val="22"/>
          <w:lang w:val="es-419"/>
        </w:rPr>
        <w:t xml:space="preserve">GFP en ALC: la clave de la eficiencia y la transparencia. </w:t>
      </w:r>
      <w:r w:rsidRPr="006930D9">
        <w:rPr>
          <w:rFonts w:ascii="Arial" w:hAnsi="Arial" w:cs="Arial"/>
          <w:sz w:val="22"/>
          <w:szCs w:val="22"/>
          <w:lang w:val="en-US"/>
        </w:rPr>
        <w:t>BID y FMI</w:t>
      </w:r>
    </w:p>
    <w:p w14:paraId="20DBB790" w14:textId="77777777" w:rsidR="00486375" w:rsidRPr="00CC5596" w:rsidRDefault="00486375" w:rsidP="00486375">
      <w:pPr>
        <w:spacing w:after="60" w:line="276" w:lineRule="auto"/>
        <w:ind w:left="720" w:hanging="720"/>
        <w:jc w:val="both"/>
        <w:rPr>
          <w:rFonts w:ascii="Arial" w:hAnsi="Arial" w:cs="Arial"/>
          <w:sz w:val="22"/>
          <w:szCs w:val="22"/>
          <w:lang w:val="es-419"/>
        </w:rPr>
      </w:pPr>
      <w:r w:rsidRPr="00CC5596">
        <w:rPr>
          <w:rFonts w:ascii="Arial" w:hAnsi="Arial" w:cs="Arial"/>
          <w:sz w:val="22"/>
          <w:szCs w:val="22"/>
          <w:lang w:val="es-419"/>
        </w:rPr>
        <w:t>Ramírez Álvarez, Oliva y Andin</w:t>
      </w:r>
      <w:r>
        <w:rPr>
          <w:rFonts w:ascii="Arial" w:hAnsi="Arial" w:cs="Arial"/>
          <w:sz w:val="22"/>
          <w:szCs w:val="22"/>
          <w:lang w:val="es-419"/>
        </w:rPr>
        <w:t xml:space="preserve">o (2018). Facturación electrónica en Ecuador: evaluación de impacto en el cumplimiento tributario. </w:t>
      </w:r>
      <w:r w:rsidRPr="000D7DDF">
        <w:rPr>
          <w:rFonts w:ascii="Arial" w:hAnsi="Arial" w:cs="Arial"/>
          <w:sz w:val="22"/>
          <w:szCs w:val="22"/>
          <w:lang w:val="es-419"/>
        </w:rPr>
        <w:t>Documento para dis</w:t>
      </w:r>
      <w:r w:rsidRPr="00CC5596">
        <w:rPr>
          <w:rFonts w:ascii="Arial" w:hAnsi="Arial" w:cs="Arial"/>
          <w:sz w:val="22"/>
          <w:szCs w:val="22"/>
          <w:lang w:val="es-419"/>
        </w:rPr>
        <w:t xml:space="preserve">cusión Nº IDB-DP-563, BID. </w:t>
      </w:r>
    </w:p>
    <w:p w14:paraId="69020CD6" w14:textId="550F9725" w:rsidR="00155EEA" w:rsidRPr="006930D9" w:rsidRDefault="00C2392C">
      <w:pPr>
        <w:spacing w:after="60" w:line="276" w:lineRule="auto"/>
        <w:ind w:left="720" w:hanging="720"/>
        <w:jc w:val="both"/>
        <w:rPr>
          <w:rFonts w:ascii="Arial" w:hAnsi="Arial" w:cs="Arial"/>
          <w:sz w:val="22"/>
          <w:szCs w:val="22"/>
          <w:lang w:val="es-419"/>
        </w:rPr>
      </w:pPr>
      <w:r w:rsidRPr="00374DB0">
        <w:rPr>
          <w:rFonts w:ascii="Arial" w:hAnsi="Arial" w:cs="Arial"/>
          <w:sz w:val="22"/>
          <w:szCs w:val="22"/>
          <w:lang w:val="en-US"/>
        </w:rPr>
        <w:t xml:space="preserve">Robinson, M. y Bruni, J. Does Performance Budgeting Work? An Analytical Review of the Empirical Literature. </w:t>
      </w:r>
      <w:r w:rsidRPr="006930D9">
        <w:rPr>
          <w:rFonts w:ascii="Arial" w:hAnsi="Arial" w:cs="Arial"/>
          <w:sz w:val="22"/>
          <w:szCs w:val="22"/>
          <w:lang w:val="es-419"/>
        </w:rPr>
        <w:t xml:space="preserve">2005. International </w:t>
      </w:r>
      <w:proofErr w:type="spellStart"/>
      <w:r w:rsidRPr="006930D9">
        <w:rPr>
          <w:rFonts w:ascii="Arial" w:hAnsi="Arial" w:cs="Arial"/>
          <w:sz w:val="22"/>
          <w:szCs w:val="22"/>
          <w:lang w:val="es-419"/>
        </w:rPr>
        <w:t>Monetary</w:t>
      </w:r>
      <w:proofErr w:type="spellEnd"/>
      <w:r w:rsidRPr="006930D9">
        <w:rPr>
          <w:rFonts w:ascii="Arial" w:hAnsi="Arial" w:cs="Arial"/>
          <w:sz w:val="22"/>
          <w:szCs w:val="22"/>
          <w:lang w:val="es-419"/>
        </w:rPr>
        <w:t xml:space="preserve"> </w:t>
      </w:r>
      <w:proofErr w:type="spellStart"/>
      <w:r w:rsidRPr="006930D9">
        <w:rPr>
          <w:rFonts w:ascii="Arial" w:hAnsi="Arial" w:cs="Arial"/>
          <w:sz w:val="22"/>
          <w:szCs w:val="22"/>
          <w:lang w:val="es-419"/>
        </w:rPr>
        <w:t>Fund</w:t>
      </w:r>
      <w:proofErr w:type="spellEnd"/>
      <w:r w:rsidRPr="006930D9">
        <w:rPr>
          <w:rFonts w:ascii="Arial" w:hAnsi="Arial" w:cs="Arial"/>
          <w:sz w:val="22"/>
          <w:szCs w:val="22"/>
          <w:lang w:val="es-419"/>
        </w:rPr>
        <w:t xml:space="preserve"> </w:t>
      </w:r>
      <w:proofErr w:type="spellStart"/>
      <w:r w:rsidRPr="006930D9">
        <w:rPr>
          <w:rFonts w:ascii="Arial" w:hAnsi="Arial" w:cs="Arial"/>
          <w:sz w:val="22"/>
          <w:szCs w:val="22"/>
          <w:lang w:val="es-419"/>
        </w:rPr>
        <w:t>Working</w:t>
      </w:r>
      <w:proofErr w:type="spellEnd"/>
      <w:r w:rsidRPr="006930D9">
        <w:rPr>
          <w:rFonts w:ascii="Arial" w:hAnsi="Arial" w:cs="Arial"/>
          <w:sz w:val="22"/>
          <w:szCs w:val="22"/>
          <w:lang w:val="es-419"/>
        </w:rPr>
        <w:t xml:space="preserve"> Paper 05/201.</w:t>
      </w:r>
    </w:p>
    <w:p w14:paraId="629D51EE" w14:textId="485CFA97" w:rsidR="00374DB0" w:rsidRPr="006930D9" w:rsidRDefault="00374DB0">
      <w:pPr>
        <w:spacing w:after="60" w:line="276" w:lineRule="auto"/>
        <w:ind w:left="720" w:hanging="720"/>
        <w:jc w:val="both"/>
        <w:rPr>
          <w:rFonts w:ascii="Arial" w:hAnsi="Arial" w:cs="Arial"/>
          <w:sz w:val="22"/>
          <w:szCs w:val="22"/>
          <w:lang w:val="es-419"/>
        </w:rPr>
      </w:pPr>
      <w:r w:rsidRPr="006930D9">
        <w:rPr>
          <w:rFonts w:ascii="Arial" w:hAnsi="Arial" w:cs="Arial"/>
          <w:sz w:val="22"/>
          <w:szCs w:val="22"/>
          <w:lang w:val="es-419"/>
        </w:rPr>
        <w:t xml:space="preserve">Salas, Camacho y Alzamora (2018), </w:t>
      </w:r>
      <w:r w:rsidRPr="006930D9">
        <w:rPr>
          <w:rFonts w:ascii="Arial" w:hAnsi="Arial" w:cs="Arial"/>
          <w:i/>
          <w:sz w:val="22"/>
          <w:szCs w:val="22"/>
          <w:lang w:val="es-419"/>
        </w:rPr>
        <w:t xml:space="preserve">El Fondo de Estabilización Fiscal en el Perú – </w:t>
      </w:r>
      <w:r w:rsidRPr="006930D9">
        <w:rPr>
          <w:rFonts w:ascii="Arial" w:hAnsi="Arial" w:cs="Arial"/>
          <w:sz w:val="22"/>
          <w:szCs w:val="22"/>
          <w:lang w:val="es-419"/>
        </w:rPr>
        <w:t>Revista Moneda del Banco Central de Perú</w:t>
      </w:r>
    </w:p>
    <w:p w14:paraId="57539B51" w14:textId="3D7A4DC4" w:rsidR="00374DB0" w:rsidRPr="00374DB0" w:rsidRDefault="00374DB0">
      <w:pPr>
        <w:spacing w:after="60" w:line="276" w:lineRule="auto"/>
        <w:ind w:left="720" w:hanging="720"/>
        <w:jc w:val="both"/>
        <w:rPr>
          <w:rFonts w:ascii="Arial" w:hAnsi="Arial" w:cs="Arial"/>
          <w:sz w:val="22"/>
          <w:szCs w:val="22"/>
          <w:lang w:val="en-US"/>
        </w:rPr>
      </w:pPr>
      <w:r w:rsidRPr="006930D9">
        <w:rPr>
          <w:rFonts w:ascii="Arial" w:hAnsi="Arial" w:cs="Arial"/>
          <w:sz w:val="22"/>
          <w:szCs w:val="22"/>
          <w:lang w:val="en-US"/>
        </w:rPr>
        <w:t xml:space="preserve">Sugawara (2014), </w:t>
      </w:r>
      <w:r w:rsidRPr="006930D9">
        <w:rPr>
          <w:rFonts w:ascii="Arial" w:hAnsi="Arial" w:cs="Arial"/>
          <w:i/>
          <w:sz w:val="22"/>
          <w:szCs w:val="22"/>
          <w:lang w:val="en-US"/>
        </w:rPr>
        <w:t>From volatility to stability in expenditure: Stabilization funds in resource-rich countries</w:t>
      </w:r>
      <w:r w:rsidRPr="006930D9">
        <w:rPr>
          <w:rFonts w:ascii="Arial" w:hAnsi="Arial" w:cs="Arial"/>
          <w:sz w:val="22"/>
          <w:szCs w:val="22"/>
          <w:lang w:val="en-US"/>
        </w:rPr>
        <w:t>, IMF WP/14/43</w:t>
      </w:r>
    </w:p>
    <w:p w14:paraId="3DEEF5C6" w14:textId="77777777" w:rsidR="00486375" w:rsidRDefault="00486375" w:rsidP="00486375">
      <w:pPr>
        <w:spacing w:after="60" w:line="276" w:lineRule="auto"/>
        <w:ind w:left="720" w:hanging="720"/>
        <w:jc w:val="both"/>
        <w:rPr>
          <w:rFonts w:ascii="Arial" w:hAnsi="Arial" w:cs="Arial"/>
          <w:sz w:val="22"/>
          <w:szCs w:val="22"/>
        </w:rPr>
      </w:pPr>
      <w:r>
        <w:rPr>
          <w:rFonts w:ascii="Arial" w:hAnsi="Arial" w:cs="Arial"/>
          <w:sz w:val="22"/>
          <w:szCs w:val="22"/>
        </w:rPr>
        <w:t xml:space="preserve">Templado y Artana (2018). Análisis del impacto de la factura electrónica en Argentina. Documento para discusión Nº IDB-DP-562, BID. </w:t>
      </w:r>
    </w:p>
    <w:p w14:paraId="160E262C" w14:textId="5018F793" w:rsidR="00BF27E1" w:rsidRPr="000E0C74" w:rsidRDefault="00BF27E1">
      <w:pPr>
        <w:spacing w:after="60" w:line="276" w:lineRule="auto"/>
        <w:ind w:left="720" w:hanging="720"/>
        <w:jc w:val="both"/>
        <w:rPr>
          <w:rFonts w:ascii="Arial" w:hAnsi="Arial" w:cs="Arial"/>
          <w:sz w:val="22"/>
          <w:szCs w:val="22"/>
          <w:lang w:val="es-419"/>
        </w:rPr>
      </w:pPr>
      <w:r w:rsidRPr="006930D9">
        <w:rPr>
          <w:rFonts w:ascii="Arial" w:hAnsi="Arial" w:cs="Arial"/>
          <w:sz w:val="22"/>
          <w:szCs w:val="22"/>
        </w:rPr>
        <w:t xml:space="preserve">Vega, A. 2012. Marcos Fiscales y Presupuestarios de Mediano Plazo: Recomendaciones para el caso de Paraguay. </w:t>
      </w:r>
      <w:r w:rsidRPr="000E0C74">
        <w:rPr>
          <w:rFonts w:ascii="Arial" w:hAnsi="Arial" w:cs="Arial"/>
          <w:sz w:val="22"/>
          <w:szCs w:val="22"/>
          <w:lang w:val="es-419"/>
        </w:rPr>
        <w:t xml:space="preserve">Cepal. Disponible en: </w:t>
      </w:r>
      <w:hyperlink r:id="rId27" w:history="1">
        <w:r w:rsidRPr="000E0C74">
          <w:rPr>
            <w:sz w:val="22"/>
            <w:szCs w:val="22"/>
            <w:lang w:val="es-419"/>
          </w:rPr>
          <w:t>https://repositorio.cepal.org/handle/11362/3968</w:t>
        </w:r>
      </w:hyperlink>
    </w:p>
    <w:p w14:paraId="0EB3681A" w14:textId="25EFE8ED" w:rsidR="00155EEA" w:rsidRPr="006930D9" w:rsidRDefault="00C2392C">
      <w:pPr>
        <w:spacing w:after="60" w:line="276" w:lineRule="auto"/>
        <w:ind w:left="720" w:hanging="720"/>
        <w:jc w:val="both"/>
        <w:rPr>
          <w:rFonts w:ascii="Arial" w:hAnsi="Arial" w:cs="Arial"/>
          <w:sz w:val="22"/>
          <w:szCs w:val="22"/>
          <w:lang w:val="en-US"/>
        </w:rPr>
      </w:pPr>
      <w:r w:rsidRPr="000E0C74">
        <w:rPr>
          <w:rFonts w:ascii="Arial" w:hAnsi="Arial" w:cs="Arial"/>
          <w:sz w:val="22"/>
          <w:szCs w:val="22"/>
          <w:lang w:val="es-419"/>
        </w:rPr>
        <w:t>Vlaicu, V.; </w:t>
      </w:r>
      <w:proofErr w:type="spellStart"/>
      <w:r w:rsidRPr="000E0C74">
        <w:rPr>
          <w:rFonts w:ascii="Arial" w:hAnsi="Arial" w:cs="Arial"/>
          <w:sz w:val="22"/>
          <w:szCs w:val="22"/>
          <w:lang w:val="es-419"/>
        </w:rPr>
        <w:t>Verhoeven</w:t>
      </w:r>
      <w:proofErr w:type="spellEnd"/>
      <w:r w:rsidRPr="000E0C74">
        <w:rPr>
          <w:rFonts w:ascii="Arial" w:hAnsi="Arial" w:cs="Arial"/>
          <w:sz w:val="22"/>
          <w:szCs w:val="22"/>
          <w:lang w:val="es-419"/>
        </w:rPr>
        <w:t xml:space="preserve">, M.; Grigoli, F.; y Mills, S. 2014. </w:t>
      </w:r>
      <w:r w:rsidRPr="00374DB0">
        <w:rPr>
          <w:rFonts w:ascii="Arial" w:hAnsi="Arial" w:cs="Arial"/>
          <w:sz w:val="22"/>
          <w:szCs w:val="22"/>
          <w:lang w:val="en-AU"/>
        </w:rPr>
        <w:t xml:space="preserve">“Multiyear budgets and fiscal performance: Panel data evidence”. </w:t>
      </w:r>
      <w:r w:rsidRPr="006930D9">
        <w:rPr>
          <w:rFonts w:ascii="Arial" w:hAnsi="Arial" w:cs="Arial"/>
          <w:sz w:val="22"/>
          <w:szCs w:val="22"/>
          <w:lang w:val="en-US"/>
        </w:rPr>
        <w:t>Journal of Public Economics, Vol. 11: pp. 79–95.</w:t>
      </w:r>
    </w:p>
    <w:p w14:paraId="2B287F7A" w14:textId="4BAF40AA" w:rsidR="00374DB0" w:rsidRPr="006930D9" w:rsidRDefault="00374DB0">
      <w:pPr>
        <w:spacing w:after="60" w:line="276" w:lineRule="auto"/>
        <w:ind w:left="720" w:hanging="720"/>
        <w:jc w:val="both"/>
        <w:rPr>
          <w:rFonts w:ascii="Arial" w:hAnsi="Arial" w:cs="Arial"/>
          <w:sz w:val="22"/>
          <w:szCs w:val="22"/>
          <w:lang w:val="en-US"/>
        </w:rPr>
      </w:pPr>
      <w:r w:rsidRPr="006930D9">
        <w:rPr>
          <w:rFonts w:ascii="Arial" w:hAnsi="Arial" w:cs="Arial"/>
          <w:sz w:val="22"/>
          <w:szCs w:val="22"/>
          <w:lang w:val="en-US"/>
        </w:rPr>
        <w:t xml:space="preserve">WB (2016), </w:t>
      </w:r>
      <w:r w:rsidRPr="006930D9">
        <w:rPr>
          <w:rFonts w:ascii="Arial" w:hAnsi="Arial" w:cs="Arial"/>
          <w:i/>
          <w:sz w:val="22"/>
          <w:szCs w:val="22"/>
          <w:lang w:val="en-US"/>
        </w:rPr>
        <w:t>Toward next-generation performance budgeting – Lessons from the experiences of seven reforming countries</w:t>
      </w:r>
      <w:r w:rsidRPr="006930D9">
        <w:rPr>
          <w:rFonts w:ascii="Arial" w:hAnsi="Arial" w:cs="Arial"/>
          <w:sz w:val="22"/>
          <w:szCs w:val="22"/>
          <w:lang w:val="en-US"/>
        </w:rPr>
        <w:t>. Daniel Moynihan e Ivor Beazley, Directions in development, Public Sector Governance</w:t>
      </w:r>
    </w:p>
    <w:p w14:paraId="7FC784E4" w14:textId="70BD59BC" w:rsidR="00374DB0" w:rsidRPr="006930D9" w:rsidRDefault="00374DB0">
      <w:pPr>
        <w:spacing w:after="60" w:line="276" w:lineRule="auto"/>
        <w:ind w:left="720" w:hanging="720"/>
        <w:jc w:val="both"/>
        <w:rPr>
          <w:rFonts w:ascii="Arial" w:hAnsi="Arial" w:cs="Arial"/>
          <w:b/>
          <w:sz w:val="22"/>
          <w:szCs w:val="22"/>
          <w:lang w:val="es-MX"/>
        </w:rPr>
      </w:pPr>
      <w:r w:rsidRPr="006930D9">
        <w:rPr>
          <w:rFonts w:ascii="Arial" w:hAnsi="Arial" w:cs="Arial"/>
          <w:sz w:val="22"/>
          <w:szCs w:val="22"/>
          <w:lang w:val="en-US"/>
        </w:rPr>
        <w:lastRenderedPageBreak/>
        <w:t xml:space="preserve">Zaltsman, A. (2009). “The Effects of Performance Information on Public Resource Allocations: A Study of Chile’s Performance-Based Budgeting System”. </w:t>
      </w:r>
      <w:r w:rsidRPr="00FD61A1">
        <w:rPr>
          <w:rFonts w:ascii="Arial" w:hAnsi="Arial" w:cs="Arial"/>
          <w:i/>
          <w:sz w:val="22"/>
          <w:szCs w:val="22"/>
        </w:rPr>
        <w:t>International Public Management Journal</w:t>
      </w:r>
      <w:r w:rsidRPr="00FD61A1">
        <w:rPr>
          <w:rFonts w:ascii="Arial" w:hAnsi="Arial" w:cs="Arial"/>
          <w:sz w:val="22"/>
          <w:szCs w:val="22"/>
        </w:rPr>
        <w:t>, 12(4): 450-483.</w:t>
      </w:r>
    </w:p>
    <w:p w14:paraId="13AD78AD" w14:textId="77777777" w:rsidR="00155EEA" w:rsidRDefault="00C2392C">
      <w:pPr>
        <w:spacing w:after="120" w:line="276" w:lineRule="auto"/>
        <w:ind w:left="720" w:hanging="720"/>
        <w:jc w:val="both"/>
        <w:rPr>
          <w:rFonts w:ascii="Arial" w:hAnsi="Arial" w:cs="Arial"/>
          <w:sz w:val="22"/>
          <w:szCs w:val="22"/>
          <w:lang w:val="es-MX"/>
        </w:rPr>
      </w:pPr>
      <w:r>
        <w:rPr>
          <w:b/>
          <w:lang w:val="es-MX"/>
        </w:rPr>
        <w:br w:type="page"/>
      </w:r>
    </w:p>
    <w:p w14:paraId="66AEBA93" w14:textId="7009490B" w:rsidR="00155EEA" w:rsidRDefault="00C2392C" w:rsidP="006930D9">
      <w:pPr>
        <w:spacing w:after="240" w:line="360" w:lineRule="auto"/>
        <w:jc w:val="center"/>
        <w:rPr>
          <w:rFonts w:ascii="Arial" w:hAnsi="Arial" w:cs="Arial"/>
          <w:b/>
          <w:sz w:val="22"/>
          <w:szCs w:val="22"/>
          <w:lang w:val="es-ES"/>
        </w:rPr>
      </w:pPr>
      <w:r>
        <w:rPr>
          <w:rFonts w:ascii="Arial" w:hAnsi="Arial" w:cs="Arial"/>
          <w:b/>
          <w:sz w:val="22"/>
          <w:szCs w:val="22"/>
          <w:lang w:val="es-ES"/>
        </w:rPr>
        <w:lastRenderedPageBreak/>
        <w:t xml:space="preserve">ANEXO </w:t>
      </w:r>
      <w:r w:rsidR="00A92F12">
        <w:rPr>
          <w:rFonts w:ascii="Arial" w:hAnsi="Arial" w:cs="Arial"/>
          <w:b/>
          <w:sz w:val="22"/>
          <w:szCs w:val="22"/>
          <w:lang w:val="es-ES"/>
        </w:rPr>
        <w:t>1</w:t>
      </w:r>
    </w:p>
    <w:p w14:paraId="0CC03420" w14:textId="77777777" w:rsidR="00155EEA" w:rsidRPr="002E726D" w:rsidRDefault="00C2392C" w:rsidP="006930D9">
      <w:pPr>
        <w:spacing w:after="120" w:line="360" w:lineRule="auto"/>
        <w:jc w:val="center"/>
        <w:rPr>
          <w:rFonts w:ascii="Arial" w:hAnsi="Arial" w:cs="Arial"/>
          <w:b/>
          <w:caps/>
          <w:sz w:val="22"/>
          <w:szCs w:val="22"/>
          <w:lang w:val="es-CR"/>
        </w:rPr>
      </w:pPr>
      <w:r>
        <w:rPr>
          <w:rFonts w:ascii="Arial" w:hAnsi="Arial" w:cs="Arial"/>
          <w:b/>
          <w:caps/>
          <w:sz w:val="22"/>
          <w:szCs w:val="22"/>
          <w:lang w:val="es-ES"/>
        </w:rPr>
        <w:t xml:space="preserve">Consultoría de evaluación Del </w:t>
      </w:r>
      <w:r w:rsidR="001D62D7">
        <w:rPr>
          <w:rFonts w:ascii="Arial" w:hAnsi="Arial" w:cs="Arial"/>
          <w:b/>
          <w:caps/>
          <w:sz w:val="22"/>
          <w:szCs w:val="22"/>
          <w:lang w:val="es-ES"/>
        </w:rPr>
        <w:t xml:space="preserve">IMPACTO DE LA IMPLEMENTACIÓN DEL SIFEN SOBRE LA RECAUDACIÓN TRIBUTARIA </w:t>
      </w:r>
    </w:p>
    <w:p w14:paraId="3DEBF59E" w14:textId="77777777" w:rsidR="00155EEA" w:rsidRDefault="00C2392C" w:rsidP="006930D9">
      <w:pPr>
        <w:spacing w:before="120" w:after="120" w:line="360" w:lineRule="auto"/>
        <w:jc w:val="center"/>
        <w:rPr>
          <w:rFonts w:ascii="Arial" w:hAnsi="Arial" w:cs="Arial"/>
          <w:b/>
          <w:caps/>
          <w:sz w:val="22"/>
          <w:szCs w:val="22"/>
          <w:lang w:val="es-ES"/>
        </w:rPr>
      </w:pPr>
      <w:r>
        <w:rPr>
          <w:rFonts w:ascii="Arial" w:hAnsi="Arial" w:cs="Arial"/>
          <w:b/>
          <w:caps/>
          <w:sz w:val="22"/>
          <w:szCs w:val="22"/>
          <w:lang w:val="es-ES"/>
        </w:rPr>
        <w:t>Borrador de TéRminos de referencia</w:t>
      </w:r>
    </w:p>
    <w:p w14:paraId="01CB4F5A" w14:textId="77777777" w:rsidR="00155EEA" w:rsidRDefault="00C2392C" w:rsidP="006930D9">
      <w:pPr>
        <w:pStyle w:val="heading-b24"/>
        <w:spacing w:before="120" w:after="120"/>
        <w:jc w:val="left"/>
        <w:rPr>
          <w:rFonts w:ascii="Arial" w:eastAsia="Arial Unicode MS" w:hAnsi="Arial" w:cs="Arial"/>
          <w:szCs w:val="24"/>
          <w:lang w:val="es-ES"/>
        </w:rPr>
      </w:pPr>
      <w:r>
        <w:rPr>
          <w:rFonts w:ascii="Arial" w:hAnsi="Arial" w:eastAsia="Arial Unicode MS" w:cs="Arial"/>
          <w:szCs w:val="24"/>
          <w:lang w:val="es-ES"/>
        </w:rPr>
        <w:t>Objetivos</w:t>
      </w:r>
    </w:p>
    <w:p w14:paraId="6FAFE185" w14:textId="77777777" w:rsidR="003B0706" w:rsidRPr="003B0706" w:rsidRDefault="003B0706" w:rsidP="003B0706">
      <w:pPr>
        <w:pStyle w:val="Paragraph"/>
        <w:numPr>
          <w:ilvl w:val="0"/>
          <w:numId w:val="0"/>
        </w:numPr>
        <w:tabs>
          <w:tab w:val="left" w:pos="0"/>
        </w:tabs>
        <w:rPr>
          <w:rFonts w:ascii="Arial" w:hAnsi="Arial" w:cs="Arial"/>
          <w:spacing w:val="-3"/>
          <w:sz w:val="22"/>
          <w:szCs w:val="22"/>
        </w:rPr>
      </w:pPr>
      <w:r w:rsidRPr="003B0706">
        <w:rPr>
          <w:rFonts w:ascii="Arial" w:hAnsi="Arial" w:cs="Arial"/>
          <w:spacing w:val="-3"/>
          <w:sz w:val="22"/>
          <w:szCs w:val="22"/>
        </w:rPr>
        <w:t xml:space="preserve">El objetivo general de esta consultoría es diseñar e implementar la evaluación de impacto de la factura electrónica </w:t>
      </w:r>
      <w:r w:rsidR="00C76233">
        <w:rPr>
          <w:rFonts w:ascii="Arial" w:hAnsi="Arial" w:cs="Arial"/>
          <w:spacing w:val="-3"/>
          <w:sz w:val="22"/>
          <w:szCs w:val="22"/>
        </w:rPr>
        <w:t xml:space="preserve">sobre la recaudación de IVA </w:t>
      </w:r>
      <w:r w:rsidRPr="003B0706">
        <w:rPr>
          <w:rFonts w:ascii="Arial" w:hAnsi="Arial" w:cs="Arial"/>
          <w:spacing w:val="-3"/>
          <w:sz w:val="22"/>
          <w:szCs w:val="22"/>
        </w:rPr>
        <w:t xml:space="preserve">en </w:t>
      </w:r>
      <w:r w:rsidR="005816F5">
        <w:rPr>
          <w:rFonts w:ascii="Arial" w:hAnsi="Arial" w:cs="Arial"/>
          <w:spacing w:val="-3"/>
          <w:sz w:val="22"/>
          <w:szCs w:val="22"/>
        </w:rPr>
        <w:t>Paraguay</w:t>
      </w:r>
      <w:r w:rsidRPr="003B0706">
        <w:rPr>
          <w:rFonts w:ascii="Arial" w:hAnsi="Arial" w:cs="Arial"/>
          <w:spacing w:val="-3"/>
          <w:sz w:val="22"/>
          <w:szCs w:val="22"/>
        </w:rPr>
        <w:t xml:space="preserve">, utilizando </w:t>
      </w:r>
      <w:r w:rsidR="005816F5">
        <w:rPr>
          <w:rFonts w:ascii="Arial" w:hAnsi="Arial" w:cs="Arial"/>
          <w:spacing w:val="-3"/>
          <w:sz w:val="22"/>
          <w:szCs w:val="22"/>
        </w:rPr>
        <w:t>un experimento aleatorio</w:t>
      </w:r>
      <w:r w:rsidRPr="003B0706">
        <w:rPr>
          <w:rFonts w:ascii="Arial" w:hAnsi="Arial" w:cs="Arial"/>
          <w:spacing w:val="-3"/>
          <w:sz w:val="22"/>
          <w:szCs w:val="22"/>
        </w:rPr>
        <w:t xml:space="preserve">. </w:t>
      </w:r>
    </w:p>
    <w:p w14:paraId="496BA381" w14:textId="77777777" w:rsidR="00155EEA" w:rsidRDefault="003B0706">
      <w:pPr>
        <w:pStyle w:val="Paragraph"/>
        <w:numPr>
          <w:ilvl w:val="0"/>
          <w:numId w:val="0"/>
        </w:numPr>
        <w:rPr>
          <w:rFonts w:ascii="Arial" w:hAnsi="Arial" w:cs="Arial"/>
          <w:spacing w:val="-3"/>
          <w:sz w:val="22"/>
          <w:szCs w:val="22"/>
        </w:rPr>
      </w:pPr>
      <w:r w:rsidRPr="003B0706">
        <w:rPr>
          <w:rFonts w:ascii="Arial" w:hAnsi="Arial" w:cs="Arial"/>
          <w:spacing w:val="-3"/>
          <w:sz w:val="22"/>
          <w:szCs w:val="22"/>
        </w:rPr>
        <w:t xml:space="preserve">Específicamente, se espera calcular el efecto directo </w:t>
      </w:r>
      <w:r w:rsidR="00C76233">
        <w:rPr>
          <w:rFonts w:ascii="Arial" w:hAnsi="Arial" w:cs="Arial"/>
          <w:spacing w:val="-3"/>
          <w:sz w:val="22"/>
          <w:szCs w:val="22"/>
        </w:rPr>
        <w:t xml:space="preserve">de </w:t>
      </w:r>
      <w:r w:rsidRPr="003B0706">
        <w:rPr>
          <w:rFonts w:ascii="Arial" w:hAnsi="Arial" w:cs="Arial"/>
          <w:spacing w:val="-3"/>
          <w:sz w:val="22"/>
          <w:szCs w:val="22"/>
        </w:rPr>
        <w:t>los mismos contribuyentes sobre los cuales se ejerce el control tributario. Además, de ser posible se pretende calcular el efecto indirecto, es decir, el que corresponde al grupo de relacionados a los contribuyentes controlados (clientes y proveedores).</w:t>
      </w:r>
      <w:r w:rsidR="005816F5">
        <w:rPr>
          <w:rFonts w:ascii="Arial" w:hAnsi="Arial" w:cs="Arial"/>
          <w:spacing w:val="-3"/>
          <w:sz w:val="22"/>
          <w:szCs w:val="22"/>
        </w:rPr>
        <w:t xml:space="preserve"> </w:t>
      </w:r>
      <w:r w:rsidR="00C2392C">
        <w:rPr>
          <w:rFonts w:ascii="Arial" w:hAnsi="Arial" w:cs="Arial"/>
          <w:spacing w:val="-3"/>
          <w:sz w:val="22"/>
          <w:szCs w:val="22"/>
        </w:rPr>
        <w:t xml:space="preserve">Este reporte servirá de insumo para la preparación del Informe de Terminación de Proyecto (PCR). </w:t>
      </w:r>
    </w:p>
    <w:p w14:paraId="76417F2A" w14:textId="77777777" w:rsidR="00155EEA" w:rsidRDefault="00C2392C" w:rsidP="006930D9">
      <w:pPr>
        <w:pStyle w:val="heading-b24"/>
        <w:spacing w:before="120" w:after="120"/>
        <w:jc w:val="left"/>
        <w:rPr>
          <w:rFonts w:ascii="Arial" w:eastAsia="Arial Unicode MS" w:hAnsi="Arial" w:cs="Arial"/>
          <w:szCs w:val="24"/>
          <w:lang w:val="es-ES"/>
        </w:rPr>
      </w:pPr>
      <w:r>
        <w:rPr>
          <w:rFonts w:ascii="Arial" w:hAnsi="Arial" w:eastAsia="Arial Unicode MS" w:cs="Arial"/>
          <w:szCs w:val="24"/>
          <w:lang w:val="es-ES"/>
        </w:rPr>
        <w:t>Actividades</w:t>
      </w:r>
    </w:p>
    <w:p w14:paraId="49B85DD3" w14:textId="77777777" w:rsidR="00155EEA" w:rsidRDefault="00C2392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 xml:space="preserve">Revisar la legislación relacionada a la </w:t>
      </w:r>
      <w:r w:rsidR="00402B9F">
        <w:rPr>
          <w:rFonts w:ascii="Arial" w:hAnsi="Arial" w:cs="Arial"/>
          <w:spacing w:val="-3"/>
          <w:sz w:val="22"/>
          <w:szCs w:val="22"/>
        </w:rPr>
        <w:t>factura electrónica</w:t>
      </w:r>
      <w:r>
        <w:rPr>
          <w:rFonts w:ascii="Arial" w:hAnsi="Arial" w:cs="Arial"/>
          <w:spacing w:val="-3"/>
          <w:sz w:val="22"/>
          <w:szCs w:val="22"/>
        </w:rPr>
        <w:t>.</w:t>
      </w:r>
    </w:p>
    <w:p w14:paraId="40F45353" w14:textId="2F4423C8" w:rsidR="00155EEA" w:rsidRDefault="00C2392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 xml:space="preserve">Revisar el </w:t>
      </w:r>
      <w:r w:rsidR="00402B9F">
        <w:rPr>
          <w:rFonts w:ascii="Arial" w:hAnsi="Arial" w:cs="Arial"/>
          <w:spacing w:val="-3"/>
          <w:sz w:val="22"/>
          <w:szCs w:val="22"/>
        </w:rPr>
        <w:t xml:space="preserve">libro </w:t>
      </w:r>
      <w:r>
        <w:rPr>
          <w:rFonts w:ascii="Arial" w:hAnsi="Arial" w:cs="Arial"/>
          <w:spacing w:val="-3"/>
          <w:sz w:val="22"/>
          <w:szCs w:val="22"/>
        </w:rPr>
        <w:t>elaborado por</w:t>
      </w:r>
      <w:r w:rsidR="00402B9F">
        <w:rPr>
          <w:rFonts w:ascii="Arial" w:hAnsi="Arial" w:cs="Arial"/>
          <w:spacing w:val="-3"/>
          <w:sz w:val="22"/>
          <w:szCs w:val="22"/>
        </w:rPr>
        <w:t xml:space="preserve"> Barreix y Zambrano</w:t>
      </w:r>
      <w:r>
        <w:rPr>
          <w:rFonts w:ascii="Arial" w:hAnsi="Arial" w:cs="Arial"/>
          <w:spacing w:val="-3"/>
          <w:sz w:val="22"/>
          <w:szCs w:val="22"/>
        </w:rPr>
        <w:t xml:space="preserve">, donde se </w:t>
      </w:r>
      <w:r w:rsidR="008710BD">
        <w:rPr>
          <w:rFonts w:ascii="Arial" w:hAnsi="Arial" w:cs="Arial"/>
          <w:spacing w:val="-3"/>
          <w:sz w:val="22"/>
          <w:szCs w:val="22"/>
        </w:rPr>
        <w:t>hicieron otras evaluaciones de impacto de la factura electrónica</w:t>
      </w:r>
      <w:r w:rsidR="00D452B9">
        <w:rPr>
          <w:rFonts w:ascii="Arial" w:hAnsi="Arial" w:cs="Arial"/>
          <w:spacing w:val="-3"/>
          <w:sz w:val="22"/>
          <w:szCs w:val="22"/>
        </w:rPr>
        <w:t xml:space="preserve"> a los efectos de determinar el método m</w:t>
      </w:r>
      <w:r w:rsidR="006152CA">
        <w:rPr>
          <w:rFonts w:ascii="Arial" w:hAnsi="Arial" w:cs="Arial"/>
          <w:spacing w:val="-3"/>
          <w:sz w:val="22"/>
          <w:szCs w:val="22"/>
        </w:rPr>
        <w:t>á</w:t>
      </w:r>
      <w:r w:rsidR="00D452B9">
        <w:rPr>
          <w:rFonts w:ascii="Arial" w:hAnsi="Arial" w:cs="Arial"/>
          <w:spacing w:val="-3"/>
          <w:sz w:val="22"/>
          <w:szCs w:val="22"/>
        </w:rPr>
        <w:t>s apropiado para el estudio en Paraguay</w:t>
      </w:r>
      <w:r>
        <w:rPr>
          <w:rFonts w:ascii="Arial" w:hAnsi="Arial" w:cs="Arial"/>
          <w:spacing w:val="-3"/>
          <w:sz w:val="22"/>
          <w:szCs w:val="22"/>
        </w:rPr>
        <w:t xml:space="preserve">. </w:t>
      </w:r>
    </w:p>
    <w:p w14:paraId="782D71AA" w14:textId="77777777" w:rsidR="005816F5" w:rsidRDefault="00C2392C" w:rsidP="005816F5">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 xml:space="preserve">Recolectar información sobre los </w:t>
      </w:r>
      <w:r w:rsidR="00450EBC">
        <w:rPr>
          <w:rFonts w:ascii="Arial" w:hAnsi="Arial" w:cs="Arial"/>
          <w:spacing w:val="-3"/>
          <w:sz w:val="22"/>
          <w:szCs w:val="22"/>
        </w:rPr>
        <w:t>pagos de IVA en contribuyentes del grupo tratamiento y control de la implementación del SIFEN</w:t>
      </w:r>
      <w:r>
        <w:rPr>
          <w:rFonts w:ascii="Arial" w:hAnsi="Arial" w:cs="Arial"/>
          <w:spacing w:val="-3"/>
          <w:sz w:val="22"/>
          <w:szCs w:val="22"/>
        </w:rPr>
        <w:t>.</w:t>
      </w:r>
      <w:r w:rsidR="005816F5">
        <w:rPr>
          <w:rFonts w:ascii="Arial" w:hAnsi="Arial" w:cs="Arial"/>
          <w:spacing w:val="-3"/>
          <w:sz w:val="22"/>
          <w:szCs w:val="22"/>
        </w:rPr>
        <w:t xml:space="preserve"> </w:t>
      </w:r>
      <w:r w:rsidR="005816F5" w:rsidRPr="005816F5">
        <w:rPr>
          <w:rFonts w:ascii="Arial" w:hAnsi="Arial" w:cs="Arial"/>
          <w:spacing w:val="-3"/>
          <w:sz w:val="22"/>
          <w:szCs w:val="22"/>
        </w:rPr>
        <w:t>La firma consultora deberá hacer un análisis de los datos facilitados por la administración tributaria respectiva y obtener estadísticas descriptivas de los mismos.</w:t>
      </w:r>
    </w:p>
    <w:p w14:paraId="026E70C9" w14:textId="641D8200" w:rsidR="00C76233" w:rsidRPr="001A5340" w:rsidRDefault="00C76233" w:rsidP="001A5340">
      <w:pPr>
        <w:pStyle w:val="Paragraph"/>
        <w:numPr>
          <w:ilvl w:val="0"/>
          <w:numId w:val="29"/>
        </w:numPr>
        <w:ind w:left="360"/>
        <w:rPr>
          <w:rFonts w:ascii="Arial" w:hAnsi="Arial" w:cs="Arial"/>
          <w:spacing w:val="-3"/>
          <w:sz w:val="22"/>
          <w:szCs w:val="22"/>
        </w:rPr>
      </w:pPr>
      <w:r w:rsidRPr="00C76233">
        <w:rPr>
          <w:rFonts w:ascii="Arial" w:hAnsi="Arial" w:cs="Arial"/>
          <w:spacing w:val="-3"/>
          <w:sz w:val="22"/>
          <w:szCs w:val="22"/>
        </w:rPr>
        <w:t>Para conocer el impacto de la factura electrónica se debe elaborar una hipótesis acerca de la relación causa-efecto de la factura electrónica</w:t>
      </w:r>
      <w:r>
        <w:rPr>
          <w:rFonts w:ascii="Arial" w:hAnsi="Arial" w:cs="Arial"/>
          <w:spacing w:val="-3"/>
          <w:sz w:val="22"/>
          <w:szCs w:val="22"/>
        </w:rPr>
        <w:t>. En el caso de que se deba utilizar una metodología cuasi</w:t>
      </w:r>
      <w:r w:rsidR="0022602D">
        <w:rPr>
          <w:rFonts w:ascii="Arial" w:hAnsi="Arial" w:cs="Arial"/>
          <w:spacing w:val="-3"/>
          <w:sz w:val="22"/>
          <w:szCs w:val="22"/>
        </w:rPr>
        <w:t xml:space="preserve"> </w:t>
      </w:r>
      <w:r>
        <w:rPr>
          <w:rFonts w:ascii="Arial" w:hAnsi="Arial" w:cs="Arial"/>
          <w:spacing w:val="-3"/>
          <w:sz w:val="22"/>
          <w:szCs w:val="22"/>
        </w:rPr>
        <w:t xml:space="preserve">experimental, se deben experimentar </w:t>
      </w:r>
      <w:r w:rsidRPr="00C76233">
        <w:rPr>
          <w:rFonts w:ascii="Arial" w:hAnsi="Arial" w:cs="Arial"/>
          <w:spacing w:val="-3"/>
          <w:sz w:val="22"/>
          <w:szCs w:val="22"/>
        </w:rPr>
        <w:t xml:space="preserve">las estrategias de identificación y los resultados esperados sobre las variables de interés. </w:t>
      </w:r>
      <w:r w:rsidRPr="001A5340">
        <w:rPr>
          <w:rFonts w:ascii="Arial" w:hAnsi="Arial" w:cs="Arial"/>
          <w:spacing w:val="-3"/>
          <w:sz w:val="22"/>
          <w:szCs w:val="22"/>
        </w:rPr>
        <w:t>Para esto, es necesario aislar de los beneficios observados que se medirán, todos aquellos efectos derivados de factores externos a la factura electrónica y que habrían ocurrido sin la ejecución de éste, como consecuencia de la evolución normal de las condiciones del entorno.</w:t>
      </w:r>
    </w:p>
    <w:p w14:paraId="61E98365" w14:textId="77777777" w:rsidR="00155EEA" w:rsidRPr="001A5340" w:rsidRDefault="001A5340" w:rsidP="001A5340">
      <w:pPr>
        <w:pStyle w:val="Paragraph"/>
        <w:numPr>
          <w:ilvl w:val="0"/>
          <w:numId w:val="29"/>
        </w:numPr>
        <w:spacing w:after="0"/>
        <w:ind w:left="360"/>
        <w:rPr>
          <w:rFonts w:ascii="Arial" w:hAnsi="Arial" w:cs="Arial"/>
          <w:spacing w:val="-3"/>
          <w:sz w:val="22"/>
          <w:szCs w:val="22"/>
        </w:rPr>
      </w:pPr>
      <w:r w:rsidRPr="001A5340">
        <w:rPr>
          <w:rFonts w:ascii="Arial" w:hAnsi="Arial" w:cs="Arial"/>
          <w:spacing w:val="-3"/>
          <w:sz w:val="22"/>
          <w:szCs w:val="22"/>
        </w:rPr>
        <w:t>Una vez examinada la base de datos y elegida la metodología, se procederá con el análisis de los datos, calculando el impacto de la factura electrónica sobre las variables de interés previamente definidas</w:t>
      </w:r>
      <w:r w:rsidR="00B2663E" w:rsidRPr="001A5340">
        <w:rPr>
          <w:rFonts w:ascii="Arial" w:hAnsi="Arial" w:cs="Arial"/>
          <w:spacing w:val="-3"/>
          <w:sz w:val="22"/>
          <w:szCs w:val="22"/>
        </w:rPr>
        <w:t>, con foco en la implementación del SIFEN</w:t>
      </w:r>
      <w:r w:rsidR="00C2392C" w:rsidRPr="001A5340">
        <w:rPr>
          <w:rFonts w:ascii="Arial" w:hAnsi="Arial" w:cs="Arial"/>
          <w:spacing w:val="-3"/>
          <w:sz w:val="22"/>
          <w:szCs w:val="22"/>
        </w:rPr>
        <w:t xml:space="preserve">. </w:t>
      </w:r>
    </w:p>
    <w:p w14:paraId="56629242" w14:textId="77777777" w:rsidR="00155EEA" w:rsidRDefault="00C2392C">
      <w:pPr>
        <w:pStyle w:val="Paragraph"/>
        <w:numPr>
          <w:ilvl w:val="0"/>
          <w:numId w:val="29"/>
        </w:numPr>
        <w:spacing w:after="0"/>
        <w:ind w:left="360"/>
        <w:rPr>
          <w:rFonts w:ascii="Arial" w:hAnsi="Arial" w:cs="Arial"/>
          <w:spacing w:val="-3"/>
          <w:sz w:val="22"/>
          <w:szCs w:val="22"/>
        </w:rPr>
      </w:pPr>
      <w:r>
        <w:rPr>
          <w:rFonts w:ascii="Arial" w:hAnsi="Arial" w:cs="Arial"/>
          <w:sz w:val="22"/>
          <w:szCs w:val="22"/>
        </w:rPr>
        <w:t>Elaborar un informe resumiendo los principales hallazgos de los análisis realizados.</w:t>
      </w:r>
    </w:p>
    <w:p w14:paraId="5B633ACF" w14:textId="77777777" w:rsidR="00155EEA" w:rsidRDefault="00C2392C" w:rsidP="006930D9">
      <w:pPr>
        <w:pStyle w:val="Paragraph"/>
        <w:numPr>
          <w:ilvl w:val="0"/>
          <w:numId w:val="0"/>
        </w:numPr>
        <w:spacing w:before="240"/>
        <w:ind w:left="720" w:hanging="720"/>
        <w:jc w:val="left"/>
        <w:rPr>
          <w:rFonts w:ascii="Arial" w:eastAsia="Arial Unicode MS" w:hAnsi="Arial" w:cs="Arial"/>
          <w:b/>
          <w:smallCaps/>
          <w:spacing w:val="-3"/>
          <w:szCs w:val="24"/>
        </w:rPr>
      </w:pPr>
      <w:r>
        <w:rPr>
          <w:rFonts w:ascii="Arial" w:hAnsi="Arial" w:eastAsia="Arial Unicode MS" w:cs="Arial"/>
          <w:b/>
          <w:smallCaps/>
          <w:spacing w:val="-3"/>
          <w:szCs w:val="24"/>
        </w:rPr>
        <w:t>Productos y Forma de Pago</w:t>
      </w:r>
    </w:p>
    <w:p w14:paraId="490059B5" w14:textId="77777777" w:rsidR="001A5340" w:rsidRPr="001A5340" w:rsidRDefault="001A5340" w:rsidP="006930D9">
      <w:pPr>
        <w:spacing w:before="120" w:after="120"/>
        <w:jc w:val="both"/>
        <w:rPr>
          <w:rFonts w:ascii="Arial" w:hAnsi="Arial" w:cs="Arial"/>
          <w:spacing w:val="-3"/>
          <w:sz w:val="22"/>
          <w:szCs w:val="22"/>
        </w:rPr>
      </w:pPr>
      <w:r w:rsidRPr="001A5340">
        <w:rPr>
          <w:rFonts w:ascii="Arial" w:hAnsi="Arial" w:cs="Arial"/>
          <w:spacing w:val="-3"/>
          <w:sz w:val="22"/>
          <w:szCs w:val="22"/>
        </w:rPr>
        <w:t>Los productos de la consultoría serán:</w:t>
      </w:r>
    </w:p>
    <w:p w14:paraId="2D7E3EC9" w14:textId="77777777" w:rsidR="001A5340" w:rsidRPr="001A5340" w:rsidRDefault="001A5340" w:rsidP="006930D9">
      <w:pPr>
        <w:pStyle w:val="ListParagraph"/>
        <w:numPr>
          <w:ilvl w:val="0"/>
          <w:numId w:val="37"/>
        </w:numPr>
        <w:spacing w:before="120" w:after="120"/>
        <w:jc w:val="both"/>
        <w:rPr>
          <w:rFonts w:ascii="Arial" w:hAnsi="Arial" w:cs="Arial"/>
          <w:spacing w:val="-3"/>
          <w:sz w:val="22"/>
          <w:szCs w:val="22"/>
        </w:rPr>
      </w:pPr>
      <w:r w:rsidRPr="001A5340">
        <w:rPr>
          <w:rFonts w:ascii="Arial" w:hAnsi="Arial" w:cs="Arial"/>
          <w:spacing w:val="-3"/>
          <w:sz w:val="22"/>
          <w:szCs w:val="22"/>
        </w:rPr>
        <w:lastRenderedPageBreak/>
        <w:t>Un plan de trabajo con el respectivo cronograma</w:t>
      </w:r>
      <w:r>
        <w:rPr>
          <w:rFonts w:ascii="Arial" w:hAnsi="Arial" w:cs="Arial"/>
          <w:spacing w:val="-3"/>
          <w:sz w:val="22"/>
          <w:szCs w:val="22"/>
        </w:rPr>
        <w:t>.</w:t>
      </w:r>
    </w:p>
    <w:p w14:paraId="5F3B6A2D" w14:textId="77777777" w:rsidR="001A5340" w:rsidRPr="001A5340" w:rsidRDefault="001A5340" w:rsidP="006930D9">
      <w:pPr>
        <w:pStyle w:val="ListParagraph"/>
        <w:numPr>
          <w:ilvl w:val="0"/>
          <w:numId w:val="37"/>
        </w:numPr>
        <w:spacing w:before="120" w:after="120"/>
        <w:jc w:val="both"/>
        <w:rPr>
          <w:rFonts w:ascii="Arial" w:hAnsi="Arial" w:cs="Arial"/>
          <w:spacing w:val="-3"/>
          <w:sz w:val="22"/>
          <w:szCs w:val="22"/>
        </w:rPr>
      </w:pPr>
      <w:r w:rsidRPr="001A5340">
        <w:rPr>
          <w:rFonts w:ascii="Arial" w:hAnsi="Arial" w:cs="Arial"/>
          <w:spacing w:val="-3"/>
          <w:sz w:val="22"/>
          <w:szCs w:val="22"/>
        </w:rPr>
        <w:t>Un informe que incluya el análisis de las estadísticas descriptivas de la base de datos a utilizar y un breve resumen de la metodología seleccionada</w:t>
      </w:r>
      <w:r>
        <w:rPr>
          <w:rFonts w:ascii="Arial" w:hAnsi="Arial" w:cs="Arial"/>
          <w:spacing w:val="-3"/>
          <w:sz w:val="22"/>
          <w:szCs w:val="22"/>
        </w:rPr>
        <w:t>.</w:t>
      </w:r>
    </w:p>
    <w:p w14:paraId="0565334B" w14:textId="470CE948" w:rsidR="00155EEA" w:rsidRDefault="001A5340" w:rsidP="006930D9">
      <w:pPr>
        <w:pStyle w:val="ListParagraph"/>
        <w:numPr>
          <w:ilvl w:val="0"/>
          <w:numId w:val="37"/>
        </w:numPr>
        <w:spacing w:before="120" w:after="120"/>
        <w:jc w:val="both"/>
        <w:rPr>
          <w:rFonts w:ascii="Arial" w:hAnsi="Arial" w:cs="Arial"/>
          <w:spacing w:val="-3"/>
          <w:sz w:val="22"/>
          <w:szCs w:val="22"/>
        </w:rPr>
      </w:pPr>
      <w:r w:rsidRPr="001A5340">
        <w:rPr>
          <w:rFonts w:ascii="Arial" w:hAnsi="Arial" w:cs="Arial"/>
          <w:spacing w:val="-3"/>
          <w:sz w:val="22"/>
          <w:szCs w:val="22"/>
        </w:rPr>
        <w:t>El informe final</w:t>
      </w:r>
      <w:r w:rsidR="00C2392C">
        <w:rPr>
          <w:rFonts w:ascii="Arial" w:hAnsi="Arial" w:cs="Arial"/>
          <w:spacing w:val="-3"/>
          <w:sz w:val="22"/>
          <w:szCs w:val="22"/>
        </w:rPr>
        <w:t xml:space="preserve">, conteniendo el informe mencionado en la sección “Actividades”.  </w:t>
      </w:r>
      <w:r w:rsidR="00C2392C">
        <w:rPr>
          <w:rFonts w:ascii="Arial" w:hAnsi="Arial" w:cs="Arial"/>
          <w:sz w:val="22"/>
          <w:szCs w:val="22"/>
        </w:rPr>
        <w:t>El pago total se realizará contra la entrega y aprobación por parte del BID del producto final.</w:t>
      </w:r>
    </w:p>
    <w:p w14:paraId="7E801DEE" w14:textId="77777777" w:rsidR="00155EEA" w:rsidRDefault="00C2392C" w:rsidP="006930D9">
      <w:pPr>
        <w:pStyle w:val="heading-b24"/>
        <w:spacing w:before="120" w:after="120"/>
        <w:jc w:val="left"/>
        <w:rPr>
          <w:rFonts w:ascii="Arial" w:eastAsia="Arial Unicode MS" w:hAnsi="Arial" w:cs="Arial"/>
          <w:szCs w:val="24"/>
          <w:lang w:val="es-ES"/>
        </w:rPr>
      </w:pPr>
      <w:r>
        <w:rPr>
          <w:rFonts w:ascii="Arial" w:hAnsi="Arial" w:eastAsia="Arial Unicode MS" w:cs="Arial"/>
          <w:szCs w:val="24"/>
          <w:lang w:val="es-ES"/>
        </w:rPr>
        <w:t>Calificaciones</w:t>
      </w:r>
    </w:p>
    <w:p w14:paraId="14093278" w14:textId="77777777" w:rsidR="00155EEA" w:rsidRDefault="00C2392C">
      <w:pPr>
        <w:pStyle w:val="Paragraph"/>
        <w:numPr>
          <w:ilvl w:val="0"/>
          <w:numId w:val="0"/>
        </w:numPr>
        <w:rPr>
          <w:rFonts w:ascii="Arial" w:hAnsi="Arial" w:cs="Arial"/>
          <w:sz w:val="22"/>
          <w:szCs w:val="22"/>
        </w:rPr>
      </w:pPr>
      <w:r>
        <w:rPr>
          <w:rFonts w:ascii="Arial" w:hAnsi="Arial" w:cs="Arial"/>
          <w:sz w:val="22"/>
          <w:szCs w:val="22"/>
        </w:rPr>
        <w:t xml:space="preserve">El contractual debe ser experto con formación profesional de maestría o doctorado y con experiencia en el área de economía y finanzas, </w:t>
      </w:r>
      <w:r w:rsidR="00736C49">
        <w:rPr>
          <w:rFonts w:ascii="Arial" w:hAnsi="Arial" w:cs="Arial"/>
          <w:sz w:val="22"/>
          <w:szCs w:val="22"/>
        </w:rPr>
        <w:t xml:space="preserve">evaluación, </w:t>
      </w:r>
      <w:r>
        <w:rPr>
          <w:rFonts w:ascii="Arial" w:hAnsi="Arial" w:cs="Arial"/>
          <w:sz w:val="22"/>
          <w:szCs w:val="22"/>
        </w:rPr>
        <w:t>gestión pública o afines, con al menos de 5 años de experiencia.</w:t>
      </w:r>
    </w:p>
    <w:p w14:paraId="55A4E0F8" w14:textId="77777777" w:rsidR="00155EEA" w:rsidRDefault="00C2392C" w:rsidP="006930D9">
      <w:pPr>
        <w:pStyle w:val="heading-b24"/>
        <w:spacing w:before="120" w:after="120"/>
        <w:jc w:val="both"/>
        <w:rPr>
          <w:rFonts w:ascii="Arial" w:eastAsia="Arial Unicode MS" w:hAnsi="Arial" w:cs="Arial"/>
          <w:szCs w:val="24"/>
          <w:lang w:val="es-ES"/>
        </w:rPr>
      </w:pPr>
      <w:r>
        <w:rPr>
          <w:rFonts w:ascii="Arial" w:hAnsi="Arial" w:eastAsia="Arial Unicode MS" w:cs="Arial"/>
          <w:szCs w:val="24"/>
          <w:lang w:val="es-ES"/>
        </w:rPr>
        <w:t>Características</w:t>
      </w:r>
    </w:p>
    <w:p w14:paraId="31577491" w14:textId="77777777" w:rsidR="00155EEA" w:rsidRDefault="00C2392C">
      <w:pPr>
        <w:pStyle w:val="NoSpacing"/>
        <w:spacing w:before="120" w:after="120"/>
        <w:jc w:val="both"/>
        <w:rPr>
          <w:rFonts w:ascii="Arial" w:hAnsi="Arial" w:cs="Arial"/>
          <w:sz w:val="22"/>
          <w:szCs w:val="22"/>
          <w:lang w:val="es-ES"/>
        </w:rPr>
      </w:pPr>
      <w:r>
        <w:rPr>
          <w:rFonts w:ascii="Arial" w:hAnsi="Arial" w:cs="Arial"/>
          <w:b/>
          <w:sz w:val="22"/>
          <w:szCs w:val="22"/>
          <w:lang w:val="es-ES"/>
        </w:rPr>
        <w:t>Categoría y Modalidad de la Consultoría:</w:t>
      </w:r>
      <w:r>
        <w:rPr>
          <w:rFonts w:ascii="Arial" w:hAnsi="Arial" w:cs="Arial"/>
          <w:sz w:val="22"/>
          <w:szCs w:val="22"/>
          <w:lang w:val="es-ES"/>
        </w:rPr>
        <w:t xml:space="preserve"> Contractual de Productos y Servicios Externos, Suma Alzada.</w:t>
      </w:r>
    </w:p>
    <w:p w14:paraId="031FBCCA" w14:textId="77777777" w:rsidR="00155EEA" w:rsidRDefault="00C2392C">
      <w:pPr>
        <w:pStyle w:val="NoSpacing"/>
        <w:spacing w:before="120"/>
        <w:jc w:val="both"/>
        <w:rPr>
          <w:rFonts w:ascii="Arial" w:hAnsi="Arial" w:cs="Arial"/>
          <w:spacing w:val="-3"/>
          <w:sz w:val="22"/>
          <w:szCs w:val="22"/>
          <w:lang w:val="es-ES"/>
        </w:rPr>
      </w:pPr>
      <w:r>
        <w:rPr>
          <w:rFonts w:ascii="Arial" w:hAnsi="Arial" w:cs="Arial"/>
          <w:b/>
          <w:sz w:val="22"/>
          <w:szCs w:val="22"/>
          <w:lang w:val="es-ES"/>
        </w:rPr>
        <w:t>Duración del Contrato</w:t>
      </w:r>
      <w:r>
        <w:rPr>
          <w:rFonts w:ascii="Arial" w:hAnsi="Arial" w:cs="Arial"/>
          <w:sz w:val="22"/>
          <w:szCs w:val="22"/>
          <w:lang w:val="es-ES"/>
        </w:rPr>
        <w:t xml:space="preserve">: </w:t>
      </w:r>
      <w:r>
        <w:rPr>
          <w:rFonts w:ascii="Arial" w:hAnsi="Arial" w:cs="Arial"/>
          <w:spacing w:val="-3"/>
          <w:sz w:val="22"/>
          <w:szCs w:val="22"/>
          <w:lang w:val="es-ES"/>
        </w:rPr>
        <w:t xml:space="preserve">20 días de trabajo, en un plazo de seis meses desde la firma del contrato. </w:t>
      </w:r>
    </w:p>
    <w:p w14:paraId="739A4A40" w14:textId="77777777" w:rsidR="00155EEA" w:rsidRDefault="00C2392C">
      <w:pPr>
        <w:pStyle w:val="Paragraph"/>
        <w:numPr>
          <w:ilvl w:val="0"/>
          <w:numId w:val="0"/>
        </w:numPr>
        <w:spacing w:after="0"/>
        <w:rPr>
          <w:rFonts w:ascii="Arial" w:hAnsi="Arial" w:cs="Arial"/>
          <w:spacing w:val="-3"/>
          <w:sz w:val="22"/>
          <w:szCs w:val="22"/>
        </w:rPr>
      </w:pPr>
      <w:r>
        <w:rPr>
          <w:rFonts w:ascii="Arial" w:hAnsi="Arial" w:cs="Arial"/>
          <w:b/>
          <w:spacing w:val="-3"/>
          <w:sz w:val="22"/>
          <w:szCs w:val="22"/>
        </w:rPr>
        <w:t>Lugar de trabajo</w:t>
      </w:r>
      <w:r>
        <w:rPr>
          <w:rFonts w:ascii="Arial" w:hAnsi="Arial" w:cs="Arial"/>
          <w:spacing w:val="-3"/>
          <w:sz w:val="22"/>
          <w:szCs w:val="22"/>
        </w:rPr>
        <w:t>: Lugar de residencia del contractual.</w:t>
      </w:r>
    </w:p>
    <w:p w14:paraId="011F744A" w14:textId="77777777" w:rsidR="00155EEA" w:rsidRDefault="00C2392C">
      <w:pPr>
        <w:spacing w:before="120" w:line="276" w:lineRule="auto"/>
        <w:rPr>
          <w:rFonts w:ascii="Arial" w:hAnsi="Arial" w:cs="Arial"/>
          <w:sz w:val="22"/>
          <w:szCs w:val="22"/>
          <w:lang w:val="es-ES"/>
        </w:rPr>
      </w:pPr>
      <w:r>
        <w:rPr>
          <w:rFonts w:ascii="Arial" w:hAnsi="Arial" w:cs="Arial"/>
          <w:b/>
          <w:sz w:val="22"/>
          <w:szCs w:val="22"/>
        </w:rPr>
        <w:t>Coordinación</w:t>
      </w:r>
      <w:r>
        <w:rPr>
          <w:rFonts w:ascii="Arial" w:hAnsi="Arial" w:cs="Arial"/>
          <w:sz w:val="22"/>
          <w:szCs w:val="22"/>
        </w:rPr>
        <w:t xml:space="preserve">: </w:t>
      </w:r>
      <w:r w:rsidR="00CB5F1F">
        <w:rPr>
          <w:rFonts w:ascii="Arial" w:hAnsi="Arial" w:cs="Arial"/>
          <w:sz w:val="22"/>
          <w:szCs w:val="22"/>
        </w:rPr>
        <w:t>Especialista asignado a Paraguay de la</w:t>
      </w:r>
      <w:r>
        <w:rPr>
          <w:rFonts w:ascii="Arial" w:hAnsi="Arial" w:cs="Arial"/>
          <w:sz w:val="22"/>
          <w:szCs w:val="22"/>
        </w:rPr>
        <w:t xml:space="preserve"> </w:t>
      </w:r>
      <w:r>
        <w:rPr>
          <w:rFonts w:ascii="Arial" w:hAnsi="Arial" w:cs="Arial"/>
          <w:sz w:val="22"/>
          <w:szCs w:val="22"/>
          <w:lang w:val="es-ES"/>
        </w:rPr>
        <w:t>División de Gestión Fiscal y Municipal (FMM).</w:t>
      </w:r>
    </w:p>
    <w:sectPr w:rsidR="00155EEA">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1CE" w:rsidRDefault="002001CE" w14:paraId="462AF1E6" w14:textId="77777777">
      <w:r>
        <w:separator/>
      </w:r>
    </w:p>
  </w:endnote>
  <w:endnote w:type="continuationSeparator" w:id="0">
    <w:p w:rsidR="002001CE" w:rsidRDefault="002001CE" w14:paraId="1B1C2432" w14:textId="77777777">
      <w:r>
        <w:continuationSeparator/>
      </w:r>
    </w:p>
  </w:endnote>
  <w:endnote w:type="continuationNotice" w:id="1">
    <w:p w:rsidR="002001CE" w:rsidRDefault="002001CE" w14:paraId="5D536BE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005FA" w14:textId="77777777" w:rsidR="0042004A" w:rsidRDefault="0042004A">
    <w:pPr>
      <w:pStyle w:val="Footer"/>
      <w:framePr w:wrap="around" w:vAnchor="text" w:hAnchor="margin" w:xAlign="right" w:y="1"/>
      <w:rPr>
        <w:rStyle w:val="PageNumber"/>
      </w:rPr>
    </w:pPr>
  </w:p>
  <w:p w14:paraId="5B11EC9C" w14:textId="77777777" w:rsidR="0042004A" w:rsidRDefault="004200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968F4" w14:textId="77777777" w:rsidR="003F7D00" w:rsidRDefault="003F7D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6A46C" w14:textId="77777777" w:rsidR="003F7D00" w:rsidRDefault="003F7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1CE" w:rsidRDefault="002001CE" w14:paraId="7572E332" w14:textId="77777777">
      <w:r>
        <w:separator/>
      </w:r>
    </w:p>
  </w:footnote>
  <w:footnote w:type="continuationSeparator" w:id="0">
    <w:p w:rsidR="002001CE" w:rsidRDefault="002001CE" w14:paraId="5EA50715" w14:textId="77777777">
      <w:r>
        <w:continuationSeparator/>
      </w:r>
    </w:p>
  </w:footnote>
  <w:footnote w:type="continuationNotice" w:id="1">
    <w:p w:rsidR="002001CE" w:rsidRDefault="002001CE" w14:paraId="314BEF53" w14:textId="77777777"/>
  </w:footnote>
  <w:footnote w:id="2">
    <w:p w:rsidRPr="00BE5978" w:rsidR="0042004A" w:rsidP="00BE5978" w:rsidRDefault="0042004A" w14:paraId="783B56B4" w14:textId="77777777">
      <w:pPr>
        <w:pStyle w:val="FootnoteText"/>
        <w:spacing w:after="0"/>
        <w:rPr>
          <w:rFonts w:ascii="Arial" w:hAnsi="Arial" w:cs="Arial"/>
          <w:sz w:val="18"/>
          <w:szCs w:val="18"/>
        </w:rPr>
      </w:pPr>
      <w:r w:rsidRPr="00BE5978">
        <w:rPr>
          <w:rStyle w:val="FootnoteReference"/>
          <w:rFonts w:ascii="Arial" w:hAnsi="Arial" w:cs="Arial"/>
          <w:sz w:val="18"/>
          <w:szCs w:val="18"/>
        </w:rPr>
        <w:footnoteRef/>
      </w:r>
      <w:r w:rsidRPr="00BE5978">
        <w:rPr>
          <w:rFonts w:ascii="Arial" w:hAnsi="Arial" w:cs="Arial"/>
          <w:sz w:val="18"/>
          <w:szCs w:val="18"/>
        </w:rPr>
        <w:t xml:space="preserve"> </w:t>
      </w:r>
      <w:r w:rsidRPr="00D24AF4">
        <w:rPr>
          <w:rFonts w:ascii="Arial" w:hAnsi="Arial" w:cs="Arial"/>
          <w:sz w:val="18"/>
          <w:szCs w:val="18"/>
          <w:lang w:val="es-419"/>
        </w:rPr>
        <w:t xml:space="preserve">Mayor horizonte de proyección y explicitación de los supuestos macroeconómicos de las proyecciones, la programación vinculada con la estrategia de manejo de deuda, proyección de las estimaciones del balance estructural, y ampliación de evaluación de riesgos fiscales. </w:t>
      </w:r>
    </w:p>
  </w:footnote>
  <w:footnote w:id="3">
    <w:p w:rsidRPr="00BE5978" w:rsidR="0042004A" w:rsidP="00BE5978" w:rsidRDefault="0042004A" w14:paraId="483AC726" w14:textId="77777777">
      <w:pPr>
        <w:pStyle w:val="FootnoteText"/>
        <w:spacing w:after="0"/>
        <w:rPr>
          <w:rFonts w:ascii="Arial" w:hAnsi="Arial" w:cs="Arial"/>
          <w:sz w:val="18"/>
          <w:szCs w:val="18"/>
        </w:rPr>
      </w:pPr>
      <w:r w:rsidRPr="00BE5978">
        <w:rPr>
          <w:rStyle w:val="FootnoteReference"/>
          <w:rFonts w:ascii="Arial" w:hAnsi="Arial" w:cs="Arial"/>
          <w:sz w:val="18"/>
          <w:szCs w:val="18"/>
        </w:rPr>
        <w:footnoteRef/>
      </w:r>
      <w:r w:rsidRPr="00BE5978">
        <w:rPr>
          <w:rFonts w:ascii="Arial" w:hAnsi="Arial" w:cs="Arial"/>
          <w:sz w:val="18"/>
          <w:szCs w:val="18"/>
          <w:lang w:val="es-419"/>
        </w:rPr>
        <w:t xml:space="preserve"> </w:t>
      </w:r>
      <w:r w:rsidRPr="00BE5978">
        <w:rPr>
          <w:rFonts w:ascii="Arial" w:hAnsi="Arial" w:cs="Arial"/>
          <w:sz w:val="18"/>
          <w:szCs w:val="18"/>
        </w:rPr>
        <w:t>Se estableció el año base como 2016 debido a que algunos productos se cumplirán el 2017.</w:t>
      </w:r>
    </w:p>
  </w:footnote>
  <w:footnote w:id="4">
    <w:p w:rsidRPr="00D24AF4" w:rsidR="0042004A" w:rsidP="00BE5978" w:rsidRDefault="0042004A" w14:paraId="11F6EA6E" w14:textId="290D60F0">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s-419"/>
        </w:rPr>
        <w:t xml:space="preserve"> </w:t>
      </w:r>
      <w:r w:rsidRPr="00D24AF4">
        <w:rPr>
          <w:rFonts w:ascii="Arial" w:hAnsi="Arial" w:cs="Arial"/>
          <w:sz w:val="18"/>
          <w:szCs w:val="18"/>
          <w:lang w:val="es-419"/>
        </w:rPr>
        <w:tab/>
      </w:r>
      <w:r w:rsidRPr="00D24AF4">
        <w:rPr>
          <w:rFonts w:ascii="Arial" w:hAnsi="Arial" w:cs="Arial"/>
          <w:sz w:val="18"/>
          <w:szCs w:val="18"/>
          <w:lang w:val="es-419"/>
        </w:rPr>
        <w:t xml:space="preserve">Indicador refiere a regla de límite de 1,5% del PIB al déficit del gobierno central. Línea de base comprende los tres años previos (2015-17), de los cuales se cumplió en 2016 y 2017 y no se cumplió en 2015. La meta comprende el trienio 2018-2020.  </w:t>
      </w:r>
    </w:p>
  </w:footnote>
  <w:footnote w:id="5">
    <w:p w:rsidRPr="00D24AF4" w:rsidR="0042004A" w:rsidP="00BE5978" w:rsidRDefault="0042004A" w14:paraId="488C2779" w14:textId="6C8F7934">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s-419"/>
        </w:rPr>
        <w:t xml:space="preserve"> </w:t>
      </w:r>
      <w:r w:rsidRPr="00D24AF4">
        <w:rPr>
          <w:rFonts w:ascii="Arial" w:hAnsi="Arial" w:cs="Arial"/>
          <w:sz w:val="18"/>
          <w:szCs w:val="18"/>
          <w:lang w:val="es-419"/>
        </w:rPr>
        <w:tab/>
      </w:r>
      <w:r w:rsidRPr="00D24AF4">
        <w:rPr>
          <w:rFonts w:ascii="Arial" w:hAnsi="Arial" w:cs="Arial"/>
          <w:sz w:val="18"/>
          <w:szCs w:val="18"/>
          <w:lang w:val="es-419"/>
        </w:rPr>
        <w:t xml:space="preserve">Corresponde a la recaudación efectiva de la SET y la Dirección Nacional de Aduanas. El indicador considera mejoras atribuibles tanto a la factura electrónica y la modernización de la SET, como también a medidas de política tributaria y el crecimiento económico.  </w:t>
      </w:r>
    </w:p>
  </w:footnote>
  <w:footnote w:id="6">
    <w:p w:rsidRPr="00BE5978" w:rsidR="0042004A" w:rsidP="00BE5978" w:rsidRDefault="0042004A" w14:paraId="13A873B3" w14:textId="774578DC">
      <w:pPr>
        <w:pStyle w:val="FootnoteText"/>
        <w:spacing w:after="0"/>
        <w:rPr>
          <w:rFonts w:ascii="Arial" w:hAnsi="Arial" w:cs="Arial"/>
          <w:sz w:val="18"/>
          <w:szCs w:val="18"/>
          <w:lang w:val="es-419"/>
        </w:rPr>
      </w:pPr>
      <w:r w:rsidRPr="00BE5978">
        <w:rPr>
          <w:rStyle w:val="FootnoteReference"/>
          <w:rFonts w:ascii="Arial" w:hAnsi="Arial" w:cs="Arial"/>
          <w:sz w:val="18"/>
          <w:szCs w:val="18"/>
        </w:rPr>
        <w:footnoteRef/>
      </w:r>
      <w:r w:rsidRPr="00BE5978">
        <w:rPr>
          <w:rFonts w:ascii="Arial" w:hAnsi="Arial" w:cs="Arial"/>
          <w:sz w:val="18"/>
          <w:szCs w:val="18"/>
          <w:lang w:val="es-419"/>
        </w:rPr>
        <w:t xml:space="preserve"> </w:t>
      </w:r>
      <w:r>
        <w:rPr>
          <w:rFonts w:ascii="Arial" w:hAnsi="Arial" w:cs="Arial"/>
          <w:sz w:val="18"/>
          <w:szCs w:val="18"/>
          <w:lang w:val="es-419"/>
        </w:rPr>
        <w:tab/>
      </w:r>
      <w:r w:rsidRPr="00BE5978">
        <w:rPr>
          <w:rFonts w:ascii="Arial" w:hAnsi="Arial" w:cs="Arial"/>
          <w:sz w:val="18"/>
          <w:szCs w:val="18"/>
          <w:lang w:val="es-419"/>
        </w:rPr>
        <w:t xml:space="preserve">Incluye la implementación de programas presupuestales por resultados con información y metas desagregadas en materia de género. </w:t>
      </w:r>
    </w:p>
  </w:footnote>
  <w:footnote w:id="7">
    <w:p w:rsidRPr="00D24AF4" w:rsidR="0042004A" w:rsidP="00BE5978" w:rsidRDefault="0042004A" w14:paraId="4F973A2C" w14:textId="77777777">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s-419"/>
        </w:rPr>
        <w:t xml:space="preserve"> </w:t>
      </w:r>
      <w:r w:rsidRPr="00D24AF4">
        <w:rPr>
          <w:rFonts w:ascii="Arial" w:hAnsi="Arial" w:cs="Arial"/>
          <w:sz w:val="18"/>
          <w:szCs w:val="18"/>
          <w:lang w:val="es-419"/>
        </w:rPr>
        <w:tab/>
      </w:r>
      <w:r w:rsidRPr="00D24AF4">
        <w:rPr>
          <w:rFonts w:ascii="Arial" w:hAnsi="Arial" w:cs="Arial"/>
          <w:sz w:val="18"/>
          <w:szCs w:val="18"/>
          <w:lang w:val="es-419"/>
        </w:rPr>
        <w:t xml:space="preserve">Deuda total considera deuda doméstica y externa. </w:t>
      </w:r>
    </w:p>
  </w:footnote>
  <w:footnote w:id="8">
    <w:p w:rsidRPr="00D24AF4" w:rsidR="0042004A" w:rsidP="00BE5978" w:rsidRDefault="0042004A" w14:paraId="43D3188F" w14:textId="5FF02D32">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s-419"/>
        </w:rPr>
        <w:t xml:space="preserve"> </w:t>
      </w:r>
      <w:r w:rsidRPr="00D24AF4">
        <w:rPr>
          <w:rFonts w:ascii="Arial" w:hAnsi="Arial" w:cs="Arial"/>
          <w:sz w:val="18"/>
          <w:szCs w:val="18"/>
          <w:lang w:val="es-419"/>
        </w:rPr>
        <w:tab/>
      </w:r>
      <w:r w:rsidRPr="00D24AF4">
        <w:rPr>
          <w:rFonts w:ascii="Arial" w:hAnsi="Arial" w:cs="Arial"/>
          <w:sz w:val="18"/>
          <w:szCs w:val="18"/>
          <w:lang w:val="es-419"/>
        </w:rPr>
        <w:t xml:space="preserve">Larraín y Cerda (2016), El Consejo Fiscal: experiencia en el mundo y lecciones para Paraguay, </w:t>
      </w:r>
      <w:proofErr w:type="spellStart"/>
      <w:r w:rsidRPr="00D24AF4">
        <w:rPr>
          <w:rFonts w:ascii="Arial" w:hAnsi="Arial" w:cs="Arial"/>
          <w:sz w:val="18"/>
          <w:szCs w:val="18"/>
          <w:lang w:val="es-419"/>
        </w:rPr>
        <w:t>mimeo</w:t>
      </w:r>
      <w:proofErr w:type="spellEnd"/>
      <w:r w:rsidRPr="00D24AF4">
        <w:rPr>
          <w:rFonts w:ascii="Arial" w:hAnsi="Arial" w:cs="Arial"/>
          <w:sz w:val="18"/>
          <w:szCs w:val="18"/>
          <w:lang w:val="es-419"/>
        </w:rPr>
        <w:t xml:space="preserve">, BID. </w:t>
      </w:r>
    </w:p>
  </w:footnote>
  <w:footnote w:id="9">
    <w:p w:rsidRPr="00D24AF4" w:rsidR="0042004A" w:rsidP="00BE5978" w:rsidRDefault="0042004A" w14:paraId="14620A5B" w14:textId="1C02D26C">
      <w:pPr>
        <w:pStyle w:val="FootnoteText"/>
        <w:spacing w:after="0"/>
        <w:rPr>
          <w:rFonts w:ascii="Arial" w:hAnsi="Arial" w:cs="Arial"/>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proofErr w:type="spellStart"/>
      <w:r w:rsidRPr="00D24AF4">
        <w:rPr>
          <w:rFonts w:ascii="Arial" w:hAnsi="Arial" w:cs="Arial"/>
          <w:sz w:val="18"/>
          <w:szCs w:val="18"/>
          <w:lang w:val="en-US"/>
        </w:rPr>
        <w:t>Beetsma</w:t>
      </w:r>
      <w:proofErr w:type="spellEnd"/>
      <w:r w:rsidRPr="00D24AF4">
        <w:rPr>
          <w:rFonts w:ascii="Arial" w:hAnsi="Arial" w:cs="Arial"/>
          <w:sz w:val="18"/>
          <w:szCs w:val="18"/>
          <w:lang w:val="en-US"/>
        </w:rPr>
        <w:t xml:space="preserve"> and </w:t>
      </w:r>
      <w:proofErr w:type="spellStart"/>
      <w:r w:rsidRPr="00D24AF4">
        <w:rPr>
          <w:rFonts w:ascii="Arial" w:hAnsi="Arial" w:cs="Arial"/>
          <w:sz w:val="18"/>
          <w:szCs w:val="18"/>
          <w:lang w:val="en-US"/>
        </w:rPr>
        <w:t>Debrun</w:t>
      </w:r>
      <w:proofErr w:type="spellEnd"/>
      <w:r w:rsidRPr="00D24AF4">
        <w:rPr>
          <w:rFonts w:ascii="Arial" w:hAnsi="Arial" w:cs="Arial"/>
          <w:sz w:val="18"/>
          <w:szCs w:val="18"/>
          <w:lang w:val="en-US"/>
        </w:rPr>
        <w:t xml:space="preserve"> (2016), </w:t>
      </w:r>
      <w:r w:rsidRPr="00D24AF4">
        <w:rPr>
          <w:rFonts w:ascii="Arial" w:hAnsi="Arial" w:cs="Arial"/>
          <w:i/>
          <w:sz w:val="18"/>
          <w:szCs w:val="18"/>
          <w:lang w:val="en-US"/>
        </w:rPr>
        <w:t>Fiscal councils: rationale and effectiveness</w:t>
      </w:r>
      <w:r w:rsidRPr="00D24AF4">
        <w:rPr>
          <w:rFonts w:ascii="Arial" w:hAnsi="Arial" w:cs="Arial"/>
          <w:sz w:val="18"/>
          <w:szCs w:val="18"/>
          <w:lang w:val="en-US"/>
        </w:rPr>
        <w:t xml:space="preserve">, IMF WP/16/86, y </w:t>
      </w:r>
      <w:proofErr w:type="spellStart"/>
      <w:r w:rsidRPr="00D24AF4">
        <w:rPr>
          <w:rFonts w:ascii="Arial" w:hAnsi="Arial" w:cs="Arial"/>
          <w:sz w:val="18"/>
          <w:szCs w:val="18"/>
          <w:lang w:val="en-US"/>
        </w:rPr>
        <w:t>Beetsma</w:t>
      </w:r>
      <w:proofErr w:type="spellEnd"/>
      <w:r w:rsidRPr="00D24AF4">
        <w:rPr>
          <w:rFonts w:ascii="Arial" w:hAnsi="Arial" w:cs="Arial"/>
          <w:sz w:val="18"/>
          <w:szCs w:val="18"/>
          <w:lang w:val="en-US"/>
        </w:rPr>
        <w:t xml:space="preserve"> et al (2018), </w:t>
      </w:r>
      <w:r w:rsidRPr="00D24AF4">
        <w:rPr>
          <w:rFonts w:ascii="Arial" w:hAnsi="Arial" w:cs="Arial"/>
          <w:i/>
          <w:sz w:val="18"/>
          <w:szCs w:val="18"/>
          <w:lang w:val="en-US"/>
        </w:rPr>
        <w:t xml:space="preserve">Independent fiscal councils: recent trends and performance, </w:t>
      </w:r>
      <w:r w:rsidRPr="00D24AF4">
        <w:rPr>
          <w:rFonts w:ascii="Arial" w:hAnsi="Arial" w:cs="Arial"/>
          <w:sz w:val="18"/>
          <w:szCs w:val="18"/>
          <w:lang w:val="en-US"/>
        </w:rPr>
        <w:t xml:space="preserve">IMF WP/18/68. </w:t>
      </w:r>
    </w:p>
  </w:footnote>
  <w:footnote w:id="10">
    <w:p w:rsidRPr="00D24AF4" w:rsidR="0042004A" w:rsidP="00BE5978" w:rsidRDefault="0042004A" w14:paraId="103407D3" w14:textId="334F4B5B">
      <w:pPr>
        <w:pStyle w:val="FootnoteText"/>
        <w:spacing w:after="0"/>
        <w:rPr>
          <w:rFonts w:ascii="Arial" w:hAnsi="Arial" w:cs="Arial"/>
          <w:i/>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proofErr w:type="spellStart"/>
      <w:r w:rsidRPr="00D24AF4">
        <w:rPr>
          <w:rFonts w:ascii="Arial" w:hAnsi="Arial" w:cs="Arial"/>
          <w:sz w:val="18"/>
          <w:szCs w:val="18"/>
          <w:lang w:val="en-US"/>
        </w:rPr>
        <w:t>Kopits</w:t>
      </w:r>
      <w:proofErr w:type="spellEnd"/>
      <w:r w:rsidRPr="00D24AF4">
        <w:rPr>
          <w:rFonts w:ascii="Arial" w:hAnsi="Arial" w:cs="Arial"/>
          <w:sz w:val="18"/>
          <w:szCs w:val="18"/>
          <w:lang w:val="en-US"/>
        </w:rPr>
        <w:t xml:space="preserve"> (2011), </w:t>
      </w:r>
      <w:r w:rsidRPr="00D24AF4">
        <w:rPr>
          <w:rFonts w:ascii="Arial" w:hAnsi="Arial" w:cs="Arial"/>
          <w:i/>
          <w:sz w:val="18"/>
          <w:szCs w:val="18"/>
          <w:lang w:val="en-US"/>
        </w:rPr>
        <w:t>Independent fiscal institutions: developing goods practices</w:t>
      </w:r>
      <w:r w:rsidRPr="00D24AF4">
        <w:rPr>
          <w:rFonts w:ascii="Arial" w:hAnsi="Arial" w:cs="Arial"/>
          <w:sz w:val="18"/>
          <w:szCs w:val="18"/>
          <w:lang w:val="en-US"/>
        </w:rPr>
        <w:t xml:space="preserve">, OECD Journal on Budgeting; FMI (2016a) y FMI (2013), </w:t>
      </w:r>
      <w:r w:rsidRPr="00D24AF4">
        <w:rPr>
          <w:rFonts w:ascii="Arial" w:hAnsi="Arial" w:cs="Arial"/>
          <w:i/>
          <w:sz w:val="18"/>
          <w:szCs w:val="18"/>
          <w:lang w:val="en-US"/>
        </w:rPr>
        <w:t>The functions and impact of fiscal councils</w:t>
      </w:r>
      <w:r w:rsidRPr="00D24AF4">
        <w:rPr>
          <w:rFonts w:ascii="Arial" w:hAnsi="Arial" w:cs="Arial"/>
          <w:sz w:val="18"/>
          <w:szCs w:val="18"/>
          <w:lang w:val="en-US"/>
        </w:rPr>
        <w:t xml:space="preserve">, IMF Policy Paper. </w:t>
      </w:r>
      <w:r w:rsidRPr="00D24AF4">
        <w:rPr>
          <w:rFonts w:ascii="Arial" w:hAnsi="Arial" w:cs="Arial"/>
          <w:i/>
          <w:sz w:val="18"/>
          <w:szCs w:val="18"/>
          <w:lang w:val="en-US"/>
        </w:rPr>
        <w:t xml:space="preserve"> </w:t>
      </w:r>
    </w:p>
  </w:footnote>
  <w:footnote w:id="11">
    <w:p w:rsidRPr="00D24AF4" w:rsidR="0042004A" w:rsidP="00BE5978" w:rsidRDefault="0042004A" w14:paraId="453C72B1" w14:textId="77777777">
      <w:pPr>
        <w:pStyle w:val="FootnoteText"/>
        <w:spacing w:after="0"/>
        <w:rPr>
          <w:rFonts w:ascii="Arial" w:hAnsi="Arial" w:cs="Arial"/>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r w:rsidRPr="00D24AF4">
        <w:rPr>
          <w:rFonts w:ascii="Arial" w:hAnsi="Arial" w:cs="Arial"/>
          <w:sz w:val="18"/>
          <w:szCs w:val="18"/>
          <w:lang w:val="en-US"/>
        </w:rPr>
        <w:t xml:space="preserve">Banco Mundial. 2013. Beyond the Annual Budget: Global Experience with Medium-Term Expenditure Frameworks. Washington, DC: World Bank. © World Bank. Disponible </w:t>
      </w:r>
      <w:proofErr w:type="spellStart"/>
      <w:r w:rsidRPr="00D24AF4">
        <w:rPr>
          <w:rFonts w:ascii="Arial" w:hAnsi="Arial" w:cs="Arial"/>
          <w:sz w:val="18"/>
          <w:szCs w:val="18"/>
          <w:lang w:val="en-US"/>
        </w:rPr>
        <w:t>en</w:t>
      </w:r>
      <w:proofErr w:type="spellEnd"/>
      <w:r w:rsidRPr="00D24AF4">
        <w:rPr>
          <w:rFonts w:ascii="Arial" w:hAnsi="Arial" w:cs="Arial"/>
          <w:sz w:val="18"/>
          <w:szCs w:val="18"/>
          <w:lang w:val="en-US"/>
        </w:rPr>
        <w:t>:</w:t>
      </w:r>
    </w:p>
    <w:p w:rsidRPr="00D24AF4" w:rsidR="0042004A" w:rsidP="00BE5978" w:rsidRDefault="007E0907" w14:paraId="371CD70F" w14:textId="014C965B">
      <w:pPr>
        <w:pStyle w:val="FootnoteText"/>
        <w:spacing w:after="0"/>
        <w:rPr>
          <w:rFonts w:ascii="Arial" w:hAnsi="Arial" w:cs="Arial"/>
          <w:sz w:val="18"/>
          <w:szCs w:val="18"/>
          <w:lang w:val="en-US"/>
        </w:rPr>
      </w:pPr>
      <w:hyperlink w:history="1" r:id="rId1">
        <w:r w:rsidRPr="00D24AF4" w:rsidR="0042004A">
          <w:rPr>
            <w:rStyle w:val="Hyperlink"/>
            <w:rFonts w:ascii="Arial" w:hAnsi="Arial" w:cs="Arial"/>
            <w:sz w:val="18"/>
            <w:szCs w:val="18"/>
            <w:lang w:val="en-US"/>
          </w:rPr>
          <w:t>https://openknowledge.worldbank.org/handle/10986/11971</w:t>
        </w:r>
      </w:hyperlink>
      <w:r w:rsidRPr="00D24AF4" w:rsidR="0042004A">
        <w:rPr>
          <w:rFonts w:ascii="Arial" w:hAnsi="Arial" w:cs="Arial"/>
          <w:sz w:val="18"/>
          <w:szCs w:val="18"/>
          <w:lang w:val="en-US"/>
        </w:rPr>
        <w:t xml:space="preserve"> License: CC BY 3.0 IGO.</w:t>
      </w:r>
    </w:p>
  </w:footnote>
  <w:footnote w:id="12">
    <w:p w:rsidRPr="00D24AF4" w:rsidR="0042004A" w:rsidP="00BE5978" w:rsidRDefault="0042004A" w14:paraId="68733722" w14:textId="2B4A330E">
      <w:pPr>
        <w:pStyle w:val="FootnoteText"/>
        <w:spacing w:after="0"/>
        <w:rPr>
          <w:rFonts w:ascii="Arial" w:hAnsi="Arial" w:cs="Arial"/>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es-CR"/>
        </w:rPr>
        <w:t xml:space="preserve"> </w:t>
      </w:r>
      <w:r w:rsidRPr="00D24AF4">
        <w:rPr>
          <w:rFonts w:ascii="Arial" w:hAnsi="Arial" w:cs="Arial"/>
          <w:sz w:val="18"/>
          <w:szCs w:val="18"/>
          <w:lang w:val="es-CR"/>
        </w:rPr>
        <w:tab/>
      </w:r>
      <w:r w:rsidRPr="00D24AF4">
        <w:rPr>
          <w:rFonts w:ascii="Arial" w:hAnsi="Arial" w:cs="Arial"/>
          <w:sz w:val="18"/>
          <w:szCs w:val="18"/>
          <w:lang w:val="es-CR"/>
        </w:rPr>
        <w:t xml:space="preserve">Vega, A. 2012. </w:t>
      </w:r>
      <w:r w:rsidRPr="00D24AF4">
        <w:rPr>
          <w:rFonts w:ascii="Arial" w:hAnsi="Arial" w:cs="Arial"/>
          <w:sz w:val="18"/>
          <w:szCs w:val="18"/>
          <w:lang w:val="es-419"/>
        </w:rPr>
        <w:t xml:space="preserve">Marcos Fiscales y Presupuestarios de Mediano Plazo: Recomendaciones para el caso de Paraguay. </w:t>
      </w:r>
      <w:proofErr w:type="spellStart"/>
      <w:r w:rsidRPr="00D24AF4">
        <w:rPr>
          <w:rFonts w:ascii="Arial" w:hAnsi="Arial" w:cs="Arial"/>
          <w:sz w:val="18"/>
          <w:szCs w:val="18"/>
          <w:lang w:val="en-US"/>
        </w:rPr>
        <w:t>Cepal</w:t>
      </w:r>
      <w:proofErr w:type="spellEnd"/>
      <w:r w:rsidRPr="00D24AF4">
        <w:rPr>
          <w:rFonts w:ascii="Arial" w:hAnsi="Arial" w:cs="Arial"/>
          <w:sz w:val="18"/>
          <w:szCs w:val="18"/>
          <w:lang w:val="en-US"/>
        </w:rPr>
        <w:t xml:space="preserve">. Disponible </w:t>
      </w:r>
      <w:proofErr w:type="spellStart"/>
      <w:r w:rsidRPr="00D24AF4">
        <w:rPr>
          <w:rFonts w:ascii="Arial" w:hAnsi="Arial" w:cs="Arial"/>
          <w:sz w:val="18"/>
          <w:szCs w:val="18"/>
          <w:lang w:val="en-US"/>
        </w:rPr>
        <w:t>en</w:t>
      </w:r>
      <w:proofErr w:type="spellEnd"/>
      <w:r w:rsidRPr="00D24AF4">
        <w:rPr>
          <w:rFonts w:ascii="Arial" w:hAnsi="Arial" w:cs="Arial"/>
          <w:sz w:val="18"/>
          <w:szCs w:val="18"/>
          <w:lang w:val="en-US"/>
        </w:rPr>
        <w:t xml:space="preserve">: </w:t>
      </w:r>
      <w:hyperlink w:history="1" r:id="rId2">
        <w:r w:rsidRPr="00D24AF4">
          <w:rPr>
            <w:rStyle w:val="Hyperlink"/>
            <w:rFonts w:ascii="Arial" w:hAnsi="Arial" w:cs="Arial"/>
            <w:sz w:val="18"/>
            <w:szCs w:val="18"/>
            <w:lang w:val="en-US"/>
          </w:rPr>
          <w:t>https://repositorio.cepal.org/handle/11362/3968</w:t>
        </w:r>
      </w:hyperlink>
      <w:r w:rsidRPr="00D24AF4">
        <w:rPr>
          <w:rFonts w:ascii="Arial" w:hAnsi="Arial" w:cs="Arial"/>
          <w:sz w:val="18"/>
          <w:szCs w:val="18"/>
          <w:lang w:val="en-US"/>
        </w:rPr>
        <w:t xml:space="preserve"> </w:t>
      </w:r>
    </w:p>
  </w:footnote>
  <w:footnote w:id="13">
    <w:p w:rsidRPr="00D24AF4" w:rsidR="0042004A" w:rsidP="00BE5978" w:rsidRDefault="0042004A" w14:paraId="271707A4" w14:textId="77D4526F">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r w:rsidRPr="00D24AF4">
        <w:rPr>
          <w:rFonts w:ascii="Arial" w:hAnsi="Arial" w:cs="Arial"/>
          <w:sz w:val="18"/>
          <w:szCs w:val="18"/>
          <w:lang w:val="en-US"/>
        </w:rPr>
        <w:t xml:space="preserve">Ver FMI (2016b) y FMI (2014), </w:t>
      </w:r>
      <w:r w:rsidRPr="00D24AF4">
        <w:rPr>
          <w:rFonts w:ascii="Arial" w:hAnsi="Arial" w:cs="Arial"/>
          <w:i/>
          <w:sz w:val="18"/>
          <w:szCs w:val="18"/>
          <w:lang w:val="en-US"/>
        </w:rPr>
        <w:t>Revised guidelines for public debt management</w:t>
      </w:r>
      <w:r w:rsidRPr="00D24AF4">
        <w:rPr>
          <w:rFonts w:ascii="Arial" w:hAnsi="Arial" w:cs="Arial"/>
          <w:sz w:val="18"/>
          <w:szCs w:val="18"/>
          <w:lang w:val="en-US"/>
        </w:rPr>
        <w:t xml:space="preserve">, IMF Policy Paper. </w:t>
      </w:r>
      <w:r w:rsidRPr="00D24AF4">
        <w:rPr>
          <w:rFonts w:ascii="Arial" w:hAnsi="Arial" w:cs="Arial"/>
          <w:sz w:val="18"/>
          <w:szCs w:val="18"/>
          <w:lang w:val="es-419"/>
        </w:rPr>
        <w:t xml:space="preserve">La actualización anual de la EGD contribuye a mejorar la confianza de los inversores, mitigar inestabilidad de mercado y por ende reducir los costos de financiamiento, pero requiere de un marco legal adecuado a buenas prácticas internacionales que facilite un manejo activo de la deuda. </w:t>
      </w:r>
    </w:p>
  </w:footnote>
  <w:footnote w:id="14">
    <w:p w:rsidRPr="00D24AF4" w:rsidR="0042004A" w:rsidP="00BE5978" w:rsidRDefault="0042004A" w14:paraId="398CF4D2" w14:textId="276B5B98">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r w:rsidRPr="00D24AF4">
        <w:rPr>
          <w:rFonts w:ascii="Arial" w:hAnsi="Arial" w:cs="Arial"/>
          <w:sz w:val="18"/>
          <w:szCs w:val="18"/>
          <w:lang w:val="en-US"/>
        </w:rPr>
        <w:t xml:space="preserve">Vlaicu, R., Verhoeven, M., Grigoli, F., &amp; Mills, Z. (2014). Multiyear budgets and fiscal performance: Panel data evidence. </w:t>
      </w:r>
      <w:r w:rsidRPr="00D24AF4">
        <w:rPr>
          <w:rFonts w:ascii="Arial" w:hAnsi="Arial" w:cs="Arial"/>
          <w:sz w:val="18"/>
          <w:szCs w:val="18"/>
          <w:lang w:val="es-419"/>
        </w:rPr>
        <w:t>Journal of Public Economics, 111, 79-95.</w:t>
      </w:r>
    </w:p>
  </w:footnote>
  <w:footnote w:id="15">
    <w:p w:rsidRPr="00D24AF4" w:rsidR="0042004A" w:rsidP="00BE5978" w:rsidRDefault="0042004A" w14:paraId="6F98F8BF" w14:textId="5CA5A604">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s-419"/>
        </w:rPr>
        <w:t xml:space="preserve"> </w:t>
      </w:r>
      <w:r w:rsidRPr="00D24AF4">
        <w:rPr>
          <w:rFonts w:ascii="Arial" w:hAnsi="Arial" w:cs="Arial"/>
          <w:sz w:val="18"/>
          <w:szCs w:val="18"/>
          <w:lang w:val="es-419"/>
        </w:rPr>
        <w:tab/>
      </w:r>
      <w:r w:rsidRPr="00D24AF4">
        <w:rPr>
          <w:rFonts w:ascii="Arial" w:hAnsi="Arial" w:cs="Arial"/>
          <w:sz w:val="18"/>
          <w:szCs w:val="18"/>
          <w:lang w:val="es-419"/>
        </w:rPr>
        <w:t xml:space="preserve">Cerda y Larraín (2017), Mejorando la institucionalidad fiscal del Paraguay - ¿Por qué implementar un fondo soberano?, </w:t>
      </w:r>
      <w:proofErr w:type="spellStart"/>
      <w:r w:rsidRPr="00D24AF4">
        <w:rPr>
          <w:rFonts w:ascii="Arial" w:hAnsi="Arial" w:cs="Arial"/>
          <w:sz w:val="18"/>
          <w:szCs w:val="18"/>
          <w:lang w:val="es-419"/>
        </w:rPr>
        <w:t>mimeo</w:t>
      </w:r>
      <w:proofErr w:type="spellEnd"/>
      <w:r w:rsidRPr="00D24AF4">
        <w:rPr>
          <w:rFonts w:ascii="Arial" w:hAnsi="Arial" w:cs="Arial"/>
          <w:sz w:val="18"/>
          <w:szCs w:val="18"/>
          <w:lang w:val="es-419"/>
        </w:rPr>
        <w:t xml:space="preserve"> BID. </w:t>
      </w:r>
    </w:p>
  </w:footnote>
  <w:footnote w:id="16">
    <w:p w:rsidRPr="00D24AF4" w:rsidR="0042004A" w:rsidP="00BE5978" w:rsidRDefault="0042004A" w14:paraId="5A8BBD22" w14:textId="59DED273">
      <w:pPr>
        <w:pStyle w:val="FootnoteText"/>
        <w:spacing w:after="0"/>
        <w:rPr>
          <w:rFonts w:ascii="Arial" w:hAnsi="Arial" w:cs="Arial"/>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r w:rsidRPr="00D24AF4">
        <w:rPr>
          <w:rFonts w:ascii="Arial" w:hAnsi="Arial" w:cs="Arial"/>
          <w:sz w:val="18"/>
          <w:szCs w:val="18"/>
          <w:lang w:val="en-US"/>
        </w:rPr>
        <w:t xml:space="preserve">Allen y Caruana (2008), </w:t>
      </w:r>
      <w:r w:rsidRPr="00D24AF4">
        <w:rPr>
          <w:rFonts w:ascii="Arial" w:hAnsi="Arial" w:cs="Arial"/>
          <w:i/>
          <w:sz w:val="18"/>
          <w:szCs w:val="18"/>
          <w:lang w:val="en-US"/>
        </w:rPr>
        <w:t>Sovereign wealth funds – A work agenda</w:t>
      </w:r>
      <w:r w:rsidRPr="00D24AF4">
        <w:rPr>
          <w:rFonts w:ascii="Arial" w:hAnsi="Arial" w:cs="Arial"/>
          <w:sz w:val="18"/>
          <w:szCs w:val="18"/>
          <w:lang w:val="en-US"/>
        </w:rPr>
        <w:t xml:space="preserve">, IMF. </w:t>
      </w:r>
    </w:p>
  </w:footnote>
  <w:footnote w:id="17">
    <w:p w:rsidRPr="00D24AF4" w:rsidR="0042004A" w:rsidP="00BE5978" w:rsidRDefault="0042004A" w14:paraId="3DE3A408" w14:textId="543C6E4D">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s-419"/>
        </w:rPr>
        <w:t xml:space="preserve"> </w:t>
      </w:r>
      <w:r w:rsidRPr="00D24AF4">
        <w:rPr>
          <w:rFonts w:ascii="Arial" w:hAnsi="Arial" w:cs="Arial"/>
          <w:sz w:val="18"/>
          <w:szCs w:val="18"/>
          <w:lang w:val="es-419"/>
        </w:rPr>
        <w:tab/>
      </w:r>
      <w:r w:rsidRPr="00D24AF4">
        <w:rPr>
          <w:rFonts w:ascii="Arial" w:hAnsi="Arial" w:cs="Arial"/>
          <w:sz w:val="18"/>
          <w:szCs w:val="18"/>
          <w:lang w:val="es-419"/>
        </w:rPr>
        <w:t>Salas, Camacho y Alzamora (2018), El Fondo de Estabilización Fiscal en el Perú</w:t>
      </w:r>
      <w:r w:rsidRPr="00D24AF4">
        <w:rPr>
          <w:rFonts w:ascii="Arial" w:hAnsi="Arial" w:cs="Arial"/>
          <w:i/>
          <w:sz w:val="18"/>
          <w:szCs w:val="18"/>
          <w:lang w:val="es-419"/>
        </w:rPr>
        <w:t xml:space="preserve"> – </w:t>
      </w:r>
      <w:r w:rsidRPr="00D24AF4">
        <w:rPr>
          <w:rFonts w:ascii="Arial" w:hAnsi="Arial" w:cs="Arial"/>
          <w:sz w:val="18"/>
          <w:szCs w:val="18"/>
          <w:lang w:val="es-419"/>
        </w:rPr>
        <w:t xml:space="preserve">Revista Moneda del Banco Central de Perú; y </w:t>
      </w:r>
      <w:proofErr w:type="spellStart"/>
      <w:r w:rsidRPr="00D24AF4">
        <w:rPr>
          <w:rFonts w:ascii="Arial" w:hAnsi="Arial" w:cs="Arial"/>
          <w:sz w:val="18"/>
          <w:szCs w:val="18"/>
          <w:lang w:val="es-419"/>
        </w:rPr>
        <w:t>Sugawara</w:t>
      </w:r>
      <w:proofErr w:type="spellEnd"/>
      <w:r w:rsidRPr="00D24AF4">
        <w:rPr>
          <w:rFonts w:ascii="Arial" w:hAnsi="Arial" w:cs="Arial"/>
          <w:sz w:val="18"/>
          <w:szCs w:val="18"/>
          <w:lang w:val="es-419"/>
        </w:rPr>
        <w:t xml:space="preserve"> (2014), </w:t>
      </w:r>
      <w:proofErr w:type="spellStart"/>
      <w:r w:rsidRPr="00D24AF4">
        <w:rPr>
          <w:rFonts w:ascii="Arial" w:hAnsi="Arial" w:cs="Arial"/>
          <w:i/>
          <w:sz w:val="18"/>
          <w:szCs w:val="18"/>
          <w:lang w:val="es-419"/>
        </w:rPr>
        <w:t>From</w:t>
      </w:r>
      <w:proofErr w:type="spellEnd"/>
      <w:r w:rsidRPr="00D24AF4">
        <w:rPr>
          <w:rFonts w:ascii="Arial" w:hAnsi="Arial" w:cs="Arial"/>
          <w:i/>
          <w:sz w:val="18"/>
          <w:szCs w:val="18"/>
          <w:lang w:val="es-419"/>
        </w:rPr>
        <w:t xml:space="preserve"> </w:t>
      </w:r>
      <w:proofErr w:type="spellStart"/>
      <w:r w:rsidRPr="00D24AF4">
        <w:rPr>
          <w:rFonts w:ascii="Arial" w:hAnsi="Arial" w:cs="Arial"/>
          <w:i/>
          <w:sz w:val="18"/>
          <w:szCs w:val="18"/>
          <w:lang w:val="es-419"/>
        </w:rPr>
        <w:t>volatility</w:t>
      </w:r>
      <w:proofErr w:type="spellEnd"/>
      <w:r w:rsidRPr="00D24AF4">
        <w:rPr>
          <w:rFonts w:ascii="Arial" w:hAnsi="Arial" w:cs="Arial"/>
          <w:i/>
          <w:sz w:val="18"/>
          <w:szCs w:val="18"/>
          <w:lang w:val="es-419"/>
        </w:rPr>
        <w:t xml:space="preserve"> </w:t>
      </w:r>
      <w:proofErr w:type="spellStart"/>
      <w:r w:rsidRPr="00D24AF4">
        <w:rPr>
          <w:rFonts w:ascii="Arial" w:hAnsi="Arial" w:cs="Arial"/>
          <w:i/>
          <w:sz w:val="18"/>
          <w:szCs w:val="18"/>
          <w:lang w:val="es-419"/>
        </w:rPr>
        <w:t>to</w:t>
      </w:r>
      <w:proofErr w:type="spellEnd"/>
      <w:r w:rsidRPr="00D24AF4">
        <w:rPr>
          <w:rFonts w:ascii="Arial" w:hAnsi="Arial" w:cs="Arial"/>
          <w:i/>
          <w:sz w:val="18"/>
          <w:szCs w:val="18"/>
          <w:lang w:val="es-419"/>
        </w:rPr>
        <w:t xml:space="preserve"> </w:t>
      </w:r>
      <w:proofErr w:type="spellStart"/>
      <w:r w:rsidRPr="00D24AF4">
        <w:rPr>
          <w:rFonts w:ascii="Arial" w:hAnsi="Arial" w:cs="Arial"/>
          <w:i/>
          <w:sz w:val="18"/>
          <w:szCs w:val="18"/>
          <w:lang w:val="es-419"/>
        </w:rPr>
        <w:t>stability</w:t>
      </w:r>
      <w:proofErr w:type="spellEnd"/>
      <w:r w:rsidRPr="00D24AF4">
        <w:rPr>
          <w:rFonts w:ascii="Arial" w:hAnsi="Arial" w:cs="Arial"/>
          <w:i/>
          <w:sz w:val="18"/>
          <w:szCs w:val="18"/>
          <w:lang w:val="es-419"/>
        </w:rPr>
        <w:t xml:space="preserve"> in </w:t>
      </w:r>
      <w:proofErr w:type="spellStart"/>
      <w:r w:rsidRPr="00D24AF4">
        <w:rPr>
          <w:rFonts w:ascii="Arial" w:hAnsi="Arial" w:cs="Arial"/>
          <w:i/>
          <w:sz w:val="18"/>
          <w:szCs w:val="18"/>
          <w:lang w:val="es-419"/>
        </w:rPr>
        <w:t>expenditure</w:t>
      </w:r>
      <w:proofErr w:type="spellEnd"/>
      <w:r w:rsidRPr="00D24AF4">
        <w:rPr>
          <w:rFonts w:ascii="Arial" w:hAnsi="Arial" w:cs="Arial"/>
          <w:i/>
          <w:sz w:val="18"/>
          <w:szCs w:val="18"/>
          <w:lang w:val="es-419"/>
        </w:rPr>
        <w:t xml:space="preserve">: </w:t>
      </w:r>
      <w:proofErr w:type="spellStart"/>
      <w:r w:rsidRPr="00D24AF4">
        <w:rPr>
          <w:rFonts w:ascii="Arial" w:hAnsi="Arial" w:cs="Arial"/>
          <w:i/>
          <w:sz w:val="18"/>
          <w:szCs w:val="18"/>
          <w:lang w:val="es-419"/>
        </w:rPr>
        <w:t>Stabilization</w:t>
      </w:r>
      <w:proofErr w:type="spellEnd"/>
      <w:r w:rsidRPr="00D24AF4">
        <w:rPr>
          <w:rFonts w:ascii="Arial" w:hAnsi="Arial" w:cs="Arial"/>
          <w:i/>
          <w:sz w:val="18"/>
          <w:szCs w:val="18"/>
          <w:lang w:val="es-419"/>
        </w:rPr>
        <w:t xml:space="preserve"> </w:t>
      </w:r>
      <w:proofErr w:type="spellStart"/>
      <w:r w:rsidRPr="00D24AF4">
        <w:rPr>
          <w:rFonts w:ascii="Arial" w:hAnsi="Arial" w:cs="Arial"/>
          <w:i/>
          <w:sz w:val="18"/>
          <w:szCs w:val="18"/>
          <w:lang w:val="es-419"/>
        </w:rPr>
        <w:t>funds</w:t>
      </w:r>
      <w:proofErr w:type="spellEnd"/>
      <w:r w:rsidRPr="00D24AF4">
        <w:rPr>
          <w:rFonts w:ascii="Arial" w:hAnsi="Arial" w:cs="Arial"/>
          <w:i/>
          <w:sz w:val="18"/>
          <w:szCs w:val="18"/>
          <w:lang w:val="es-419"/>
        </w:rPr>
        <w:t xml:space="preserve"> in </w:t>
      </w:r>
      <w:proofErr w:type="spellStart"/>
      <w:r w:rsidRPr="00D24AF4">
        <w:rPr>
          <w:rFonts w:ascii="Arial" w:hAnsi="Arial" w:cs="Arial"/>
          <w:i/>
          <w:sz w:val="18"/>
          <w:szCs w:val="18"/>
          <w:lang w:val="es-419"/>
        </w:rPr>
        <w:t>resource-rich</w:t>
      </w:r>
      <w:proofErr w:type="spellEnd"/>
      <w:r w:rsidRPr="00D24AF4">
        <w:rPr>
          <w:rFonts w:ascii="Arial" w:hAnsi="Arial" w:cs="Arial"/>
          <w:i/>
          <w:sz w:val="18"/>
          <w:szCs w:val="18"/>
          <w:lang w:val="es-419"/>
        </w:rPr>
        <w:t xml:space="preserve"> </w:t>
      </w:r>
      <w:proofErr w:type="spellStart"/>
      <w:r w:rsidRPr="00D24AF4">
        <w:rPr>
          <w:rFonts w:ascii="Arial" w:hAnsi="Arial" w:cs="Arial"/>
          <w:i/>
          <w:sz w:val="18"/>
          <w:szCs w:val="18"/>
          <w:lang w:val="es-419"/>
        </w:rPr>
        <w:t>countries</w:t>
      </w:r>
      <w:proofErr w:type="spellEnd"/>
      <w:r w:rsidRPr="00D24AF4">
        <w:rPr>
          <w:rFonts w:ascii="Arial" w:hAnsi="Arial" w:cs="Arial"/>
          <w:sz w:val="18"/>
          <w:szCs w:val="18"/>
          <w:lang w:val="es-419"/>
        </w:rPr>
        <w:t xml:space="preserve">, IMF WP/14/43.  </w:t>
      </w:r>
    </w:p>
  </w:footnote>
  <w:footnote w:id="18">
    <w:p w:rsidRPr="00D24AF4" w:rsidR="0042004A" w:rsidP="00BE5978" w:rsidRDefault="0042004A" w14:paraId="6118A936" w14:textId="57B23507">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s-419"/>
        </w:rPr>
        <w:t xml:space="preserve"> </w:t>
      </w:r>
      <w:r w:rsidRPr="00D24AF4">
        <w:rPr>
          <w:rFonts w:ascii="Arial" w:hAnsi="Arial" w:cs="Arial"/>
          <w:sz w:val="18"/>
          <w:szCs w:val="18"/>
          <w:lang w:val="es-419"/>
        </w:rPr>
        <w:tab/>
      </w:r>
      <w:r w:rsidRPr="00D24AF4">
        <w:rPr>
          <w:rFonts w:ascii="Arial" w:hAnsi="Arial" w:cs="Arial"/>
          <w:sz w:val="18"/>
          <w:szCs w:val="18"/>
          <w:lang w:val="es-419"/>
        </w:rPr>
        <w:t xml:space="preserve">Ver Artana (2018). </w:t>
      </w:r>
    </w:p>
  </w:footnote>
  <w:footnote w:id="19">
    <w:p w:rsidRPr="00D24AF4" w:rsidR="0042004A" w:rsidP="00BE5978" w:rsidRDefault="0042004A" w14:paraId="0A206273" w14:textId="6AA93CEC">
      <w:pPr>
        <w:pStyle w:val="FootnoteText"/>
        <w:spacing w:after="0"/>
        <w:rPr>
          <w:rFonts w:ascii="Arial" w:hAnsi="Arial" w:cs="Arial"/>
          <w:sz w:val="18"/>
          <w:szCs w:val="18"/>
          <w:lang w:val="es-419"/>
        </w:rPr>
      </w:pPr>
      <w:r w:rsidRPr="00D24AF4">
        <w:rPr>
          <w:rStyle w:val="FootnoteReference"/>
          <w:rFonts w:ascii="Arial" w:hAnsi="Arial" w:cs="Arial"/>
          <w:sz w:val="18"/>
          <w:szCs w:val="18"/>
        </w:rPr>
        <w:footnoteRef/>
      </w:r>
      <w:r w:rsidRPr="00D24AF4">
        <w:rPr>
          <w:rFonts w:ascii="Arial" w:hAnsi="Arial" w:cs="Arial"/>
          <w:sz w:val="18"/>
          <w:szCs w:val="18"/>
          <w:lang w:val="es-419"/>
        </w:rPr>
        <w:t xml:space="preserve"> </w:t>
      </w:r>
      <w:r w:rsidRPr="00D24AF4">
        <w:rPr>
          <w:rFonts w:ascii="Arial" w:hAnsi="Arial" w:cs="Arial"/>
          <w:sz w:val="18"/>
          <w:szCs w:val="18"/>
          <w:lang w:val="es-419"/>
        </w:rPr>
        <w:tab/>
      </w:r>
      <w:r w:rsidRPr="00D24AF4">
        <w:rPr>
          <w:rFonts w:ascii="Arial" w:hAnsi="Arial" w:cs="Arial"/>
          <w:sz w:val="18"/>
          <w:szCs w:val="18"/>
          <w:lang w:val="es-419"/>
        </w:rPr>
        <w:t>Ver Barreix y Zambrano editores (2018), La Factura Electrónica en América Latina</w:t>
      </w:r>
      <w:r w:rsidRPr="00D24AF4">
        <w:rPr>
          <w:rFonts w:ascii="Arial" w:hAnsi="Arial" w:cs="Arial"/>
          <w:i/>
          <w:sz w:val="18"/>
          <w:szCs w:val="18"/>
          <w:lang w:val="es-419"/>
        </w:rPr>
        <w:t>.</w:t>
      </w:r>
      <w:r w:rsidRPr="00D24AF4">
        <w:rPr>
          <w:rFonts w:ascii="Arial" w:hAnsi="Arial" w:cs="Arial"/>
          <w:sz w:val="18"/>
          <w:szCs w:val="18"/>
          <w:lang w:val="es-419"/>
        </w:rPr>
        <w:t xml:space="preserve"> </w:t>
      </w:r>
    </w:p>
  </w:footnote>
  <w:footnote w:id="20">
    <w:p w:rsidRPr="00D24AF4" w:rsidR="0042004A" w:rsidP="00BE5978" w:rsidRDefault="0042004A" w14:paraId="176D837D" w14:textId="77777777">
      <w:pPr>
        <w:pStyle w:val="FootnoteText"/>
        <w:spacing w:after="0"/>
        <w:rPr>
          <w:rFonts w:ascii="Arial" w:hAnsi="Arial" w:cs="Arial"/>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r w:rsidRPr="00D24AF4">
        <w:rPr>
          <w:rFonts w:ascii="Arial" w:hAnsi="Arial" w:cs="Arial"/>
          <w:sz w:val="18"/>
          <w:szCs w:val="18"/>
          <w:lang w:val="en-US"/>
        </w:rPr>
        <w:t xml:space="preserve">Ver Hashim y </w:t>
      </w:r>
      <w:proofErr w:type="spellStart"/>
      <w:r w:rsidRPr="00D24AF4">
        <w:rPr>
          <w:rFonts w:ascii="Arial" w:hAnsi="Arial" w:cs="Arial"/>
          <w:sz w:val="18"/>
          <w:szCs w:val="18"/>
          <w:lang w:val="en-US"/>
        </w:rPr>
        <w:t>Piatti-Funfkirchen</w:t>
      </w:r>
      <w:proofErr w:type="spellEnd"/>
      <w:r w:rsidRPr="00D24AF4">
        <w:rPr>
          <w:rFonts w:ascii="Arial" w:hAnsi="Arial" w:cs="Arial"/>
          <w:sz w:val="18"/>
          <w:szCs w:val="18"/>
          <w:lang w:val="en-US"/>
        </w:rPr>
        <w:t xml:space="preserve"> (2018), </w:t>
      </w:r>
      <w:r w:rsidRPr="00D24AF4">
        <w:rPr>
          <w:rFonts w:ascii="Arial" w:hAnsi="Arial" w:cs="Arial"/>
          <w:i/>
          <w:sz w:val="18"/>
          <w:szCs w:val="18"/>
          <w:lang w:val="en-US"/>
        </w:rPr>
        <w:t xml:space="preserve">Lessons from reforming financial management information systems: A review of the evidence, </w:t>
      </w:r>
      <w:r w:rsidRPr="00D24AF4">
        <w:rPr>
          <w:rFonts w:ascii="Arial" w:hAnsi="Arial" w:cs="Arial"/>
          <w:sz w:val="18"/>
          <w:szCs w:val="18"/>
          <w:lang w:val="en-US"/>
        </w:rPr>
        <w:t xml:space="preserve">WB Policy Research Working Paper 8312; Pimenta y Pessoa (2015), GFP </w:t>
      </w:r>
      <w:proofErr w:type="spellStart"/>
      <w:r w:rsidRPr="00D24AF4">
        <w:rPr>
          <w:rFonts w:ascii="Arial" w:hAnsi="Arial" w:cs="Arial"/>
          <w:sz w:val="18"/>
          <w:szCs w:val="18"/>
          <w:lang w:val="en-US"/>
        </w:rPr>
        <w:t>en</w:t>
      </w:r>
      <w:proofErr w:type="spellEnd"/>
      <w:r w:rsidRPr="00D24AF4">
        <w:rPr>
          <w:rFonts w:ascii="Arial" w:hAnsi="Arial" w:cs="Arial"/>
          <w:sz w:val="18"/>
          <w:szCs w:val="18"/>
          <w:lang w:val="en-US"/>
        </w:rPr>
        <w:t xml:space="preserve"> ALC: la clave de la </w:t>
      </w:r>
      <w:proofErr w:type="spellStart"/>
      <w:r w:rsidRPr="00D24AF4">
        <w:rPr>
          <w:rFonts w:ascii="Arial" w:hAnsi="Arial" w:cs="Arial"/>
          <w:sz w:val="18"/>
          <w:szCs w:val="18"/>
          <w:lang w:val="en-US"/>
        </w:rPr>
        <w:t>eficiencia</w:t>
      </w:r>
      <w:proofErr w:type="spellEnd"/>
      <w:r w:rsidRPr="00D24AF4">
        <w:rPr>
          <w:rFonts w:ascii="Arial" w:hAnsi="Arial" w:cs="Arial"/>
          <w:sz w:val="18"/>
          <w:szCs w:val="18"/>
          <w:lang w:val="en-US"/>
        </w:rPr>
        <w:t xml:space="preserve"> y la </w:t>
      </w:r>
      <w:proofErr w:type="spellStart"/>
      <w:r w:rsidRPr="00D24AF4">
        <w:rPr>
          <w:rFonts w:ascii="Arial" w:hAnsi="Arial" w:cs="Arial"/>
          <w:sz w:val="18"/>
          <w:szCs w:val="18"/>
          <w:lang w:val="en-US"/>
        </w:rPr>
        <w:t>transparencia</w:t>
      </w:r>
      <w:proofErr w:type="spellEnd"/>
      <w:r w:rsidRPr="00D24AF4">
        <w:rPr>
          <w:rFonts w:ascii="Arial" w:hAnsi="Arial" w:cs="Arial"/>
          <w:sz w:val="18"/>
          <w:szCs w:val="18"/>
          <w:lang w:val="en-US"/>
        </w:rPr>
        <w:t>.</w:t>
      </w:r>
      <w:r w:rsidRPr="00D24AF4">
        <w:rPr>
          <w:rFonts w:ascii="Arial" w:hAnsi="Arial" w:cs="Arial"/>
          <w:i/>
          <w:sz w:val="18"/>
          <w:szCs w:val="18"/>
          <w:lang w:val="en-US"/>
        </w:rPr>
        <w:t xml:space="preserve"> </w:t>
      </w:r>
      <w:r w:rsidRPr="00D24AF4">
        <w:rPr>
          <w:rFonts w:ascii="Arial" w:hAnsi="Arial" w:cs="Arial"/>
          <w:sz w:val="18"/>
          <w:szCs w:val="18"/>
          <w:lang w:val="en-US"/>
        </w:rPr>
        <w:t xml:space="preserve">BID y FMI. Diamond y Khemani (2005), </w:t>
      </w:r>
      <w:r w:rsidRPr="00D24AF4">
        <w:rPr>
          <w:rFonts w:ascii="Arial" w:hAnsi="Arial" w:cs="Arial"/>
          <w:i/>
          <w:sz w:val="18"/>
          <w:szCs w:val="18"/>
          <w:lang w:val="en-US"/>
        </w:rPr>
        <w:t>Introducing financial management information systems in developing countries</w:t>
      </w:r>
      <w:r w:rsidRPr="00D24AF4">
        <w:rPr>
          <w:rFonts w:ascii="Arial" w:hAnsi="Arial" w:cs="Arial"/>
          <w:sz w:val="18"/>
          <w:szCs w:val="18"/>
          <w:lang w:val="en-US"/>
        </w:rPr>
        <w:t xml:space="preserve">, IMF </w:t>
      </w:r>
      <w:r w:rsidRPr="00D24AF4">
        <w:rPr>
          <w:rFonts w:ascii="Arial" w:hAnsi="Arial" w:cs="Arial"/>
          <w:i/>
          <w:sz w:val="18"/>
          <w:szCs w:val="18"/>
          <w:lang w:val="en-US"/>
        </w:rPr>
        <w:t xml:space="preserve">Working Paper </w:t>
      </w:r>
      <w:r w:rsidRPr="00D24AF4">
        <w:rPr>
          <w:rFonts w:ascii="Arial" w:hAnsi="Arial" w:cs="Arial"/>
          <w:sz w:val="18"/>
          <w:szCs w:val="18"/>
          <w:lang w:val="en-US"/>
        </w:rPr>
        <w:t xml:space="preserve">05/196, y Hashim y Allan (2008), </w:t>
      </w:r>
      <w:r w:rsidRPr="00D24AF4">
        <w:rPr>
          <w:rFonts w:ascii="Arial" w:hAnsi="Arial" w:cs="Arial"/>
          <w:i/>
          <w:sz w:val="18"/>
          <w:szCs w:val="18"/>
          <w:lang w:val="en-US"/>
        </w:rPr>
        <w:t>Information systems for government fiscal management</w:t>
      </w:r>
      <w:r w:rsidRPr="00D24AF4">
        <w:rPr>
          <w:rFonts w:ascii="Arial" w:hAnsi="Arial" w:cs="Arial"/>
          <w:sz w:val="18"/>
          <w:szCs w:val="18"/>
          <w:lang w:val="en-US"/>
        </w:rPr>
        <w:t xml:space="preserve">, WB Sector Studies Series #18669. </w:t>
      </w:r>
    </w:p>
  </w:footnote>
  <w:footnote w:id="21">
    <w:p w:rsidRPr="00D24AF4" w:rsidR="0042004A" w:rsidP="00BE5978" w:rsidRDefault="0042004A" w14:paraId="5F59FE3E" w14:textId="79931720">
      <w:pPr>
        <w:pStyle w:val="FootnoteText"/>
        <w:spacing w:after="0"/>
        <w:rPr>
          <w:rFonts w:ascii="Arial" w:hAnsi="Arial" w:cs="Arial"/>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es-419"/>
        </w:rPr>
        <w:t xml:space="preserve"> </w:t>
      </w:r>
      <w:r w:rsidRPr="00D24AF4">
        <w:rPr>
          <w:rFonts w:ascii="Arial" w:hAnsi="Arial" w:cs="Arial"/>
          <w:sz w:val="18"/>
          <w:szCs w:val="18"/>
          <w:lang w:val="es-419"/>
        </w:rPr>
        <w:tab/>
      </w:r>
      <w:r w:rsidRPr="00D24AF4">
        <w:rPr>
          <w:rFonts w:ascii="Arial" w:hAnsi="Arial" w:cs="Arial"/>
          <w:sz w:val="18"/>
          <w:szCs w:val="18"/>
          <w:lang w:val="es-419"/>
        </w:rPr>
        <w:t xml:space="preserve">Robinson, M. y J. Brumby (2005). </w:t>
      </w:r>
      <w:r w:rsidRPr="00D24AF4">
        <w:rPr>
          <w:rFonts w:ascii="Arial" w:hAnsi="Arial" w:cs="Arial"/>
          <w:i/>
          <w:sz w:val="18"/>
          <w:szCs w:val="18"/>
          <w:lang w:val="en-US"/>
        </w:rPr>
        <w:t>Does Performance Budgeting Work? An Analytical Review of the Empirical Literature</w:t>
      </w:r>
      <w:r w:rsidRPr="00D24AF4">
        <w:rPr>
          <w:rFonts w:ascii="Arial" w:hAnsi="Arial" w:cs="Arial"/>
          <w:sz w:val="18"/>
          <w:szCs w:val="18"/>
          <w:lang w:val="en-US"/>
        </w:rPr>
        <w:t xml:space="preserve">, IMF </w:t>
      </w:r>
      <w:r w:rsidRPr="00D24AF4">
        <w:rPr>
          <w:rFonts w:ascii="Arial" w:hAnsi="Arial" w:cs="Arial"/>
          <w:i/>
          <w:sz w:val="18"/>
          <w:szCs w:val="18"/>
          <w:lang w:val="en-US"/>
        </w:rPr>
        <w:t>Working Paper</w:t>
      </w:r>
      <w:r w:rsidRPr="00D24AF4">
        <w:rPr>
          <w:rFonts w:ascii="Arial" w:hAnsi="Arial" w:cs="Arial"/>
          <w:sz w:val="18"/>
          <w:szCs w:val="18"/>
          <w:lang w:val="en-US"/>
        </w:rPr>
        <w:t>, WP/05/210.</w:t>
      </w:r>
    </w:p>
  </w:footnote>
  <w:footnote w:id="22">
    <w:p w:rsidRPr="00D24AF4" w:rsidR="0042004A" w:rsidP="00BE5978" w:rsidRDefault="0042004A" w14:paraId="1A7B7455" w14:textId="570B754B">
      <w:pPr>
        <w:pStyle w:val="FootnoteText"/>
        <w:spacing w:after="0"/>
        <w:rPr>
          <w:rFonts w:ascii="Arial" w:hAnsi="Arial" w:cs="Arial"/>
          <w:sz w:val="18"/>
          <w:szCs w:val="18"/>
          <w:lang w:val="fr-FR"/>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r w:rsidRPr="00D24AF4">
        <w:rPr>
          <w:rFonts w:ascii="Arial" w:hAnsi="Arial" w:cs="Arial"/>
          <w:sz w:val="18"/>
          <w:szCs w:val="18"/>
          <w:lang w:val="en-US"/>
        </w:rPr>
        <w:t xml:space="preserve">Zaltsman, A. (2009). </w:t>
      </w:r>
      <w:r w:rsidRPr="00D24AF4">
        <w:rPr>
          <w:rFonts w:ascii="Arial" w:hAnsi="Arial" w:cs="Arial"/>
          <w:i/>
          <w:sz w:val="18"/>
          <w:szCs w:val="18"/>
          <w:lang w:val="en-US"/>
        </w:rPr>
        <w:t xml:space="preserve">The Effects of Performance Information on Public Resource Allocations: A Study of Chile’s Performance-Based Budgeting System. </w:t>
      </w:r>
      <w:r w:rsidRPr="00D24AF4">
        <w:rPr>
          <w:rFonts w:ascii="Arial" w:hAnsi="Arial" w:cs="Arial"/>
          <w:i/>
          <w:sz w:val="18"/>
          <w:szCs w:val="18"/>
          <w:lang w:val="fr-FR"/>
        </w:rPr>
        <w:t>International Public Management Journal,</w:t>
      </w:r>
      <w:r w:rsidRPr="00D24AF4">
        <w:rPr>
          <w:rFonts w:ascii="Arial" w:hAnsi="Arial" w:cs="Arial"/>
          <w:sz w:val="18"/>
          <w:szCs w:val="18"/>
          <w:lang w:val="fr-FR"/>
        </w:rPr>
        <w:t xml:space="preserve"> 12(4</w:t>
      </w:r>
      <w:proofErr w:type="gramStart"/>
      <w:r w:rsidRPr="00D24AF4">
        <w:rPr>
          <w:rFonts w:ascii="Arial" w:hAnsi="Arial" w:cs="Arial"/>
          <w:sz w:val="18"/>
          <w:szCs w:val="18"/>
          <w:lang w:val="fr-FR"/>
        </w:rPr>
        <w:t>):</w:t>
      </w:r>
      <w:proofErr w:type="gramEnd"/>
      <w:r w:rsidRPr="00D24AF4">
        <w:rPr>
          <w:rFonts w:ascii="Arial" w:hAnsi="Arial" w:cs="Arial"/>
          <w:sz w:val="18"/>
          <w:szCs w:val="18"/>
          <w:lang w:val="fr-FR"/>
        </w:rPr>
        <w:t xml:space="preserve"> 450-483.</w:t>
      </w:r>
    </w:p>
  </w:footnote>
  <w:footnote w:id="23">
    <w:p w:rsidRPr="00D24AF4" w:rsidR="0042004A" w:rsidP="00BE5978" w:rsidRDefault="0042004A" w14:paraId="0D2A9243" w14:textId="7F281A1C">
      <w:pPr>
        <w:pStyle w:val="FootnoteText"/>
        <w:spacing w:after="0"/>
        <w:rPr>
          <w:rFonts w:ascii="Arial" w:hAnsi="Arial" w:cs="Arial"/>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fr-FR"/>
        </w:rPr>
        <w:t xml:space="preserve"> </w:t>
      </w:r>
      <w:r w:rsidRPr="00D24AF4">
        <w:rPr>
          <w:rFonts w:ascii="Arial" w:hAnsi="Arial" w:cs="Arial"/>
          <w:sz w:val="18"/>
          <w:szCs w:val="18"/>
          <w:lang w:val="fr-FR"/>
        </w:rPr>
        <w:tab/>
      </w:r>
      <w:proofErr w:type="spellStart"/>
      <w:r w:rsidRPr="00D24AF4">
        <w:rPr>
          <w:rFonts w:ascii="Arial" w:hAnsi="Arial" w:cs="Arial"/>
          <w:sz w:val="18"/>
          <w:szCs w:val="18"/>
          <w:lang w:val="fr-FR"/>
        </w:rPr>
        <w:t>Gilmour</w:t>
      </w:r>
      <w:proofErr w:type="spellEnd"/>
      <w:r w:rsidRPr="00D24AF4">
        <w:rPr>
          <w:rFonts w:ascii="Arial" w:hAnsi="Arial" w:cs="Arial"/>
          <w:sz w:val="18"/>
          <w:szCs w:val="18"/>
          <w:lang w:val="fr-FR"/>
        </w:rPr>
        <w:t xml:space="preserve">, J.B. y D.E. Lewis (2006). </w:t>
      </w:r>
      <w:r w:rsidRPr="00D24AF4">
        <w:rPr>
          <w:rFonts w:ascii="Arial" w:hAnsi="Arial" w:cs="Arial"/>
          <w:sz w:val="18"/>
          <w:szCs w:val="18"/>
          <w:lang w:val="en-US"/>
        </w:rPr>
        <w:t xml:space="preserve">Assessing Performance Assessment </w:t>
      </w:r>
      <w:r w:rsidRPr="00D24AF4">
        <w:rPr>
          <w:rFonts w:ascii="Arial" w:hAnsi="Arial" w:cs="Arial"/>
          <w:i/>
          <w:sz w:val="18"/>
          <w:szCs w:val="18"/>
          <w:lang w:val="en-US"/>
        </w:rPr>
        <w:t>for Budgeting: The Influence of Politics, Performance and Program Size.</w:t>
      </w:r>
      <w:r w:rsidRPr="00D24AF4">
        <w:rPr>
          <w:rFonts w:ascii="Arial" w:hAnsi="Arial" w:cs="Arial"/>
          <w:sz w:val="18"/>
          <w:szCs w:val="18"/>
          <w:lang w:val="en-US"/>
        </w:rPr>
        <w:t xml:space="preserve"> </w:t>
      </w:r>
      <w:r w:rsidRPr="00D24AF4">
        <w:rPr>
          <w:rFonts w:ascii="Arial" w:hAnsi="Arial" w:cs="Arial"/>
          <w:i/>
          <w:sz w:val="18"/>
          <w:szCs w:val="18"/>
          <w:lang w:val="en-US"/>
        </w:rPr>
        <w:t>Journal of Public Administration Theory and Research</w:t>
      </w:r>
      <w:r w:rsidRPr="00D24AF4">
        <w:rPr>
          <w:rFonts w:ascii="Arial" w:hAnsi="Arial" w:cs="Arial"/>
          <w:sz w:val="18"/>
          <w:szCs w:val="18"/>
          <w:lang w:val="en-US"/>
        </w:rPr>
        <w:t xml:space="preserve"> 16: 169-186; Gilmour, J.B. y D.E. Lewis (2006). </w:t>
      </w:r>
      <w:r w:rsidRPr="00D24AF4">
        <w:rPr>
          <w:rFonts w:ascii="Arial" w:hAnsi="Arial" w:cs="Arial"/>
          <w:i/>
          <w:sz w:val="18"/>
          <w:szCs w:val="18"/>
          <w:lang w:val="en-US"/>
        </w:rPr>
        <w:t>Does Performance Budgeting Work? An Examination of OMB’s PART Scores. Public Administration Review</w:t>
      </w:r>
      <w:r w:rsidRPr="00D24AF4">
        <w:rPr>
          <w:rFonts w:ascii="Arial" w:hAnsi="Arial" w:cs="Arial"/>
          <w:sz w:val="18"/>
          <w:szCs w:val="18"/>
          <w:lang w:val="en-US"/>
        </w:rPr>
        <w:t xml:space="preserve"> 66(5): 742-752. </w:t>
      </w:r>
    </w:p>
  </w:footnote>
  <w:footnote w:id="24">
    <w:p w:rsidRPr="00D24AF4" w:rsidR="0042004A" w:rsidP="00BE5978" w:rsidRDefault="0042004A" w14:paraId="3539BC5A" w14:textId="5683745E">
      <w:pPr>
        <w:pStyle w:val="FootnoteText"/>
        <w:spacing w:after="0"/>
        <w:rPr>
          <w:rFonts w:ascii="Arial" w:hAnsi="Arial" w:cs="Arial"/>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r w:rsidRPr="00D24AF4">
        <w:rPr>
          <w:rFonts w:ascii="Arial" w:hAnsi="Arial" w:cs="Arial"/>
          <w:sz w:val="18"/>
          <w:szCs w:val="18"/>
          <w:lang w:val="en-US"/>
        </w:rPr>
        <w:t xml:space="preserve">Ver WB (2016), </w:t>
      </w:r>
      <w:r w:rsidRPr="00D24AF4">
        <w:rPr>
          <w:rFonts w:ascii="Arial" w:hAnsi="Arial" w:cs="Arial"/>
          <w:i/>
          <w:sz w:val="18"/>
          <w:szCs w:val="18"/>
          <w:lang w:val="en-US"/>
        </w:rPr>
        <w:t>Toward next-generation performance budgeting – Lessons from the experiences of seven reforming countries</w:t>
      </w:r>
      <w:r w:rsidRPr="00D24AF4">
        <w:rPr>
          <w:rFonts w:ascii="Arial" w:hAnsi="Arial" w:cs="Arial"/>
          <w:sz w:val="18"/>
          <w:szCs w:val="18"/>
          <w:lang w:val="en-US"/>
        </w:rPr>
        <w:t xml:space="preserve">. Daniel Moynihan e Ivor Beazley, </w:t>
      </w:r>
      <w:r w:rsidRPr="00D24AF4">
        <w:rPr>
          <w:rFonts w:ascii="Arial" w:hAnsi="Arial" w:cs="Arial"/>
          <w:i/>
          <w:sz w:val="18"/>
          <w:szCs w:val="18"/>
          <w:lang w:val="en-US"/>
        </w:rPr>
        <w:t>Directions in development, Public Sector Governance</w:t>
      </w:r>
      <w:r w:rsidRPr="00D24AF4">
        <w:rPr>
          <w:rFonts w:ascii="Arial" w:hAnsi="Arial" w:cs="Arial"/>
          <w:sz w:val="18"/>
          <w:szCs w:val="18"/>
          <w:lang w:val="en-US"/>
        </w:rPr>
        <w:t xml:space="preserve">. </w:t>
      </w:r>
    </w:p>
  </w:footnote>
  <w:footnote w:id="25">
    <w:p w:rsidRPr="00D24AF4" w:rsidR="0042004A" w:rsidP="00BE5978" w:rsidRDefault="0042004A" w14:paraId="02FBA263" w14:textId="0C140CCC">
      <w:pPr>
        <w:pStyle w:val="FootnoteText"/>
        <w:spacing w:after="0"/>
        <w:rPr>
          <w:rFonts w:ascii="Arial" w:hAnsi="Arial" w:cs="Arial"/>
          <w:sz w:val="18"/>
          <w:szCs w:val="18"/>
          <w:lang w:val="en-US"/>
        </w:rPr>
      </w:pPr>
      <w:r w:rsidRPr="00D24AF4">
        <w:rPr>
          <w:rStyle w:val="FootnoteReference"/>
          <w:rFonts w:ascii="Arial" w:hAnsi="Arial" w:cs="Arial"/>
          <w:sz w:val="18"/>
          <w:szCs w:val="18"/>
        </w:rPr>
        <w:footnoteRef/>
      </w:r>
      <w:r w:rsidRPr="00D24AF4">
        <w:rPr>
          <w:rFonts w:ascii="Arial" w:hAnsi="Arial" w:cs="Arial"/>
          <w:sz w:val="18"/>
          <w:szCs w:val="18"/>
          <w:lang w:val="en-US"/>
        </w:rPr>
        <w:t xml:space="preserve"> </w:t>
      </w:r>
      <w:r w:rsidRPr="00D24AF4">
        <w:rPr>
          <w:rFonts w:ascii="Arial" w:hAnsi="Arial" w:cs="Arial"/>
          <w:sz w:val="18"/>
          <w:szCs w:val="18"/>
          <w:lang w:val="en-US"/>
        </w:rPr>
        <w:tab/>
      </w:r>
      <w:r w:rsidRPr="00D24AF4">
        <w:rPr>
          <w:rFonts w:ascii="Arial" w:hAnsi="Arial" w:cs="Arial"/>
          <w:sz w:val="18"/>
          <w:szCs w:val="18"/>
          <w:lang w:val="en-US"/>
        </w:rPr>
        <w:t>FMI (2015)</w:t>
      </w:r>
      <w:r w:rsidRPr="00D24AF4">
        <w:rPr>
          <w:rFonts w:ascii="Arial" w:hAnsi="Arial" w:cs="Arial"/>
          <w:i/>
          <w:sz w:val="18"/>
          <w:szCs w:val="18"/>
          <w:lang w:val="en-US"/>
        </w:rPr>
        <w:t>, Making public investment more efficient</w:t>
      </w:r>
      <w:r w:rsidRPr="00D24AF4">
        <w:rPr>
          <w:rFonts w:ascii="Arial" w:hAnsi="Arial" w:cs="Arial"/>
          <w:sz w:val="18"/>
          <w:szCs w:val="18"/>
          <w:lang w:val="en-US"/>
        </w:rPr>
        <w:t xml:space="preserve">, IMF Policy Paper. </w:t>
      </w:r>
    </w:p>
  </w:footnote>
  <w:footnote w:id="26">
    <w:p w:rsidRPr="00D24AF4" w:rsidR="0042004A" w:rsidP="00BE5978" w:rsidRDefault="0042004A" w14:paraId="16D15BBA" w14:textId="3EFEE248">
      <w:pPr>
        <w:pStyle w:val="FootnoteText"/>
        <w:spacing w:after="0"/>
        <w:rPr>
          <w:rFonts w:ascii="Arial" w:hAnsi="Arial" w:cs="Arial"/>
          <w:sz w:val="18"/>
          <w:szCs w:val="18"/>
          <w:lang w:val="es-CR"/>
        </w:rPr>
      </w:pPr>
      <w:r w:rsidRPr="00D24AF4">
        <w:rPr>
          <w:rStyle w:val="FootnoteReference"/>
          <w:rFonts w:ascii="Arial" w:hAnsi="Arial" w:cs="Arial"/>
          <w:sz w:val="18"/>
          <w:szCs w:val="18"/>
        </w:rPr>
        <w:footnoteRef/>
      </w:r>
      <w:r w:rsidRPr="00D24AF4">
        <w:rPr>
          <w:rFonts w:ascii="Arial" w:hAnsi="Arial" w:cs="Arial"/>
          <w:sz w:val="18"/>
          <w:szCs w:val="18"/>
        </w:rPr>
        <w:t xml:space="preserve"> </w:t>
      </w:r>
      <w:r w:rsidRPr="00D24AF4">
        <w:rPr>
          <w:rFonts w:ascii="Arial" w:hAnsi="Arial" w:cs="Arial"/>
          <w:sz w:val="18"/>
          <w:szCs w:val="18"/>
        </w:rPr>
        <w:tab/>
      </w:r>
      <w:r w:rsidRPr="00D24AF4">
        <w:rPr>
          <w:rFonts w:ascii="Arial" w:hAnsi="Arial" w:cs="Arial"/>
          <w:sz w:val="18"/>
          <w:szCs w:val="18"/>
          <w:lang w:val="es-CR"/>
        </w:rPr>
        <w:t xml:space="preserve">Estas evaluaciones de impacto se encuentran en </w:t>
      </w:r>
      <w:r w:rsidRPr="00D24AF4">
        <w:rPr>
          <w:rFonts w:ascii="Arial" w:hAnsi="Arial" w:cs="Arial"/>
          <w:sz w:val="18"/>
          <w:szCs w:val="18"/>
          <w:lang w:val="es-419"/>
        </w:rPr>
        <w:t>Barreix y Zambrano (2018), La Factura Electrónica en América Latina,</w:t>
      </w:r>
      <w:r w:rsidRPr="00D24AF4">
        <w:rPr>
          <w:rFonts w:ascii="Arial" w:hAnsi="Arial" w:cs="Arial"/>
          <w:i/>
          <w:sz w:val="18"/>
          <w:szCs w:val="18"/>
          <w:lang w:val="es-419"/>
        </w:rPr>
        <w:t xml:space="preserve"> </w:t>
      </w:r>
      <w:r w:rsidRPr="00D24AF4">
        <w:rPr>
          <w:rFonts w:ascii="Arial" w:hAnsi="Arial" w:cs="Arial"/>
          <w:sz w:val="18"/>
          <w:szCs w:val="18"/>
          <w:lang w:val="es-419"/>
        </w:rPr>
        <w:t xml:space="preserve">donde se resumen los resultados de cinco evaluaciones de impacto de la implementación de la Factura Electrónica por medio de distintas metodologías (Diferencias en Diferencias, Regresión Discontinua, </w:t>
      </w:r>
      <w:proofErr w:type="spellStart"/>
      <w:r w:rsidRPr="00D24AF4">
        <w:rPr>
          <w:rFonts w:ascii="Arial" w:hAnsi="Arial" w:cs="Arial"/>
          <w:i/>
          <w:sz w:val="18"/>
          <w:szCs w:val="18"/>
          <w:lang w:val="es-419"/>
        </w:rPr>
        <w:t>Propensity</w:t>
      </w:r>
      <w:proofErr w:type="spellEnd"/>
      <w:r w:rsidRPr="00D24AF4">
        <w:rPr>
          <w:rFonts w:ascii="Arial" w:hAnsi="Arial" w:cs="Arial"/>
          <w:i/>
          <w:sz w:val="18"/>
          <w:szCs w:val="18"/>
          <w:lang w:val="es-419"/>
        </w:rPr>
        <w:t xml:space="preserve"> Score </w:t>
      </w:r>
      <w:proofErr w:type="spellStart"/>
      <w:r w:rsidRPr="00D24AF4">
        <w:rPr>
          <w:rFonts w:ascii="Arial" w:hAnsi="Arial" w:cs="Arial"/>
          <w:i/>
          <w:sz w:val="18"/>
          <w:szCs w:val="18"/>
          <w:lang w:val="es-419"/>
        </w:rPr>
        <w:t>Matching</w:t>
      </w:r>
      <w:proofErr w:type="spellEnd"/>
      <w:r w:rsidRPr="00D24AF4">
        <w:rPr>
          <w:rFonts w:ascii="Arial" w:hAnsi="Arial" w:cs="Arial"/>
          <w:i/>
          <w:sz w:val="18"/>
          <w:szCs w:val="18"/>
          <w:lang w:val="es-419"/>
        </w:rPr>
        <w:t xml:space="preserve">, </w:t>
      </w:r>
      <w:r w:rsidRPr="00D24AF4">
        <w:rPr>
          <w:rFonts w:ascii="Arial" w:hAnsi="Arial" w:cs="Arial"/>
          <w:sz w:val="18"/>
          <w:szCs w:val="18"/>
          <w:lang w:val="es-419"/>
        </w:rPr>
        <w:t xml:space="preserve">entre otras). </w:t>
      </w:r>
    </w:p>
  </w:footnote>
  <w:footnote w:id="27">
    <w:p w:rsidRPr="00D24AF4" w:rsidR="0042004A" w:rsidP="00BE5978" w:rsidRDefault="0042004A" w14:paraId="174547BB" w14:textId="77777777">
      <w:pPr>
        <w:pStyle w:val="FootnoteText"/>
        <w:spacing w:after="0"/>
        <w:rPr>
          <w:rFonts w:ascii="Arial" w:hAnsi="Arial" w:cs="Arial"/>
          <w:sz w:val="18"/>
          <w:szCs w:val="18"/>
          <w:lang w:val="es-AR"/>
        </w:rPr>
      </w:pPr>
      <w:r w:rsidRPr="00D24AF4">
        <w:rPr>
          <w:rStyle w:val="FootnoteReference"/>
          <w:rFonts w:ascii="Arial" w:hAnsi="Arial" w:cs="Arial"/>
          <w:sz w:val="18"/>
          <w:szCs w:val="18"/>
        </w:rPr>
        <w:footnoteRef/>
      </w:r>
      <w:r w:rsidRPr="00D24AF4">
        <w:rPr>
          <w:rFonts w:ascii="Arial" w:hAnsi="Arial" w:cs="Arial"/>
          <w:sz w:val="18"/>
          <w:szCs w:val="18"/>
        </w:rPr>
        <w:t xml:space="preserve"> </w:t>
      </w:r>
      <w:r w:rsidRPr="00D24AF4">
        <w:rPr>
          <w:rFonts w:ascii="Arial" w:hAnsi="Arial" w:cs="Arial"/>
          <w:sz w:val="18"/>
          <w:szCs w:val="18"/>
        </w:rPr>
        <w:tab/>
      </w:r>
      <w:r w:rsidRPr="00D24AF4">
        <w:rPr>
          <w:rFonts w:ascii="Arial" w:hAnsi="Arial" w:cs="Arial"/>
          <w:sz w:val="18"/>
          <w:szCs w:val="18"/>
        </w:rPr>
        <w:t>Análisis del impacto de la factura electrónica en Argentina</w:t>
      </w:r>
      <w:r w:rsidRPr="00D24AF4">
        <w:rPr>
          <w:rFonts w:ascii="Arial" w:hAnsi="Arial" w:cs="Arial"/>
          <w:sz w:val="18"/>
          <w:szCs w:val="18"/>
          <w:lang w:val="es-AR"/>
        </w:rPr>
        <w:t>. Disponible en:</w:t>
      </w:r>
    </w:p>
    <w:p w:rsidRPr="00D24AF4" w:rsidR="0042004A" w:rsidP="00BE5978" w:rsidRDefault="007E0907" w14:paraId="2A5C4321" w14:textId="407E9D55">
      <w:pPr>
        <w:pStyle w:val="FootnoteText"/>
        <w:spacing w:after="0"/>
        <w:rPr>
          <w:rFonts w:ascii="Arial" w:hAnsi="Arial" w:cs="Arial"/>
          <w:sz w:val="18"/>
          <w:szCs w:val="18"/>
          <w:lang w:val="es-AR"/>
        </w:rPr>
      </w:pPr>
      <w:hyperlink w:history="1" r:id="rId3">
        <w:r w:rsidRPr="00D24AF4" w:rsidR="0042004A">
          <w:rPr>
            <w:rStyle w:val="Hyperlink"/>
            <w:rFonts w:ascii="Arial" w:hAnsi="Arial" w:cs="Arial"/>
            <w:sz w:val="18"/>
            <w:szCs w:val="18"/>
            <w:lang w:val="es-AR"/>
          </w:rPr>
          <w:t>https://publications.iadb.org/bitstream/handle/11319/8755/Analisis-del-impacto-de-la-factura-electronica-en-Argentina.PDF?sequence=1&amp;isAllowed=y</w:t>
        </w:r>
      </w:hyperlink>
      <w:r w:rsidRPr="00D24AF4" w:rsidR="0042004A">
        <w:rPr>
          <w:rFonts w:ascii="Arial" w:hAnsi="Arial" w:cs="Arial"/>
          <w:sz w:val="18"/>
          <w:szCs w:val="18"/>
          <w:lang w:val="es-AR"/>
        </w:rPr>
        <w:t xml:space="preserve"> </w:t>
      </w:r>
    </w:p>
  </w:footnote>
  <w:footnote w:id="28">
    <w:p w:rsidRPr="00D24AF4" w:rsidR="0042004A" w:rsidP="00BE5978" w:rsidRDefault="0042004A" w14:paraId="25D1D040" w14:textId="77777777">
      <w:pPr>
        <w:pStyle w:val="FootnoteText"/>
        <w:spacing w:after="0"/>
        <w:rPr>
          <w:rFonts w:ascii="Arial" w:hAnsi="Arial" w:cs="Arial"/>
          <w:sz w:val="18"/>
          <w:szCs w:val="18"/>
          <w:lang w:val="es-AR"/>
        </w:rPr>
      </w:pPr>
      <w:r w:rsidRPr="00D24AF4">
        <w:rPr>
          <w:rStyle w:val="FootnoteReference"/>
          <w:rFonts w:ascii="Arial" w:hAnsi="Arial" w:cs="Arial"/>
          <w:sz w:val="18"/>
          <w:szCs w:val="18"/>
        </w:rPr>
        <w:footnoteRef/>
      </w:r>
      <w:r w:rsidRPr="00D24AF4">
        <w:rPr>
          <w:rFonts w:ascii="Arial" w:hAnsi="Arial" w:cs="Arial"/>
          <w:sz w:val="18"/>
          <w:szCs w:val="18"/>
        </w:rPr>
        <w:t xml:space="preserve"> </w:t>
      </w:r>
      <w:r w:rsidRPr="00D24AF4">
        <w:rPr>
          <w:rFonts w:ascii="Arial" w:hAnsi="Arial" w:cs="Arial"/>
          <w:sz w:val="18"/>
          <w:szCs w:val="18"/>
        </w:rPr>
        <w:tab/>
      </w:r>
      <w:r w:rsidRPr="00D24AF4">
        <w:rPr>
          <w:rFonts w:ascii="Arial" w:hAnsi="Arial" w:cs="Arial"/>
          <w:sz w:val="18"/>
          <w:szCs w:val="18"/>
        </w:rPr>
        <w:t>Facturación electrónica en Ecuador</w:t>
      </w:r>
      <w:r w:rsidRPr="00D24AF4">
        <w:rPr>
          <w:rFonts w:ascii="Arial" w:hAnsi="Arial" w:cs="Arial"/>
          <w:sz w:val="18"/>
          <w:szCs w:val="18"/>
          <w:lang w:val="es-AR"/>
        </w:rPr>
        <w:t>. Disponible en:</w:t>
      </w:r>
    </w:p>
    <w:p w:rsidRPr="00D24AF4" w:rsidR="0042004A" w:rsidP="00BE5978" w:rsidRDefault="007E0907" w14:paraId="308814F8" w14:textId="546694C7">
      <w:pPr>
        <w:pStyle w:val="FootnoteText"/>
        <w:spacing w:after="0"/>
        <w:rPr>
          <w:rFonts w:ascii="Arial" w:hAnsi="Arial" w:cs="Arial"/>
          <w:sz w:val="18"/>
          <w:szCs w:val="18"/>
          <w:lang w:val="es-AR"/>
        </w:rPr>
      </w:pPr>
      <w:hyperlink w:history="1" r:id="rId4">
        <w:r w:rsidRPr="00D24AF4" w:rsidR="0042004A">
          <w:rPr>
            <w:rStyle w:val="Hyperlink"/>
            <w:rFonts w:ascii="Arial" w:hAnsi="Arial" w:cs="Arial"/>
            <w:sz w:val="18"/>
            <w:szCs w:val="18"/>
          </w:rPr>
          <w:t>https://publications.iadb.org/bitstream/handle/11319/8756/Facturacion-electronica-en-Ecuador-evaluacion-de-impacto-en-el-cumplimiento-tributario.PDF?sequence=1&amp;isAllowed=y</w:t>
        </w:r>
      </w:hyperlink>
      <w:r w:rsidRPr="00D24AF4" w:rsidR="0042004A">
        <w:rPr>
          <w:rFonts w:ascii="Arial" w:hAnsi="Arial" w:cs="Arial"/>
          <w:sz w:val="18"/>
          <w:szCs w:val="18"/>
          <w:lang w:val="es-AR"/>
        </w:rPr>
        <w:t xml:space="preserve"> </w:t>
      </w:r>
    </w:p>
  </w:footnote>
  <w:footnote w:id="29">
    <w:p w:rsidRPr="00D24AF4" w:rsidR="0042004A" w:rsidP="00BE5978" w:rsidRDefault="0042004A" w14:paraId="6B786CB2" w14:textId="77777777">
      <w:pPr>
        <w:pStyle w:val="FootnoteText"/>
        <w:spacing w:after="0"/>
        <w:rPr>
          <w:rFonts w:ascii="Arial" w:hAnsi="Arial" w:cs="Arial"/>
          <w:sz w:val="18"/>
          <w:szCs w:val="18"/>
          <w:lang w:val="es-AR"/>
        </w:rPr>
      </w:pPr>
      <w:r w:rsidRPr="00D24AF4">
        <w:rPr>
          <w:rStyle w:val="FootnoteReference"/>
          <w:rFonts w:ascii="Arial" w:hAnsi="Arial" w:cs="Arial"/>
          <w:sz w:val="18"/>
          <w:szCs w:val="18"/>
        </w:rPr>
        <w:footnoteRef/>
      </w:r>
      <w:r w:rsidRPr="00D24AF4">
        <w:rPr>
          <w:rFonts w:ascii="Arial" w:hAnsi="Arial" w:cs="Arial"/>
          <w:sz w:val="18"/>
          <w:szCs w:val="18"/>
        </w:rPr>
        <w:t xml:space="preserve"> </w:t>
      </w:r>
      <w:r w:rsidRPr="00D24AF4">
        <w:rPr>
          <w:rFonts w:ascii="Arial" w:hAnsi="Arial" w:cs="Arial"/>
          <w:sz w:val="18"/>
          <w:szCs w:val="18"/>
        </w:rPr>
        <w:tab/>
      </w:r>
      <w:r w:rsidRPr="00D24AF4">
        <w:rPr>
          <w:rFonts w:ascii="Arial" w:hAnsi="Arial" w:cs="Arial"/>
          <w:sz w:val="18"/>
          <w:szCs w:val="18"/>
        </w:rPr>
        <w:t xml:space="preserve">Evidencia a partir de un enfoque </w:t>
      </w:r>
      <w:proofErr w:type="spellStart"/>
      <w:proofErr w:type="gramStart"/>
      <w:r w:rsidRPr="00D24AF4">
        <w:rPr>
          <w:rFonts w:ascii="Arial" w:hAnsi="Arial" w:cs="Arial"/>
          <w:sz w:val="18"/>
          <w:szCs w:val="18"/>
        </w:rPr>
        <w:t>cuasi-experimental</w:t>
      </w:r>
      <w:proofErr w:type="spellEnd"/>
      <w:proofErr w:type="gramEnd"/>
      <w:r w:rsidRPr="00D24AF4">
        <w:rPr>
          <w:rFonts w:ascii="Arial" w:hAnsi="Arial" w:cs="Arial"/>
          <w:sz w:val="18"/>
          <w:szCs w:val="18"/>
          <w:lang w:val="es-AR"/>
        </w:rPr>
        <w:t>. Disponible en:</w:t>
      </w:r>
    </w:p>
    <w:p w:rsidRPr="00BE5978" w:rsidR="0042004A" w:rsidP="00BE5978" w:rsidRDefault="007E0907" w14:paraId="6F99289C" w14:textId="7E667A65">
      <w:pPr>
        <w:pStyle w:val="FootnoteText"/>
        <w:spacing w:after="0"/>
        <w:rPr>
          <w:rFonts w:ascii="Arial" w:hAnsi="Arial" w:cs="Arial"/>
          <w:sz w:val="18"/>
          <w:szCs w:val="18"/>
          <w:lang w:val="es-AR"/>
        </w:rPr>
      </w:pPr>
      <w:hyperlink w:history="1" r:id="rId5">
        <w:r w:rsidRPr="00D24AF4" w:rsidR="0042004A">
          <w:rPr>
            <w:rStyle w:val="Hyperlink"/>
            <w:rFonts w:ascii="Arial" w:hAnsi="Arial" w:cs="Arial"/>
            <w:sz w:val="18"/>
            <w:szCs w:val="18"/>
            <w:lang w:val="es-AR"/>
          </w:rPr>
          <w:t>https://publications.iadb.org/bitstream/handle/11319/8754/Factura-electronica-y-cumplimiento-tributario-evidencia-a-partir-de-un-enfoque-cuasi-experimental.PDF?sequence=1&amp;isAllowed=y</w:t>
        </w:r>
      </w:hyperlink>
      <w:r w:rsidRPr="00BE5978" w:rsidR="0042004A">
        <w:rPr>
          <w:rFonts w:ascii="Arial" w:hAnsi="Arial" w:cs="Arial"/>
          <w:sz w:val="18"/>
          <w:szCs w:val="18"/>
          <w:lang w:val="es-AR"/>
        </w:rPr>
        <w:t xml:space="preserve"> </w:t>
      </w:r>
    </w:p>
  </w:footnote>
  <w:footnote w:id="30">
    <w:p w:rsidRPr="00D24AF4" w:rsidR="0042004A" w:rsidP="00BE5978" w:rsidRDefault="0042004A" w14:paraId="63577344" w14:textId="34AC2243">
      <w:pPr>
        <w:pStyle w:val="FootnoteText"/>
        <w:spacing w:after="0"/>
        <w:rPr>
          <w:rFonts w:ascii="Arial" w:hAnsi="Arial" w:cs="Arial"/>
          <w:sz w:val="18"/>
          <w:szCs w:val="18"/>
          <w:lang w:val="es-AR"/>
        </w:rPr>
      </w:pPr>
      <w:r w:rsidRPr="00D24AF4">
        <w:rPr>
          <w:rStyle w:val="FootnoteReference"/>
          <w:rFonts w:ascii="Arial" w:hAnsi="Arial" w:cs="Arial"/>
          <w:sz w:val="18"/>
          <w:szCs w:val="18"/>
        </w:rPr>
        <w:footnoteRef/>
      </w:r>
      <w:r w:rsidRPr="00D24AF4">
        <w:rPr>
          <w:rFonts w:ascii="Arial" w:hAnsi="Arial" w:cs="Arial"/>
          <w:sz w:val="18"/>
          <w:szCs w:val="18"/>
        </w:rPr>
        <w:t xml:space="preserve"> </w:t>
      </w:r>
      <w:r w:rsidRPr="00D24AF4">
        <w:rPr>
          <w:rFonts w:ascii="Arial" w:hAnsi="Arial" w:cs="Arial"/>
          <w:sz w:val="18"/>
          <w:szCs w:val="18"/>
        </w:rPr>
        <w:tab/>
      </w:r>
      <w:r w:rsidRPr="00D24AF4">
        <w:rPr>
          <w:rFonts w:ascii="Arial" w:hAnsi="Arial" w:cs="Arial"/>
          <w:sz w:val="18"/>
          <w:szCs w:val="18"/>
          <w:lang w:val="es-AR"/>
        </w:rPr>
        <w:t>Por ejemplo, según los datos de la EPH de Argentina, las pequeñas empresas evaden en una mayor proporción los impuestos laborales.</w:t>
      </w:r>
    </w:p>
  </w:footnote>
  <w:footnote w:id="31">
    <w:p w:rsidRPr="00D24AF4" w:rsidR="0042004A" w:rsidP="00BE5978" w:rsidRDefault="0042004A" w14:paraId="19020841" w14:textId="1DA7C7EB">
      <w:pPr>
        <w:pStyle w:val="FootnoteText"/>
        <w:spacing w:after="0"/>
        <w:rPr>
          <w:rFonts w:ascii="Arial" w:hAnsi="Arial" w:cs="Arial"/>
          <w:sz w:val="18"/>
          <w:szCs w:val="18"/>
          <w:lang w:val="es-AR"/>
        </w:rPr>
      </w:pPr>
      <w:r w:rsidRPr="00D24AF4">
        <w:rPr>
          <w:rStyle w:val="FootnoteReference"/>
          <w:rFonts w:ascii="Arial" w:hAnsi="Arial" w:cs="Arial"/>
          <w:sz w:val="18"/>
          <w:szCs w:val="18"/>
        </w:rPr>
        <w:footnoteRef/>
      </w:r>
      <w:r w:rsidRPr="00D24AF4">
        <w:rPr>
          <w:rFonts w:ascii="Arial" w:hAnsi="Arial" w:cs="Arial"/>
          <w:sz w:val="18"/>
          <w:szCs w:val="18"/>
        </w:rPr>
        <w:t xml:space="preserve"> </w:t>
      </w:r>
      <w:r w:rsidRPr="00D24AF4">
        <w:rPr>
          <w:rFonts w:ascii="Arial" w:hAnsi="Arial" w:cs="Arial"/>
          <w:sz w:val="18"/>
          <w:szCs w:val="18"/>
        </w:rPr>
        <w:tab/>
      </w:r>
      <w:r w:rsidRPr="00D24AF4">
        <w:rPr>
          <w:rFonts w:ascii="Arial" w:hAnsi="Arial" w:cs="Arial"/>
          <w:sz w:val="18"/>
          <w:szCs w:val="18"/>
          <w:lang w:val="es-AR"/>
        </w:rPr>
        <w:t>Asumimos que la fracción de contribuyentes tratados va a ser de 0,05. A su vez, establecimos que de cada empresa vamos a contar con 12 observaciones (una por cada mes). Se tomó al universo de empresas a analizar, 4.200 contribuyentes, como la cantidad de clúster.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E55E" w14:textId="77777777" w:rsidR="0042004A" w:rsidRDefault="0042004A">
    <w:pPr>
      <w:pStyle w:val="Header"/>
      <w:ind w:right="360"/>
      <w:jc w:val="both"/>
      <w:rPr>
        <w:rStyle w:val="PageNumber"/>
        <w:snapToGrid w:val="0"/>
      </w:rPr>
    </w:pPr>
    <w:r>
      <w:rPr>
        <w:rStyle w:val="PageNumber"/>
        <w:snapToGrid w:val="0"/>
      </w:rPr>
      <w:tab/>
    </w:r>
    <w:r>
      <w:rPr>
        <w:rStyle w:val="PageNumber"/>
        <w:snapToGrid w:val="0"/>
      </w:rPr>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2A100DE2" w14:textId="77777777" w:rsidR="0042004A" w:rsidRDefault="0042004A">
    <w:pPr>
      <w:pStyle w:val="Header"/>
      <w:ind w:right="360"/>
      <w:jc w:val="both"/>
      <w:rPr>
        <w:rStyle w:val="PageNumber"/>
        <w:snapToGrid w:val="0"/>
      </w:rPr>
    </w:pPr>
    <w:r>
      <w:rPr>
        <w:rStyle w:val="PageNumber"/>
        <w:snapToGrid w:val="0"/>
      </w:rPr>
      <w:tab/>
    </w:r>
  </w:p>
  <w:p w14:paraId="44F15C8F" w14:textId="77777777" w:rsidR="0042004A" w:rsidRDefault="0042004A">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6A4D7" w14:textId="77777777" w:rsidR="0042004A" w:rsidRDefault="0042004A">
    <w:pPr>
      <w:pStyle w:val="Header"/>
      <w:jc w:val="center"/>
      <w:rPr>
        <w:rFonts w:ascii="Arial" w:hAnsi="Arial" w:cs="Arial"/>
        <w:snapToGrid w:val="0"/>
        <w:sz w:val="18"/>
      </w:rPr>
    </w:pPr>
    <w:r>
      <w:rPr>
        <w:rFonts w:ascii="Arial" w:hAnsi="Arial" w:cs="Arial"/>
        <w:snapToGrid w:val="0"/>
        <w:sz w:val="18"/>
      </w:rPr>
      <w:t xml:space="preserve">- </w:t>
    </w:r>
    <w:r>
      <w:rPr>
        <w:rFonts w:ascii="Arial" w:hAnsi="Arial" w:cs="Arial"/>
        <w:snapToGrid w:val="0"/>
        <w:sz w:val="18"/>
      </w:rPr>
      <w:fldChar w:fldCharType="begin"/>
    </w:r>
    <w:r>
      <w:rPr>
        <w:rFonts w:ascii="Arial" w:hAnsi="Arial" w:cs="Arial"/>
        <w:snapToGrid w:val="0"/>
        <w:sz w:val="18"/>
      </w:rPr>
      <w:instrText xml:space="preserve"> PAGE </w:instrText>
    </w:r>
    <w:r>
      <w:rPr>
        <w:rFonts w:ascii="Arial" w:hAnsi="Arial" w:cs="Arial"/>
        <w:snapToGrid w:val="0"/>
        <w:sz w:val="18"/>
      </w:rPr>
      <w:fldChar w:fldCharType="separate"/>
    </w:r>
    <w:r>
      <w:rPr>
        <w:rFonts w:ascii="Arial" w:hAnsi="Arial" w:cs="Arial"/>
        <w:noProof/>
        <w:snapToGrid w:val="0"/>
        <w:sz w:val="18"/>
      </w:rPr>
      <w:t>ii</w:t>
    </w:r>
    <w:r>
      <w:rPr>
        <w:rFonts w:ascii="Arial" w:hAnsi="Arial" w:cs="Arial"/>
        <w:snapToGrid w:val="0"/>
        <w:sz w:val="18"/>
      </w:rPr>
      <w:fldChar w:fldCharType="end"/>
    </w:r>
    <w:r>
      <w:rPr>
        <w:rFonts w:ascii="Arial" w:hAnsi="Arial" w:cs="Arial"/>
        <w:snapToGrid w:val="0"/>
        <w:sz w:val="18"/>
      </w:rPr>
      <w:t xml:space="preserve"> - </w:t>
    </w:r>
  </w:p>
  <w:p w14:paraId="30AE813B" w14:textId="77777777" w:rsidR="0042004A" w:rsidRDefault="0042004A">
    <w:pPr>
      <w:pStyle w:val="Header"/>
      <w:jc w:val="center"/>
    </w:pPr>
  </w:p>
  <w:p w14:paraId="31A085F5" w14:textId="77777777" w:rsidR="0042004A" w:rsidRDefault="0042004A">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18958" w14:textId="77777777" w:rsidR="003F7D00" w:rsidRDefault="003F7D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9276C" w14:textId="77777777" w:rsidR="0042004A" w:rsidRDefault="0042004A">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912725391"/>
      <w:docPartObj>
        <w:docPartGallery w:val="Page Numbers (Top of Page)"/>
        <w:docPartUnique/>
      </w:docPartObj>
    </w:sdtPr>
    <w:sdtEndPr>
      <w:rPr>
        <w:noProof/>
      </w:rPr>
    </w:sdtEndPr>
    <w:sdtContent>
      <w:p w14:paraId="49D5B33B" w14:textId="5CA09908" w:rsidR="00416162" w:rsidRPr="00416162" w:rsidRDefault="00416162">
        <w:pPr>
          <w:pStyle w:val="Header"/>
          <w:jc w:val="center"/>
          <w:rPr>
            <w:rFonts w:ascii="Arial" w:hAnsi="Arial" w:cs="Arial"/>
            <w:sz w:val="18"/>
            <w:szCs w:val="18"/>
          </w:rPr>
        </w:pPr>
        <w:r w:rsidRPr="00416162">
          <w:rPr>
            <w:rFonts w:ascii="Arial" w:hAnsi="Arial" w:cs="Arial"/>
            <w:sz w:val="18"/>
            <w:szCs w:val="18"/>
          </w:rPr>
          <w:t xml:space="preserve">- </w:t>
        </w:r>
        <w:r w:rsidRPr="00416162">
          <w:rPr>
            <w:rFonts w:ascii="Arial" w:hAnsi="Arial" w:cs="Arial"/>
            <w:sz w:val="18"/>
            <w:szCs w:val="18"/>
          </w:rPr>
          <w:fldChar w:fldCharType="begin"/>
        </w:r>
        <w:r w:rsidRPr="00416162">
          <w:rPr>
            <w:rFonts w:ascii="Arial" w:hAnsi="Arial" w:cs="Arial"/>
            <w:sz w:val="18"/>
            <w:szCs w:val="18"/>
          </w:rPr>
          <w:instrText xml:space="preserve"> PAGE   \* MERGEFORMAT </w:instrText>
        </w:r>
        <w:r w:rsidRPr="00416162">
          <w:rPr>
            <w:rFonts w:ascii="Arial" w:hAnsi="Arial" w:cs="Arial"/>
            <w:sz w:val="18"/>
            <w:szCs w:val="18"/>
          </w:rPr>
          <w:fldChar w:fldCharType="separate"/>
        </w:r>
        <w:r w:rsidRPr="00416162">
          <w:rPr>
            <w:rFonts w:ascii="Arial" w:hAnsi="Arial" w:cs="Arial"/>
            <w:noProof/>
            <w:sz w:val="18"/>
            <w:szCs w:val="18"/>
          </w:rPr>
          <w:t>2</w:t>
        </w:r>
        <w:r w:rsidRPr="00416162">
          <w:rPr>
            <w:rFonts w:ascii="Arial" w:hAnsi="Arial" w:cs="Arial"/>
            <w:noProof/>
            <w:sz w:val="18"/>
            <w:szCs w:val="18"/>
          </w:rPr>
          <w:fldChar w:fldCharType="end"/>
        </w:r>
        <w:r w:rsidRPr="00416162">
          <w:rPr>
            <w:rFonts w:ascii="Arial" w:hAnsi="Arial" w:cs="Arial"/>
            <w:noProof/>
            <w:sz w:val="18"/>
            <w:szCs w:val="18"/>
          </w:rPr>
          <w:t xml:space="preserve"> -</w:t>
        </w:r>
      </w:p>
    </w:sdtContent>
  </w:sdt>
  <w:p w14:paraId="313AF4FF" w14:textId="77777777" w:rsidR="00416162" w:rsidRDefault="00416162">
    <w:pPr>
      <w:pStyle w:val="Header"/>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DFED9" w14:textId="77777777" w:rsidR="0042004A" w:rsidRDefault="0042004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3A28"/>
    <w:multiLevelType w:val="hybridMultilevel"/>
    <w:tmpl w:val="8CBEDB84"/>
    <w:lvl w:ilvl="0" w:tplc="76E0E6E6">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9E4AAF"/>
    <w:multiLevelType w:val="multilevel"/>
    <w:tmpl w:val="653C4848"/>
    <w:lvl w:ilvl="0">
      <w:start w:val="1"/>
      <w:numFmt w:val="upperRoman"/>
      <w:lvlText w:val="%1."/>
      <w:lvlJc w:val="righ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56681"/>
    <w:multiLevelType w:val="hybridMultilevel"/>
    <w:tmpl w:val="75F0EDF8"/>
    <w:lvl w:ilvl="0" w:tplc="0409000F">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4"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5" w15:restartNumberingAfterBreak="0">
    <w:nsid w:val="146634EF"/>
    <w:multiLevelType w:val="hybridMultilevel"/>
    <w:tmpl w:val="75B8B5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F8B599D"/>
    <w:multiLevelType w:val="hybridMultilevel"/>
    <w:tmpl w:val="153E4A32"/>
    <w:lvl w:ilvl="0" w:tplc="BE58B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9"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10" w15:restartNumberingAfterBreak="0">
    <w:nsid w:val="2E621C9D"/>
    <w:multiLevelType w:val="hybridMultilevel"/>
    <w:tmpl w:val="B308D3A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A76D65"/>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12"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3" w15:restartNumberingAfterBreak="0">
    <w:nsid w:val="359B4991"/>
    <w:multiLevelType w:val="multilevel"/>
    <w:tmpl w:val="5D2E2E9E"/>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hint="default" w:ascii="Arial" w:hAnsi="Arial" w:cs="Arial"/>
        <w:b w:val="0"/>
        <w:sz w:val="22"/>
        <w:szCs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4" w15:restartNumberingAfterBreak="0">
    <w:nsid w:val="362611B3"/>
    <w:multiLevelType w:val="hybridMultilevel"/>
    <w:tmpl w:val="8A681B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94D6E90"/>
    <w:multiLevelType w:val="hybridMultilevel"/>
    <w:tmpl w:val="3160A3FC"/>
    <w:lvl w:ilvl="0" w:tplc="76E0E6E6">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D2D2659"/>
    <w:multiLevelType w:val="multilevel"/>
    <w:tmpl w:val="287ED4E0"/>
    <w:lvl w:ilvl="0">
      <w:start w:val="1"/>
      <w:numFmt w:val="upperRoman"/>
      <w:lvlRestart w:val="0"/>
      <w:lvlText w:val="%1."/>
      <w:lvlJc w:val="center"/>
      <w:pPr>
        <w:tabs>
          <w:tab w:val="num" w:pos="2088"/>
        </w:tabs>
        <w:ind w:left="1440" w:firstLine="288"/>
      </w:pPr>
      <w:rPr>
        <w:rFonts w:hint="default"/>
        <w:b/>
        <w:i w:val="0"/>
      </w:rPr>
    </w:lvl>
    <w:lvl w:ilvl="1">
      <w:start w:val="5"/>
      <w:numFmt w:val="decimal"/>
      <w:isLgl/>
      <w:lvlText w:val="%1.%2"/>
      <w:lvlJc w:val="left"/>
      <w:pPr>
        <w:tabs>
          <w:tab w:val="num" w:pos="2736"/>
        </w:tabs>
        <w:ind w:left="2736" w:hanging="1296"/>
      </w:pPr>
      <w:rPr>
        <w:rFonts w:hint="default"/>
        <w:b w:val="0"/>
        <w:lang w:val="es-ES"/>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17"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BB05CE7"/>
    <w:multiLevelType w:val="hybridMultilevel"/>
    <w:tmpl w:val="AF7E038C"/>
    <w:lvl w:ilvl="0" w:tplc="206C30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011754"/>
    <w:multiLevelType w:val="multilevel"/>
    <w:tmpl w:val="B5564552"/>
    <w:lvl w:ilvl="0">
      <w:start w:val="1"/>
      <w:numFmt w:val="upperRoman"/>
      <w:lvlText w:val="%1."/>
      <w:lvlJc w:val="right"/>
      <w:pPr>
        <w:ind w:left="720" w:hanging="360"/>
      </w:pPr>
    </w:lvl>
    <w:lvl w:ilvl="1">
      <w:start w:val="1"/>
      <w:numFmt w:val="decimal"/>
      <w:isLgl/>
      <w:lvlText w:val="%1.%2"/>
      <w:lvlJc w:val="left"/>
      <w:pPr>
        <w:ind w:left="990" w:hanging="630"/>
      </w:pPr>
      <w:rPr>
        <w:rFonts w:hint="default" w:ascii="Arial" w:hAnsi="Arial"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7C5A7D"/>
    <w:multiLevelType w:val="hybridMultilevel"/>
    <w:tmpl w:val="88500038"/>
    <w:lvl w:ilvl="0" w:tplc="414421E2">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FF823F9"/>
    <w:multiLevelType w:val="hybridMultilevel"/>
    <w:tmpl w:val="85F80FE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54904E7A"/>
    <w:multiLevelType w:val="hybridMultilevel"/>
    <w:tmpl w:val="15C227D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CD479CA"/>
    <w:multiLevelType w:val="multilevel"/>
    <w:tmpl w:val="E480A39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66"/>
        </w:tabs>
        <w:ind w:left="156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5" w15:restartNumberingAfterBreak="0">
    <w:nsid w:val="5ECA3404"/>
    <w:multiLevelType w:val="multilevel"/>
    <w:tmpl w:val="71DC779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rPr>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6" w15:restartNumberingAfterBreak="0">
    <w:nsid w:val="603F0FAA"/>
    <w:multiLevelType w:val="multilevel"/>
    <w:tmpl w:val="DF36961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27" w15:restartNumberingAfterBreak="0">
    <w:nsid w:val="609923C8"/>
    <w:multiLevelType w:val="multilevel"/>
    <w:tmpl w:val="825C8046"/>
    <w:lvl w:ilvl="0">
      <w:start w:val="1"/>
      <w:numFmt w:val="upperRoman"/>
      <w:lvlText w:val="%1."/>
      <w:lvlJc w:val="center"/>
      <w:pPr>
        <w:tabs>
          <w:tab w:val="num" w:pos="450"/>
        </w:tabs>
        <w:ind w:left="378" w:hanging="288"/>
      </w:pPr>
      <w:rPr>
        <w:rFonts w:hint="default" w:ascii="Times New Roman Bold" w:hAnsi="Times New Roman Bold"/>
        <w:b/>
        <w:i w:val="0"/>
        <w:sz w:val="24"/>
      </w:rPr>
    </w:lvl>
    <w:lvl w:ilvl="1">
      <w:start w:val="1"/>
      <w:numFmt w:val="decimal"/>
      <w:isLgl/>
      <w:lvlText w:val="%1.%2"/>
      <w:lvlJc w:val="left"/>
      <w:pPr>
        <w:tabs>
          <w:tab w:val="num" w:pos="810"/>
        </w:tabs>
        <w:ind w:left="810" w:hanging="720"/>
      </w:pPr>
      <w:rPr>
        <w:rFonts w:hint="default"/>
      </w:rPr>
    </w:lvl>
    <w:lvl w:ilvl="2">
      <w:start w:val="1"/>
      <w:numFmt w:val="lowerLetter"/>
      <w:lvlRestart w:val="0"/>
      <w:lvlText w:val="%3."/>
      <w:lvlJc w:val="left"/>
      <w:pPr>
        <w:tabs>
          <w:tab w:val="num" w:pos="1890"/>
        </w:tabs>
        <w:ind w:left="1890" w:hanging="360"/>
      </w:pPr>
      <w:rPr>
        <w:rFonts w:hint="default" w:ascii="Arial" w:hAnsi="Arial" w:cs="Arial"/>
        <w:b/>
        <w:i w:val="0"/>
        <w:sz w:val="22"/>
        <w:szCs w:val="22"/>
      </w:rPr>
    </w:lvl>
    <w:lvl w:ilvl="3">
      <w:start w:val="1"/>
      <w:numFmt w:val="lowerRoman"/>
      <w:lvlRestart w:val="0"/>
      <w:lvlText w:val="(%4)"/>
      <w:lvlJc w:val="right"/>
      <w:pPr>
        <w:tabs>
          <w:tab w:val="num" w:pos="2178"/>
        </w:tabs>
        <w:ind w:left="2178" w:hanging="288"/>
      </w:pPr>
      <w:rPr>
        <w:rFonts w:hint="default" w:ascii="Times New Roman Bold" w:hAnsi="Times New Roman Bold"/>
        <w:b/>
        <w:i w:val="0"/>
        <w:sz w:val="24"/>
      </w:rPr>
    </w:lvl>
    <w:lvl w:ilvl="4">
      <w:start w:val="1"/>
      <w:numFmt w:val="none"/>
      <w:lvlText w:val=""/>
      <w:lvlJc w:val="left"/>
      <w:pPr>
        <w:tabs>
          <w:tab w:val="num" w:pos="3330"/>
        </w:tabs>
        <w:ind w:left="2970" w:firstLine="0"/>
      </w:pPr>
      <w:rPr>
        <w:rFonts w:hint="default"/>
      </w:rPr>
    </w:lvl>
    <w:lvl w:ilvl="5">
      <w:start w:val="1"/>
      <w:numFmt w:val="none"/>
      <w:lvlText w:val=""/>
      <w:lvlJc w:val="left"/>
      <w:pPr>
        <w:tabs>
          <w:tab w:val="num" w:pos="4050"/>
        </w:tabs>
        <w:ind w:left="3690" w:firstLine="0"/>
      </w:pPr>
      <w:rPr>
        <w:rFonts w:hint="default"/>
      </w:rPr>
    </w:lvl>
    <w:lvl w:ilvl="6">
      <w:start w:val="1"/>
      <w:numFmt w:val="none"/>
      <w:lvlText w:val=""/>
      <w:lvlJc w:val="left"/>
      <w:pPr>
        <w:tabs>
          <w:tab w:val="num" w:pos="4770"/>
        </w:tabs>
        <w:ind w:left="4410" w:firstLine="0"/>
      </w:pPr>
      <w:rPr>
        <w:rFonts w:hint="default"/>
      </w:rPr>
    </w:lvl>
    <w:lvl w:ilvl="7">
      <w:start w:val="1"/>
      <w:numFmt w:val="none"/>
      <w:lvlText w:val=""/>
      <w:lvlJc w:val="left"/>
      <w:pPr>
        <w:tabs>
          <w:tab w:val="num" w:pos="5490"/>
        </w:tabs>
        <w:ind w:left="5130" w:firstLine="0"/>
      </w:pPr>
      <w:rPr>
        <w:rFonts w:hint="default"/>
      </w:rPr>
    </w:lvl>
    <w:lvl w:ilvl="8">
      <w:start w:val="1"/>
      <w:numFmt w:val="none"/>
      <w:lvlText w:val=""/>
      <w:lvlJc w:val="left"/>
      <w:pPr>
        <w:tabs>
          <w:tab w:val="num" w:pos="6210"/>
        </w:tabs>
        <w:ind w:left="5850" w:firstLine="0"/>
      </w:pPr>
      <w:rPr>
        <w:rFonts w:hint="default"/>
      </w:rPr>
    </w:lvl>
  </w:abstractNum>
  <w:abstractNum w:abstractNumId="28" w15:restartNumberingAfterBreak="0">
    <w:nsid w:val="63EC13F7"/>
    <w:multiLevelType w:val="multilevel"/>
    <w:tmpl w:val="DD9AE0BA"/>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29"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30" w15:restartNumberingAfterBreak="0">
    <w:nsid w:val="680D0E07"/>
    <w:multiLevelType w:val="multilevel"/>
    <w:tmpl w:val="827C7448"/>
    <w:lvl w:ilvl="0">
      <w:start w:val="1"/>
      <w:numFmt w:val="lowerLetter"/>
      <w:lvlText w:val="%1."/>
      <w:lvlJc w:val="left"/>
      <w:pPr>
        <w:ind w:left="3600" w:hanging="720"/>
      </w:pPr>
      <w:rPr>
        <w:rFonts w:hint="default"/>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1" w15:restartNumberingAfterBreak="0">
    <w:nsid w:val="69E12274"/>
    <w:multiLevelType w:val="multilevel"/>
    <w:tmpl w:val="997A64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B992D03"/>
    <w:multiLevelType w:val="multilevel"/>
    <w:tmpl w:val="D68C7A60"/>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3" w15:restartNumberingAfterBreak="0">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441334"/>
    <w:multiLevelType w:val="multilevel"/>
    <w:tmpl w:val="DFEC108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7E13BC6"/>
    <w:multiLevelType w:val="hybridMultilevel"/>
    <w:tmpl w:val="8CF0668C"/>
    <w:lvl w:ilvl="0" w:tplc="74B85BFC">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967483D"/>
    <w:multiLevelType w:val="multilevel"/>
    <w:tmpl w:val="0C161D4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num w:numId="1">
    <w:abstractNumId w:val="4"/>
  </w:num>
  <w:num w:numId="2">
    <w:abstractNumId w:val="6"/>
  </w:num>
  <w:num w:numId="3">
    <w:abstractNumId w:val="11"/>
  </w:num>
  <w:num w:numId="4">
    <w:abstractNumId w:val="17"/>
  </w:num>
  <w:num w:numId="5">
    <w:abstractNumId w:val="33"/>
  </w:num>
  <w:num w:numId="6">
    <w:abstractNumId w:val="7"/>
  </w:num>
  <w:num w:numId="7">
    <w:abstractNumId w:val="2"/>
  </w:num>
  <w:num w:numId="8">
    <w:abstractNumId w:val="29"/>
  </w:num>
  <w:num w:numId="9">
    <w:abstractNumId w:val="18"/>
  </w:num>
  <w:num w:numId="10">
    <w:abstractNumId w:val="3"/>
  </w:num>
  <w:num w:numId="11">
    <w:abstractNumId w:val="8"/>
  </w:num>
  <w:num w:numId="12">
    <w:abstractNumId w:val="9"/>
  </w:num>
  <w:num w:numId="13">
    <w:abstractNumId w:val="34"/>
  </w:num>
  <w:num w:numId="14">
    <w:abstractNumId w:val="31"/>
  </w:num>
  <w:num w:numId="15">
    <w:abstractNumId w:val="36"/>
  </w:num>
  <w:num w:numId="16">
    <w:abstractNumId w:val="12"/>
  </w:num>
  <w:num w:numId="17">
    <w:abstractNumId w:val="26"/>
  </w:num>
  <w:num w:numId="18">
    <w:abstractNumId w:val="28"/>
  </w:num>
  <w:num w:numId="19">
    <w:abstractNumId w:val="13"/>
  </w:num>
  <w:num w:numId="20">
    <w:abstractNumId w:val="24"/>
  </w:num>
  <w:num w:numId="21">
    <w:abstractNumId w:val="27"/>
  </w:num>
  <w:num w:numId="22">
    <w:abstractNumId w:val="20"/>
  </w:num>
  <w:num w:numId="23">
    <w:abstractNumId w:val="1"/>
  </w:num>
  <w:num w:numId="24">
    <w:abstractNumId w:val="10"/>
  </w:num>
  <w:num w:numId="2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32"/>
  </w:num>
  <w:num w:numId="28">
    <w:abstractNumId w:val="30"/>
  </w:num>
  <w:num w:numId="29">
    <w:abstractNumId w:val="21"/>
  </w:num>
  <w:num w:numId="30">
    <w:abstractNumId w:val="15"/>
  </w:num>
  <w:num w:numId="31">
    <w:abstractNumId w:val="19"/>
  </w:num>
  <w:num w:numId="32">
    <w:abstractNumId w:val="25"/>
  </w:num>
  <w:num w:numId="33">
    <w:abstractNumId w:val="16"/>
  </w:num>
  <w:num w:numId="34">
    <w:abstractNumId w:val="35"/>
  </w:num>
  <w:num w:numId="35">
    <w:abstractNumId w:val="5"/>
  </w:num>
  <w:num w:numId="36">
    <w:abstractNumId w:val="23"/>
  </w:num>
  <w:num w:numId="37">
    <w:abstractNumId w:val="14"/>
  </w:num>
  <w:num w:numId="38">
    <w:abstractNumId w:val="22"/>
  </w:num>
  <w:num w:numId="39">
    <w:abstractNumId w:val="1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384491E"/>
    <w:rsid w:val="00000942"/>
    <w:rsid w:val="00036CCD"/>
    <w:rsid w:val="00043908"/>
    <w:rsid w:val="00063C06"/>
    <w:rsid w:val="00087171"/>
    <w:rsid w:val="000873DC"/>
    <w:rsid w:val="00090CB8"/>
    <w:rsid w:val="00090EA8"/>
    <w:rsid w:val="00090EDA"/>
    <w:rsid w:val="000A7D5E"/>
    <w:rsid w:val="000B39F6"/>
    <w:rsid w:val="000C7126"/>
    <w:rsid w:val="000D5FC9"/>
    <w:rsid w:val="000E0C74"/>
    <w:rsid w:val="0011157B"/>
    <w:rsid w:val="00112681"/>
    <w:rsid w:val="0011516C"/>
    <w:rsid w:val="00115272"/>
    <w:rsid w:val="00123D5E"/>
    <w:rsid w:val="00137C34"/>
    <w:rsid w:val="00154849"/>
    <w:rsid w:val="00155EEA"/>
    <w:rsid w:val="00165FE9"/>
    <w:rsid w:val="0017029D"/>
    <w:rsid w:val="00173DFA"/>
    <w:rsid w:val="00182BEC"/>
    <w:rsid w:val="001865DF"/>
    <w:rsid w:val="001A2A88"/>
    <w:rsid w:val="001A5340"/>
    <w:rsid w:val="001A6138"/>
    <w:rsid w:val="001B6BD1"/>
    <w:rsid w:val="001C220A"/>
    <w:rsid w:val="001D62D7"/>
    <w:rsid w:val="001E1FA3"/>
    <w:rsid w:val="001E339A"/>
    <w:rsid w:val="001F5135"/>
    <w:rsid w:val="001F548D"/>
    <w:rsid w:val="001F6FA1"/>
    <w:rsid w:val="002001CE"/>
    <w:rsid w:val="0022107D"/>
    <w:rsid w:val="0022602D"/>
    <w:rsid w:val="002347F8"/>
    <w:rsid w:val="00276239"/>
    <w:rsid w:val="00285C73"/>
    <w:rsid w:val="002A429F"/>
    <w:rsid w:val="002C55A7"/>
    <w:rsid w:val="002E0A11"/>
    <w:rsid w:val="002E726D"/>
    <w:rsid w:val="00307D4B"/>
    <w:rsid w:val="00343115"/>
    <w:rsid w:val="003454BC"/>
    <w:rsid w:val="00346CAF"/>
    <w:rsid w:val="00356171"/>
    <w:rsid w:val="00362A46"/>
    <w:rsid w:val="00374DB0"/>
    <w:rsid w:val="00382CB6"/>
    <w:rsid w:val="00385B42"/>
    <w:rsid w:val="003B0706"/>
    <w:rsid w:val="003F7D00"/>
    <w:rsid w:val="00402B9F"/>
    <w:rsid w:val="0041089B"/>
    <w:rsid w:val="00416162"/>
    <w:rsid w:val="0042004A"/>
    <w:rsid w:val="00422AFF"/>
    <w:rsid w:val="004267E4"/>
    <w:rsid w:val="004366CA"/>
    <w:rsid w:val="00450EBC"/>
    <w:rsid w:val="004526E9"/>
    <w:rsid w:val="0046422A"/>
    <w:rsid w:val="00481F37"/>
    <w:rsid w:val="00486375"/>
    <w:rsid w:val="004A5794"/>
    <w:rsid w:val="004A5C5B"/>
    <w:rsid w:val="004B2BCD"/>
    <w:rsid w:val="004C7119"/>
    <w:rsid w:val="004D457F"/>
    <w:rsid w:val="004D4D15"/>
    <w:rsid w:val="004D729F"/>
    <w:rsid w:val="00500404"/>
    <w:rsid w:val="00514B27"/>
    <w:rsid w:val="0052642C"/>
    <w:rsid w:val="00531EA4"/>
    <w:rsid w:val="00540ABD"/>
    <w:rsid w:val="0054268F"/>
    <w:rsid w:val="005748B5"/>
    <w:rsid w:val="00575667"/>
    <w:rsid w:val="005816F5"/>
    <w:rsid w:val="00605C80"/>
    <w:rsid w:val="00610D8E"/>
    <w:rsid w:val="006152CA"/>
    <w:rsid w:val="00620C61"/>
    <w:rsid w:val="00631D3A"/>
    <w:rsid w:val="0064444F"/>
    <w:rsid w:val="006444BF"/>
    <w:rsid w:val="00656142"/>
    <w:rsid w:val="0065771F"/>
    <w:rsid w:val="00673F07"/>
    <w:rsid w:val="0069209F"/>
    <w:rsid w:val="006930D9"/>
    <w:rsid w:val="00693A70"/>
    <w:rsid w:val="00695D6D"/>
    <w:rsid w:val="006A47F6"/>
    <w:rsid w:val="006B7725"/>
    <w:rsid w:val="006C71FC"/>
    <w:rsid w:val="006D1940"/>
    <w:rsid w:val="006D4172"/>
    <w:rsid w:val="006D480A"/>
    <w:rsid w:val="006F28F4"/>
    <w:rsid w:val="00702881"/>
    <w:rsid w:val="007055AD"/>
    <w:rsid w:val="00705A40"/>
    <w:rsid w:val="00730179"/>
    <w:rsid w:val="00733AFB"/>
    <w:rsid w:val="00736C49"/>
    <w:rsid w:val="00736F55"/>
    <w:rsid w:val="007413F2"/>
    <w:rsid w:val="00742B8B"/>
    <w:rsid w:val="00746F14"/>
    <w:rsid w:val="00754009"/>
    <w:rsid w:val="007574FD"/>
    <w:rsid w:val="007631F6"/>
    <w:rsid w:val="00764131"/>
    <w:rsid w:val="007739AC"/>
    <w:rsid w:val="00777AFC"/>
    <w:rsid w:val="007B703C"/>
    <w:rsid w:val="007D5E08"/>
    <w:rsid w:val="007E0907"/>
    <w:rsid w:val="007E1B23"/>
    <w:rsid w:val="007E388A"/>
    <w:rsid w:val="007F2C8E"/>
    <w:rsid w:val="008033EB"/>
    <w:rsid w:val="008339A8"/>
    <w:rsid w:val="00834916"/>
    <w:rsid w:val="00845A5B"/>
    <w:rsid w:val="008541AD"/>
    <w:rsid w:val="00860425"/>
    <w:rsid w:val="008710BD"/>
    <w:rsid w:val="008729FA"/>
    <w:rsid w:val="008B3BA4"/>
    <w:rsid w:val="008D7F43"/>
    <w:rsid w:val="00903236"/>
    <w:rsid w:val="0090667B"/>
    <w:rsid w:val="00955B9D"/>
    <w:rsid w:val="009709DA"/>
    <w:rsid w:val="0097118B"/>
    <w:rsid w:val="0098375E"/>
    <w:rsid w:val="009841EF"/>
    <w:rsid w:val="00985445"/>
    <w:rsid w:val="009B718C"/>
    <w:rsid w:val="009B7741"/>
    <w:rsid w:val="009F0802"/>
    <w:rsid w:val="00A248EE"/>
    <w:rsid w:val="00A323CD"/>
    <w:rsid w:val="00A74167"/>
    <w:rsid w:val="00A74FB8"/>
    <w:rsid w:val="00A906C6"/>
    <w:rsid w:val="00A92F12"/>
    <w:rsid w:val="00AD0684"/>
    <w:rsid w:val="00AF0A0E"/>
    <w:rsid w:val="00B02FDE"/>
    <w:rsid w:val="00B04E2E"/>
    <w:rsid w:val="00B2203C"/>
    <w:rsid w:val="00B2663E"/>
    <w:rsid w:val="00B313C7"/>
    <w:rsid w:val="00B33A4B"/>
    <w:rsid w:val="00B369EC"/>
    <w:rsid w:val="00B468BD"/>
    <w:rsid w:val="00B50154"/>
    <w:rsid w:val="00B505C6"/>
    <w:rsid w:val="00B50EBE"/>
    <w:rsid w:val="00B7020F"/>
    <w:rsid w:val="00B7032B"/>
    <w:rsid w:val="00B7468B"/>
    <w:rsid w:val="00B86D0D"/>
    <w:rsid w:val="00B91AB1"/>
    <w:rsid w:val="00BD3F9E"/>
    <w:rsid w:val="00BE5978"/>
    <w:rsid w:val="00BE5D44"/>
    <w:rsid w:val="00BE7361"/>
    <w:rsid w:val="00BF1395"/>
    <w:rsid w:val="00BF27E1"/>
    <w:rsid w:val="00BF3467"/>
    <w:rsid w:val="00BF5BA6"/>
    <w:rsid w:val="00C10502"/>
    <w:rsid w:val="00C2392C"/>
    <w:rsid w:val="00C6026A"/>
    <w:rsid w:val="00C64358"/>
    <w:rsid w:val="00C662D9"/>
    <w:rsid w:val="00C76233"/>
    <w:rsid w:val="00C81ACB"/>
    <w:rsid w:val="00C8664B"/>
    <w:rsid w:val="00CA1B54"/>
    <w:rsid w:val="00CA3A25"/>
    <w:rsid w:val="00CA5A81"/>
    <w:rsid w:val="00CA6EB4"/>
    <w:rsid w:val="00CB3E8F"/>
    <w:rsid w:val="00CB50C8"/>
    <w:rsid w:val="00CB5F1F"/>
    <w:rsid w:val="00CC4AB7"/>
    <w:rsid w:val="00CE4F09"/>
    <w:rsid w:val="00CF1E08"/>
    <w:rsid w:val="00D059E7"/>
    <w:rsid w:val="00D063D7"/>
    <w:rsid w:val="00D0732A"/>
    <w:rsid w:val="00D1450C"/>
    <w:rsid w:val="00D177EE"/>
    <w:rsid w:val="00D2325B"/>
    <w:rsid w:val="00D24AF4"/>
    <w:rsid w:val="00D452B9"/>
    <w:rsid w:val="00D80DD4"/>
    <w:rsid w:val="00D95FF0"/>
    <w:rsid w:val="00D97082"/>
    <w:rsid w:val="00DA4808"/>
    <w:rsid w:val="00DA55B2"/>
    <w:rsid w:val="00DC6102"/>
    <w:rsid w:val="00DF5B20"/>
    <w:rsid w:val="00DF7750"/>
    <w:rsid w:val="00DF788F"/>
    <w:rsid w:val="00E06623"/>
    <w:rsid w:val="00E62250"/>
    <w:rsid w:val="00E62CC4"/>
    <w:rsid w:val="00E63613"/>
    <w:rsid w:val="00E7382F"/>
    <w:rsid w:val="00E8123B"/>
    <w:rsid w:val="00E81AB5"/>
    <w:rsid w:val="00E87392"/>
    <w:rsid w:val="00E94F8C"/>
    <w:rsid w:val="00ED1D2C"/>
    <w:rsid w:val="00EE1FA1"/>
    <w:rsid w:val="00EE6378"/>
    <w:rsid w:val="00F02AD5"/>
    <w:rsid w:val="00F238FA"/>
    <w:rsid w:val="00F24ED1"/>
    <w:rsid w:val="00F263D3"/>
    <w:rsid w:val="00F2727F"/>
    <w:rsid w:val="00F40507"/>
    <w:rsid w:val="00F46CBE"/>
    <w:rsid w:val="00F60B9A"/>
    <w:rsid w:val="00F70A8B"/>
    <w:rsid w:val="00FA02D9"/>
    <w:rsid w:val="00FA0673"/>
    <w:rsid w:val="00FA1702"/>
    <w:rsid w:val="00FA4B77"/>
    <w:rsid w:val="00FC3B58"/>
    <w:rsid w:val="00FD61A1"/>
    <w:rsid w:val="00FE3FCD"/>
    <w:rsid w:val="00FE78D4"/>
    <w:rsid w:val="00FF5B3C"/>
    <w:rsid w:val="3384491E"/>
    <w:rsid w:val="56D17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F46864"/>
  <w15:docId w15:val="{e8d7abf6-9654-4e2d-bc0a-4afc17cf30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0"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spacing w:after="0" w:line="240" w:lineRule="auto"/>
    </w:pPr>
    <w:rPr>
      <w:rFonts w:ascii="Times New Roman" w:hAnsi="Times New Roman" w:eastAsia="Times New Roman" w:cs="Times New Roman"/>
      <w:sz w:val="24"/>
      <w:szCs w:val="20"/>
      <w:lang w:val="es-ES_tradnl"/>
    </w:rPr>
  </w:style>
  <w:style w:type="paragraph" w:styleId="Heading1">
    <w:name w:val="heading 1"/>
    <w:aliases w:val="Heading 1.I"/>
    <w:basedOn w:val="Normal"/>
    <w:next w:val="Normal"/>
    <w:link w:val="Heading1Char"/>
    <w:qFormat/>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pPr>
      <w:keepNext/>
      <w:spacing w:before="240" w:after="60"/>
      <w:outlineLvl w:val="2"/>
    </w:pPr>
    <w:rPr>
      <w:rFonts w:ascii="Arial" w:hAnsi="Arial"/>
    </w:rPr>
  </w:style>
  <w:style w:type="paragraph" w:styleId="Heading4">
    <w:name w:val="heading 4"/>
    <w:aliases w:val="Heading 4.a"/>
    <w:basedOn w:val="Normal"/>
    <w:next w:val="Normal"/>
    <w:link w:val="Heading4Char"/>
    <w:qFormat/>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pPr>
      <w:keepNext/>
      <w:keepLines/>
      <w:numPr>
        <w:ilvl w:val="4"/>
        <w:numId w:val="16"/>
      </w:numPr>
      <w:spacing w:before="20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nhideWhenUsed/>
    <w:qFormat/>
    <w:pPr>
      <w:keepNext/>
      <w:keepLines/>
      <w:numPr>
        <w:ilvl w:val="5"/>
        <w:numId w:val="16"/>
      </w:numPr>
      <w:spacing w:before="20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nhideWhenUsed/>
    <w:qFormat/>
    <w:pPr>
      <w:keepNext/>
      <w:keepLines/>
      <w:numPr>
        <w:ilvl w:val="6"/>
        <w:numId w:val="16"/>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nhideWhenUsed/>
    <w:qFormat/>
    <w:pPr>
      <w:keepNext/>
      <w:keepLines/>
      <w:numPr>
        <w:ilvl w:val="7"/>
        <w:numId w:val="16"/>
      </w:numPr>
      <w:spacing w:before="200"/>
      <w:outlineLvl w:val="7"/>
    </w:pPr>
    <w:rPr>
      <w:rFonts w:asciiTheme="majorHAnsi" w:hAnsiTheme="majorHAnsi" w:eastAsiaTheme="majorEastAsia" w:cstheme="majorBidi"/>
      <w:color w:val="404040" w:themeColor="text1" w:themeTint="BF"/>
      <w:sz w:val="20"/>
    </w:rPr>
  </w:style>
  <w:style w:type="paragraph" w:styleId="Heading9">
    <w:name w:val="heading 9"/>
    <w:basedOn w:val="Normal"/>
    <w:next w:val="Normal"/>
    <w:link w:val="Heading9Char"/>
    <w:unhideWhenUsed/>
    <w:qFormat/>
    <w:pPr>
      <w:keepNext/>
      <w:keepLines/>
      <w:numPr>
        <w:ilvl w:val="8"/>
        <w:numId w:val="16"/>
      </w:numPr>
      <w:spacing w:before="200"/>
      <w:outlineLvl w:val="8"/>
    </w:pPr>
    <w:rPr>
      <w:rFonts w:asciiTheme="majorHAnsi" w:hAnsiTheme="majorHAnsi" w:eastAsiaTheme="majorEastAsia" w:cstheme="majorBidi"/>
      <w:i/>
      <w:iCs/>
      <w:color w:val="404040" w:themeColor="text1" w:themeTint="BF"/>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nnex" w:customStyle="1">
    <w:name w:val="Annex"/>
    <w:basedOn w:val="Normal"/>
    <w:rPr>
      <w:caps/>
    </w:rPr>
  </w:style>
  <w:style w:type="paragraph" w:styleId="ABBR" w:customStyle="1">
    <w:name w:val="ABBR"/>
    <w:basedOn w:val="Annex"/>
  </w:style>
  <w:style w:type="paragraph" w:styleId="AbbrDesc" w:customStyle="1">
    <w:name w:val="AbbrDesc"/>
    <w:basedOn w:val="Normal"/>
    <w:pPr>
      <w:tabs>
        <w:tab w:val="left" w:pos="3060"/>
      </w:tabs>
      <w:jc w:val="both"/>
    </w:pPr>
  </w:style>
  <w:style w:type="paragraph" w:styleId="BodyText">
    <w:name w:val="Body Text"/>
    <w:basedOn w:val="Normal"/>
    <w:link w:val="BodyTextChar"/>
    <w:pPr>
      <w:tabs>
        <w:tab w:val="left" w:pos="3060"/>
      </w:tabs>
      <w:jc w:val="center"/>
    </w:pPr>
  </w:style>
  <w:style w:type="character" w:styleId="BodyTextChar" w:customStyle="1">
    <w:name w:val="Body Text Char"/>
    <w:basedOn w:val="DefaultParagraphFont"/>
    <w:link w:val="BodyText"/>
    <w:rPr>
      <w:rFonts w:ascii="Times New Roman" w:hAnsi="Times New Roman" w:eastAsia="Times New Roman" w:cs="Times New Roman"/>
      <w:sz w:val="24"/>
      <w:szCs w:val="20"/>
    </w:rPr>
  </w:style>
  <w:style w:type="paragraph" w:styleId="Chapter" w:customStyle="1">
    <w:name w:val="Chapter"/>
    <w:basedOn w:val="Normal"/>
    <w:next w:val="Normal"/>
    <w:uiPriority w:val="99"/>
    <w:pPr>
      <w:keepNext/>
      <w:numPr>
        <w:numId w:val="19"/>
      </w:numPr>
      <w:tabs>
        <w:tab w:val="left" w:pos="1440"/>
      </w:tabs>
      <w:spacing w:before="240" w:after="240"/>
      <w:jc w:val="center"/>
    </w:pPr>
    <w:rPr>
      <w:b/>
      <w:smallCaps/>
      <w:lang w:val="es-ES"/>
    </w:rPr>
  </w:style>
  <w:style w:type="paragraph" w:styleId="FirstHeading" w:customStyle="1">
    <w:name w:val="FirstHeading"/>
    <w:basedOn w:val="Normal"/>
    <w:next w:val="Normal"/>
    <w:pPr>
      <w:keepNext/>
      <w:numPr>
        <w:numId w:val="16"/>
      </w:numPr>
      <w:tabs>
        <w:tab w:val="left" w:pos="0"/>
        <w:tab w:val="left" w:pos="86"/>
      </w:tabs>
      <w:spacing w:before="120" w:after="120"/>
      <w:ind w:left="720"/>
    </w:pPr>
    <w:rPr>
      <w:b/>
      <w:lang w:val="es-ES"/>
    </w:rPr>
  </w:style>
  <w:style w:type="paragraph" w:styleId="Footer">
    <w:name w:val="footer"/>
    <w:basedOn w:val="Normal"/>
    <w:link w:val="FooterChar"/>
    <w:pPr>
      <w:tabs>
        <w:tab w:val="center" w:pos="4320"/>
        <w:tab w:val="right" w:pos="8640"/>
      </w:tabs>
    </w:pPr>
  </w:style>
  <w:style w:type="character" w:styleId="FooterChar" w:customStyle="1">
    <w:name w:val="Footer Char"/>
    <w:basedOn w:val="DefaultParagraphFont"/>
    <w:link w:val="Footer"/>
    <w:rPr>
      <w:rFonts w:ascii="Times New Roman" w:hAnsi="Times New Roman" w:eastAsia="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f"/>
    <w:basedOn w:val="Normal"/>
    <w:link w:val="FootnoteTextChar"/>
    <w:qFormat/>
    <w:pPr>
      <w:keepNext/>
      <w:keepLines/>
      <w:spacing w:after="120"/>
      <w:ind w:left="288" w:hanging="288"/>
      <w:jc w:val="both"/>
    </w:pPr>
    <w:rPr>
      <w:spacing w:val="-3"/>
      <w:sz w:val="20"/>
    </w:rPr>
  </w:style>
  <w:style w:type="character" w:styleId="FootnoteTextChar" w:customStyle="1">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Pr>
      <w:rFonts w:ascii="Times New Roman" w:hAnsi="Times New Roman" w:eastAsia="Times New Roman" w:cs="Times New Roman"/>
      <w:spacing w:val="-3"/>
      <w:sz w:val="20"/>
      <w:szCs w:val="20"/>
      <w:lang w:val="es-ES_tradnl"/>
    </w:rPr>
  </w:style>
  <w:style w:type="paragraph" w:styleId="Header">
    <w:name w:val="header"/>
    <w:basedOn w:val="Normal"/>
    <w:link w:val="HeaderChar"/>
    <w:uiPriority w:val="99"/>
    <w:pPr>
      <w:tabs>
        <w:tab w:val="center" w:pos="4320"/>
        <w:tab w:val="right" w:pos="8640"/>
      </w:tabs>
    </w:pPr>
  </w:style>
  <w:style w:type="character" w:styleId="HeaderChar" w:customStyle="1">
    <w:name w:val="Header Char"/>
    <w:basedOn w:val="DefaultParagraphFont"/>
    <w:link w:val="Header"/>
    <w:uiPriority w:val="99"/>
    <w:rPr>
      <w:rFonts w:ascii="Times New Roman" w:hAnsi="Times New Roman" w:eastAsia="Times New Roman" w:cs="Times New Roman"/>
      <w:sz w:val="24"/>
      <w:szCs w:val="20"/>
    </w:rPr>
  </w:style>
  <w:style w:type="paragraph" w:styleId="Newpage" w:customStyle="1">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styleId="Paragraph" w:customStyle="1">
    <w:name w:val="Paragraph"/>
    <w:aliases w:val="paragraph,p,PARAGRAPH,PG,pa,at"/>
    <w:basedOn w:val="BodyTextIndent"/>
    <w:link w:val="ParagraphChar"/>
    <w:uiPriority w:val="99"/>
    <w:qFormat/>
    <w:pPr>
      <w:numPr>
        <w:ilvl w:val="1"/>
        <w:numId w:val="19"/>
      </w:numPr>
      <w:spacing w:before="120"/>
      <w:jc w:val="both"/>
      <w:outlineLvl w:val="1"/>
    </w:pPr>
    <w:rPr>
      <w:lang w:val="es-ES"/>
    </w:rPr>
  </w:style>
  <w:style w:type="paragraph" w:styleId="RegheadTab" w:customStyle="1">
    <w:name w:val="RegheadTab"/>
    <w:basedOn w:val="FirstHeading"/>
    <w:pPr>
      <w:numPr>
        <w:numId w:val="0"/>
      </w:numPr>
      <w:tabs>
        <w:tab w:val="num" w:pos="504"/>
      </w:tabs>
      <w:spacing w:after="0"/>
      <w:ind w:left="504" w:hanging="504"/>
      <w:jc w:val="center"/>
    </w:pPr>
  </w:style>
  <w:style w:type="paragraph" w:styleId="SecHeading" w:customStyle="1">
    <w:name w:val="SecHeading"/>
    <w:basedOn w:val="Normal"/>
    <w:next w:val="Paragraph"/>
    <w:pPr>
      <w:keepNext/>
      <w:numPr>
        <w:ilvl w:val="1"/>
        <w:numId w:val="16"/>
      </w:numPr>
      <w:tabs>
        <w:tab w:val="clear" w:pos="5400"/>
        <w:tab w:val="num" w:pos="1296"/>
      </w:tabs>
      <w:spacing w:before="120" w:after="120"/>
      <w:ind w:left="1296"/>
    </w:pPr>
    <w:rPr>
      <w:b/>
    </w:rPr>
  </w:style>
  <w:style w:type="paragraph" w:styleId="SubHeading1" w:customStyle="1">
    <w:name w:val="SubHeading1"/>
    <w:basedOn w:val="SecHeading"/>
    <w:pPr>
      <w:numPr>
        <w:ilvl w:val="2"/>
      </w:numPr>
      <w:tabs>
        <w:tab w:val="clear" w:pos="5976"/>
        <w:tab w:val="num" w:pos="1872"/>
      </w:tabs>
      <w:ind w:left="1872"/>
    </w:pPr>
  </w:style>
  <w:style w:type="paragraph" w:styleId="Subheading2" w:customStyle="1">
    <w:name w:val="Subheading2"/>
    <w:basedOn w:val="SecHeading"/>
    <w:pPr>
      <w:numPr>
        <w:ilvl w:val="3"/>
      </w:numPr>
      <w:tabs>
        <w:tab w:val="clear" w:pos="6480"/>
        <w:tab w:val="num" w:pos="2376"/>
      </w:tabs>
      <w:ind w:left="2376"/>
    </w:pPr>
  </w:style>
  <w:style w:type="paragraph" w:styleId="subpar" w:customStyle="1">
    <w:name w:val="subpar"/>
    <w:basedOn w:val="BodyTextIndent3"/>
    <w:uiPriority w:val="99"/>
    <w:pPr>
      <w:numPr>
        <w:ilvl w:val="2"/>
        <w:numId w:val="19"/>
      </w:numPr>
      <w:spacing w:before="120"/>
      <w:jc w:val="both"/>
      <w:outlineLvl w:val="2"/>
    </w:pPr>
    <w:rPr>
      <w:szCs w:val="20"/>
    </w:rPr>
  </w:style>
  <w:style w:type="paragraph" w:styleId="SubSubPar" w:customStyle="1">
    <w:name w:val="SubSubPar"/>
    <w:basedOn w:val="subpar"/>
    <w:pPr>
      <w:numPr>
        <w:ilvl w:val="3"/>
      </w:numPr>
      <w:tabs>
        <w:tab w:val="clear" w:pos="2736"/>
        <w:tab w:val="left" w:pos="0"/>
        <w:tab w:val="num" w:pos="1296"/>
      </w:tabs>
    </w:pPr>
  </w:style>
  <w:style w:type="paragraph" w:styleId="TOC1">
    <w:name w:val="toc 1"/>
    <w:basedOn w:val="Normal"/>
    <w:next w:val="Normal"/>
    <w:autoRedefine/>
    <w:uiPriority w:val="39"/>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lang w:val="es-ES"/>
    </w:rPr>
  </w:style>
  <w:style w:type="character" w:styleId="Hyperlink">
    <w:name w:val="Hyperlink"/>
    <w:basedOn w:val="DefaultParagraphFont"/>
    <w:uiPriority w:val="99"/>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SUPERS"/>
    <w:basedOn w:val="DefaultParagraphFont"/>
    <w:link w:val="Char2"/>
    <w:uiPriority w:val="99"/>
    <w:qFormat/>
    <w:rPr>
      <w:vertAlign w:val="superscript"/>
    </w:rPr>
  </w:style>
  <w:style w:type="paragraph" w:styleId="BodyTextIndent">
    <w:name w:val="Body Text Indent"/>
    <w:basedOn w:val="Normal"/>
    <w:link w:val="BodyTextIndentChar"/>
    <w:uiPriority w:val="99"/>
    <w:semiHidden/>
    <w:unhideWhenUsed/>
    <w:pPr>
      <w:spacing w:after="120"/>
      <w:ind w:left="360"/>
    </w:pPr>
  </w:style>
  <w:style w:type="character" w:styleId="BodyTextIndentChar" w:customStyle="1">
    <w:name w:val="Body Text Indent Char"/>
    <w:basedOn w:val="DefaultParagraphFont"/>
    <w:link w:val="BodyTextIndent"/>
    <w:uiPriority w:val="99"/>
    <w:semiHidden/>
    <w:rPr>
      <w:rFonts w:ascii="Times New Roman" w:hAnsi="Times New Roman" w:eastAsia="Times New Roman" w:cs="Times New Roman"/>
      <w:sz w:val="24"/>
      <w:szCs w:val="20"/>
      <w:lang w:val="es-ES_tradnl"/>
    </w:rPr>
  </w:style>
  <w:style w:type="paragraph" w:styleId="BodyTextIndent3">
    <w:name w:val="Body Text Indent 3"/>
    <w:basedOn w:val="Normal"/>
    <w:link w:val="BodyTextIndent3Char"/>
    <w:uiPriority w:val="99"/>
    <w:semiHidden/>
    <w:unhideWhenUsed/>
    <w:pPr>
      <w:spacing w:after="120"/>
      <w:ind w:left="360"/>
    </w:pPr>
    <w:rPr>
      <w:szCs w:val="16"/>
    </w:rPr>
  </w:style>
  <w:style w:type="character" w:styleId="BodyTextIndent3Char" w:customStyle="1">
    <w:name w:val="Body Text Indent 3 Char"/>
    <w:basedOn w:val="DefaultParagraphFont"/>
    <w:link w:val="BodyTextIndent3"/>
    <w:uiPriority w:val="99"/>
    <w:semiHidden/>
    <w:rPr>
      <w:rFonts w:ascii="Times New Roman" w:hAnsi="Times New Roman" w:eastAsia="Times New Roman" w:cs="Times New Roman"/>
      <w:sz w:val="24"/>
      <w:szCs w:val="16"/>
      <w:lang w:val="es-ES_tradnl"/>
    </w:rPr>
  </w:style>
  <w:style w:type="paragraph" w:styleId="Regtable" w:customStyle="1">
    <w:name w:val="Regtable"/>
    <w:basedOn w:val="Normal"/>
    <w:link w:val="RegtableChar"/>
    <w:pPr>
      <w:keepLines/>
      <w:framePr w:wrap="around" w:hAnchor="text" w:vAnchor="text" w:y="1"/>
      <w:spacing w:before="20" w:after="20"/>
    </w:pPr>
    <w:rPr>
      <w:sz w:val="20"/>
    </w:rPr>
  </w:style>
  <w:style w:type="character" w:styleId="RegtableChar" w:customStyle="1">
    <w:name w:val="Regtable Char"/>
    <w:basedOn w:val="DefaultParagraphFont"/>
    <w:link w:val="Regtable"/>
    <w:rPr>
      <w:rFonts w:ascii="Times New Roman" w:hAnsi="Times New Roman" w:eastAsia="Times New Roman" w:cs="Times New Roman"/>
      <w:sz w:val="20"/>
      <w:szCs w:val="20"/>
      <w:lang w:val="es-ES_tradnl"/>
    </w:rPr>
  </w:style>
  <w:style w:type="paragraph" w:styleId="TableTitle" w:customStyle="1">
    <w:name w:val="TableTitle"/>
    <w:basedOn w:val="Normal"/>
    <w:link w:val="TableTitleChar"/>
    <w:pPr>
      <w:keepNext/>
      <w:framePr w:wrap="around" w:hAnchor="text" w:vAnchor="text" w:y="1"/>
      <w:spacing w:before="20" w:after="20"/>
      <w:jc w:val="center"/>
    </w:pPr>
    <w:rPr>
      <w:rFonts w:ascii="Times New Roman Bold" w:hAnsi="Times New Roman Bold"/>
      <w:b/>
      <w:spacing w:val="-3"/>
      <w:sz w:val="20"/>
    </w:rPr>
  </w:style>
  <w:style w:type="character" w:styleId="TableTitleChar" w:customStyle="1">
    <w:name w:val="TableTitle Char"/>
    <w:basedOn w:val="DefaultParagraphFont"/>
    <w:link w:val="TableTitle"/>
    <w:rPr>
      <w:rFonts w:ascii="Times New Roman Bold" w:hAnsi="Times New Roman Bold" w:eastAsia="Times New Roman" w:cs="Times New Roman"/>
      <w:b/>
      <w:spacing w:val="-3"/>
      <w:sz w:val="20"/>
      <w:szCs w:val="20"/>
      <w:lang w:val="es-ES_tradnl"/>
    </w:rPr>
  </w:style>
  <w:style w:type="character" w:styleId="Heading5Char" w:customStyle="1">
    <w:name w:val="Heading 5 Char"/>
    <w:aliases w:val="Heading 5.(i) Char"/>
    <w:basedOn w:val="DefaultParagraphFont"/>
    <w:link w:val="Heading5"/>
    <w:rPr>
      <w:rFonts w:asciiTheme="majorHAnsi" w:hAnsiTheme="majorHAnsi" w:eastAsiaTheme="majorEastAsia" w:cstheme="majorBidi"/>
      <w:color w:val="243F60" w:themeColor="accent1" w:themeShade="7F"/>
      <w:sz w:val="24"/>
      <w:szCs w:val="20"/>
      <w:lang w:val="es-ES_tradnl"/>
    </w:rPr>
  </w:style>
  <w:style w:type="character" w:styleId="Heading6Char" w:customStyle="1">
    <w:name w:val="Heading 6 Char"/>
    <w:basedOn w:val="DefaultParagraphFont"/>
    <w:link w:val="Heading6"/>
    <w:rPr>
      <w:rFonts w:asciiTheme="majorHAnsi" w:hAnsiTheme="majorHAnsi" w:eastAsiaTheme="majorEastAsia" w:cstheme="majorBidi"/>
      <w:i/>
      <w:iCs/>
      <w:color w:val="243F60" w:themeColor="accent1" w:themeShade="7F"/>
      <w:sz w:val="24"/>
      <w:szCs w:val="20"/>
      <w:lang w:val="es-ES_tradnl"/>
    </w:rPr>
  </w:style>
  <w:style w:type="character" w:styleId="Heading7Char" w:customStyle="1">
    <w:name w:val="Heading 7 Char"/>
    <w:basedOn w:val="DefaultParagraphFont"/>
    <w:link w:val="Heading7"/>
    <w:rPr>
      <w:rFonts w:asciiTheme="majorHAnsi" w:hAnsiTheme="majorHAnsi" w:eastAsiaTheme="majorEastAsia" w:cstheme="majorBidi"/>
      <w:i/>
      <w:iCs/>
      <w:color w:val="404040" w:themeColor="text1" w:themeTint="BF"/>
      <w:sz w:val="24"/>
      <w:szCs w:val="20"/>
      <w:lang w:val="es-ES_tradnl"/>
    </w:rPr>
  </w:style>
  <w:style w:type="character" w:styleId="Heading8Char" w:customStyle="1">
    <w:name w:val="Heading 8 Char"/>
    <w:basedOn w:val="DefaultParagraphFont"/>
    <w:link w:val="Heading8"/>
    <w:rPr>
      <w:rFonts w:asciiTheme="majorHAnsi" w:hAnsiTheme="majorHAnsi" w:eastAsiaTheme="majorEastAsia" w:cstheme="majorBidi"/>
      <w:color w:val="404040" w:themeColor="text1" w:themeTint="BF"/>
      <w:sz w:val="20"/>
      <w:szCs w:val="20"/>
      <w:lang w:val="es-ES_tradnl"/>
    </w:rPr>
  </w:style>
  <w:style w:type="character" w:styleId="Heading9Char" w:customStyle="1">
    <w:name w:val="Heading 9 Char"/>
    <w:basedOn w:val="DefaultParagraphFont"/>
    <w:link w:val="Heading9"/>
    <w:rPr>
      <w:rFonts w:asciiTheme="majorHAnsi" w:hAnsiTheme="majorHAnsi" w:eastAsiaTheme="majorEastAsia" w:cstheme="majorBidi"/>
      <w:i/>
      <w:iCs/>
      <w:color w:val="404040" w:themeColor="text1" w:themeTint="BF"/>
      <w:sz w:val="20"/>
      <w:szCs w:val="20"/>
      <w:lang w:val="es-ES_tradnl"/>
    </w:rPr>
  </w:style>
  <w:style w:type="character" w:styleId="Heading1Char" w:customStyle="1">
    <w:name w:val="Heading 1 Char"/>
    <w:aliases w:val="Heading 1.I Char"/>
    <w:basedOn w:val="DefaultParagraphFont"/>
    <w:link w:val="Heading1"/>
    <w:rPr>
      <w:rFonts w:ascii="Arial" w:hAnsi="Arial" w:eastAsia="Times New Roman" w:cs="Times New Roman"/>
      <w:b/>
      <w:kern w:val="28"/>
      <w:sz w:val="28"/>
      <w:szCs w:val="20"/>
    </w:rPr>
  </w:style>
  <w:style w:type="character" w:styleId="Heading2Char" w:customStyle="1">
    <w:name w:val="Heading 2 Char"/>
    <w:basedOn w:val="DefaultParagraphFont"/>
    <w:link w:val="Heading2"/>
    <w:rPr>
      <w:rFonts w:ascii="Arial" w:hAnsi="Arial" w:eastAsia="Times New Roman" w:cs="Times New Roman"/>
      <w:b/>
      <w:i/>
      <w:sz w:val="24"/>
      <w:szCs w:val="20"/>
    </w:rPr>
  </w:style>
  <w:style w:type="character" w:styleId="Heading3Char" w:customStyle="1">
    <w:name w:val="Heading 3 Char"/>
    <w:basedOn w:val="DefaultParagraphFont"/>
    <w:link w:val="Heading3"/>
    <w:rPr>
      <w:rFonts w:ascii="Arial" w:hAnsi="Arial" w:eastAsia="Times New Roman" w:cs="Times New Roman"/>
      <w:sz w:val="24"/>
      <w:szCs w:val="20"/>
      <w:lang w:val="es-ES_tradnl"/>
    </w:rPr>
  </w:style>
  <w:style w:type="character" w:styleId="Heading4Char" w:customStyle="1">
    <w:name w:val="Heading 4 Char"/>
    <w:aliases w:val="Heading 4.a Char"/>
    <w:basedOn w:val="DefaultParagraphFont"/>
    <w:link w:val="Heading4"/>
    <w:rPr>
      <w:rFonts w:ascii="Arial" w:hAnsi="Arial" w:eastAsia="Times New Roman" w:cs="Times New Roman"/>
      <w:b/>
      <w:sz w:val="24"/>
      <w:szCs w:val="20"/>
      <w:lang w:val="es-ES_tradnl"/>
    </w:rPr>
  </w:style>
  <w:style w:type="paragraph" w:styleId="ListParagraph">
    <w:name w:val="List Paragraph"/>
    <w:basedOn w:val="Normal"/>
    <w:link w:val="ListParagraphChar"/>
    <w:uiPriority w:val="34"/>
    <w:qFormat/>
    <w:pPr>
      <w:ind w:left="720"/>
      <w:contextualSpacing/>
    </w:pPr>
  </w:style>
  <w:style w:type="paragraph" w:styleId="xl29" w:customStyle="1">
    <w:name w:val="xl29"/>
    <w:basedOn w:val="Normal"/>
    <w:pPr>
      <w:pBdr>
        <w:left w:val="single" w:color="auto" w:sz="4" w:space="0"/>
        <w:bottom w:val="single" w:color="auto" w:sz="4" w:space="0"/>
      </w:pBdr>
      <w:spacing w:before="100" w:beforeAutospacing="1" w:after="100" w:afterAutospacing="1"/>
      <w:jc w:val="center"/>
    </w:pPr>
    <w:rPr>
      <w:rFonts w:ascii="Arial" w:hAnsi="Arial" w:eastAsia="Arial Unicode MS" w:cs="Arial"/>
      <w:b/>
      <w:bCs/>
      <w:szCs w:val="24"/>
      <w:lang w:val="en-US"/>
    </w:rPr>
  </w:style>
  <w:style w:type="table" w:styleId="TableGrid">
    <w:name w:val="Table Grid"/>
    <w:basedOn w:val="TableNormal"/>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eastAsia="Times New Roman" w:cs="Tahoma"/>
      <w:sz w:val="16"/>
      <w:szCs w:val="16"/>
      <w:lang w:val="es-ES_tradnl"/>
    </w:rPr>
  </w:style>
  <w:style w:type="character" w:styleId="FootnoteTextChar1" w:customStyle="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Pr>
      <w:rFonts w:ascii="Times New Roman" w:hAnsi="Times New Roman" w:eastAsia="Times New Roman"/>
      <w:spacing w:val="-3"/>
    </w:rPr>
  </w:style>
  <w:style w:type="character" w:styleId="ParagraphChar" w:customStyle="1">
    <w:name w:val="Paragraph Char"/>
    <w:aliases w:val="p Char,PARAGRAPH Char,PG Char,pa Char,at Char,paragraph Char"/>
    <w:basedOn w:val="BodyTextIndentChar"/>
    <w:link w:val="Paragraph"/>
    <w:uiPriority w:val="99"/>
    <w:rPr>
      <w:rFonts w:ascii="Times New Roman" w:hAnsi="Times New Roman" w:eastAsia="Times New Roman" w:cs="Times New Roman"/>
      <w:sz w:val="24"/>
      <w:szCs w:val="20"/>
      <w:lang w:val="es-ES"/>
    </w:rPr>
  </w:style>
  <w:style w:type="character" w:styleId="BalloonTextChar1" w:customStyle="1">
    <w:name w:val="Balloon Text Char1"/>
    <w:basedOn w:val="DefaultParagraphFont"/>
    <w:uiPriority w:val="99"/>
    <w:semiHidden/>
    <w:rPr>
      <w:rFonts w:ascii="Tahoma" w:hAnsi="Tahoma" w:eastAsia="Times New Roman" w:cs="Tahoma"/>
      <w:sz w:val="16"/>
      <w:szCs w:val="16"/>
    </w:rPr>
  </w:style>
  <w:style w:type="character" w:styleId="CommentReference">
    <w:name w:val="annotation reference"/>
    <w:basedOn w:val="DefaultParagraphFont"/>
    <w:uiPriority w:val="99"/>
    <w:semiHidden/>
    <w:rPr>
      <w:rFonts w:cs="Times New Roman"/>
      <w:sz w:val="16"/>
      <w:szCs w:val="16"/>
    </w:rPr>
  </w:style>
  <w:style w:type="character" w:styleId="apple-converted-space" w:customStyle="1">
    <w:name w:val="apple-converted-space"/>
    <w:basedOn w:val="DefaultParagraphFont"/>
  </w:style>
  <w:style w:type="paragraph" w:styleId="Default" w:customStyle="1">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cuerpo2" w:customStyle="1">
    <w:name w:val="cuerpo2"/>
    <w:basedOn w:val="Normal"/>
    <w:pPr>
      <w:spacing w:before="100" w:beforeAutospacing="1" w:after="100" w:afterAutospacing="1"/>
    </w:pPr>
    <w:rPr>
      <w:szCs w:val="24"/>
      <w:lang w:val="en-US"/>
    </w:rPr>
  </w:style>
  <w:style w:type="paragraph" w:styleId="CommentText">
    <w:name w:val="annotation text"/>
    <w:basedOn w:val="Normal"/>
    <w:link w:val="CommentTextChar"/>
    <w:uiPriority w:val="99"/>
    <w:unhideWhenUsed/>
    <w:rPr>
      <w:sz w:val="20"/>
    </w:rPr>
  </w:style>
  <w:style w:type="character" w:styleId="CommentTextChar" w:customStyle="1">
    <w:name w:val="Comment Text Char"/>
    <w:basedOn w:val="DefaultParagraphFont"/>
    <w:link w:val="CommentText"/>
    <w:uiPriority w:val="99"/>
    <w:rPr>
      <w:rFonts w:ascii="Times New Roman" w:hAnsi="Times New Roman" w:eastAsia="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rFonts w:ascii="Times New Roman" w:hAnsi="Times New Roman" w:eastAsia="Times New Roman" w:cs="Times New Roman"/>
      <w:b/>
      <w:bCs/>
      <w:sz w:val="20"/>
      <w:szCs w:val="20"/>
      <w:lang w:val="es-ES_tradnl"/>
    </w:rPr>
  </w:style>
  <w:style w:type="character" w:styleId="Emphasis">
    <w:name w:val="Emphasis"/>
    <w:basedOn w:val="DefaultParagraphFont"/>
    <w:uiPriority w:val="20"/>
    <w:qFormat/>
    <w:rPr>
      <w:i/>
      <w:iCs/>
    </w:rPr>
  </w:style>
  <w:style w:type="paragraph" w:styleId="AutoNumpara" w:customStyle="1">
    <w:name w:val="AutoNumpara"/>
    <w:basedOn w:val="BodyTextIndent"/>
    <w:pPr>
      <w:tabs>
        <w:tab w:val="num" w:pos="360"/>
      </w:tabs>
      <w:spacing w:before="120"/>
      <w:jc w:val="both"/>
    </w:pPr>
    <w:rPr>
      <w:noProof/>
      <w:spacing w:val="-2"/>
    </w:rPr>
  </w:style>
  <w:style w:type="paragraph" w:styleId="bullets" w:customStyle="1">
    <w:name w:val="bullets"/>
    <w:pPr>
      <w:tabs>
        <w:tab w:val="num" w:pos="810"/>
      </w:tabs>
      <w:spacing w:before="120" w:after="120" w:line="240" w:lineRule="auto"/>
      <w:ind w:left="810" w:hanging="720"/>
      <w:jc w:val="both"/>
    </w:pPr>
    <w:rPr>
      <w:rFonts w:ascii="Times New Roman" w:hAnsi="Times New Roman" w:eastAsia="Times New Roman" w:cs="Times New Roman"/>
      <w:spacing w:val="-2"/>
      <w:sz w:val="24"/>
      <w:szCs w:val="20"/>
    </w:rPr>
  </w:style>
  <w:style w:type="paragraph" w:styleId="ColorfulList-Accent11" w:customStyle="1">
    <w:name w:val="Colorful List - Accent 11"/>
    <w:basedOn w:val="Normal"/>
    <w:link w:val="ColorfulList-Accent1Char"/>
    <w:uiPriority w:val="34"/>
    <w:qFormat/>
    <w:pPr>
      <w:ind w:left="720"/>
      <w:contextualSpacing/>
    </w:pPr>
    <w:rPr>
      <w:rFonts w:ascii="Calibri" w:hAnsi="Calibri" w:eastAsia="Calibri"/>
      <w:sz w:val="22"/>
      <w:szCs w:val="22"/>
    </w:rPr>
  </w:style>
  <w:style w:type="character" w:styleId="ColorfulList-Accent1Char" w:customStyle="1">
    <w:name w:val="Colorful List - Accent 1 Char"/>
    <w:link w:val="ColorfulList-Accent11"/>
    <w:uiPriority w:val="34"/>
    <w:rPr>
      <w:rFonts w:ascii="Calibri" w:hAnsi="Calibri" w:eastAsia="Calibri" w:cs="Times New Roman"/>
      <w:lang w:val="es-ES_tradnl"/>
    </w:rPr>
  </w:style>
  <w:style w:type="paragraph" w:styleId="heading-b24" w:customStyle="1">
    <w:name w:val="heading-b24"/>
    <w:basedOn w:val="Normal"/>
    <w:next w:val="Normal"/>
    <w:pPr>
      <w:spacing w:after="600"/>
      <w:jc w:val="center"/>
    </w:pPr>
    <w:rPr>
      <w:rFonts w:ascii="Times New Roman Bold" w:hAnsi="Times New Roman Bold"/>
      <w:b/>
      <w:smallCaps/>
      <w:spacing w:val="-3"/>
    </w:rPr>
  </w:style>
  <w:style w:type="paragraph" w:styleId="NoSpacing">
    <w:name w:val="No Spacing"/>
    <w:uiPriority w:val="1"/>
    <w:qFormat/>
    <w:pPr>
      <w:spacing w:after="0" w:line="240" w:lineRule="auto"/>
    </w:pPr>
    <w:rPr>
      <w:rFonts w:ascii="Times New Roman" w:hAnsi="Times New Roman" w:eastAsia="Times New Roman" w:cs="Times New Roman"/>
      <w:sz w:val="24"/>
      <w:szCs w:val="24"/>
    </w:rPr>
  </w:style>
  <w:style w:type="character" w:styleId="UnresolvedMention">
    <w:name w:val="Unresolved Mention"/>
    <w:basedOn w:val="DefaultParagraphFont"/>
    <w:uiPriority w:val="99"/>
    <w:semiHidden/>
    <w:unhideWhenUsed/>
    <w:rPr>
      <w:color w:val="808080"/>
      <w:shd w:val="clear" w:color="auto" w:fill="E6E6E6"/>
    </w:rPr>
  </w:style>
  <w:style w:type="character" w:styleId="Strong">
    <w:name w:val="Strong"/>
    <w:basedOn w:val="DefaultParagraphFont"/>
    <w:uiPriority w:val="22"/>
    <w:qFormat/>
    <w:rPr>
      <w:b/>
      <w:bCs/>
    </w:rPr>
  </w:style>
  <w:style w:type="character" w:styleId="ListParagraphChar" w:customStyle="1">
    <w:name w:val="List Paragraph Char"/>
    <w:link w:val="ListParagraph"/>
    <w:uiPriority w:val="34"/>
    <w:locked/>
    <w:rPr>
      <w:rFonts w:ascii="Times New Roman" w:hAnsi="Times New Roman" w:eastAsia="Times New Roman" w:cs="Times New Roman"/>
      <w:sz w:val="24"/>
      <w:szCs w:val="20"/>
      <w:lang w:val="es-ES_tradnl"/>
    </w:rPr>
  </w:style>
  <w:style w:type="character" w:styleId="PlaceholderText">
    <w:name w:val="Placeholder Text"/>
    <w:basedOn w:val="DefaultParagraphFont"/>
    <w:uiPriority w:val="99"/>
    <w:semiHidden/>
    <w:rPr>
      <w:color w:val="808080"/>
    </w:rPr>
  </w:style>
  <w:style w:type="paragraph" w:styleId="Char2" w:customStyle="1">
    <w:name w:val="Char2"/>
    <w:basedOn w:val="Normal"/>
    <w:link w:val="FootnoteReference"/>
    <w:uiPriority w:val="99"/>
    <w:rsid w:val="0046422A"/>
    <w:pPr>
      <w:spacing w:after="160" w:line="240" w:lineRule="exact"/>
    </w:pPr>
    <w:rPr>
      <w:rFonts w:asciiTheme="minorHAnsi" w:hAnsiTheme="minorHAnsi" w:eastAsiaTheme="minorHAnsi" w:cstheme="minorBidi"/>
      <w:sz w:val="22"/>
      <w:szCs w:val="22"/>
      <w:vertAlign w:val="superscript"/>
      <w:lang w:val="en-US"/>
    </w:rPr>
  </w:style>
  <w:style w:type="table" w:styleId="TableGrid3" w:customStyle="1">
    <w:name w:val="Table Grid3"/>
    <w:basedOn w:val="TableNormal"/>
    <w:uiPriority w:val="59"/>
    <w:rsid w:val="00BF5BA6"/>
    <w:pPr>
      <w:spacing w:after="0" w:line="240" w:lineRule="auto"/>
    </w:pPr>
    <w:rPr>
      <w:rFonts w:ascii="Calibri" w:hAnsi="Calibri" w:eastAsia="Calibri" w:cs="Times New Roman"/>
      <w:sz w:val="20"/>
      <w:szCs w:val="20"/>
      <w:lang w:eastAsia="zh-C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7519">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7887876">
      <w:bodyDiv w:val="1"/>
      <w:marLeft w:val="0"/>
      <w:marRight w:val="0"/>
      <w:marTop w:val="0"/>
      <w:marBottom w:val="0"/>
      <w:divBdr>
        <w:top w:val="none" w:sz="0" w:space="0" w:color="auto"/>
        <w:left w:val="none" w:sz="0" w:space="0" w:color="auto"/>
        <w:bottom w:val="none" w:sz="0" w:space="0" w:color="auto"/>
        <w:right w:val="none" w:sz="0" w:space="0" w:color="auto"/>
      </w:divBdr>
      <w:divsChild>
        <w:div w:id="1937664996">
          <w:marLeft w:val="0"/>
          <w:marRight w:val="0"/>
          <w:marTop w:val="0"/>
          <w:marBottom w:val="0"/>
          <w:divBdr>
            <w:top w:val="none" w:sz="0" w:space="0" w:color="auto"/>
            <w:left w:val="none" w:sz="0" w:space="0" w:color="auto"/>
            <w:bottom w:val="none" w:sz="0" w:space="0" w:color="auto"/>
            <w:right w:val="none" w:sz="0" w:space="0" w:color="auto"/>
          </w:divBdr>
        </w:div>
        <w:div w:id="809322959">
          <w:marLeft w:val="0"/>
          <w:marRight w:val="0"/>
          <w:marTop w:val="0"/>
          <w:marBottom w:val="0"/>
          <w:divBdr>
            <w:top w:val="none" w:sz="0" w:space="0" w:color="auto"/>
            <w:left w:val="none" w:sz="0" w:space="0" w:color="auto"/>
            <w:bottom w:val="none" w:sz="0" w:space="0" w:color="auto"/>
            <w:right w:val="none" w:sz="0" w:space="0" w:color="auto"/>
          </w:divBdr>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033921728">
      <w:bodyDiv w:val="1"/>
      <w:marLeft w:val="0"/>
      <w:marRight w:val="0"/>
      <w:marTop w:val="0"/>
      <w:marBottom w:val="0"/>
      <w:divBdr>
        <w:top w:val="none" w:sz="0" w:space="0" w:color="auto"/>
        <w:left w:val="none" w:sz="0" w:space="0" w:color="auto"/>
        <w:bottom w:val="none" w:sz="0" w:space="0" w:color="auto"/>
        <w:right w:val="none" w:sz="0" w:space="0" w:color="auto"/>
      </w:divBdr>
    </w:div>
    <w:div w:id="1320108772">
      <w:bodyDiv w:val="1"/>
      <w:marLeft w:val="0"/>
      <w:marRight w:val="0"/>
      <w:marTop w:val="0"/>
      <w:marBottom w:val="0"/>
      <w:divBdr>
        <w:top w:val="none" w:sz="0" w:space="0" w:color="auto"/>
        <w:left w:val="none" w:sz="0" w:space="0" w:color="auto"/>
        <w:bottom w:val="none" w:sz="0" w:space="0" w:color="auto"/>
        <w:right w:val="none" w:sz="0" w:space="0" w:color="auto"/>
      </w:divBdr>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 w:id="1851604896">
      <w:bodyDiv w:val="1"/>
      <w:marLeft w:val="0"/>
      <w:marRight w:val="0"/>
      <w:marTop w:val="0"/>
      <w:marBottom w:val="0"/>
      <w:divBdr>
        <w:top w:val="none" w:sz="0" w:space="0" w:color="auto"/>
        <w:left w:val="none" w:sz="0" w:space="0" w:color="auto"/>
        <w:bottom w:val="none" w:sz="0" w:space="0" w:color="auto"/>
        <w:right w:val="none" w:sz="0" w:space="0" w:color="auto"/>
      </w:divBdr>
    </w:div>
    <w:div w:id="210456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s://openknowledge.worldbank.org/handle/10986/11971"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hacienda.gov.py/situfin/"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hacienda.gov.py/web-presupuesto/index.php?c=164"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yperlink" Target="https://repositorio.cepal.org/handle/11362/396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ublications.iadb.org/bitstream/handle/11319/8755/Analisis-del-impacto-de-la-factura-electronica-en-Argentina.PDF?sequence=1&amp;isAllowed=y" TargetMode="External"/><Relationship Id="rId2" Type="http://schemas.openxmlformats.org/officeDocument/2006/relationships/hyperlink" Target="https://repositorio.cepal.org/handle/11362/3968" TargetMode="External"/><Relationship Id="rId1" Type="http://schemas.openxmlformats.org/officeDocument/2006/relationships/hyperlink" Target="https://openknowledge.worldbank.org/handle/10986/11971" TargetMode="External"/><Relationship Id="rId5" Type="http://schemas.openxmlformats.org/officeDocument/2006/relationships/hyperlink" Target="https://publications.iadb.org/bitstream/handle/11319/8754/Factura-electronica-y-cumplimiento-tributario-evidencia-a-partir-de-un-enfoque-cuasi-experimental.PDF?sequence=1&amp;isAllowed=y" TargetMode="External"/><Relationship Id="rId4" Type="http://schemas.openxmlformats.org/officeDocument/2006/relationships/hyperlink" Target="https://publications.iadb.org/bitstream/handle/11319/8756/Facturacion-electronica-en-Ecuador-evaluacion-de-impacto-en-el-cumplimiento-tributario.PDF?sequence=1&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EB0C0A2F051BE4FB0DF2560CE144E19" ma:contentTypeVersion="203" ma:contentTypeDescription="A content type to manage public (operations) IDB documents" ma:contentTypeScope="" ma:versionID="3f2a3798d1f1220726b6f0779ef5bfb1">
  <xsd:schema xmlns:xsd="http://www.w3.org/2001/XMLSchema" xmlns:xs="http://www.w3.org/2001/XMLSchema" xmlns:p="http://schemas.microsoft.com/office/2006/metadata/properties" xmlns:ns2="cdc7663a-08f0-4737-9e8c-148ce897a09c" targetNamespace="http://schemas.microsoft.com/office/2006/metadata/properties" ma:root="true" ma:fieldsID="e3b5001e410288e4dc1d04bdbd0691a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Susana Roman Sanchez</Other_x0020_Author>
    <Migration_x0020_Info xmlns="cdc7663a-08f0-4737-9e8c-148ce897a09c" xsi:nil="true"/>
    <Approval_x0020_Number xmlns="cdc7663a-08f0-4737-9e8c-148ce897a09c" xsi:nil="true"/>
    <Phase xmlns="cdc7663a-08f0-4737-9e8c-148ce897a09c">ACTIVE</Phase>
    <Document_x0020_Author xmlns="cdc7663a-08f0-4737-9e8c-148ce897a09c">Radics, Gustavo Axel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24</Value>
      <Value>3</Value>
      <Value>36</Value>
      <Value>29</Value>
      <Value>37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PR-L1151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R0002888285</Record_x0020_Number>
    <_dlc_DocId xmlns="cdc7663a-08f0-4737-9e8c-148ce897a09c">EZSHARE-436601733-21</_dlc_DocId>
    <_dlc_DocIdUrl xmlns="cdc7663a-08f0-4737-9e8c-148ce897a09c">
      <Url>https://idbg.sharepoint.com/teams/EZ-PR-LON/PR-L1151/_layouts/15/DocIdRedir.aspx?ID=EZSHARE-436601733-21</Url>
      <Description>EZSHARE-436601733-21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C29F1-97EA-4A86-B560-C1F30B7B8BB4}">
  <ds:schemaRefs>
    <ds:schemaRef ds:uri="http://schemas.microsoft.com/sharepoint/events"/>
  </ds:schemaRefs>
</ds:datastoreItem>
</file>

<file path=customXml/itemProps2.xml><?xml version="1.0" encoding="utf-8"?>
<ds:datastoreItem xmlns:ds="http://schemas.openxmlformats.org/officeDocument/2006/customXml" ds:itemID="{19E24CF3-4969-42D9-BD26-DFB1EA033220}"/>
</file>

<file path=customXml/itemProps3.xml><?xml version="1.0" encoding="utf-8"?>
<ds:datastoreItem xmlns:ds="http://schemas.openxmlformats.org/officeDocument/2006/customXml" ds:itemID="{16BA824C-96C3-4ABA-A5B2-CAFB5D350CFF}">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3B42B4AE-9CFB-4489-9B37-C0313CA73A30}"/>
</file>

<file path=customXml/itemProps5.xml><?xml version="1.0" encoding="utf-8"?>
<ds:datastoreItem xmlns:ds="http://schemas.openxmlformats.org/officeDocument/2006/customXml" ds:itemID="{B0B7C157-C4EF-4D10-A70D-42F995863FE1}"/>
</file>

<file path=customXml/itemProps6.xml><?xml version="1.0" encoding="utf-8"?>
<ds:datastoreItem xmlns:ds="http://schemas.openxmlformats.org/officeDocument/2006/customXml" ds:itemID="{D6A36ABD-AEA6-44AB-80C9-5C0E8CF45A85}">
  <ds:schemaRefs>
    <ds:schemaRef ds:uri="http://schemas.microsoft.com/sharepoint/v3/contenttype/forms"/>
  </ds:schemaRefs>
</ds:datastoreItem>
</file>

<file path=customXml/itemProps7.xml><?xml version="1.0" encoding="utf-8"?>
<ds:datastoreItem xmlns:ds="http://schemas.openxmlformats.org/officeDocument/2006/customXml" ds:itemID="{DB401E28-A494-4A14-9A33-91854DB06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6825</Words>
  <Characters>38909</Characters>
  <Application>Microsoft Office Word</Application>
  <DocSecurity>0</DocSecurity>
  <Lines>324</Lines>
  <Paragraphs>91</Paragraphs>
  <ScaleCrop>false</ScaleCrop>
  <Company/>
  <LinksUpToDate>false</LinksUpToDate>
  <CharactersWithSpaces>45643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2018-10-09T17:10:00Z</dcterms:created>
  <dcterms:modified xsi:type="dcterms:W3CDTF">2018-10-10T16:32:00Z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37;#FISCAL POLICY FOR SUSTAINABILITY AND GROWTH|6e15b5e0-ae82-4b06-920a-eef6dd27cc8b</vt:lpwstr>
  </property>
  <property fmtid="{D5CDD505-2E9C-101B-9397-08002B2CF9AE}" pid="7" name="Fund IDB">
    <vt:lpwstr>29;#ORC|c028a4b2-ad8b-4cf4-9cac-a2ae6a778e23</vt:lpwstr>
  </property>
  <property fmtid="{D5CDD505-2E9C-101B-9397-08002B2CF9AE}" pid="8" name="Country">
    <vt:lpwstr>24;#Paraguay|50282442-27e7-4526-9d04-55bf5da33a10</vt:lpwstr>
  </property>
  <property fmtid="{D5CDD505-2E9C-101B-9397-08002B2CF9AE}" pid="9" name="Sector IDB">
    <vt:lpwstr>36;#REFORM / MODERNIZATION OF THE STATE|c8fda4a7-691a-4c65-b227-9825197b5cd2</vt:lpwstr>
  </property>
  <property fmtid="{D5CDD505-2E9C-101B-9397-08002B2CF9AE}" pid="10" name="Function Operations IDB">
    <vt:lpwstr>3;#Monitoring and Reporting|df3c2aa1-d63e-41aa-b1f5-bb15dee691ca</vt:lpwstr>
  </property>
  <property fmtid="{D5CDD505-2E9C-101B-9397-08002B2CF9AE}" pid="11" name="_dlc_DocIdItemGuid">
    <vt:lpwstr>b9e5c19d-8102-4060-ba16-19dfe44f9024</vt:lpwstr>
  </property>
  <property fmtid="{D5CDD505-2E9C-101B-9397-08002B2CF9AE}" pid="12" name="ContentTypeId">
    <vt:lpwstr>0x0101001A458A224826124E8B45B1D613300CFC003EB0C0A2F051BE4FB0DF2560CE144E19</vt:lpwstr>
  </property>
</Properties>
</file>