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word/numbering.xml" ContentType="application/vnd.openxmlformats-officedocument.wordprocessingml.numbering+xml"/>
  <Override PartName="/docProps/custom.xml" ContentType="application/vnd.openxmlformats-officedocument.custom-properties+xml"/>
  <Override PartName="/word/styles.xml" ContentType="application/vnd.openxmlformats-officedocument.wordprocessingml.styl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D2800" w14:textId="77777777" w:rsidR="003D32CD" w:rsidRPr="001F731F" w:rsidRDefault="003D32CD" w:rsidP="003D32CD">
      <w:pPr>
        <w:pStyle w:val="SubSubPar"/>
        <w:numPr>
          <w:ilvl w:val="0"/>
          <w:numId w:val="0"/>
        </w:numPr>
        <w:spacing w:after="0"/>
        <w:jc w:val="center"/>
        <w:rPr>
          <w:rFonts w:ascii="Arial" w:hAnsi="Arial" w:cs="Arial"/>
          <w:smallCaps/>
          <w:sz w:val="22"/>
          <w:szCs w:val="22"/>
          <w:lang w:val="es-ES_tradnl"/>
        </w:rPr>
      </w:pPr>
      <w:bookmarkStart w:id="0" w:name="_Toc388249744"/>
      <w:r w:rsidRPr="001F731F">
        <w:rPr>
          <w:rFonts w:ascii="Arial" w:hAnsi="Arial" w:cs="Arial"/>
          <w:smallCaps/>
          <w:sz w:val="22"/>
          <w:szCs w:val="22"/>
          <w:lang w:val="es-ES_tradnl"/>
        </w:rPr>
        <w:t>Documento del Banco Interameric</w:t>
      </w:r>
      <w:r>
        <w:rPr>
          <w:rFonts w:ascii="Arial" w:hAnsi="Arial" w:cs="Arial"/>
          <w:smallCaps/>
          <w:sz w:val="22"/>
          <w:szCs w:val="22"/>
          <w:lang w:val="es-ES_tradnl"/>
        </w:rPr>
        <w:t>ano</w:t>
      </w:r>
      <w:r w:rsidRPr="001F731F">
        <w:rPr>
          <w:rFonts w:ascii="Arial" w:hAnsi="Arial" w:cs="Arial"/>
          <w:smallCaps/>
          <w:sz w:val="22"/>
          <w:szCs w:val="22"/>
          <w:lang w:val="es-ES_tradnl"/>
        </w:rPr>
        <w:t xml:space="preserve"> De Desarrollo</w:t>
      </w:r>
      <w:bookmarkEnd w:id="0"/>
    </w:p>
    <w:p w14:paraId="5C4473AC" w14:textId="77777777" w:rsidR="003D32CD" w:rsidRPr="001F731F" w:rsidRDefault="003D32CD" w:rsidP="003D32CD">
      <w:pPr>
        <w:spacing w:before="120" w:after="120" w:line="240" w:lineRule="auto"/>
        <w:jc w:val="center"/>
        <w:rPr>
          <w:rFonts w:ascii="Arial" w:hAnsi="Arial" w:cs="Arial"/>
          <w:lang w:val="es-ES_tradnl"/>
        </w:rPr>
      </w:pPr>
    </w:p>
    <w:p w14:paraId="491667FF" w14:textId="77777777" w:rsidR="003D32CD" w:rsidRPr="001F731F" w:rsidRDefault="003D32CD" w:rsidP="003D32CD">
      <w:pPr>
        <w:spacing w:before="120" w:after="120" w:line="240" w:lineRule="auto"/>
        <w:jc w:val="center"/>
        <w:rPr>
          <w:rFonts w:ascii="Arial" w:hAnsi="Arial" w:cs="Arial"/>
          <w:lang w:val="es-ES_tradnl"/>
        </w:rPr>
      </w:pPr>
    </w:p>
    <w:p w14:paraId="7BA08BA8" w14:textId="77777777" w:rsidR="003D32CD" w:rsidRPr="001F731F" w:rsidRDefault="003D32CD" w:rsidP="003D32CD">
      <w:pPr>
        <w:spacing w:before="120" w:after="120" w:line="240" w:lineRule="auto"/>
        <w:jc w:val="center"/>
        <w:rPr>
          <w:rFonts w:ascii="Arial" w:hAnsi="Arial" w:cs="Arial"/>
          <w:lang w:val="es-ES_tradnl"/>
        </w:rPr>
      </w:pPr>
    </w:p>
    <w:p w14:paraId="591AAD0E" w14:textId="77777777" w:rsidR="003D32CD" w:rsidRPr="001F731F" w:rsidRDefault="003D32CD" w:rsidP="003D32CD">
      <w:pPr>
        <w:spacing w:before="120" w:after="120" w:line="240" w:lineRule="auto"/>
        <w:jc w:val="center"/>
        <w:rPr>
          <w:rFonts w:ascii="Arial" w:hAnsi="Arial" w:cs="Arial"/>
          <w:lang w:val="es-ES_tradnl"/>
        </w:rPr>
      </w:pPr>
    </w:p>
    <w:p w14:paraId="6F6DEA32" w14:textId="34675322" w:rsidR="003D32CD" w:rsidRPr="001F731F" w:rsidRDefault="00031E22" w:rsidP="003D32CD">
      <w:pPr>
        <w:tabs>
          <w:tab w:val="left" w:pos="1440"/>
          <w:tab w:val="left" w:pos="3060"/>
        </w:tabs>
        <w:jc w:val="center"/>
        <w:rPr>
          <w:rFonts w:ascii="Arial" w:hAnsi="Arial" w:cs="Arial"/>
          <w:b/>
          <w:smallCaps/>
          <w:sz w:val="28"/>
          <w:szCs w:val="28"/>
          <w:lang w:val="es-ES_tradnl"/>
        </w:rPr>
      </w:pPr>
      <w:r>
        <w:rPr>
          <w:rFonts w:ascii="Arial" w:hAnsi="Arial" w:cs="Arial"/>
          <w:b/>
          <w:smallCaps/>
          <w:sz w:val="28"/>
          <w:szCs w:val="28"/>
          <w:lang w:val="es-ES_tradnl"/>
        </w:rPr>
        <w:t>Honduras</w:t>
      </w:r>
    </w:p>
    <w:p w14:paraId="66BE6085" w14:textId="77777777" w:rsidR="003D32CD" w:rsidRPr="001F731F" w:rsidRDefault="003D32CD" w:rsidP="003D32CD">
      <w:pPr>
        <w:tabs>
          <w:tab w:val="left" w:pos="1440"/>
          <w:tab w:val="left" w:pos="3060"/>
        </w:tabs>
        <w:jc w:val="center"/>
        <w:rPr>
          <w:rFonts w:ascii="Arial" w:hAnsi="Arial" w:cs="Arial"/>
          <w:smallCaps/>
          <w:lang w:val="es-ES_tradnl"/>
        </w:rPr>
      </w:pPr>
    </w:p>
    <w:p w14:paraId="3089BEEF" w14:textId="77777777" w:rsidR="003D32CD" w:rsidRPr="001F731F" w:rsidRDefault="003D32CD" w:rsidP="003D32CD">
      <w:pPr>
        <w:tabs>
          <w:tab w:val="left" w:pos="1440"/>
          <w:tab w:val="left" w:pos="3060"/>
        </w:tabs>
        <w:jc w:val="center"/>
        <w:rPr>
          <w:rFonts w:ascii="Arial" w:hAnsi="Arial" w:cs="Arial"/>
          <w:smallCaps/>
          <w:lang w:val="es-ES_tradnl"/>
        </w:rPr>
      </w:pPr>
    </w:p>
    <w:p w14:paraId="2F6EB0E4" w14:textId="77777777" w:rsidR="003D32CD" w:rsidRPr="001F731F" w:rsidRDefault="003D32CD" w:rsidP="003D32CD">
      <w:pPr>
        <w:tabs>
          <w:tab w:val="left" w:pos="1440"/>
          <w:tab w:val="left" w:pos="3060"/>
        </w:tabs>
        <w:jc w:val="center"/>
        <w:rPr>
          <w:rFonts w:ascii="Arial" w:hAnsi="Arial" w:cs="Arial"/>
          <w:smallCaps/>
          <w:lang w:val="es-ES_tradnl"/>
        </w:rPr>
      </w:pPr>
    </w:p>
    <w:p w14:paraId="4484DB0B" w14:textId="77777777" w:rsidR="003D32CD" w:rsidRPr="001F731F" w:rsidRDefault="003D32CD" w:rsidP="003D32CD">
      <w:pPr>
        <w:tabs>
          <w:tab w:val="left" w:pos="1440"/>
          <w:tab w:val="left" w:pos="3060"/>
        </w:tabs>
        <w:jc w:val="center"/>
        <w:rPr>
          <w:rFonts w:ascii="Arial" w:hAnsi="Arial" w:cs="Arial"/>
          <w:smallCaps/>
          <w:lang w:val="es-ES_tradnl"/>
        </w:rPr>
      </w:pPr>
    </w:p>
    <w:p w14:paraId="37D40206" w14:textId="77777777" w:rsidR="003D32CD" w:rsidRPr="001F731F" w:rsidRDefault="003D32CD" w:rsidP="003D32CD">
      <w:pPr>
        <w:tabs>
          <w:tab w:val="left" w:pos="1440"/>
          <w:tab w:val="left" w:pos="3060"/>
        </w:tabs>
        <w:jc w:val="center"/>
        <w:rPr>
          <w:rFonts w:ascii="Arial" w:hAnsi="Arial" w:cs="Arial"/>
          <w:smallCaps/>
          <w:lang w:val="es-ES_tradnl"/>
        </w:rPr>
      </w:pPr>
    </w:p>
    <w:p w14:paraId="5B5E6F87" w14:textId="77777777" w:rsidR="003D32CD" w:rsidRPr="001F731F" w:rsidRDefault="003D32CD" w:rsidP="003D32CD">
      <w:pPr>
        <w:tabs>
          <w:tab w:val="left" w:pos="1440"/>
          <w:tab w:val="left" w:pos="3060"/>
        </w:tabs>
        <w:jc w:val="center"/>
        <w:rPr>
          <w:rFonts w:ascii="Arial" w:hAnsi="Arial" w:cs="Arial"/>
          <w:smallCaps/>
          <w:lang w:val="es-ES_tradnl"/>
        </w:rPr>
      </w:pPr>
    </w:p>
    <w:p w14:paraId="50E97598" w14:textId="5593E874" w:rsidR="003D32CD" w:rsidRPr="001F731F" w:rsidRDefault="003D32CD" w:rsidP="003D32CD">
      <w:pPr>
        <w:pStyle w:val="Newpage"/>
        <w:rPr>
          <w:rFonts w:ascii="Arial" w:hAnsi="Arial" w:cs="Arial"/>
          <w:sz w:val="28"/>
          <w:szCs w:val="28"/>
          <w:lang w:val="es-ES_tradnl"/>
        </w:rPr>
      </w:pPr>
      <w:r w:rsidRPr="001F731F">
        <w:rPr>
          <w:rFonts w:ascii="Arial" w:hAnsi="Arial" w:cs="Arial"/>
          <w:sz w:val="28"/>
          <w:szCs w:val="28"/>
          <w:lang w:val="es-ES_tradnl"/>
        </w:rPr>
        <w:t xml:space="preserve">Programa </w:t>
      </w:r>
      <w:r>
        <w:rPr>
          <w:rFonts w:ascii="Arial" w:hAnsi="Arial" w:cs="Arial"/>
          <w:sz w:val="28"/>
          <w:szCs w:val="28"/>
          <w:lang w:val="es-ES_tradnl"/>
        </w:rPr>
        <w:t xml:space="preserve">Global de Crédito para la Defensa del Tejido Productivo y el Empleo </w:t>
      </w:r>
    </w:p>
    <w:p w14:paraId="2751231C" w14:textId="77777777" w:rsidR="003D32CD" w:rsidRPr="001F731F" w:rsidRDefault="003D32CD" w:rsidP="003D32CD">
      <w:pPr>
        <w:pStyle w:val="Newpage"/>
        <w:rPr>
          <w:rFonts w:ascii="Arial" w:hAnsi="Arial" w:cs="Arial"/>
          <w:b w:val="0"/>
          <w:caps/>
          <w:smallCaps w:val="0"/>
          <w:sz w:val="22"/>
          <w:szCs w:val="22"/>
          <w:lang w:val="es-ES_tradnl"/>
        </w:rPr>
      </w:pPr>
    </w:p>
    <w:p w14:paraId="6EBCA94F" w14:textId="77777777" w:rsidR="003D32CD" w:rsidRPr="001F731F" w:rsidRDefault="003D32CD" w:rsidP="003D32CD">
      <w:pPr>
        <w:pStyle w:val="Newpage"/>
        <w:rPr>
          <w:rFonts w:ascii="Arial" w:hAnsi="Arial" w:cs="Arial"/>
          <w:b w:val="0"/>
          <w:caps/>
          <w:smallCaps w:val="0"/>
          <w:sz w:val="22"/>
          <w:szCs w:val="22"/>
          <w:lang w:val="es-ES_tradnl"/>
        </w:rPr>
      </w:pPr>
    </w:p>
    <w:p w14:paraId="56B8281F" w14:textId="79118DD4" w:rsidR="003D32CD" w:rsidRPr="001F731F" w:rsidRDefault="003D32CD" w:rsidP="003D32CD">
      <w:pPr>
        <w:tabs>
          <w:tab w:val="left" w:pos="1440"/>
          <w:tab w:val="left" w:pos="3060"/>
        </w:tabs>
        <w:jc w:val="center"/>
        <w:rPr>
          <w:rFonts w:ascii="Arial" w:hAnsi="Arial" w:cs="Arial"/>
          <w:b/>
          <w:smallCaps/>
          <w:lang w:val="es-ES_tradnl"/>
        </w:rPr>
      </w:pPr>
      <w:r w:rsidRPr="001F731F">
        <w:rPr>
          <w:rFonts w:ascii="Arial" w:hAnsi="Arial" w:cs="Arial"/>
          <w:b/>
          <w:smallCaps/>
          <w:lang w:val="es-ES_tradnl"/>
        </w:rPr>
        <w:t>(</w:t>
      </w:r>
      <w:r w:rsidR="00031E22">
        <w:rPr>
          <w:rFonts w:ascii="Arial" w:hAnsi="Arial" w:cs="Arial"/>
          <w:b/>
          <w:smallCaps/>
          <w:lang w:val="es-ES_tradnl"/>
        </w:rPr>
        <w:t>HO-L1216</w:t>
      </w:r>
      <w:r w:rsidRPr="001F731F">
        <w:rPr>
          <w:rFonts w:ascii="Arial" w:hAnsi="Arial" w:cs="Arial"/>
          <w:b/>
          <w:smallCaps/>
          <w:lang w:val="es-ES_tradnl"/>
        </w:rPr>
        <w:t>)</w:t>
      </w:r>
    </w:p>
    <w:p w14:paraId="71E800CE" w14:textId="77777777" w:rsidR="003D32CD" w:rsidRPr="001F731F" w:rsidRDefault="003D32CD" w:rsidP="003D32CD">
      <w:pPr>
        <w:jc w:val="center"/>
        <w:outlineLvl w:val="0"/>
        <w:rPr>
          <w:rFonts w:ascii="Arial" w:hAnsi="Arial" w:cs="Arial"/>
          <w:b/>
          <w:bCs/>
          <w:smallCaps/>
          <w:sz w:val="24"/>
          <w:szCs w:val="24"/>
          <w:lang w:val="es-ES_tradnl"/>
        </w:rPr>
      </w:pPr>
    </w:p>
    <w:p w14:paraId="6C73CCFA" w14:textId="77777777" w:rsidR="003D32CD" w:rsidRPr="001F731F" w:rsidRDefault="003D32CD" w:rsidP="003D32CD">
      <w:pPr>
        <w:tabs>
          <w:tab w:val="left" w:pos="1440"/>
          <w:tab w:val="left" w:pos="3060"/>
        </w:tabs>
        <w:jc w:val="center"/>
        <w:outlineLvl w:val="0"/>
        <w:rPr>
          <w:rFonts w:ascii="Arial" w:hAnsi="Arial" w:cs="Arial"/>
          <w:b/>
          <w:smallCaps/>
          <w:sz w:val="24"/>
          <w:lang w:val="es-ES_tradnl"/>
        </w:rPr>
      </w:pPr>
    </w:p>
    <w:p w14:paraId="318B93A0" w14:textId="77777777" w:rsidR="003D32CD" w:rsidRPr="001F731F" w:rsidRDefault="003D32CD" w:rsidP="003D32CD">
      <w:pPr>
        <w:tabs>
          <w:tab w:val="left" w:pos="1440"/>
          <w:tab w:val="left" w:pos="3060"/>
        </w:tabs>
        <w:jc w:val="center"/>
        <w:outlineLvl w:val="0"/>
        <w:rPr>
          <w:rFonts w:ascii="Arial" w:hAnsi="Arial" w:cs="Arial"/>
          <w:b/>
          <w:smallCaps/>
          <w:sz w:val="24"/>
          <w:lang w:val="es-ES_tradnl"/>
        </w:rPr>
      </w:pPr>
      <w:r>
        <w:rPr>
          <w:rFonts w:ascii="Arial" w:hAnsi="Arial" w:cs="Arial"/>
          <w:b/>
          <w:smallCaps/>
          <w:sz w:val="24"/>
          <w:lang w:val="es-ES_tradnl"/>
        </w:rPr>
        <w:t>Análisis Económico</w:t>
      </w:r>
    </w:p>
    <w:p w14:paraId="52AB1DE4" w14:textId="77777777" w:rsidR="003D32CD" w:rsidRPr="001F731F" w:rsidRDefault="003D32CD" w:rsidP="003D32CD">
      <w:pPr>
        <w:spacing w:after="100" w:afterAutospacing="1" w:line="240" w:lineRule="auto"/>
        <w:jc w:val="center"/>
        <w:rPr>
          <w:rFonts w:ascii="Arial" w:hAnsi="Arial" w:cs="Arial"/>
          <w:b/>
          <w:lang w:val="es-ES_tradnl"/>
        </w:rPr>
      </w:pPr>
    </w:p>
    <w:p w14:paraId="09A69996" w14:textId="77777777" w:rsidR="003D32CD" w:rsidRPr="001F731F" w:rsidRDefault="003D32CD" w:rsidP="003D32CD">
      <w:pPr>
        <w:pStyle w:val="TOC3"/>
        <w:rPr>
          <w:rFonts w:ascii="Arial" w:hAnsi="Arial" w:cs="Arial"/>
          <w:sz w:val="22"/>
          <w:lang w:val="es-ES_tradnl"/>
        </w:rPr>
      </w:pPr>
    </w:p>
    <w:p w14:paraId="575EB63B" w14:textId="77777777" w:rsidR="003D32CD" w:rsidRPr="001F731F" w:rsidRDefault="003D32CD" w:rsidP="003D32CD">
      <w:pPr>
        <w:rPr>
          <w:rFonts w:ascii="Arial" w:hAnsi="Arial" w:cs="Arial"/>
          <w:lang w:val="es-ES_tradnl"/>
        </w:rPr>
      </w:pPr>
    </w:p>
    <w:p w14:paraId="6781CBC0" w14:textId="77777777" w:rsidR="003D32CD" w:rsidRPr="001F731F" w:rsidRDefault="003D32CD" w:rsidP="003D32CD">
      <w:pPr>
        <w:rPr>
          <w:rFonts w:ascii="Arial" w:hAnsi="Arial" w:cs="Arial"/>
          <w:b/>
          <w:lang w:val="es-ES_tradnl"/>
        </w:rPr>
      </w:pPr>
      <w:r w:rsidRPr="001F731F">
        <w:rPr>
          <w:rFonts w:ascii="Arial" w:hAnsi="Arial" w:cs="Arial"/>
          <w:noProof/>
          <w:lang w:val="es-ES_tradnl" w:eastAsia="es-ES"/>
        </w:rPr>
        <mc:AlternateContent>
          <mc:Choice Requires="wps">
            <w:drawing>
              <wp:anchor distT="0" distB="0" distL="114300" distR="114300" simplePos="0" relativeHeight="251659264" behindDoc="0" locked="0" layoutInCell="1" allowOverlap="1" wp14:anchorId="3ADF3D3C" wp14:editId="1EF395CF">
                <wp:simplePos x="0" y="0"/>
                <wp:positionH relativeFrom="column">
                  <wp:posOffset>-214312</wp:posOffset>
                </wp:positionH>
                <wp:positionV relativeFrom="paragraph">
                  <wp:posOffset>272415</wp:posOffset>
                </wp:positionV>
                <wp:extent cx="5734050" cy="585788"/>
                <wp:effectExtent l="0" t="0" r="19050" b="241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585788"/>
                        </a:xfrm>
                        <a:prstGeom prst="rect">
                          <a:avLst/>
                        </a:prstGeom>
                        <a:solidFill>
                          <a:srgbClr val="FFFFFF"/>
                        </a:solidFill>
                        <a:ln w="9525">
                          <a:solidFill>
                            <a:srgbClr val="000000"/>
                          </a:solidFill>
                          <a:miter lim="800000"/>
                          <a:headEnd/>
                          <a:tailEnd/>
                        </a:ln>
                      </wps:spPr>
                      <wps:txbx>
                        <w:txbxContent>
                          <w:p w14:paraId="4456FCA3" w14:textId="071F4D1F" w:rsidR="007424CF" w:rsidRPr="00345DD7" w:rsidRDefault="007424CF" w:rsidP="003D32CD">
                            <w:pPr>
                              <w:spacing w:after="0" w:line="240" w:lineRule="auto"/>
                              <w:jc w:val="both"/>
                              <w:rPr>
                                <w:rFonts w:ascii="Arial" w:hAnsi="Arial" w:cs="Arial"/>
                                <w:lang w:val="es-ES_tradnl"/>
                              </w:rPr>
                            </w:pPr>
                            <w:bookmarkStart w:id="1" w:name="_Hlk20177833"/>
                            <w:r w:rsidRPr="00345DD7">
                              <w:rPr>
                                <w:rFonts w:ascii="Arial" w:hAnsi="Arial" w:cs="Arial"/>
                                <w:lang w:val="es-419"/>
                              </w:rPr>
                              <w:t xml:space="preserve">Este documento fue preparado por: </w:t>
                            </w:r>
                            <w:r w:rsidRPr="00345DD7">
                              <w:rPr>
                                <w:rFonts w:ascii="Arial" w:hAnsi="Arial" w:cs="Arial"/>
                                <w:lang w:val="es-ES"/>
                              </w:rPr>
                              <w:t>Juan Mart</w:t>
                            </w:r>
                            <w:r w:rsidR="005F071A">
                              <w:rPr>
                                <w:rFonts w:ascii="Arial" w:hAnsi="Arial" w:cs="Arial"/>
                                <w:lang w:val="es-ES"/>
                              </w:rPr>
                              <w:t>í</w:t>
                            </w:r>
                            <w:r w:rsidRPr="00345DD7">
                              <w:rPr>
                                <w:rFonts w:ascii="Arial" w:hAnsi="Arial" w:cs="Arial"/>
                                <w:lang w:val="es-ES"/>
                              </w:rPr>
                              <w:t xml:space="preserve">nez </w:t>
                            </w:r>
                            <w:r w:rsidR="005F071A">
                              <w:rPr>
                                <w:rFonts w:ascii="Arial" w:hAnsi="Arial" w:cs="Arial"/>
                                <w:lang w:val="es-ES"/>
                              </w:rPr>
                              <w:t>Á</w:t>
                            </w:r>
                            <w:r w:rsidRPr="00345DD7">
                              <w:rPr>
                                <w:rFonts w:ascii="Arial" w:hAnsi="Arial" w:cs="Arial"/>
                                <w:lang w:val="es-ES"/>
                              </w:rPr>
                              <w:t xml:space="preserve">lvarez, Jefe de Equipo; Christian Schneider, Jefe de Equipo Alterno; </w:t>
                            </w:r>
                            <w:r w:rsidRPr="00345DD7">
                              <w:rPr>
                                <w:rStyle w:val="normaltextrun"/>
                                <w:rFonts w:ascii="Arial" w:hAnsi="Arial" w:cs="Arial"/>
                                <w:color w:val="000000"/>
                                <w:shd w:val="clear" w:color="auto" w:fill="FFFFFF"/>
                                <w:lang w:val="es-ES"/>
                              </w:rPr>
                              <w:t>María Cabrera, Simón Fernández y Ana Lucía Lozano (IFD/CMF)</w:t>
                            </w:r>
                            <w:r w:rsidRPr="00345DD7">
                              <w:rPr>
                                <w:rFonts w:ascii="Arial" w:hAnsi="Arial" w:cs="Arial"/>
                                <w:lang w:val="uz-Cyrl-UZ"/>
                              </w:rPr>
                              <w:t xml:space="preserve">.  </w:t>
                            </w:r>
                            <w:bookmarkStart w:id="2" w:name="_Hlk17983986"/>
                            <w:r w:rsidRPr="00345DD7">
                              <w:rPr>
                                <w:rFonts w:ascii="Arial" w:hAnsi="Arial" w:cs="Arial"/>
                                <w:lang w:val="es-419"/>
                              </w:rPr>
                              <w:t xml:space="preserve">  </w:t>
                            </w:r>
                            <w:bookmarkEnd w:id="1"/>
                            <w:bookmarkEnd w:id="2"/>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F3D3C" id="_x0000_t202" coordsize="21600,21600" o:spt="202" path="m,l,21600r21600,l21600,xe">
                <v:stroke joinstyle="miter"/>
                <v:path gradientshapeok="t" o:connecttype="rect"/>
              </v:shapetype>
              <v:shape id="Text Box 1" o:spid="_x0000_s1026" type="#_x0000_t202" style="position:absolute;margin-left:-16.85pt;margin-top:21.45pt;width:451.5pt;height:4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">
                <v:textbox>
                  <w:txbxContent>
                    <w:p w14:paraId="4456FCA3" w14:textId="071F4D1F" w:rsidR="007424CF" w:rsidRPr="00345DD7" w:rsidRDefault="007424CF" w:rsidP="003D32CD">
                      <w:pPr>
                        <w:spacing w:after="0" w:line="240" w:lineRule="auto"/>
                        <w:jc w:val="both"/>
                        <w:rPr>
                          <w:rFonts w:ascii="Arial" w:hAnsi="Arial" w:cs="Arial"/>
                          <w:lang w:val="es-ES_tradnl"/>
                        </w:rPr>
                      </w:pPr>
                      <w:bookmarkStart w:id="3" w:name="_Hlk20177833"/>
                      <w:r w:rsidRPr="00345DD7">
                        <w:rPr>
                          <w:rFonts w:ascii="Arial" w:hAnsi="Arial" w:cs="Arial"/>
                          <w:lang w:val="es-419"/>
                        </w:rPr>
                        <w:t xml:space="preserve">Este documento fue preparado por: </w:t>
                      </w:r>
                      <w:r w:rsidRPr="00345DD7">
                        <w:rPr>
                          <w:rFonts w:ascii="Arial" w:hAnsi="Arial" w:cs="Arial"/>
                          <w:lang w:val="es-ES"/>
                        </w:rPr>
                        <w:t>Juan Mart</w:t>
                      </w:r>
                      <w:r w:rsidR="005F071A">
                        <w:rPr>
                          <w:rFonts w:ascii="Arial" w:hAnsi="Arial" w:cs="Arial"/>
                          <w:lang w:val="es-ES"/>
                        </w:rPr>
                        <w:t>í</w:t>
                      </w:r>
                      <w:r w:rsidRPr="00345DD7">
                        <w:rPr>
                          <w:rFonts w:ascii="Arial" w:hAnsi="Arial" w:cs="Arial"/>
                          <w:lang w:val="es-ES"/>
                        </w:rPr>
                        <w:t xml:space="preserve">nez </w:t>
                      </w:r>
                      <w:r w:rsidR="005F071A">
                        <w:rPr>
                          <w:rFonts w:ascii="Arial" w:hAnsi="Arial" w:cs="Arial"/>
                          <w:lang w:val="es-ES"/>
                        </w:rPr>
                        <w:t>Á</w:t>
                      </w:r>
                      <w:r w:rsidRPr="00345DD7">
                        <w:rPr>
                          <w:rFonts w:ascii="Arial" w:hAnsi="Arial" w:cs="Arial"/>
                          <w:lang w:val="es-ES"/>
                        </w:rPr>
                        <w:t xml:space="preserve">lvarez, Jefe de Equipo; Christian Schneider, Jefe de Equipo Alterno; </w:t>
                      </w:r>
                      <w:r w:rsidRPr="00345DD7">
                        <w:rPr>
                          <w:rStyle w:val="normaltextrun"/>
                          <w:rFonts w:ascii="Arial" w:hAnsi="Arial" w:cs="Arial"/>
                          <w:color w:val="000000"/>
                          <w:shd w:val="clear" w:color="auto" w:fill="FFFFFF"/>
                          <w:lang w:val="es-ES"/>
                        </w:rPr>
                        <w:t>María Cabrera, Simón Fernández y Ana Lucía Lozano (IFD/CMF)</w:t>
                      </w:r>
                      <w:r w:rsidRPr="00345DD7">
                        <w:rPr>
                          <w:rFonts w:ascii="Arial" w:hAnsi="Arial" w:cs="Arial"/>
                          <w:lang w:val="uz-Cyrl-UZ"/>
                        </w:rPr>
                        <w:t xml:space="preserve">.  </w:t>
                      </w:r>
                      <w:bookmarkStart w:id="4" w:name="_Hlk17983986"/>
                      <w:r w:rsidRPr="00345DD7">
                        <w:rPr>
                          <w:rFonts w:ascii="Arial" w:hAnsi="Arial" w:cs="Arial"/>
                          <w:lang w:val="es-419"/>
                        </w:rPr>
                        <w:t xml:space="preserve">  </w:t>
                      </w:r>
                      <w:bookmarkEnd w:id="3"/>
                      <w:bookmarkEnd w:id="4"/>
                    </w:p>
                  </w:txbxContent>
                </v:textbox>
              </v:shape>
            </w:pict>
          </mc:Fallback>
        </mc:AlternateContent>
      </w:r>
    </w:p>
    <w:p w14:paraId="7972682D" w14:textId="77777777" w:rsidR="003D32CD" w:rsidRPr="001F731F" w:rsidRDefault="003D32CD" w:rsidP="003D32CD">
      <w:pPr>
        <w:rPr>
          <w:rFonts w:ascii="Arial" w:hAnsi="Arial" w:cs="Arial"/>
          <w:b/>
          <w:lang w:val="es-ES_tradnl"/>
        </w:rPr>
      </w:pPr>
    </w:p>
    <w:p w14:paraId="351387F9" w14:textId="77777777" w:rsidR="003D32CD" w:rsidRPr="001F731F" w:rsidRDefault="003D32CD" w:rsidP="003D32CD">
      <w:pPr>
        <w:rPr>
          <w:rFonts w:ascii="Arial" w:hAnsi="Arial" w:cs="Arial"/>
          <w:b/>
          <w:lang w:val="es-ES_tradnl"/>
        </w:rPr>
      </w:pPr>
    </w:p>
    <w:p w14:paraId="49543E96" w14:textId="77777777" w:rsidR="003D32CD" w:rsidRPr="001F731F" w:rsidRDefault="003D32CD" w:rsidP="003D32CD">
      <w:pPr>
        <w:rPr>
          <w:rFonts w:ascii="Arial" w:hAnsi="Arial" w:cs="Arial"/>
          <w:b/>
          <w:lang w:val="es-ES_tradnl"/>
        </w:rPr>
        <w:sectPr w:rsidR="003D32CD" w:rsidRPr="001F731F" w:rsidSect="00871C1E">
          <w:headerReference w:type="default" r:id="rId13"/>
          <w:footerReference w:type="default" r:id="rId14"/>
          <w:pgSz w:w="12240" w:h="15840"/>
          <w:pgMar w:top="1440" w:right="1800" w:bottom="1440" w:left="1800" w:header="720" w:footer="720" w:gutter="0"/>
          <w:cols w:space="720"/>
          <w:titlePg/>
          <w:docGrid w:linePitch="360"/>
        </w:sectPr>
      </w:pPr>
    </w:p>
    <w:p w14:paraId="3FF1E63F" w14:textId="77777777" w:rsidR="003D32CD" w:rsidRPr="001F731F" w:rsidRDefault="003D32CD" w:rsidP="003D32CD">
      <w:pPr>
        <w:jc w:val="center"/>
        <w:rPr>
          <w:rFonts w:ascii="Arial" w:hAnsi="Arial" w:cs="Arial"/>
          <w:b/>
          <w:bCs/>
          <w:smallCaps/>
          <w:spacing w:val="5"/>
          <w:lang w:val="es-ES_tradnl"/>
        </w:rPr>
      </w:pPr>
      <w:r w:rsidRPr="001F731F">
        <w:rPr>
          <w:rStyle w:val="BookTitle"/>
          <w:rFonts w:ascii="Arial" w:hAnsi="Arial" w:cs="Arial"/>
          <w:lang w:val="es-ES_tradnl"/>
        </w:rPr>
        <w:lastRenderedPageBreak/>
        <w:t>CONTENIDO</w:t>
      </w:r>
    </w:p>
    <w:p w14:paraId="3E1ACBFD" w14:textId="5C53AA19" w:rsidR="003D32CD" w:rsidRPr="00496C30" w:rsidRDefault="003D32CD" w:rsidP="003D32CD">
      <w:pPr>
        <w:pStyle w:val="TOC1"/>
        <w:rPr>
          <w:rFonts w:ascii="Arial" w:hAnsi="Arial" w:cs="Arial"/>
          <w:b w:val="0"/>
          <w:smallCaps w:val="0"/>
          <w:szCs w:val="24"/>
          <w:lang w:val="es-ES_tradnl" w:eastAsia="es-ES_tradnl"/>
        </w:rPr>
      </w:pPr>
      <w:r w:rsidRPr="00496C30">
        <w:rPr>
          <w:rFonts w:ascii="Arial" w:hAnsi="Arial" w:cs="Arial"/>
          <w:b w:val="0"/>
          <w:noProof w:val="0"/>
          <w:szCs w:val="24"/>
          <w:lang w:val="es-ES_tradnl"/>
        </w:rPr>
        <w:fldChar w:fldCharType="begin"/>
      </w:r>
      <w:r w:rsidRPr="00496C30">
        <w:rPr>
          <w:rFonts w:ascii="Arial" w:hAnsi="Arial" w:cs="Arial"/>
          <w:b w:val="0"/>
          <w:noProof w:val="0"/>
          <w:szCs w:val="24"/>
          <w:lang w:val="es-ES_tradnl"/>
        </w:rPr>
        <w:instrText xml:space="preserve"> TOC \f \t "Chapter,1,FirstHeading,2,SecHeading,3" </w:instrText>
      </w:r>
      <w:r w:rsidRPr="00496C30">
        <w:rPr>
          <w:rFonts w:ascii="Arial" w:hAnsi="Arial" w:cs="Arial"/>
          <w:b w:val="0"/>
          <w:noProof w:val="0"/>
          <w:szCs w:val="24"/>
          <w:lang w:val="es-ES_tradnl"/>
        </w:rPr>
        <w:fldChar w:fldCharType="separate"/>
      </w:r>
      <w:r w:rsidRPr="00496C30">
        <w:rPr>
          <w:rFonts w:ascii="Arial" w:hAnsi="Arial" w:cs="Arial"/>
          <w:szCs w:val="24"/>
          <w:lang w:val="es-ES_tradnl"/>
        </w:rPr>
        <w:t>I.</w:t>
      </w:r>
      <w:r w:rsidRPr="00496C30">
        <w:rPr>
          <w:rFonts w:ascii="Arial" w:hAnsi="Arial" w:cs="Arial"/>
          <w:b w:val="0"/>
          <w:smallCaps w:val="0"/>
          <w:szCs w:val="24"/>
          <w:lang w:val="es-ES_tradnl" w:eastAsia="es-ES_tradnl"/>
        </w:rPr>
        <w:tab/>
      </w:r>
      <w:r w:rsidRPr="00496C30">
        <w:rPr>
          <w:rFonts w:ascii="Arial" w:hAnsi="Arial" w:cs="Arial"/>
          <w:szCs w:val="24"/>
          <w:lang w:val="es-ES_tradnl"/>
        </w:rPr>
        <w:t>Introducción</w:t>
      </w:r>
      <w:r w:rsidRPr="00496C30">
        <w:rPr>
          <w:rFonts w:ascii="Arial" w:hAnsi="Arial" w:cs="Arial"/>
          <w:szCs w:val="24"/>
          <w:lang w:val="es-ES_tradnl"/>
        </w:rPr>
        <w:tab/>
      </w:r>
      <w:r w:rsidRPr="00496C30">
        <w:rPr>
          <w:rFonts w:ascii="Arial" w:hAnsi="Arial" w:cs="Arial"/>
          <w:szCs w:val="24"/>
        </w:rPr>
        <w:fldChar w:fldCharType="begin"/>
      </w:r>
      <w:r w:rsidRPr="00496C30">
        <w:rPr>
          <w:rFonts w:ascii="Arial" w:hAnsi="Arial" w:cs="Arial"/>
          <w:szCs w:val="24"/>
          <w:lang w:val="es-ES_tradnl"/>
        </w:rPr>
        <w:instrText xml:space="preserve"> PAGEREF _Toc36386499 \h </w:instrText>
      </w:r>
      <w:r w:rsidRPr="00496C30">
        <w:rPr>
          <w:rFonts w:ascii="Arial" w:hAnsi="Arial" w:cs="Arial"/>
          <w:szCs w:val="24"/>
        </w:rPr>
      </w:r>
      <w:r w:rsidRPr="00496C30">
        <w:rPr>
          <w:rFonts w:ascii="Arial" w:hAnsi="Arial" w:cs="Arial"/>
          <w:szCs w:val="24"/>
        </w:rPr>
        <w:fldChar w:fldCharType="separate"/>
      </w:r>
      <w:r w:rsidR="000A38A2">
        <w:rPr>
          <w:rFonts w:ascii="Arial" w:hAnsi="Arial" w:cs="Arial"/>
          <w:szCs w:val="24"/>
          <w:lang w:val="es-ES_tradnl"/>
        </w:rPr>
        <w:t>1</w:t>
      </w:r>
      <w:r w:rsidRPr="00496C30">
        <w:rPr>
          <w:rFonts w:ascii="Arial" w:hAnsi="Arial" w:cs="Arial"/>
          <w:szCs w:val="24"/>
        </w:rPr>
        <w:fldChar w:fldCharType="end"/>
      </w:r>
    </w:p>
    <w:p w14:paraId="25107F3B" w14:textId="02FC133E" w:rsidR="003D32CD" w:rsidRPr="00496C30" w:rsidRDefault="003D32CD" w:rsidP="003D32CD">
      <w:pPr>
        <w:pStyle w:val="TOC1"/>
        <w:rPr>
          <w:rFonts w:ascii="Arial" w:hAnsi="Arial" w:cs="Arial"/>
          <w:b w:val="0"/>
          <w:smallCaps w:val="0"/>
          <w:szCs w:val="24"/>
          <w:lang w:val="es-ES_tradnl" w:eastAsia="es-ES_tradnl"/>
        </w:rPr>
      </w:pPr>
      <w:r w:rsidRPr="00496C30">
        <w:rPr>
          <w:rFonts w:ascii="Arial" w:hAnsi="Arial" w:cs="Arial"/>
          <w:szCs w:val="24"/>
          <w:lang w:val="es-ES_tradnl"/>
        </w:rPr>
        <w:t>II.</w:t>
      </w:r>
      <w:r w:rsidRPr="00496C30">
        <w:rPr>
          <w:rFonts w:ascii="Arial" w:hAnsi="Arial" w:cs="Arial"/>
          <w:b w:val="0"/>
          <w:smallCaps w:val="0"/>
          <w:szCs w:val="24"/>
          <w:lang w:val="es-ES_tradnl" w:eastAsia="es-ES_tradnl"/>
        </w:rPr>
        <w:tab/>
      </w:r>
      <w:r w:rsidRPr="00496C30">
        <w:rPr>
          <w:rFonts w:ascii="Arial" w:hAnsi="Arial" w:cs="Arial"/>
          <w:szCs w:val="24"/>
          <w:lang w:val="es-ES_tradnl"/>
        </w:rPr>
        <w:t>Metodología y Supuestos</w:t>
      </w:r>
      <w:r w:rsidRPr="00496C30">
        <w:rPr>
          <w:rFonts w:ascii="Arial" w:hAnsi="Arial" w:cs="Arial"/>
          <w:szCs w:val="24"/>
          <w:lang w:val="es-ES_tradnl"/>
        </w:rPr>
        <w:tab/>
      </w:r>
      <w:r w:rsidRPr="00496C30">
        <w:rPr>
          <w:rFonts w:ascii="Arial" w:hAnsi="Arial" w:cs="Arial"/>
          <w:szCs w:val="24"/>
        </w:rPr>
        <w:fldChar w:fldCharType="begin"/>
      </w:r>
      <w:r w:rsidRPr="00496C30">
        <w:rPr>
          <w:rFonts w:ascii="Arial" w:hAnsi="Arial" w:cs="Arial"/>
          <w:szCs w:val="24"/>
          <w:lang w:val="es-ES_tradnl"/>
        </w:rPr>
        <w:instrText xml:space="preserve"> PAGEREF _Toc36386500 \h </w:instrText>
      </w:r>
      <w:r w:rsidRPr="00496C30">
        <w:rPr>
          <w:rFonts w:ascii="Arial" w:hAnsi="Arial" w:cs="Arial"/>
          <w:szCs w:val="24"/>
        </w:rPr>
      </w:r>
      <w:r w:rsidRPr="00496C30">
        <w:rPr>
          <w:rFonts w:ascii="Arial" w:hAnsi="Arial" w:cs="Arial"/>
          <w:szCs w:val="24"/>
        </w:rPr>
        <w:fldChar w:fldCharType="separate"/>
      </w:r>
      <w:r w:rsidR="000A38A2">
        <w:rPr>
          <w:rFonts w:ascii="Arial" w:hAnsi="Arial" w:cs="Arial"/>
          <w:szCs w:val="24"/>
          <w:lang w:val="es-ES_tradnl"/>
        </w:rPr>
        <w:t>6</w:t>
      </w:r>
      <w:r w:rsidRPr="00496C30">
        <w:rPr>
          <w:rFonts w:ascii="Arial" w:hAnsi="Arial" w:cs="Arial"/>
          <w:szCs w:val="24"/>
        </w:rPr>
        <w:fldChar w:fldCharType="end"/>
      </w:r>
    </w:p>
    <w:p w14:paraId="04EDB781" w14:textId="529C3A99" w:rsidR="003D32CD" w:rsidRPr="00496C30" w:rsidRDefault="003D32CD" w:rsidP="003D32CD">
      <w:pPr>
        <w:pStyle w:val="TOC1"/>
        <w:rPr>
          <w:rFonts w:ascii="Arial" w:hAnsi="Arial" w:cs="Arial"/>
          <w:b w:val="0"/>
          <w:smallCaps w:val="0"/>
          <w:szCs w:val="24"/>
          <w:lang w:val="es-ES_tradnl" w:eastAsia="es-ES_tradnl"/>
        </w:rPr>
      </w:pPr>
      <w:r w:rsidRPr="00496C30">
        <w:rPr>
          <w:rFonts w:ascii="Arial" w:hAnsi="Arial" w:cs="Arial"/>
          <w:szCs w:val="24"/>
          <w:lang w:val="es-ES_tradnl"/>
        </w:rPr>
        <w:t>III.</w:t>
      </w:r>
      <w:r w:rsidRPr="00496C30">
        <w:rPr>
          <w:rFonts w:ascii="Arial" w:hAnsi="Arial" w:cs="Arial"/>
          <w:b w:val="0"/>
          <w:smallCaps w:val="0"/>
          <w:szCs w:val="24"/>
          <w:lang w:val="es-ES_tradnl" w:eastAsia="es-ES_tradnl"/>
        </w:rPr>
        <w:tab/>
      </w:r>
      <w:r w:rsidRPr="00496C30">
        <w:rPr>
          <w:rFonts w:ascii="Arial" w:hAnsi="Arial" w:cs="Arial"/>
          <w:szCs w:val="24"/>
          <w:lang w:val="es-ES_tradnl"/>
        </w:rPr>
        <w:t>Valoración del Beneficio Económico</w:t>
      </w:r>
      <w:r w:rsidRPr="00496C30">
        <w:rPr>
          <w:rFonts w:ascii="Arial" w:hAnsi="Arial" w:cs="Arial"/>
          <w:szCs w:val="24"/>
          <w:lang w:val="es-ES_tradnl"/>
        </w:rPr>
        <w:tab/>
      </w:r>
      <w:r w:rsidRPr="00496C30">
        <w:rPr>
          <w:rFonts w:ascii="Arial" w:hAnsi="Arial" w:cs="Arial"/>
          <w:szCs w:val="24"/>
        </w:rPr>
        <w:fldChar w:fldCharType="begin"/>
      </w:r>
      <w:r w:rsidRPr="00496C30">
        <w:rPr>
          <w:rFonts w:ascii="Arial" w:hAnsi="Arial" w:cs="Arial"/>
          <w:szCs w:val="24"/>
          <w:lang w:val="es-ES_tradnl"/>
        </w:rPr>
        <w:instrText xml:space="preserve"> PAGEREF _Toc36386501 \h </w:instrText>
      </w:r>
      <w:r w:rsidRPr="00496C30">
        <w:rPr>
          <w:rFonts w:ascii="Arial" w:hAnsi="Arial" w:cs="Arial"/>
          <w:szCs w:val="24"/>
        </w:rPr>
      </w:r>
      <w:r w:rsidRPr="00496C30">
        <w:rPr>
          <w:rFonts w:ascii="Arial" w:hAnsi="Arial" w:cs="Arial"/>
          <w:szCs w:val="24"/>
        </w:rPr>
        <w:fldChar w:fldCharType="separate"/>
      </w:r>
      <w:r w:rsidR="000A38A2">
        <w:rPr>
          <w:rFonts w:ascii="Arial" w:hAnsi="Arial" w:cs="Arial"/>
          <w:szCs w:val="24"/>
          <w:lang w:val="es-ES_tradnl"/>
        </w:rPr>
        <w:t>12</w:t>
      </w:r>
      <w:r w:rsidRPr="00496C30">
        <w:rPr>
          <w:rFonts w:ascii="Arial" w:hAnsi="Arial" w:cs="Arial"/>
          <w:szCs w:val="24"/>
        </w:rPr>
        <w:fldChar w:fldCharType="end"/>
      </w:r>
    </w:p>
    <w:p w14:paraId="2EA584C4" w14:textId="42C83763" w:rsidR="003D32CD" w:rsidRPr="00496C30" w:rsidRDefault="003D32CD" w:rsidP="003D32CD">
      <w:pPr>
        <w:pStyle w:val="TOC1"/>
        <w:rPr>
          <w:rFonts w:ascii="Arial" w:hAnsi="Arial" w:cs="Arial"/>
          <w:b w:val="0"/>
          <w:smallCaps w:val="0"/>
          <w:szCs w:val="24"/>
          <w:lang w:val="es-ES_tradnl" w:eastAsia="es-ES_tradnl"/>
        </w:rPr>
      </w:pPr>
      <w:r w:rsidRPr="00496C30">
        <w:rPr>
          <w:rFonts w:ascii="Arial" w:hAnsi="Arial" w:cs="Arial"/>
          <w:szCs w:val="24"/>
          <w:lang w:val="es-ES_tradnl"/>
        </w:rPr>
        <w:t>IV.</w:t>
      </w:r>
      <w:r w:rsidRPr="00496C30">
        <w:rPr>
          <w:rFonts w:ascii="Arial" w:hAnsi="Arial" w:cs="Arial"/>
          <w:b w:val="0"/>
          <w:smallCaps w:val="0"/>
          <w:szCs w:val="24"/>
          <w:lang w:val="es-ES_tradnl" w:eastAsia="es-ES_tradnl"/>
        </w:rPr>
        <w:tab/>
      </w:r>
      <w:r w:rsidRPr="00496C30">
        <w:rPr>
          <w:rFonts w:ascii="Arial" w:hAnsi="Arial" w:cs="Arial"/>
          <w:szCs w:val="24"/>
          <w:lang w:val="es-ES_tradnl"/>
        </w:rPr>
        <w:t>Análisis de Sensibilidad</w:t>
      </w:r>
      <w:r w:rsidRPr="00496C30">
        <w:rPr>
          <w:rFonts w:ascii="Arial" w:hAnsi="Arial" w:cs="Arial"/>
          <w:szCs w:val="24"/>
          <w:lang w:val="es-ES_tradnl"/>
        </w:rPr>
        <w:tab/>
      </w:r>
      <w:r w:rsidRPr="00496C30">
        <w:rPr>
          <w:rFonts w:ascii="Arial" w:hAnsi="Arial" w:cs="Arial"/>
          <w:szCs w:val="24"/>
        </w:rPr>
        <w:fldChar w:fldCharType="begin"/>
      </w:r>
      <w:r w:rsidRPr="00496C30">
        <w:rPr>
          <w:rFonts w:ascii="Arial" w:hAnsi="Arial" w:cs="Arial"/>
          <w:szCs w:val="24"/>
          <w:lang w:val="es-ES_tradnl"/>
        </w:rPr>
        <w:instrText xml:space="preserve"> PAGEREF _Toc36386503 \h </w:instrText>
      </w:r>
      <w:r w:rsidRPr="00496C30">
        <w:rPr>
          <w:rFonts w:ascii="Arial" w:hAnsi="Arial" w:cs="Arial"/>
          <w:szCs w:val="24"/>
        </w:rPr>
      </w:r>
      <w:r w:rsidRPr="00496C30">
        <w:rPr>
          <w:rFonts w:ascii="Arial" w:hAnsi="Arial" w:cs="Arial"/>
          <w:szCs w:val="24"/>
        </w:rPr>
        <w:fldChar w:fldCharType="separate"/>
      </w:r>
      <w:r w:rsidR="000A38A2">
        <w:rPr>
          <w:rFonts w:ascii="Arial" w:hAnsi="Arial" w:cs="Arial"/>
          <w:szCs w:val="24"/>
          <w:lang w:val="es-ES_tradnl"/>
        </w:rPr>
        <w:t>14</w:t>
      </w:r>
      <w:r w:rsidRPr="00496C30">
        <w:rPr>
          <w:rFonts w:ascii="Arial" w:hAnsi="Arial" w:cs="Arial"/>
          <w:szCs w:val="24"/>
        </w:rPr>
        <w:fldChar w:fldCharType="end"/>
      </w:r>
    </w:p>
    <w:p w14:paraId="1EE30FD3" w14:textId="56EBCA90" w:rsidR="003D32CD" w:rsidRPr="00496C30" w:rsidRDefault="003D32CD" w:rsidP="003D32CD">
      <w:pPr>
        <w:pStyle w:val="TOC1"/>
        <w:rPr>
          <w:rFonts w:ascii="Arial" w:hAnsi="Arial" w:cs="Arial"/>
          <w:b w:val="0"/>
          <w:smallCaps w:val="0"/>
          <w:szCs w:val="24"/>
          <w:lang w:val="es-ES_tradnl" w:eastAsia="es-ES_tradnl"/>
        </w:rPr>
      </w:pPr>
      <w:r w:rsidRPr="00496C30">
        <w:rPr>
          <w:rFonts w:ascii="Arial" w:hAnsi="Arial" w:cs="Arial"/>
          <w:szCs w:val="24"/>
          <w:lang w:val="es-ES_tradnl"/>
        </w:rPr>
        <w:t>V.</w:t>
      </w:r>
      <w:r w:rsidRPr="00496C30">
        <w:rPr>
          <w:rFonts w:ascii="Arial" w:hAnsi="Arial" w:cs="Arial"/>
          <w:b w:val="0"/>
          <w:smallCaps w:val="0"/>
          <w:szCs w:val="24"/>
          <w:lang w:val="es-ES_tradnl" w:eastAsia="es-ES_tradnl"/>
        </w:rPr>
        <w:tab/>
      </w:r>
      <w:r w:rsidRPr="00496C30">
        <w:rPr>
          <w:rFonts w:ascii="Arial" w:hAnsi="Arial" w:cs="Arial"/>
          <w:szCs w:val="24"/>
          <w:lang w:val="es-ES_tradnl"/>
        </w:rPr>
        <w:t>Conclusiones</w:t>
      </w:r>
      <w:r w:rsidRPr="00496C30">
        <w:rPr>
          <w:rFonts w:ascii="Arial" w:hAnsi="Arial" w:cs="Arial"/>
          <w:szCs w:val="24"/>
          <w:lang w:val="es-ES_tradnl"/>
        </w:rPr>
        <w:tab/>
      </w:r>
      <w:r w:rsidRPr="00496C30">
        <w:rPr>
          <w:rFonts w:ascii="Arial" w:hAnsi="Arial" w:cs="Arial"/>
          <w:szCs w:val="24"/>
        </w:rPr>
        <w:fldChar w:fldCharType="begin"/>
      </w:r>
      <w:r w:rsidRPr="00496C30">
        <w:rPr>
          <w:rFonts w:ascii="Arial" w:hAnsi="Arial" w:cs="Arial"/>
          <w:szCs w:val="24"/>
          <w:lang w:val="es-ES_tradnl"/>
        </w:rPr>
        <w:instrText xml:space="preserve"> PAGEREF _Toc36386504 \h </w:instrText>
      </w:r>
      <w:r w:rsidRPr="00496C30">
        <w:rPr>
          <w:rFonts w:ascii="Arial" w:hAnsi="Arial" w:cs="Arial"/>
          <w:szCs w:val="24"/>
        </w:rPr>
      </w:r>
      <w:r w:rsidRPr="00496C30">
        <w:rPr>
          <w:rFonts w:ascii="Arial" w:hAnsi="Arial" w:cs="Arial"/>
          <w:szCs w:val="24"/>
        </w:rPr>
        <w:fldChar w:fldCharType="separate"/>
      </w:r>
      <w:r w:rsidR="000A38A2">
        <w:rPr>
          <w:rFonts w:ascii="Arial" w:hAnsi="Arial" w:cs="Arial"/>
          <w:szCs w:val="24"/>
          <w:lang w:val="es-ES_tradnl"/>
        </w:rPr>
        <w:t>15</w:t>
      </w:r>
      <w:r w:rsidRPr="00496C30">
        <w:rPr>
          <w:rFonts w:ascii="Arial" w:hAnsi="Arial" w:cs="Arial"/>
          <w:szCs w:val="24"/>
        </w:rPr>
        <w:fldChar w:fldCharType="end"/>
      </w:r>
    </w:p>
    <w:p w14:paraId="07E2C31C" w14:textId="77777777" w:rsidR="003D32CD" w:rsidRPr="001F731F" w:rsidRDefault="003D32CD" w:rsidP="003D32CD">
      <w:pPr>
        <w:pStyle w:val="TOC3"/>
        <w:rPr>
          <w:rFonts w:ascii="Arial" w:hAnsi="Arial" w:cs="Arial"/>
          <w:sz w:val="22"/>
          <w:lang w:val="es-ES_tradnl"/>
        </w:rPr>
      </w:pPr>
      <w:r w:rsidRPr="00496C30">
        <w:rPr>
          <w:rFonts w:ascii="Arial" w:hAnsi="Arial" w:cs="Arial"/>
          <w:szCs w:val="24"/>
          <w:lang w:val="es-ES_tradnl"/>
        </w:rPr>
        <w:fldChar w:fldCharType="end"/>
      </w:r>
    </w:p>
    <w:p w14:paraId="2163B827" w14:textId="77777777" w:rsidR="003D32CD" w:rsidRPr="001F731F" w:rsidRDefault="003D32CD" w:rsidP="003D32CD">
      <w:pPr>
        <w:rPr>
          <w:rFonts w:ascii="Arial" w:hAnsi="Arial" w:cs="Arial"/>
          <w:lang w:val="es-ES_tradnl"/>
        </w:rPr>
      </w:pPr>
    </w:p>
    <w:p w14:paraId="099C85BD" w14:textId="77777777" w:rsidR="003D32CD" w:rsidRPr="001F731F" w:rsidRDefault="003D32CD" w:rsidP="003D32CD">
      <w:pPr>
        <w:rPr>
          <w:rFonts w:ascii="Arial" w:hAnsi="Arial" w:cs="Arial"/>
          <w:lang w:val="es-ES_tradnl"/>
        </w:rPr>
      </w:pPr>
    </w:p>
    <w:p w14:paraId="54C367C5" w14:textId="77777777" w:rsidR="003D32CD" w:rsidRPr="001F731F" w:rsidRDefault="003D32CD" w:rsidP="003D32CD">
      <w:pPr>
        <w:rPr>
          <w:rFonts w:ascii="Arial" w:hAnsi="Arial" w:cs="Arial"/>
          <w:lang w:val="es-ES_tradnl"/>
        </w:rPr>
        <w:sectPr w:rsidR="003D32CD" w:rsidRPr="001F731F" w:rsidSect="00871C1E">
          <w:headerReference w:type="default" r:id="rId15"/>
          <w:footerReference w:type="default" r:id="rId16"/>
          <w:headerReference w:type="first" r:id="rId17"/>
          <w:footerReference w:type="first" r:id="rId18"/>
          <w:pgSz w:w="12240" w:h="15840"/>
          <w:pgMar w:top="1440" w:right="1800" w:bottom="1440" w:left="1800" w:header="720" w:footer="720" w:gutter="0"/>
          <w:pgNumType w:start="0"/>
          <w:cols w:space="720"/>
          <w:titlePg/>
          <w:docGrid w:linePitch="360"/>
        </w:sectPr>
      </w:pPr>
      <w:r w:rsidRPr="001F731F">
        <w:rPr>
          <w:rFonts w:ascii="Arial" w:hAnsi="Arial" w:cs="Arial"/>
          <w:lang w:val="es-ES_tradnl"/>
        </w:rPr>
        <w:br w:type="page"/>
      </w:r>
    </w:p>
    <w:p w14:paraId="6770CEAD" w14:textId="77777777" w:rsidR="003D32CD" w:rsidRPr="001F731F" w:rsidRDefault="003D32CD" w:rsidP="00CF06B0">
      <w:pPr>
        <w:keepNext/>
        <w:numPr>
          <w:ilvl w:val="0"/>
          <w:numId w:val="1"/>
        </w:numPr>
        <w:tabs>
          <w:tab w:val="clear" w:pos="2088"/>
          <w:tab w:val="num" w:pos="648"/>
          <w:tab w:val="left" w:pos="1440"/>
        </w:tabs>
        <w:spacing w:after="240" w:line="240" w:lineRule="auto"/>
        <w:ind w:left="0"/>
        <w:jc w:val="center"/>
        <w:rPr>
          <w:rFonts w:ascii="Arial" w:hAnsi="Arial" w:cs="Arial"/>
          <w:lang w:val="es-ES_tradnl"/>
        </w:rPr>
      </w:pPr>
      <w:bookmarkStart w:id="5" w:name="_Toc352756751"/>
      <w:bookmarkStart w:id="6" w:name="_Toc36386499"/>
      <w:r w:rsidRPr="008069D2">
        <w:rPr>
          <w:rFonts w:ascii="Arial" w:eastAsia="Times New Roman" w:hAnsi="Arial" w:cs="Arial"/>
          <w:b/>
          <w:smallCaps/>
          <w:lang w:val="es-ES_tradnl"/>
        </w:rPr>
        <w:lastRenderedPageBreak/>
        <w:t>Introducción</w:t>
      </w:r>
      <w:bookmarkEnd w:id="5"/>
      <w:bookmarkEnd w:id="6"/>
    </w:p>
    <w:p w14:paraId="6DB5A214" w14:textId="6914697D" w:rsidR="003D32CD" w:rsidRPr="00BC7CD9" w:rsidRDefault="003D32CD" w:rsidP="003D32CD">
      <w:pPr>
        <w:pStyle w:val="Paragraph"/>
        <w:numPr>
          <w:ilvl w:val="1"/>
          <w:numId w:val="2"/>
        </w:numPr>
        <w:ind w:left="720" w:hanging="720"/>
        <w:rPr>
          <w:rFonts w:ascii="Arial" w:hAnsi="Arial" w:cs="Arial"/>
          <w:sz w:val="22"/>
          <w:szCs w:val="22"/>
          <w:lang w:val="es-ES_tradnl"/>
        </w:rPr>
      </w:pPr>
      <w:r w:rsidRPr="00454CB5">
        <w:rPr>
          <w:rFonts w:ascii="Arial" w:hAnsi="Arial" w:cs="Arial"/>
          <w:b/>
          <w:bCs/>
          <w:sz w:val="22"/>
          <w:szCs w:val="22"/>
          <w:lang w:val="es-ES_tradnl"/>
        </w:rPr>
        <w:t xml:space="preserve">Antecedentes de la intervención. </w:t>
      </w:r>
      <w:r w:rsidR="00BC7CD9" w:rsidRPr="00506016">
        <w:rPr>
          <w:rFonts w:ascii="Arial" w:hAnsi="Arial" w:cs="Arial"/>
          <w:sz w:val="22"/>
          <w:szCs w:val="22"/>
          <w:lang w:val="es-ES"/>
        </w:rPr>
        <w:t xml:space="preserve">El 11 de marzo de 2020, la Organización Mundial de la Salud (OMS) </w:t>
      </w:r>
      <w:proofErr w:type="gramStart"/>
      <w:r w:rsidR="002B38EA">
        <w:rPr>
          <w:rFonts w:ascii="Arial" w:hAnsi="Arial" w:cs="Arial"/>
          <w:sz w:val="22"/>
          <w:szCs w:val="22"/>
          <w:lang w:val="es-ES"/>
        </w:rPr>
        <w:t>declaró</w:t>
      </w:r>
      <w:r w:rsidR="002B38EA" w:rsidRPr="00506016">
        <w:rPr>
          <w:rFonts w:ascii="Arial" w:hAnsi="Arial" w:cs="Arial"/>
          <w:sz w:val="22"/>
          <w:szCs w:val="22"/>
          <w:lang w:val="es-ES"/>
        </w:rPr>
        <w:t xml:space="preserve"> </w:t>
      </w:r>
      <w:r w:rsidR="00BC7CD9">
        <w:rPr>
          <w:rFonts w:ascii="Arial" w:hAnsi="Arial" w:cs="Arial"/>
          <w:sz w:val="22"/>
          <w:szCs w:val="22"/>
          <w:lang w:val="es-ES"/>
        </w:rPr>
        <w:t>como</w:t>
      </w:r>
      <w:proofErr w:type="gramEnd"/>
      <w:r w:rsidR="00BC7CD9">
        <w:rPr>
          <w:rFonts w:ascii="Arial" w:hAnsi="Arial" w:cs="Arial"/>
          <w:sz w:val="22"/>
          <w:szCs w:val="22"/>
          <w:lang w:val="es-ES"/>
        </w:rPr>
        <w:t xml:space="preserve"> </w:t>
      </w:r>
      <w:r w:rsidR="00BC7CD9" w:rsidRPr="00506016">
        <w:rPr>
          <w:rFonts w:ascii="Arial" w:hAnsi="Arial" w:cs="Arial"/>
          <w:sz w:val="22"/>
          <w:szCs w:val="22"/>
          <w:lang w:val="es-ES"/>
        </w:rPr>
        <w:t xml:space="preserve">una </w:t>
      </w:r>
      <w:r w:rsidR="00E34E7B">
        <w:rPr>
          <w:rFonts w:ascii="Arial" w:hAnsi="Arial" w:cs="Arial"/>
          <w:sz w:val="22"/>
          <w:szCs w:val="22"/>
          <w:lang w:val="es-ES"/>
        </w:rPr>
        <w:t>P</w:t>
      </w:r>
      <w:r w:rsidR="00BC7CD9" w:rsidRPr="00506016">
        <w:rPr>
          <w:rFonts w:ascii="Arial" w:hAnsi="Arial" w:cs="Arial"/>
          <w:sz w:val="22"/>
          <w:szCs w:val="22"/>
          <w:lang w:val="es-ES"/>
        </w:rPr>
        <w:t>andemia a la enfermedad COVID</w:t>
      </w:r>
      <w:r w:rsidR="00103FB0">
        <w:rPr>
          <w:rFonts w:ascii="Arial" w:hAnsi="Arial" w:cs="Arial"/>
          <w:sz w:val="22"/>
          <w:szCs w:val="22"/>
          <w:lang w:val="es-ES"/>
        </w:rPr>
        <w:noBreakHyphen/>
      </w:r>
      <w:r w:rsidR="00BC7CD9" w:rsidRPr="00506016">
        <w:rPr>
          <w:rFonts w:ascii="Arial" w:hAnsi="Arial" w:cs="Arial"/>
          <w:sz w:val="22"/>
          <w:szCs w:val="22"/>
          <w:lang w:val="es-ES"/>
        </w:rPr>
        <w:t>19, causada por el virus que afecta las vías respiratorias, novel</w:t>
      </w:r>
      <w:r w:rsidR="00103FB0">
        <w:rPr>
          <w:rFonts w:ascii="Arial" w:hAnsi="Arial" w:cs="Arial"/>
          <w:sz w:val="22"/>
          <w:szCs w:val="22"/>
          <w:lang w:val="es-ES"/>
        </w:rPr>
        <w:noBreakHyphen/>
      </w:r>
      <w:r w:rsidR="00BC7CD9" w:rsidRPr="00506016">
        <w:rPr>
          <w:rFonts w:ascii="Arial" w:hAnsi="Arial" w:cs="Arial"/>
          <w:sz w:val="22"/>
          <w:szCs w:val="22"/>
          <w:lang w:val="es-ES"/>
        </w:rPr>
        <w:t>Coronavirus o CoV2019. A</w:t>
      </w:r>
      <w:r w:rsidR="00C624AD">
        <w:rPr>
          <w:rFonts w:ascii="Arial" w:hAnsi="Arial" w:cs="Arial"/>
          <w:sz w:val="22"/>
          <w:szCs w:val="22"/>
          <w:lang w:val="es-ES"/>
        </w:rPr>
        <w:t xml:space="preserve">l </w:t>
      </w:r>
      <w:r w:rsidR="00DF0CC7">
        <w:rPr>
          <w:rFonts w:ascii="Arial" w:hAnsi="Arial" w:cs="Arial"/>
          <w:sz w:val="22"/>
          <w:szCs w:val="22"/>
          <w:lang w:val="es-ES"/>
        </w:rPr>
        <w:t xml:space="preserve">6 </w:t>
      </w:r>
      <w:r w:rsidR="00BC7CD9" w:rsidRPr="001A660C">
        <w:rPr>
          <w:rFonts w:ascii="Arial" w:hAnsi="Arial" w:cs="Arial"/>
          <w:sz w:val="22"/>
          <w:szCs w:val="22"/>
          <w:lang w:val="es-ES"/>
        </w:rPr>
        <w:t>de ju</w:t>
      </w:r>
      <w:r w:rsidR="00DF0CC7">
        <w:rPr>
          <w:rFonts w:ascii="Arial" w:hAnsi="Arial" w:cs="Arial"/>
          <w:sz w:val="22"/>
          <w:szCs w:val="22"/>
          <w:lang w:val="es-ES"/>
        </w:rPr>
        <w:t>l</w:t>
      </w:r>
      <w:r w:rsidR="00BC7CD9" w:rsidRPr="001A660C">
        <w:rPr>
          <w:rFonts w:ascii="Arial" w:hAnsi="Arial" w:cs="Arial"/>
          <w:sz w:val="22"/>
          <w:szCs w:val="22"/>
          <w:lang w:val="es-ES"/>
        </w:rPr>
        <w:t>io</w:t>
      </w:r>
      <w:r w:rsidR="00BC7CD9" w:rsidRPr="008616B0">
        <w:rPr>
          <w:rFonts w:ascii="Arial" w:hAnsi="Arial" w:cs="Arial"/>
          <w:sz w:val="22"/>
          <w:szCs w:val="22"/>
          <w:lang w:val="es-ES"/>
        </w:rPr>
        <w:t xml:space="preserve"> de 2020</w:t>
      </w:r>
      <w:r w:rsidR="00BC7CD9" w:rsidRPr="00506016">
        <w:rPr>
          <w:rFonts w:ascii="Arial" w:hAnsi="Arial" w:cs="Arial"/>
          <w:sz w:val="22"/>
          <w:szCs w:val="22"/>
          <w:lang w:val="es-ES"/>
        </w:rPr>
        <w:t>, según la OMS se registr</w:t>
      </w:r>
      <w:r w:rsidR="00E961A2">
        <w:rPr>
          <w:rFonts w:ascii="Arial" w:hAnsi="Arial" w:cs="Arial"/>
          <w:sz w:val="22"/>
          <w:szCs w:val="22"/>
          <w:lang w:val="es-ES"/>
        </w:rPr>
        <w:t>ab</w:t>
      </w:r>
      <w:r w:rsidR="00BC7CD9" w:rsidRPr="00506016">
        <w:rPr>
          <w:rFonts w:ascii="Arial" w:hAnsi="Arial" w:cs="Arial"/>
          <w:sz w:val="22"/>
          <w:szCs w:val="22"/>
          <w:lang w:val="es-ES"/>
        </w:rPr>
        <w:t xml:space="preserve">an más de </w:t>
      </w:r>
      <w:r w:rsidR="006B102A">
        <w:rPr>
          <w:rFonts w:ascii="Arial" w:hAnsi="Arial" w:cs="Arial"/>
          <w:sz w:val="22"/>
          <w:szCs w:val="22"/>
          <w:lang w:val="es-ES"/>
        </w:rPr>
        <w:t>11</w:t>
      </w:r>
      <w:r w:rsidR="008608B7">
        <w:rPr>
          <w:rFonts w:ascii="Arial" w:hAnsi="Arial" w:cs="Arial"/>
          <w:sz w:val="22"/>
          <w:szCs w:val="22"/>
          <w:lang w:val="es-ES"/>
        </w:rPr>
        <w:t>,</w:t>
      </w:r>
      <w:r w:rsidR="006B102A">
        <w:rPr>
          <w:rFonts w:ascii="Arial" w:hAnsi="Arial" w:cs="Arial"/>
          <w:sz w:val="22"/>
          <w:szCs w:val="22"/>
          <w:lang w:val="es-ES"/>
        </w:rPr>
        <w:t>3</w:t>
      </w:r>
      <w:r w:rsidR="00BC7CD9">
        <w:rPr>
          <w:rFonts w:ascii="Arial" w:hAnsi="Arial" w:cs="Arial"/>
          <w:sz w:val="22"/>
          <w:szCs w:val="22"/>
          <w:lang w:val="es-ES"/>
        </w:rPr>
        <w:t xml:space="preserve"> millones de </w:t>
      </w:r>
      <w:r w:rsidR="00BC7CD9" w:rsidRPr="00506016">
        <w:rPr>
          <w:rFonts w:ascii="Arial" w:hAnsi="Arial" w:cs="Arial"/>
          <w:sz w:val="22"/>
          <w:szCs w:val="22"/>
          <w:lang w:val="es-ES"/>
        </w:rPr>
        <w:t xml:space="preserve">casos confirmados en </w:t>
      </w:r>
      <w:r w:rsidR="00BC7CD9">
        <w:rPr>
          <w:rFonts w:ascii="Arial" w:hAnsi="Arial" w:cs="Arial"/>
          <w:sz w:val="22"/>
          <w:szCs w:val="22"/>
          <w:lang w:val="es-ES"/>
        </w:rPr>
        <w:t>202</w:t>
      </w:r>
      <w:r w:rsidR="00BC7CD9" w:rsidRPr="00506016">
        <w:rPr>
          <w:rFonts w:ascii="Arial" w:hAnsi="Arial" w:cs="Arial"/>
          <w:sz w:val="22"/>
          <w:szCs w:val="22"/>
          <w:lang w:val="es-ES"/>
        </w:rPr>
        <w:t xml:space="preserve"> países, que han resultado en más de </w:t>
      </w:r>
      <w:r w:rsidR="006B102A">
        <w:rPr>
          <w:rFonts w:ascii="Arial" w:hAnsi="Arial" w:cs="Arial"/>
          <w:sz w:val="22"/>
          <w:szCs w:val="22"/>
          <w:lang w:val="es-ES"/>
        </w:rPr>
        <w:t>532</w:t>
      </w:r>
      <w:r w:rsidR="00BC7CD9">
        <w:rPr>
          <w:rFonts w:ascii="Arial" w:hAnsi="Arial" w:cs="Arial"/>
          <w:sz w:val="22"/>
          <w:szCs w:val="22"/>
          <w:lang w:val="es-ES"/>
        </w:rPr>
        <w:t xml:space="preserve"> mil muertes</w:t>
      </w:r>
      <w:r w:rsidR="00BC7CD9" w:rsidRPr="00506016">
        <w:rPr>
          <w:rFonts w:ascii="Arial" w:hAnsi="Arial" w:cs="Arial"/>
          <w:sz w:val="22"/>
          <w:szCs w:val="22"/>
          <w:vertAlign w:val="superscript"/>
          <w:lang w:val="es-ES"/>
        </w:rPr>
        <w:footnoteReference w:id="2"/>
      </w:r>
      <w:r w:rsidR="00BC7CD9" w:rsidRPr="00506016">
        <w:rPr>
          <w:rFonts w:ascii="Arial" w:hAnsi="Arial" w:cs="Arial"/>
          <w:sz w:val="22"/>
          <w:szCs w:val="22"/>
          <w:lang w:val="es-ES"/>
        </w:rPr>
        <w:t xml:space="preserve">. En América Latina y el Caribe (ALC) se han reportado cerca de </w:t>
      </w:r>
      <w:r w:rsidR="006B102A">
        <w:rPr>
          <w:rFonts w:ascii="Arial" w:hAnsi="Arial" w:cs="Arial"/>
          <w:sz w:val="22"/>
          <w:szCs w:val="22"/>
          <w:lang w:val="es-ES"/>
        </w:rPr>
        <w:t>2</w:t>
      </w:r>
      <w:r w:rsidR="00BC7CD9">
        <w:rPr>
          <w:rFonts w:ascii="Arial" w:hAnsi="Arial" w:cs="Arial"/>
          <w:sz w:val="22"/>
          <w:szCs w:val="22"/>
          <w:lang w:val="es-ES"/>
        </w:rPr>
        <w:t>,</w:t>
      </w:r>
      <w:r w:rsidR="006B102A">
        <w:rPr>
          <w:rFonts w:ascii="Arial" w:hAnsi="Arial" w:cs="Arial"/>
          <w:sz w:val="22"/>
          <w:szCs w:val="22"/>
          <w:lang w:val="es-ES"/>
        </w:rPr>
        <w:t>8</w:t>
      </w:r>
      <w:r w:rsidR="00BC7CD9">
        <w:rPr>
          <w:rFonts w:ascii="Arial" w:hAnsi="Arial" w:cs="Arial"/>
          <w:sz w:val="22"/>
          <w:szCs w:val="22"/>
          <w:lang w:val="es-ES"/>
        </w:rPr>
        <w:t xml:space="preserve"> millones de </w:t>
      </w:r>
      <w:r w:rsidR="00BC7CD9" w:rsidRPr="00506016">
        <w:rPr>
          <w:rFonts w:ascii="Arial" w:hAnsi="Arial" w:cs="Arial"/>
          <w:sz w:val="22"/>
          <w:szCs w:val="22"/>
          <w:lang w:val="es-ES"/>
        </w:rPr>
        <w:t>casos confirmados de COVID-19</w:t>
      </w:r>
      <w:r w:rsidR="00BC7CD9" w:rsidRPr="00506016">
        <w:rPr>
          <w:rFonts w:ascii="Arial" w:hAnsi="Arial" w:cs="Arial"/>
          <w:sz w:val="22"/>
          <w:szCs w:val="22"/>
          <w:vertAlign w:val="superscript"/>
          <w:lang w:val="es-ES"/>
        </w:rPr>
        <w:footnoteReference w:id="3"/>
      </w:r>
      <w:r w:rsidR="00BC7CD9" w:rsidRPr="00506016">
        <w:rPr>
          <w:rFonts w:ascii="Arial" w:hAnsi="Arial" w:cs="Arial"/>
          <w:sz w:val="22"/>
          <w:szCs w:val="22"/>
          <w:lang w:val="es-ES"/>
        </w:rPr>
        <w:t xml:space="preserve">, y </w:t>
      </w:r>
      <w:r w:rsidR="00BC7CD9">
        <w:rPr>
          <w:rFonts w:ascii="Arial" w:hAnsi="Arial" w:cs="Arial"/>
          <w:sz w:val="22"/>
          <w:szCs w:val="22"/>
          <w:lang w:val="es-ES"/>
        </w:rPr>
        <w:t xml:space="preserve">más de </w:t>
      </w:r>
      <w:r w:rsidR="000F50C5">
        <w:rPr>
          <w:rFonts w:ascii="Arial" w:hAnsi="Arial" w:cs="Arial"/>
          <w:sz w:val="22"/>
          <w:szCs w:val="22"/>
          <w:lang w:val="es-ES"/>
        </w:rPr>
        <w:t>126</w:t>
      </w:r>
      <w:r w:rsidR="00BC7CD9">
        <w:rPr>
          <w:rFonts w:ascii="Arial" w:hAnsi="Arial" w:cs="Arial"/>
          <w:sz w:val="22"/>
          <w:szCs w:val="22"/>
          <w:lang w:val="es-ES"/>
        </w:rPr>
        <w:t xml:space="preserve">.000 </w:t>
      </w:r>
      <w:r w:rsidR="00BC7CD9" w:rsidRPr="00506016">
        <w:rPr>
          <w:rFonts w:ascii="Arial" w:hAnsi="Arial" w:cs="Arial"/>
          <w:sz w:val="22"/>
          <w:szCs w:val="22"/>
          <w:lang w:val="es-ES"/>
        </w:rPr>
        <w:t>fallecidos</w:t>
      </w:r>
      <w:r w:rsidR="00BC7CD9" w:rsidRPr="00506016">
        <w:rPr>
          <w:rFonts w:ascii="Arial" w:hAnsi="Arial" w:cs="Arial"/>
          <w:sz w:val="22"/>
          <w:szCs w:val="22"/>
          <w:vertAlign w:val="superscript"/>
          <w:lang w:val="es-ES"/>
        </w:rPr>
        <w:footnoteReference w:id="4"/>
      </w:r>
      <w:r w:rsidR="00BC7CD9">
        <w:rPr>
          <w:rFonts w:ascii="Arial" w:hAnsi="Arial" w:cs="Arial"/>
          <w:sz w:val="22"/>
          <w:szCs w:val="22"/>
          <w:lang w:val="es-ES"/>
        </w:rPr>
        <w:t>.</w:t>
      </w:r>
      <w:r w:rsidR="00BC7CD9" w:rsidRPr="00506016">
        <w:rPr>
          <w:rFonts w:ascii="Arial" w:hAnsi="Arial" w:cs="Arial"/>
          <w:sz w:val="22"/>
          <w:szCs w:val="22"/>
          <w:lang w:val="es-ES"/>
        </w:rPr>
        <w:t xml:space="preserve"> </w:t>
      </w:r>
      <w:r w:rsidR="00BC7CD9">
        <w:rPr>
          <w:rFonts w:ascii="Arial" w:hAnsi="Arial" w:cs="Arial"/>
          <w:sz w:val="22"/>
          <w:szCs w:val="22"/>
          <w:lang w:val="es-ES"/>
        </w:rPr>
        <w:t xml:space="preserve">En Honduras, el primer caso se registró el 12 de marzo y hasta </w:t>
      </w:r>
      <w:r w:rsidR="00550631">
        <w:rPr>
          <w:rFonts w:ascii="Arial" w:hAnsi="Arial" w:cs="Arial"/>
          <w:sz w:val="22"/>
          <w:szCs w:val="22"/>
          <w:lang w:val="es-ES"/>
        </w:rPr>
        <w:t xml:space="preserve">el </w:t>
      </w:r>
      <w:r w:rsidR="00366667">
        <w:rPr>
          <w:rFonts w:ascii="Arial" w:hAnsi="Arial" w:cs="Arial"/>
          <w:sz w:val="22"/>
          <w:szCs w:val="22"/>
          <w:lang w:val="es-ES"/>
        </w:rPr>
        <w:t>6</w:t>
      </w:r>
      <w:r w:rsidR="00947AF8">
        <w:rPr>
          <w:rFonts w:ascii="Arial" w:hAnsi="Arial" w:cs="Arial"/>
          <w:sz w:val="22"/>
          <w:szCs w:val="22"/>
          <w:lang w:val="es-ES"/>
        </w:rPr>
        <w:t> </w:t>
      </w:r>
      <w:r w:rsidR="00550631">
        <w:rPr>
          <w:rFonts w:ascii="Arial" w:hAnsi="Arial" w:cs="Arial"/>
          <w:sz w:val="22"/>
          <w:szCs w:val="22"/>
          <w:lang w:val="es-ES"/>
        </w:rPr>
        <w:t>de</w:t>
      </w:r>
      <w:r w:rsidR="00947AF8">
        <w:rPr>
          <w:rFonts w:ascii="Arial" w:hAnsi="Arial" w:cs="Arial"/>
          <w:sz w:val="22"/>
          <w:szCs w:val="22"/>
          <w:lang w:val="es-ES"/>
        </w:rPr>
        <w:t> </w:t>
      </w:r>
      <w:r w:rsidR="00550631">
        <w:rPr>
          <w:rFonts w:ascii="Arial" w:hAnsi="Arial" w:cs="Arial"/>
          <w:sz w:val="22"/>
          <w:szCs w:val="22"/>
          <w:lang w:val="es-ES"/>
        </w:rPr>
        <w:t>ju</w:t>
      </w:r>
      <w:r w:rsidR="00366667">
        <w:rPr>
          <w:rFonts w:ascii="Arial" w:hAnsi="Arial" w:cs="Arial"/>
          <w:sz w:val="22"/>
          <w:szCs w:val="22"/>
          <w:lang w:val="es-ES"/>
        </w:rPr>
        <w:t>l</w:t>
      </w:r>
      <w:r w:rsidR="00550631">
        <w:rPr>
          <w:rFonts w:ascii="Arial" w:hAnsi="Arial" w:cs="Arial"/>
          <w:sz w:val="22"/>
          <w:szCs w:val="22"/>
          <w:lang w:val="es-ES"/>
        </w:rPr>
        <w:t xml:space="preserve">io </w:t>
      </w:r>
      <w:r w:rsidR="00BC7CD9">
        <w:rPr>
          <w:rFonts w:ascii="Arial" w:hAnsi="Arial" w:cs="Arial"/>
          <w:sz w:val="22"/>
          <w:szCs w:val="22"/>
          <w:lang w:val="es-ES"/>
        </w:rPr>
        <w:t xml:space="preserve">se han registrado </w:t>
      </w:r>
      <w:r w:rsidR="000F50C5">
        <w:rPr>
          <w:rFonts w:ascii="Arial" w:hAnsi="Arial" w:cs="Arial"/>
          <w:sz w:val="22"/>
          <w:szCs w:val="22"/>
          <w:lang w:val="es-ES"/>
        </w:rPr>
        <w:t>22</w:t>
      </w:r>
      <w:r w:rsidR="008608B7">
        <w:rPr>
          <w:rFonts w:ascii="Arial" w:hAnsi="Arial" w:cs="Arial"/>
          <w:sz w:val="22"/>
          <w:szCs w:val="22"/>
          <w:lang w:val="es-ES"/>
        </w:rPr>
        <w:t>.</w:t>
      </w:r>
      <w:r w:rsidR="000F50C5">
        <w:rPr>
          <w:rFonts w:ascii="Arial" w:hAnsi="Arial" w:cs="Arial"/>
          <w:sz w:val="22"/>
          <w:szCs w:val="22"/>
          <w:lang w:val="es-ES"/>
        </w:rPr>
        <w:t>921</w:t>
      </w:r>
      <w:r w:rsidR="00BC7CD9">
        <w:rPr>
          <w:rFonts w:ascii="Arial" w:hAnsi="Arial" w:cs="Arial"/>
          <w:sz w:val="22"/>
          <w:szCs w:val="22"/>
          <w:lang w:val="es-ES"/>
        </w:rPr>
        <w:t xml:space="preserve"> casos confirmados y </w:t>
      </w:r>
      <w:r w:rsidR="00B034A6">
        <w:rPr>
          <w:rFonts w:ascii="Arial" w:hAnsi="Arial" w:cs="Arial"/>
          <w:sz w:val="22"/>
          <w:szCs w:val="22"/>
          <w:lang w:val="es-ES"/>
        </w:rPr>
        <w:t>629</w:t>
      </w:r>
      <w:r w:rsidR="00BC7CD9">
        <w:rPr>
          <w:rFonts w:ascii="Arial" w:hAnsi="Arial" w:cs="Arial"/>
          <w:sz w:val="22"/>
          <w:szCs w:val="22"/>
          <w:lang w:val="es-ES"/>
        </w:rPr>
        <w:t xml:space="preserve"> muertes, lo que representa una tasa de fatalidad del </w:t>
      </w:r>
      <w:r w:rsidR="00B034A6">
        <w:rPr>
          <w:rFonts w:ascii="Arial" w:hAnsi="Arial" w:cs="Arial"/>
          <w:sz w:val="22"/>
          <w:szCs w:val="22"/>
          <w:lang w:val="es-ES"/>
        </w:rPr>
        <w:t>2</w:t>
      </w:r>
      <w:r w:rsidR="00BC7CD9">
        <w:rPr>
          <w:rFonts w:ascii="Arial" w:hAnsi="Arial" w:cs="Arial"/>
          <w:sz w:val="22"/>
          <w:szCs w:val="22"/>
          <w:lang w:val="es-ES"/>
        </w:rPr>
        <w:t xml:space="preserve">,7%. El gasto público corriente en salud en Honduras en 2019 es muy similar al promedio de la región (7,9% del Producto Interior Bruto – PIB), y la OMS califica actualmente al país en el nivel 2 de 5 en </w:t>
      </w:r>
      <w:r w:rsidR="00BC7CD9" w:rsidRPr="00103FB0">
        <w:rPr>
          <w:rFonts w:ascii="Arial" w:hAnsi="Arial" w:cs="Arial"/>
          <w:sz w:val="22"/>
          <w:szCs w:val="22"/>
          <w:lang w:val="es-ES"/>
        </w:rPr>
        <w:t>cuanto a su nivel de preparación y capacidad para manejar eventos de salud pública</w:t>
      </w:r>
      <w:r w:rsidR="00BC7CD9" w:rsidRPr="00103FB0">
        <w:rPr>
          <w:rStyle w:val="FootnoteReference"/>
          <w:rFonts w:ascii="Arial" w:hAnsi="Arial" w:cs="Arial"/>
          <w:sz w:val="22"/>
          <w:szCs w:val="22"/>
          <w:lang w:val="es-ES"/>
        </w:rPr>
        <w:footnoteReference w:id="5"/>
      </w:r>
      <w:r w:rsidR="00103FB0" w:rsidRPr="00103FB0">
        <w:rPr>
          <w:rStyle w:val="FootnoteReference"/>
          <w:rFonts w:ascii="Arial" w:hAnsi="Arial" w:cs="Arial"/>
          <w:sz w:val="22"/>
          <w:szCs w:val="22"/>
          <w:lang w:val="es-NI"/>
        </w:rPr>
        <w:t>;</w:t>
      </w:r>
      <w:r w:rsidR="00BC7CD9" w:rsidRPr="00103FB0">
        <w:rPr>
          <w:rStyle w:val="FootnoteReference"/>
          <w:rFonts w:ascii="Arial" w:hAnsi="Arial" w:cs="Arial"/>
          <w:sz w:val="22"/>
          <w:szCs w:val="22"/>
          <w:lang w:val="es-ES"/>
        </w:rPr>
        <w:footnoteReference w:id="6"/>
      </w:r>
      <w:r w:rsidRPr="00103FB0">
        <w:rPr>
          <w:rFonts w:ascii="Arial" w:hAnsi="Arial" w:cs="Arial"/>
          <w:sz w:val="22"/>
          <w:szCs w:val="22"/>
          <w:lang w:val="es-ES"/>
        </w:rPr>
        <w:t>.</w:t>
      </w:r>
      <w:r>
        <w:rPr>
          <w:rFonts w:ascii="Arial" w:hAnsi="Arial" w:cs="Arial"/>
          <w:sz w:val="22"/>
          <w:szCs w:val="22"/>
          <w:lang w:val="es-ES"/>
        </w:rPr>
        <w:t xml:space="preserve"> </w:t>
      </w:r>
    </w:p>
    <w:p w14:paraId="6F77D1B7" w14:textId="554E4396" w:rsidR="00BC7CD9" w:rsidRPr="001F116C" w:rsidRDefault="00BC7CD9" w:rsidP="007C298D">
      <w:pPr>
        <w:pStyle w:val="Paragraph"/>
        <w:numPr>
          <w:ilvl w:val="1"/>
          <w:numId w:val="2"/>
        </w:numPr>
        <w:ind w:left="720" w:hanging="720"/>
        <w:rPr>
          <w:rFonts w:ascii="Arial" w:hAnsi="Arial" w:cs="Arial"/>
          <w:sz w:val="22"/>
          <w:szCs w:val="22"/>
          <w:lang w:val="es-ES_tradnl"/>
        </w:rPr>
      </w:pPr>
      <w:r w:rsidRPr="00BC7CD9">
        <w:rPr>
          <w:rFonts w:ascii="Arial" w:hAnsi="Arial" w:cs="Arial"/>
          <w:sz w:val="22"/>
          <w:szCs w:val="22"/>
          <w:lang w:val="es-ES"/>
        </w:rPr>
        <w:t>Las perspectivas macroeconómicas de Honduras para el 2020 se han deteriorado debido al contexto actual. A principios de este año la previsión de crecimiento era de 2,7% del PIB</w:t>
      </w:r>
      <w:r>
        <w:rPr>
          <w:rStyle w:val="FootnoteReference"/>
          <w:rFonts w:ascii="Arial" w:hAnsi="Arial" w:cs="Arial"/>
          <w:sz w:val="22"/>
          <w:szCs w:val="22"/>
        </w:rPr>
        <w:footnoteReference w:id="7"/>
      </w:r>
      <w:r w:rsidRPr="00BC7CD9">
        <w:rPr>
          <w:rFonts w:ascii="Arial" w:hAnsi="Arial" w:cs="Arial"/>
          <w:sz w:val="22"/>
          <w:szCs w:val="22"/>
          <w:lang w:val="es-ES"/>
        </w:rPr>
        <w:t>, mientras que en la actualidad se espera una contracción economía de</w:t>
      </w:r>
      <w:r w:rsidR="00F46D04">
        <w:rPr>
          <w:rFonts w:ascii="Arial" w:hAnsi="Arial" w:cs="Arial"/>
          <w:sz w:val="22"/>
          <w:szCs w:val="22"/>
          <w:lang w:val="es-ES"/>
        </w:rPr>
        <w:t xml:space="preserve"> entre el</w:t>
      </w:r>
      <w:r w:rsidRPr="00BC7CD9">
        <w:rPr>
          <w:rFonts w:ascii="Arial" w:hAnsi="Arial" w:cs="Arial"/>
          <w:sz w:val="22"/>
          <w:szCs w:val="22"/>
          <w:lang w:val="es-ES"/>
        </w:rPr>
        <w:t xml:space="preserve"> 3,3% </w:t>
      </w:r>
      <w:r w:rsidR="00F46D04">
        <w:rPr>
          <w:rFonts w:ascii="Arial" w:hAnsi="Arial" w:cs="Arial"/>
          <w:sz w:val="22"/>
          <w:szCs w:val="22"/>
          <w:lang w:val="es-ES"/>
        </w:rPr>
        <w:t xml:space="preserve">y el 5,8% </w:t>
      </w:r>
      <w:r w:rsidRPr="00BC7CD9">
        <w:rPr>
          <w:rFonts w:ascii="Arial" w:hAnsi="Arial" w:cs="Arial"/>
          <w:sz w:val="22"/>
          <w:szCs w:val="22"/>
          <w:lang w:val="es-ES"/>
        </w:rPr>
        <w:t>del PIB. Como consecuencia de las medidas de aislamiento se espera que la actividad económica decaiga, lo que propiciará un aumento sustancial del desempleo</w:t>
      </w:r>
      <w:r w:rsidR="005138D4">
        <w:rPr>
          <w:rFonts w:ascii="Arial" w:hAnsi="Arial" w:cs="Arial"/>
          <w:sz w:val="22"/>
          <w:szCs w:val="22"/>
          <w:lang w:val="es-ES"/>
        </w:rPr>
        <w:t xml:space="preserve"> y el subempleo</w:t>
      </w:r>
      <w:r w:rsidRPr="00BC7CD9">
        <w:rPr>
          <w:rFonts w:ascii="Arial" w:hAnsi="Arial" w:cs="Arial"/>
          <w:sz w:val="22"/>
          <w:szCs w:val="22"/>
          <w:lang w:val="es-ES"/>
        </w:rPr>
        <w:t>, una reducción del ingreso de los hogares y una caída del consumo. Además de la contracción de la demanda interna, se espera la reducción de la demanda externa, especialmente de Estados Unidos y la Unión Europea como principales socios comerciales de Honduras</w:t>
      </w:r>
      <w:r w:rsidR="00C3376A">
        <w:rPr>
          <w:rFonts w:ascii="Arial" w:hAnsi="Arial" w:cs="Arial"/>
          <w:sz w:val="22"/>
          <w:szCs w:val="22"/>
          <w:lang w:val="es-ES"/>
        </w:rPr>
        <w:t>, y la caída de las remesas</w:t>
      </w:r>
      <w:r w:rsidR="000107D1" w:rsidRPr="00A03E09">
        <w:rPr>
          <w:rStyle w:val="FootnoteReference"/>
          <w:rFonts w:ascii="Arial" w:hAnsi="Arial" w:cs="Arial"/>
          <w:sz w:val="22"/>
          <w:szCs w:val="22"/>
        </w:rPr>
        <w:footnoteReference w:id="8"/>
      </w:r>
      <w:r w:rsidRPr="00BC7CD9">
        <w:rPr>
          <w:rFonts w:ascii="Arial" w:hAnsi="Arial" w:cs="Arial"/>
          <w:sz w:val="22"/>
          <w:szCs w:val="22"/>
          <w:lang w:val="es-ES"/>
        </w:rPr>
        <w:t xml:space="preserve">. Tras la caída abrupta del PIB en 2020 se espera un retorno a condiciones más normales que propicien una recuperación de la actividad económica, el empleo y el consumo durante el </w:t>
      </w:r>
      <w:r w:rsidR="006C3563" w:rsidRPr="001F116C">
        <w:rPr>
          <w:rFonts w:ascii="Arial" w:hAnsi="Arial" w:cs="Arial"/>
          <w:sz w:val="22"/>
          <w:szCs w:val="22"/>
          <w:lang w:val="es-ES_tradnl"/>
        </w:rPr>
        <w:t>próximo año</w:t>
      </w:r>
      <w:r w:rsidR="00995478" w:rsidRPr="001F116C">
        <w:rPr>
          <w:rFonts w:ascii="Arial" w:hAnsi="Arial" w:cs="Arial"/>
          <w:sz w:val="22"/>
          <w:szCs w:val="22"/>
          <w:lang w:val="es-ES_tradnl"/>
        </w:rPr>
        <w:t>. La</w:t>
      </w:r>
      <w:r w:rsidR="006C3563" w:rsidRPr="001F116C">
        <w:rPr>
          <w:rFonts w:ascii="Arial" w:hAnsi="Arial" w:cs="Arial"/>
          <w:sz w:val="22"/>
          <w:szCs w:val="22"/>
          <w:lang w:val="es-ES_tradnl"/>
        </w:rPr>
        <w:t xml:space="preserve"> proyección de crecimiento </w:t>
      </w:r>
      <w:r w:rsidR="006569E2" w:rsidRPr="001F116C">
        <w:rPr>
          <w:rFonts w:ascii="Arial" w:hAnsi="Arial" w:cs="Arial"/>
          <w:sz w:val="22"/>
          <w:szCs w:val="22"/>
          <w:lang w:val="es-ES_tradnl"/>
        </w:rPr>
        <w:t xml:space="preserve">para 2021 es </w:t>
      </w:r>
      <w:r w:rsidR="006C3563" w:rsidRPr="001F116C">
        <w:rPr>
          <w:rFonts w:ascii="Arial" w:hAnsi="Arial" w:cs="Arial"/>
          <w:sz w:val="22"/>
          <w:szCs w:val="22"/>
          <w:lang w:val="es-ES_tradnl"/>
        </w:rPr>
        <w:t>del 5,1% del PIB</w:t>
      </w:r>
      <w:r w:rsidR="00F65054">
        <w:rPr>
          <w:rStyle w:val="FootnoteReference"/>
          <w:rFonts w:ascii="Arial" w:hAnsi="Arial" w:cs="Arial"/>
          <w:sz w:val="22"/>
          <w:szCs w:val="22"/>
        </w:rPr>
        <w:footnoteReference w:id="9"/>
      </w:r>
      <w:r w:rsidR="00D66829" w:rsidRPr="001F116C">
        <w:rPr>
          <w:rFonts w:ascii="Arial" w:hAnsi="Arial" w:cs="Arial"/>
          <w:sz w:val="22"/>
          <w:szCs w:val="22"/>
          <w:lang w:val="es-ES_tradnl"/>
        </w:rPr>
        <w:t>,</w:t>
      </w:r>
      <w:r w:rsidR="00D66829" w:rsidRPr="001F116C">
        <w:rPr>
          <w:rFonts w:ascii="Arial" w:hAnsi="Arial" w:cs="Arial"/>
          <w:lang w:val="es-ES_tradnl"/>
        </w:rPr>
        <w:t xml:space="preserve"> </w:t>
      </w:r>
      <w:r w:rsidR="00D66829" w:rsidRPr="001F116C">
        <w:rPr>
          <w:rFonts w:ascii="Arial" w:hAnsi="Arial" w:cs="Arial"/>
          <w:sz w:val="22"/>
          <w:szCs w:val="22"/>
          <w:lang w:val="es-ES_tradnl"/>
        </w:rPr>
        <w:t>aunque aún existe incertidumbre sobre el impacto final que el COVID-19 pueda llegar a tener en la economía, y l</w:t>
      </w:r>
      <w:r w:rsidR="00D66829" w:rsidRPr="00637D94">
        <w:rPr>
          <w:rFonts w:ascii="Arial" w:hAnsi="Arial" w:cs="Arial"/>
          <w:sz w:val="22"/>
          <w:szCs w:val="22"/>
          <w:lang w:val="es-PA"/>
        </w:rPr>
        <w:t>a velocidad de la reacción dependerá en gran medida de la recuperación económica de los Estados Unidos</w:t>
      </w:r>
      <w:r w:rsidR="00D66829">
        <w:rPr>
          <w:rFonts w:ascii="Arial" w:hAnsi="Arial" w:cs="Arial"/>
          <w:sz w:val="22"/>
          <w:szCs w:val="22"/>
          <w:lang w:val="es-PA"/>
        </w:rPr>
        <w:t>.</w:t>
      </w:r>
    </w:p>
    <w:p w14:paraId="6C17D44C" w14:textId="496179DA" w:rsidR="003D32CD" w:rsidRDefault="003D32CD" w:rsidP="003D32CD">
      <w:pPr>
        <w:pStyle w:val="Paragraph"/>
        <w:numPr>
          <w:ilvl w:val="1"/>
          <w:numId w:val="2"/>
        </w:numPr>
        <w:ind w:left="720" w:hanging="720"/>
        <w:rPr>
          <w:rFonts w:ascii="Arial" w:hAnsi="Arial" w:cs="Arial"/>
          <w:sz w:val="22"/>
          <w:szCs w:val="22"/>
          <w:lang w:val="es-ES_tradnl"/>
        </w:rPr>
      </w:pPr>
      <w:r w:rsidRPr="00A8655B">
        <w:rPr>
          <w:rFonts w:ascii="Arial" w:hAnsi="Arial" w:cs="Arial"/>
          <w:sz w:val="22"/>
          <w:szCs w:val="22"/>
          <w:lang w:val="es-ES_tradnl"/>
        </w:rPr>
        <w:t xml:space="preserve">Con impactos económicos esperados en distintos canales, esta intervención se centra en la problemática del financiamiento a las Micro, Pequeña y Mediana Empresa (MIPYME) para su supervivencia como sostén del empleo en </w:t>
      </w:r>
      <w:r w:rsidR="00BC7CD9">
        <w:rPr>
          <w:rFonts w:ascii="Arial" w:hAnsi="Arial" w:cs="Arial"/>
          <w:sz w:val="22"/>
          <w:szCs w:val="22"/>
          <w:lang w:val="es-ES_tradnl"/>
        </w:rPr>
        <w:t>Honduras</w:t>
      </w:r>
      <w:r w:rsidRPr="00A8655B">
        <w:rPr>
          <w:rFonts w:ascii="Arial" w:hAnsi="Arial" w:cs="Arial"/>
          <w:sz w:val="22"/>
          <w:szCs w:val="22"/>
          <w:lang w:val="es-ES_tradnl"/>
        </w:rPr>
        <w:t xml:space="preserve">. El desafío, para defender el tejido productivo de </w:t>
      </w:r>
      <w:r w:rsidR="00BC7CD9">
        <w:rPr>
          <w:rFonts w:ascii="Arial" w:hAnsi="Arial" w:cs="Arial"/>
          <w:sz w:val="22"/>
          <w:szCs w:val="22"/>
          <w:lang w:val="es-ES_tradnl"/>
        </w:rPr>
        <w:t>Honduras</w:t>
      </w:r>
      <w:r w:rsidRPr="00A8655B">
        <w:rPr>
          <w:rFonts w:ascii="Arial" w:hAnsi="Arial" w:cs="Arial"/>
          <w:sz w:val="22"/>
          <w:szCs w:val="22"/>
          <w:lang w:val="es-ES_tradnl"/>
        </w:rPr>
        <w:t xml:space="preserve"> durante el periodo de recesión asociado a la crisis del COVID-19, es mantener operando al mayor número posible de MIPYME que eran viables precrisis, así como apoyar a las </w:t>
      </w:r>
      <w:r w:rsidRPr="00A8655B">
        <w:rPr>
          <w:rFonts w:ascii="Arial" w:hAnsi="Arial" w:cs="Arial"/>
          <w:sz w:val="22"/>
          <w:szCs w:val="22"/>
          <w:lang w:val="es-ES_tradnl"/>
        </w:rPr>
        <w:lastRenderedPageBreak/>
        <w:t xml:space="preserve">cadenas de valor donde típicamente se integran un gran número de estas MIPYME para que puedan seguir funcionando con normalidad. </w:t>
      </w:r>
    </w:p>
    <w:p w14:paraId="2F7FDD34" w14:textId="2AADD1C5" w:rsidR="00BC7CD9" w:rsidRPr="001F116C" w:rsidRDefault="003D32CD" w:rsidP="007C298D">
      <w:pPr>
        <w:pStyle w:val="Paragraph"/>
        <w:numPr>
          <w:ilvl w:val="1"/>
          <w:numId w:val="2"/>
        </w:numPr>
        <w:ind w:left="720" w:hanging="720"/>
        <w:rPr>
          <w:sz w:val="22"/>
          <w:szCs w:val="22"/>
          <w:lang w:val="es-ES_tradnl"/>
        </w:rPr>
      </w:pPr>
      <w:r w:rsidRPr="001F116C">
        <w:rPr>
          <w:rFonts w:ascii="Arial" w:hAnsi="Arial" w:cs="Arial"/>
          <w:b/>
          <w:bCs/>
          <w:sz w:val="22"/>
          <w:szCs w:val="22"/>
          <w:lang w:val="es-ES_tradnl"/>
        </w:rPr>
        <w:t>La importancia de la MIPYME en la economía.</w:t>
      </w:r>
      <w:r w:rsidRPr="001F116C">
        <w:rPr>
          <w:rFonts w:ascii="Arial" w:hAnsi="Arial" w:cs="Arial"/>
          <w:sz w:val="22"/>
          <w:szCs w:val="22"/>
          <w:lang w:val="es-ES_tradnl"/>
        </w:rPr>
        <w:t xml:space="preserve"> </w:t>
      </w:r>
      <w:r w:rsidR="00BC7CD9" w:rsidRPr="001F116C">
        <w:rPr>
          <w:rFonts w:ascii="Arial" w:eastAsia="Arial" w:hAnsi="Arial" w:cs="Arial"/>
          <w:sz w:val="22"/>
          <w:szCs w:val="22"/>
          <w:lang w:val="es-ES_tradnl"/>
        </w:rPr>
        <w:t>En Honduras la MIPYME es parte fundamental del tejido productivo y el empleo de la economía. En 2017 el número de MIPYME formales del país ascendía a más de 147</w:t>
      </w:r>
      <w:r w:rsidR="00103FB0" w:rsidRPr="001F116C">
        <w:rPr>
          <w:rFonts w:ascii="Arial" w:eastAsia="Arial" w:hAnsi="Arial" w:cs="Arial"/>
          <w:sz w:val="22"/>
          <w:szCs w:val="22"/>
          <w:lang w:val="es-ES_tradnl"/>
        </w:rPr>
        <w:t>.</w:t>
      </w:r>
      <w:r w:rsidR="00BC7CD9" w:rsidRPr="001F116C">
        <w:rPr>
          <w:rFonts w:ascii="Arial" w:eastAsia="Arial" w:hAnsi="Arial" w:cs="Arial"/>
          <w:sz w:val="22"/>
          <w:szCs w:val="22"/>
          <w:lang w:val="es-ES_tradnl"/>
        </w:rPr>
        <w:t xml:space="preserve">317 y se estima que </w:t>
      </w:r>
      <w:r w:rsidR="00BC7CD9" w:rsidRPr="007C298D">
        <w:rPr>
          <w:rFonts w:ascii="Arial" w:hAnsi="Arial" w:cs="Arial"/>
          <w:sz w:val="22"/>
          <w:szCs w:val="22"/>
          <w:lang w:val="es-ES_tradnl"/>
        </w:rPr>
        <w:t>éstas</w:t>
      </w:r>
      <w:r w:rsidR="00BC7CD9" w:rsidRPr="001F116C">
        <w:rPr>
          <w:rFonts w:ascii="Arial" w:eastAsia="Arial" w:hAnsi="Arial" w:cs="Arial"/>
          <w:sz w:val="22"/>
          <w:szCs w:val="22"/>
          <w:lang w:val="es-ES_tradnl"/>
        </w:rPr>
        <w:t xml:space="preserve"> dan trabajo al 70% de los empleados de la economía del país. El 96% de estas empresas se estima que son microempresas, el 3% pequeñas y el 1% medianas. En términos de actividad sectorial, la microempresa concentra su mayor actividad en comercio, hoteles y restaurantes (70% del total), al igual que las pequeñas (60% del total) y las medianas (50% del total). </w:t>
      </w:r>
    </w:p>
    <w:p w14:paraId="5755D65A" w14:textId="77777777" w:rsidR="00BC7CD9" w:rsidRPr="00103FB0" w:rsidRDefault="00BC7CD9" w:rsidP="00BC7CD9">
      <w:pPr>
        <w:pStyle w:val="ListParagraph"/>
        <w:spacing w:before="120" w:after="120"/>
        <w:contextualSpacing w:val="0"/>
        <w:jc w:val="center"/>
        <w:rPr>
          <w:sz w:val="18"/>
          <w:szCs w:val="18"/>
        </w:rPr>
      </w:pPr>
      <w:r w:rsidRPr="00103FB0">
        <w:rPr>
          <w:rFonts w:ascii="Arial" w:eastAsia="Arial" w:hAnsi="Arial" w:cs="Arial"/>
          <w:b/>
          <w:bCs/>
          <w:sz w:val="18"/>
          <w:szCs w:val="18"/>
        </w:rPr>
        <w:t>Cuadro 1. Definición oficial de MIPYME en Honduras</w:t>
      </w:r>
    </w:p>
    <w:tbl>
      <w:tblPr>
        <w:tblStyle w:val="TableGrid"/>
        <w:tblW w:w="0" w:type="auto"/>
        <w:tblInd w:w="720" w:type="dxa"/>
        <w:tblLook w:val="04A0" w:firstRow="1" w:lastRow="0" w:firstColumn="1" w:lastColumn="0" w:noHBand="0" w:noVBand="1"/>
      </w:tblPr>
      <w:tblGrid>
        <w:gridCol w:w="2005"/>
        <w:gridCol w:w="1943"/>
        <w:gridCol w:w="1983"/>
        <w:gridCol w:w="1979"/>
      </w:tblGrid>
      <w:tr w:rsidR="00BC7CD9" w:rsidRPr="00103FB0" w14:paraId="25F6D451" w14:textId="77777777" w:rsidTr="00871C1E">
        <w:tc>
          <w:tcPr>
            <w:tcW w:w="2157" w:type="dxa"/>
            <w:vAlign w:val="center"/>
          </w:tcPr>
          <w:p w14:paraId="130D18F5" w14:textId="77777777" w:rsidR="00BC7CD9" w:rsidRPr="00103FB0" w:rsidRDefault="00BC7CD9" w:rsidP="00871C1E">
            <w:pPr>
              <w:pStyle w:val="ListParagraph"/>
              <w:spacing w:before="60" w:after="60"/>
              <w:ind w:left="0"/>
              <w:contextualSpacing w:val="0"/>
              <w:jc w:val="center"/>
              <w:rPr>
                <w:rFonts w:ascii="Arial" w:eastAsia="Arial" w:hAnsi="Arial" w:cs="Arial"/>
                <w:b/>
                <w:bCs/>
                <w:sz w:val="18"/>
                <w:szCs w:val="18"/>
              </w:rPr>
            </w:pPr>
            <w:r w:rsidRPr="00103FB0">
              <w:rPr>
                <w:rFonts w:ascii="Arial" w:eastAsia="Arial" w:hAnsi="Arial" w:cs="Arial"/>
                <w:b/>
                <w:bCs/>
                <w:sz w:val="18"/>
                <w:szCs w:val="18"/>
              </w:rPr>
              <w:t>Variable</w:t>
            </w:r>
          </w:p>
        </w:tc>
        <w:tc>
          <w:tcPr>
            <w:tcW w:w="2157" w:type="dxa"/>
            <w:vAlign w:val="center"/>
          </w:tcPr>
          <w:p w14:paraId="788335CF" w14:textId="77777777" w:rsidR="00BC7CD9" w:rsidRPr="00103FB0" w:rsidRDefault="00BC7CD9" w:rsidP="00871C1E">
            <w:pPr>
              <w:pStyle w:val="ListParagraph"/>
              <w:spacing w:before="60" w:after="60"/>
              <w:ind w:left="0"/>
              <w:contextualSpacing w:val="0"/>
              <w:jc w:val="center"/>
              <w:rPr>
                <w:rFonts w:ascii="Arial" w:eastAsia="Arial" w:hAnsi="Arial" w:cs="Arial"/>
                <w:b/>
                <w:bCs/>
                <w:sz w:val="18"/>
                <w:szCs w:val="18"/>
              </w:rPr>
            </w:pPr>
            <w:r w:rsidRPr="00103FB0">
              <w:rPr>
                <w:rFonts w:ascii="Arial" w:eastAsia="Arial" w:hAnsi="Arial" w:cs="Arial"/>
                <w:b/>
                <w:bCs/>
                <w:sz w:val="18"/>
                <w:szCs w:val="18"/>
              </w:rPr>
              <w:t>Micro</w:t>
            </w:r>
          </w:p>
        </w:tc>
        <w:tc>
          <w:tcPr>
            <w:tcW w:w="2158" w:type="dxa"/>
            <w:vAlign w:val="center"/>
          </w:tcPr>
          <w:p w14:paraId="5CB438FD" w14:textId="77777777" w:rsidR="00BC7CD9" w:rsidRPr="00103FB0" w:rsidRDefault="00BC7CD9" w:rsidP="00871C1E">
            <w:pPr>
              <w:pStyle w:val="ListParagraph"/>
              <w:spacing w:before="60" w:after="60"/>
              <w:ind w:left="0"/>
              <w:contextualSpacing w:val="0"/>
              <w:jc w:val="center"/>
              <w:rPr>
                <w:rFonts w:ascii="Arial" w:eastAsia="Arial" w:hAnsi="Arial" w:cs="Arial"/>
                <w:b/>
                <w:bCs/>
                <w:sz w:val="18"/>
                <w:szCs w:val="18"/>
              </w:rPr>
            </w:pPr>
            <w:r w:rsidRPr="00103FB0">
              <w:rPr>
                <w:rFonts w:ascii="Arial" w:eastAsia="Arial" w:hAnsi="Arial" w:cs="Arial"/>
                <w:b/>
                <w:bCs/>
                <w:sz w:val="18"/>
                <w:szCs w:val="18"/>
              </w:rPr>
              <w:t>Pequeña</w:t>
            </w:r>
          </w:p>
        </w:tc>
        <w:tc>
          <w:tcPr>
            <w:tcW w:w="2158" w:type="dxa"/>
            <w:vAlign w:val="center"/>
          </w:tcPr>
          <w:p w14:paraId="08FB263E" w14:textId="77777777" w:rsidR="00BC7CD9" w:rsidRPr="00103FB0" w:rsidRDefault="00BC7CD9" w:rsidP="00871C1E">
            <w:pPr>
              <w:pStyle w:val="ListParagraph"/>
              <w:spacing w:before="60" w:after="60"/>
              <w:ind w:left="0"/>
              <w:contextualSpacing w:val="0"/>
              <w:jc w:val="center"/>
              <w:rPr>
                <w:rFonts w:ascii="Arial" w:eastAsia="Arial" w:hAnsi="Arial" w:cs="Arial"/>
                <w:b/>
                <w:bCs/>
                <w:sz w:val="18"/>
                <w:szCs w:val="18"/>
              </w:rPr>
            </w:pPr>
            <w:r w:rsidRPr="00103FB0">
              <w:rPr>
                <w:rFonts w:ascii="Arial" w:eastAsia="Arial" w:hAnsi="Arial" w:cs="Arial"/>
                <w:b/>
                <w:bCs/>
                <w:sz w:val="18"/>
                <w:szCs w:val="18"/>
              </w:rPr>
              <w:t>Mediana</w:t>
            </w:r>
          </w:p>
        </w:tc>
      </w:tr>
      <w:tr w:rsidR="00BC7CD9" w:rsidRPr="00103FB0" w14:paraId="4CFDD3C5" w14:textId="77777777" w:rsidTr="00871C1E">
        <w:tc>
          <w:tcPr>
            <w:tcW w:w="2157" w:type="dxa"/>
            <w:vAlign w:val="center"/>
          </w:tcPr>
          <w:p w14:paraId="093BFF52" w14:textId="77777777" w:rsidR="00BC7CD9" w:rsidRPr="00103FB0" w:rsidRDefault="00BC7CD9" w:rsidP="00871C1E">
            <w:pPr>
              <w:pStyle w:val="ListParagraph"/>
              <w:spacing w:before="60" w:after="60"/>
              <w:ind w:left="0"/>
              <w:contextualSpacing w:val="0"/>
              <w:jc w:val="center"/>
              <w:rPr>
                <w:rFonts w:ascii="Arial" w:eastAsia="Arial" w:hAnsi="Arial" w:cs="Arial"/>
                <w:sz w:val="18"/>
                <w:szCs w:val="18"/>
              </w:rPr>
            </w:pPr>
            <w:r w:rsidRPr="00103FB0">
              <w:rPr>
                <w:rFonts w:ascii="Arial" w:eastAsia="Arial" w:hAnsi="Arial" w:cs="Arial"/>
                <w:sz w:val="18"/>
                <w:szCs w:val="18"/>
              </w:rPr>
              <w:t>Empleados</w:t>
            </w:r>
          </w:p>
        </w:tc>
        <w:tc>
          <w:tcPr>
            <w:tcW w:w="2157" w:type="dxa"/>
            <w:vAlign w:val="center"/>
          </w:tcPr>
          <w:p w14:paraId="5DBEA2BC" w14:textId="77777777" w:rsidR="00BC7CD9" w:rsidRPr="00103FB0" w:rsidRDefault="00BC7CD9" w:rsidP="00871C1E">
            <w:pPr>
              <w:pStyle w:val="ListParagraph"/>
              <w:spacing w:before="60" w:after="60"/>
              <w:ind w:left="0"/>
              <w:contextualSpacing w:val="0"/>
              <w:jc w:val="center"/>
              <w:rPr>
                <w:rFonts w:ascii="Arial" w:eastAsia="Arial" w:hAnsi="Arial" w:cs="Arial"/>
                <w:sz w:val="18"/>
                <w:szCs w:val="18"/>
              </w:rPr>
            </w:pPr>
            <w:r w:rsidRPr="00103FB0">
              <w:rPr>
                <w:rFonts w:ascii="Arial" w:eastAsia="Arial" w:hAnsi="Arial" w:cs="Arial"/>
                <w:sz w:val="18"/>
                <w:szCs w:val="18"/>
              </w:rPr>
              <w:t>1-10</w:t>
            </w:r>
          </w:p>
        </w:tc>
        <w:tc>
          <w:tcPr>
            <w:tcW w:w="2158" w:type="dxa"/>
            <w:vAlign w:val="center"/>
          </w:tcPr>
          <w:p w14:paraId="7575FE1B" w14:textId="77777777" w:rsidR="00BC7CD9" w:rsidRPr="00103FB0" w:rsidRDefault="00BC7CD9" w:rsidP="00871C1E">
            <w:pPr>
              <w:pStyle w:val="ListParagraph"/>
              <w:spacing w:before="60" w:after="60"/>
              <w:ind w:left="0"/>
              <w:contextualSpacing w:val="0"/>
              <w:jc w:val="center"/>
              <w:rPr>
                <w:rFonts w:ascii="Arial" w:eastAsia="Arial" w:hAnsi="Arial" w:cs="Arial"/>
                <w:sz w:val="18"/>
                <w:szCs w:val="18"/>
              </w:rPr>
            </w:pPr>
            <w:r w:rsidRPr="00103FB0">
              <w:rPr>
                <w:rFonts w:ascii="Arial" w:eastAsia="Arial" w:hAnsi="Arial" w:cs="Arial"/>
                <w:sz w:val="18"/>
                <w:szCs w:val="18"/>
              </w:rPr>
              <w:t>11-50</w:t>
            </w:r>
          </w:p>
        </w:tc>
        <w:tc>
          <w:tcPr>
            <w:tcW w:w="2158" w:type="dxa"/>
            <w:vAlign w:val="center"/>
          </w:tcPr>
          <w:p w14:paraId="4AA23CA8" w14:textId="77777777" w:rsidR="00BC7CD9" w:rsidRPr="00103FB0" w:rsidRDefault="00BC7CD9" w:rsidP="00871C1E">
            <w:pPr>
              <w:pStyle w:val="ListParagraph"/>
              <w:spacing w:before="60" w:after="60"/>
              <w:ind w:left="0"/>
              <w:contextualSpacing w:val="0"/>
              <w:jc w:val="center"/>
              <w:rPr>
                <w:rFonts w:ascii="Arial" w:eastAsia="Arial" w:hAnsi="Arial" w:cs="Arial"/>
                <w:sz w:val="18"/>
                <w:szCs w:val="18"/>
              </w:rPr>
            </w:pPr>
            <w:r w:rsidRPr="00103FB0">
              <w:rPr>
                <w:rFonts w:ascii="Arial" w:eastAsia="Arial" w:hAnsi="Arial" w:cs="Arial"/>
                <w:sz w:val="18"/>
                <w:szCs w:val="18"/>
              </w:rPr>
              <w:t>51-150</w:t>
            </w:r>
          </w:p>
        </w:tc>
      </w:tr>
    </w:tbl>
    <w:p w14:paraId="40B20522" w14:textId="3B14C2C1" w:rsidR="00BC7CD9" w:rsidRPr="00103FB0" w:rsidRDefault="00103FB0" w:rsidP="00BC7CD9">
      <w:pPr>
        <w:pStyle w:val="ListParagraph"/>
        <w:spacing w:before="120" w:after="120"/>
        <w:contextualSpacing w:val="0"/>
        <w:rPr>
          <w:rFonts w:ascii="Arial" w:eastAsia="Arial" w:hAnsi="Arial" w:cs="Arial"/>
          <w:sz w:val="18"/>
          <w:szCs w:val="18"/>
        </w:rPr>
      </w:pPr>
      <w:r w:rsidRPr="00103FB0">
        <w:rPr>
          <w:rFonts w:ascii="Arial" w:eastAsia="Arial" w:hAnsi="Arial" w:cs="Arial"/>
          <w:sz w:val="18"/>
          <w:szCs w:val="18"/>
        </w:rPr>
        <w:t>Fuente</w:t>
      </w:r>
      <w:r w:rsidR="00BC7CD9" w:rsidRPr="00103FB0">
        <w:rPr>
          <w:rFonts w:ascii="Arial" w:eastAsia="Arial" w:hAnsi="Arial" w:cs="Arial"/>
          <w:sz w:val="18"/>
          <w:szCs w:val="18"/>
        </w:rPr>
        <w:t>: Clasificación nacional de MIPYME según Ley (</w:t>
      </w:r>
      <w:hyperlink r:id="rId19">
        <w:r w:rsidR="00BC7CD9" w:rsidRPr="00103FB0">
          <w:rPr>
            <w:rStyle w:val="Hyperlink"/>
            <w:rFonts w:ascii="Arial" w:hAnsi="Arial" w:cs="Arial"/>
            <w:sz w:val="18"/>
            <w:szCs w:val="18"/>
            <w:lang w:val="es-PA"/>
          </w:rPr>
          <w:t>Decreto 135-2008</w:t>
        </w:r>
      </w:hyperlink>
      <w:r w:rsidR="00BC7CD9" w:rsidRPr="00103FB0">
        <w:rPr>
          <w:rFonts w:ascii="Arial" w:eastAsia="Arial" w:hAnsi="Arial" w:cs="Arial"/>
          <w:sz w:val="18"/>
          <w:szCs w:val="18"/>
        </w:rPr>
        <w:t>).</w:t>
      </w:r>
    </w:p>
    <w:p w14:paraId="69384B56" w14:textId="1E7BE3D6" w:rsidR="003D32CD" w:rsidRPr="00A8655B" w:rsidRDefault="003D32CD" w:rsidP="003D32CD">
      <w:pPr>
        <w:pStyle w:val="Paragraph"/>
        <w:numPr>
          <w:ilvl w:val="1"/>
          <w:numId w:val="2"/>
        </w:numPr>
        <w:ind w:left="720" w:hanging="720"/>
        <w:rPr>
          <w:rFonts w:ascii="Arial" w:hAnsi="Arial" w:cs="Arial"/>
          <w:sz w:val="22"/>
          <w:szCs w:val="22"/>
          <w:lang w:val="es-ES_tradnl"/>
        </w:rPr>
      </w:pPr>
      <w:r w:rsidRPr="008F4D57">
        <w:rPr>
          <w:rFonts w:ascii="Arial" w:hAnsi="Arial" w:cs="Arial"/>
          <w:sz w:val="22"/>
          <w:szCs w:val="22"/>
          <w:lang w:val="es-ES"/>
        </w:rPr>
        <w:t>La ve</w:t>
      </w:r>
      <w:r w:rsidRPr="00D64708">
        <w:rPr>
          <w:rFonts w:ascii="Arial" w:hAnsi="Arial" w:cs="Arial"/>
          <w:sz w:val="22"/>
          <w:szCs w:val="22"/>
          <w:lang w:val="es-ES"/>
        </w:rPr>
        <w:t>l</w:t>
      </w:r>
      <w:r w:rsidRPr="006F3785">
        <w:rPr>
          <w:rFonts w:ascii="Arial" w:hAnsi="Arial" w:cs="Arial"/>
          <w:sz w:val="22"/>
          <w:szCs w:val="22"/>
          <w:lang w:val="es-ES"/>
        </w:rPr>
        <w:t>ocidad esperada de propagación</w:t>
      </w:r>
      <w:r w:rsidRPr="00F413A0">
        <w:rPr>
          <w:rFonts w:ascii="Arial" w:hAnsi="Arial" w:cs="Arial"/>
          <w:sz w:val="22"/>
          <w:szCs w:val="22"/>
          <w:lang w:val="es-ES"/>
        </w:rPr>
        <w:t xml:space="preserve"> </w:t>
      </w:r>
      <w:r w:rsidRPr="00B40281">
        <w:rPr>
          <w:rFonts w:ascii="Arial" w:hAnsi="Arial" w:cs="Arial"/>
          <w:sz w:val="22"/>
          <w:szCs w:val="22"/>
          <w:lang w:val="es-ES"/>
        </w:rPr>
        <w:t>de la recesión</w:t>
      </w:r>
      <w:r w:rsidRPr="006249D6">
        <w:rPr>
          <w:rFonts w:ascii="Arial" w:hAnsi="Arial" w:cs="Arial"/>
          <w:sz w:val="22"/>
          <w:szCs w:val="22"/>
          <w:lang w:val="es-ES"/>
        </w:rPr>
        <w:t xml:space="preserve"> económica</w:t>
      </w:r>
      <w:r w:rsidRPr="00502314">
        <w:rPr>
          <w:rFonts w:ascii="Arial" w:hAnsi="Arial" w:cs="Arial"/>
          <w:sz w:val="22"/>
          <w:szCs w:val="22"/>
          <w:lang w:val="es-ES"/>
        </w:rPr>
        <w:t xml:space="preserve"> a </w:t>
      </w:r>
      <w:r w:rsidRPr="00B2623E">
        <w:rPr>
          <w:rFonts w:ascii="Arial" w:hAnsi="Arial" w:cs="Arial"/>
          <w:sz w:val="22"/>
          <w:szCs w:val="22"/>
          <w:lang w:val="es-ES"/>
        </w:rPr>
        <w:t xml:space="preserve">la </w:t>
      </w:r>
      <w:r w:rsidRPr="009B7B46">
        <w:rPr>
          <w:rFonts w:ascii="Arial" w:hAnsi="Arial" w:cs="Arial"/>
          <w:sz w:val="22"/>
          <w:szCs w:val="22"/>
          <w:lang w:val="es-ES"/>
        </w:rPr>
        <w:t xml:space="preserve">MIPYME </w:t>
      </w:r>
      <w:r w:rsidRPr="00AA1D42">
        <w:rPr>
          <w:rFonts w:ascii="Arial" w:hAnsi="Arial" w:cs="Arial"/>
          <w:sz w:val="22"/>
          <w:szCs w:val="22"/>
          <w:lang w:val="es-ES"/>
        </w:rPr>
        <w:t xml:space="preserve">es alta </w:t>
      </w:r>
      <w:r w:rsidRPr="00787236">
        <w:rPr>
          <w:rFonts w:ascii="Arial" w:hAnsi="Arial" w:cs="Arial"/>
          <w:sz w:val="22"/>
          <w:szCs w:val="22"/>
          <w:lang w:val="es-ES"/>
        </w:rPr>
        <w:t>debido a que</w:t>
      </w:r>
      <w:r>
        <w:rPr>
          <w:rFonts w:ascii="Arial" w:hAnsi="Arial" w:cs="Arial"/>
          <w:sz w:val="22"/>
          <w:szCs w:val="22"/>
          <w:lang w:val="es-ES"/>
        </w:rPr>
        <w:t xml:space="preserve">: (i) </w:t>
      </w:r>
      <w:r w:rsidRPr="2EB4F83A">
        <w:rPr>
          <w:rFonts w:ascii="Arial" w:hAnsi="Arial" w:cs="Arial"/>
          <w:sz w:val="22"/>
          <w:szCs w:val="22"/>
          <w:lang w:val="es-ES"/>
        </w:rPr>
        <w:t xml:space="preserve">se encuentran integradas en muchas cadenas de valor que son </w:t>
      </w:r>
      <w:r w:rsidRPr="00B82866">
        <w:rPr>
          <w:rFonts w:ascii="Arial" w:hAnsi="Arial" w:cs="Arial"/>
          <w:sz w:val="22"/>
          <w:szCs w:val="22"/>
          <w:lang w:val="es-ES_tradnl"/>
        </w:rPr>
        <w:t>fundamentales</w:t>
      </w:r>
      <w:r w:rsidRPr="2EB4F83A">
        <w:rPr>
          <w:rFonts w:ascii="Arial" w:hAnsi="Arial" w:cs="Arial"/>
          <w:sz w:val="22"/>
          <w:szCs w:val="22"/>
          <w:lang w:val="es-ES"/>
        </w:rPr>
        <w:t xml:space="preserve"> para la producción de bienes y servicios de primera necesidad para las economías y los ciudad</w:t>
      </w:r>
      <w:r>
        <w:rPr>
          <w:rFonts w:ascii="Arial" w:hAnsi="Arial" w:cs="Arial"/>
          <w:sz w:val="22"/>
          <w:szCs w:val="22"/>
          <w:lang w:val="es-ES"/>
        </w:rPr>
        <w:t>ano</w:t>
      </w:r>
      <w:r w:rsidRPr="2EB4F83A">
        <w:rPr>
          <w:rFonts w:ascii="Arial" w:hAnsi="Arial" w:cs="Arial"/>
          <w:sz w:val="22"/>
          <w:szCs w:val="22"/>
          <w:lang w:val="es-ES"/>
        </w:rPr>
        <w:t>s de la región</w:t>
      </w:r>
      <w:r w:rsidR="00103FB0">
        <w:rPr>
          <w:rFonts w:ascii="Arial" w:hAnsi="Arial" w:cs="Arial"/>
          <w:sz w:val="22"/>
          <w:szCs w:val="22"/>
          <w:lang w:val="es-ES"/>
        </w:rPr>
        <w:t>;</w:t>
      </w:r>
      <w:r w:rsidRPr="2EB4F83A">
        <w:rPr>
          <w:rFonts w:ascii="Arial" w:hAnsi="Arial" w:cs="Arial"/>
          <w:sz w:val="22"/>
          <w:szCs w:val="22"/>
          <w:lang w:val="es-ES"/>
        </w:rPr>
        <w:t xml:space="preserve"> </w:t>
      </w:r>
      <w:r>
        <w:rPr>
          <w:rFonts w:ascii="Arial" w:hAnsi="Arial" w:cs="Arial"/>
          <w:sz w:val="22"/>
          <w:szCs w:val="22"/>
          <w:lang w:val="es-ES"/>
        </w:rPr>
        <w:t>y (ii) se</w:t>
      </w:r>
      <w:r w:rsidRPr="00787236">
        <w:rPr>
          <w:rFonts w:ascii="Arial" w:hAnsi="Arial" w:cs="Arial"/>
          <w:sz w:val="22"/>
          <w:szCs w:val="22"/>
          <w:lang w:val="es-ES"/>
        </w:rPr>
        <w:t xml:space="preserve"> ven a</w:t>
      </w:r>
      <w:r w:rsidRPr="00F622F4">
        <w:rPr>
          <w:rFonts w:ascii="Arial" w:hAnsi="Arial" w:cs="Arial"/>
          <w:sz w:val="22"/>
          <w:szCs w:val="22"/>
          <w:lang w:val="es-ES"/>
        </w:rPr>
        <w:t>fectadas por los cinco canales de transmisión de impactos</w:t>
      </w:r>
      <w:r>
        <w:rPr>
          <w:rFonts w:ascii="Arial" w:hAnsi="Arial" w:cs="Arial"/>
          <w:sz w:val="22"/>
          <w:szCs w:val="22"/>
          <w:lang w:val="es-ES"/>
        </w:rPr>
        <w:t xml:space="preserve">: </w:t>
      </w:r>
      <w:r w:rsidRPr="00514234">
        <w:rPr>
          <w:rFonts w:ascii="Arial" w:hAnsi="Arial" w:cs="Arial"/>
          <w:sz w:val="22"/>
          <w:szCs w:val="22"/>
          <w:lang w:val="es-ES"/>
        </w:rPr>
        <w:t>(</w:t>
      </w:r>
      <w:r>
        <w:rPr>
          <w:rFonts w:ascii="Arial" w:hAnsi="Arial" w:cs="Arial"/>
          <w:sz w:val="22"/>
          <w:szCs w:val="22"/>
          <w:lang w:val="es-ES"/>
        </w:rPr>
        <w:t>a</w:t>
      </w:r>
      <w:r w:rsidRPr="00514234">
        <w:rPr>
          <w:rFonts w:ascii="Arial" w:hAnsi="Arial" w:cs="Arial"/>
          <w:sz w:val="22"/>
          <w:szCs w:val="22"/>
          <w:lang w:val="es-ES"/>
        </w:rPr>
        <w:t>) disminución de la actividad económica de los principales socios comerciales que impactará las demanda por exportaciones; (</w:t>
      </w:r>
      <w:r>
        <w:rPr>
          <w:rFonts w:ascii="Arial" w:hAnsi="Arial" w:cs="Arial"/>
          <w:sz w:val="22"/>
          <w:szCs w:val="22"/>
          <w:lang w:val="es-ES"/>
        </w:rPr>
        <w:t>b</w:t>
      </w:r>
      <w:r w:rsidRPr="00514234">
        <w:rPr>
          <w:rFonts w:ascii="Arial" w:hAnsi="Arial" w:cs="Arial"/>
          <w:sz w:val="22"/>
          <w:szCs w:val="22"/>
          <w:lang w:val="es-ES"/>
        </w:rPr>
        <w:t>) caída en la demanda por servicios de turismo; (</w:t>
      </w:r>
      <w:r>
        <w:rPr>
          <w:rFonts w:ascii="Arial" w:hAnsi="Arial" w:cs="Arial"/>
          <w:sz w:val="22"/>
          <w:szCs w:val="22"/>
          <w:lang w:val="es-ES"/>
        </w:rPr>
        <w:t>c</w:t>
      </w:r>
      <w:r w:rsidRPr="00514234">
        <w:rPr>
          <w:rFonts w:ascii="Arial" w:hAnsi="Arial" w:cs="Arial"/>
          <w:sz w:val="22"/>
          <w:szCs w:val="22"/>
          <w:lang w:val="es-ES"/>
        </w:rPr>
        <w:t>)</w:t>
      </w:r>
      <w:r>
        <w:rPr>
          <w:rFonts w:ascii="Arial" w:hAnsi="Arial" w:cs="Arial"/>
          <w:sz w:val="22"/>
          <w:szCs w:val="22"/>
          <w:lang w:val="es-ES"/>
        </w:rPr>
        <w:t> </w:t>
      </w:r>
      <w:r w:rsidRPr="00514234">
        <w:rPr>
          <w:rFonts w:ascii="Arial" w:hAnsi="Arial" w:cs="Arial"/>
          <w:sz w:val="22"/>
          <w:szCs w:val="22"/>
          <w:lang w:val="es-ES"/>
        </w:rPr>
        <w:t>interrupción de las cadenas globales de valor; (</w:t>
      </w:r>
      <w:r>
        <w:rPr>
          <w:rFonts w:ascii="Arial" w:hAnsi="Arial" w:cs="Arial"/>
          <w:sz w:val="22"/>
          <w:szCs w:val="22"/>
          <w:lang w:val="es-ES"/>
        </w:rPr>
        <w:t>d</w:t>
      </w:r>
      <w:r w:rsidRPr="00514234">
        <w:rPr>
          <w:rFonts w:ascii="Arial" w:hAnsi="Arial" w:cs="Arial"/>
          <w:sz w:val="22"/>
          <w:szCs w:val="22"/>
          <w:lang w:val="es-ES"/>
        </w:rPr>
        <w:t>) caída en precios de productos básicos; y (</w:t>
      </w:r>
      <w:r>
        <w:rPr>
          <w:rFonts w:ascii="Arial" w:hAnsi="Arial" w:cs="Arial"/>
          <w:sz w:val="22"/>
          <w:szCs w:val="22"/>
          <w:lang w:val="es-ES"/>
        </w:rPr>
        <w:t>e</w:t>
      </w:r>
      <w:r w:rsidRPr="00514234">
        <w:rPr>
          <w:rFonts w:ascii="Arial" w:hAnsi="Arial" w:cs="Arial"/>
          <w:sz w:val="22"/>
          <w:szCs w:val="22"/>
          <w:lang w:val="es-ES"/>
        </w:rPr>
        <w:t>)</w:t>
      </w:r>
      <w:r>
        <w:rPr>
          <w:rFonts w:ascii="Arial" w:hAnsi="Arial" w:cs="Arial"/>
          <w:sz w:val="22"/>
          <w:szCs w:val="22"/>
          <w:lang w:val="es-ES"/>
        </w:rPr>
        <w:t> </w:t>
      </w:r>
      <w:r w:rsidRPr="00514234">
        <w:rPr>
          <w:rFonts w:ascii="Arial" w:hAnsi="Arial" w:cs="Arial"/>
          <w:sz w:val="22"/>
          <w:szCs w:val="22"/>
          <w:lang w:val="es-ES"/>
        </w:rPr>
        <w:t>empeoramiento de las condiciones financieras</w:t>
      </w:r>
      <w:r>
        <w:rPr>
          <w:rStyle w:val="FootnoteReference"/>
          <w:rFonts w:ascii="Arial" w:hAnsi="Arial" w:cs="Arial"/>
          <w:sz w:val="22"/>
          <w:szCs w:val="22"/>
          <w:lang w:val="es-ES"/>
        </w:rPr>
        <w:footnoteReference w:id="10"/>
      </w:r>
      <w:r w:rsidRPr="00A3512E">
        <w:rPr>
          <w:rFonts w:ascii="Arial" w:hAnsi="Arial" w:cs="Arial"/>
          <w:sz w:val="22"/>
          <w:szCs w:val="22"/>
          <w:lang w:val="es-ES"/>
        </w:rPr>
        <w:t>, siendo los más críticos para ellas el descenso de la actividad económica y el empeoramiento de las condiciones financieras</w:t>
      </w:r>
      <w:r>
        <w:rPr>
          <w:rFonts w:ascii="Arial" w:hAnsi="Arial" w:cs="Arial"/>
          <w:sz w:val="22"/>
          <w:szCs w:val="22"/>
          <w:lang w:val="es-ES_tradnl"/>
        </w:rPr>
        <w:t xml:space="preserve">. </w:t>
      </w:r>
    </w:p>
    <w:p w14:paraId="2FAF1974" w14:textId="77777777" w:rsidR="003D32CD" w:rsidRPr="00514234" w:rsidRDefault="003D32CD" w:rsidP="003D32CD">
      <w:pPr>
        <w:pStyle w:val="Paragraph"/>
        <w:numPr>
          <w:ilvl w:val="1"/>
          <w:numId w:val="2"/>
        </w:numPr>
        <w:ind w:left="720" w:hanging="720"/>
        <w:rPr>
          <w:rFonts w:ascii="Arial" w:hAnsi="Arial" w:cs="Arial"/>
          <w:sz w:val="22"/>
          <w:szCs w:val="22"/>
          <w:lang w:val="es-ES_tradnl"/>
        </w:rPr>
      </w:pPr>
      <w:r>
        <w:rPr>
          <w:rFonts w:ascii="Arial" w:hAnsi="Arial" w:cs="Arial"/>
          <w:b/>
          <w:bCs/>
          <w:sz w:val="22"/>
          <w:szCs w:val="22"/>
          <w:lang w:val="es-ES_tradnl"/>
        </w:rPr>
        <w:t>Acceso al financiamiento</w:t>
      </w:r>
      <w:r w:rsidRPr="00103FB0">
        <w:rPr>
          <w:rFonts w:ascii="Arial" w:hAnsi="Arial" w:cs="Arial"/>
          <w:b/>
          <w:bCs/>
          <w:sz w:val="22"/>
          <w:szCs w:val="22"/>
          <w:lang w:val="es-ES_tradnl"/>
        </w:rPr>
        <w:t>.</w:t>
      </w:r>
      <w:r w:rsidRPr="00A8655B">
        <w:rPr>
          <w:rFonts w:ascii="Arial" w:hAnsi="Arial" w:cs="Arial"/>
          <w:sz w:val="22"/>
          <w:szCs w:val="22"/>
          <w:lang w:val="es-ES_tradnl"/>
        </w:rPr>
        <w:t xml:space="preserve"> </w:t>
      </w:r>
      <w:r>
        <w:rPr>
          <w:rFonts w:ascii="Arial" w:hAnsi="Arial" w:cs="Arial"/>
          <w:sz w:val="22"/>
          <w:szCs w:val="22"/>
          <w:lang w:val="es-ES_tradnl"/>
        </w:rPr>
        <w:t>Como se mencionaba, el</w:t>
      </w:r>
      <w:r w:rsidRPr="00A8655B">
        <w:rPr>
          <w:rFonts w:ascii="Arial" w:hAnsi="Arial" w:cs="Arial"/>
          <w:sz w:val="22"/>
          <w:szCs w:val="22"/>
          <w:lang w:val="es-ES_tradnl"/>
        </w:rPr>
        <w:t xml:space="preserve"> deterioro de las condiciones financieras </w:t>
      </w:r>
      <w:r>
        <w:rPr>
          <w:rFonts w:ascii="Arial" w:hAnsi="Arial" w:cs="Arial"/>
          <w:sz w:val="22"/>
          <w:szCs w:val="22"/>
          <w:lang w:val="es-ES_tradnl"/>
        </w:rPr>
        <w:t>y el descenso de la actividad económica son dos</w:t>
      </w:r>
      <w:r w:rsidRPr="00A8655B">
        <w:rPr>
          <w:rFonts w:ascii="Arial" w:hAnsi="Arial" w:cs="Arial"/>
          <w:sz w:val="22"/>
          <w:szCs w:val="22"/>
          <w:lang w:val="es-ES_tradnl"/>
        </w:rPr>
        <w:t xml:space="preserve"> de los principales canales de transmisión para los impactos de la crisis en la economía de la región</w:t>
      </w:r>
      <w:r>
        <w:rPr>
          <w:rFonts w:ascii="Arial" w:hAnsi="Arial" w:cs="Arial"/>
          <w:sz w:val="22"/>
          <w:szCs w:val="22"/>
          <w:lang w:val="es-ES_tradnl"/>
        </w:rPr>
        <w:t xml:space="preserve">. </w:t>
      </w:r>
      <w:r w:rsidRPr="00E15EA1">
        <w:rPr>
          <w:rFonts w:ascii="Arial" w:hAnsi="Arial" w:cs="Arial"/>
          <w:sz w:val="22"/>
          <w:szCs w:val="22"/>
          <w:lang w:val="es-ES"/>
        </w:rPr>
        <w:t>En pr</w:t>
      </w:r>
      <w:r w:rsidRPr="00B40281">
        <w:rPr>
          <w:rFonts w:ascii="Arial" w:hAnsi="Arial" w:cs="Arial"/>
          <w:sz w:val="22"/>
          <w:szCs w:val="22"/>
          <w:lang w:val="es-ES"/>
        </w:rPr>
        <w:t xml:space="preserve">imer lugar, la </w:t>
      </w:r>
      <w:r w:rsidRPr="006249D6">
        <w:rPr>
          <w:rFonts w:ascii="Arial" w:hAnsi="Arial" w:cs="Arial"/>
          <w:sz w:val="22"/>
          <w:szCs w:val="22"/>
          <w:lang w:val="es-ES"/>
        </w:rPr>
        <w:t xml:space="preserve">caída </w:t>
      </w:r>
      <w:r w:rsidRPr="00502314">
        <w:rPr>
          <w:rFonts w:ascii="Arial" w:hAnsi="Arial" w:cs="Arial"/>
          <w:sz w:val="22"/>
          <w:szCs w:val="22"/>
          <w:lang w:val="es-ES"/>
        </w:rPr>
        <w:t>de la actividad económica</w:t>
      </w:r>
      <w:r w:rsidRPr="00B2623E">
        <w:rPr>
          <w:rFonts w:ascii="Arial" w:hAnsi="Arial" w:cs="Arial"/>
          <w:sz w:val="22"/>
          <w:szCs w:val="22"/>
          <w:lang w:val="es-ES"/>
        </w:rPr>
        <w:t xml:space="preserve"> supone dos factores de </w:t>
      </w:r>
      <w:r w:rsidRPr="009B7B46">
        <w:rPr>
          <w:rFonts w:ascii="Arial" w:hAnsi="Arial" w:cs="Arial"/>
          <w:sz w:val="22"/>
          <w:szCs w:val="22"/>
          <w:lang w:val="es-ES"/>
        </w:rPr>
        <w:t>estrés</w:t>
      </w:r>
      <w:r w:rsidRPr="00031233">
        <w:rPr>
          <w:rFonts w:ascii="Arial" w:hAnsi="Arial" w:cs="Arial"/>
          <w:sz w:val="22"/>
          <w:szCs w:val="22"/>
          <w:lang w:val="es-ES"/>
        </w:rPr>
        <w:t xml:space="preserve"> para la MIPYME</w:t>
      </w:r>
      <w:r w:rsidRPr="00F622F4">
        <w:rPr>
          <w:rFonts w:ascii="Arial" w:hAnsi="Arial" w:cs="Arial"/>
          <w:sz w:val="22"/>
          <w:szCs w:val="22"/>
          <w:lang w:val="es-ES"/>
        </w:rPr>
        <w:t xml:space="preserve">: </w:t>
      </w:r>
      <w:r>
        <w:rPr>
          <w:rFonts w:ascii="Arial" w:hAnsi="Arial" w:cs="Arial"/>
          <w:sz w:val="22"/>
          <w:szCs w:val="22"/>
          <w:lang w:val="es-ES"/>
        </w:rPr>
        <w:t>(</w:t>
      </w:r>
      <w:r w:rsidRPr="00F622F4">
        <w:rPr>
          <w:rFonts w:ascii="Arial" w:hAnsi="Arial" w:cs="Arial"/>
          <w:sz w:val="22"/>
          <w:szCs w:val="22"/>
          <w:lang w:val="es-ES"/>
        </w:rPr>
        <w:t>i)</w:t>
      </w:r>
      <w:r>
        <w:rPr>
          <w:rFonts w:ascii="Arial" w:hAnsi="Arial" w:cs="Arial"/>
          <w:sz w:val="22"/>
          <w:szCs w:val="22"/>
          <w:lang w:val="es-ES"/>
        </w:rPr>
        <w:t> </w:t>
      </w:r>
      <w:r w:rsidRPr="00F622F4">
        <w:rPr>
          <w:rFonts w:ascii="Arial" w:hAnsi="Arial" w:cs="Arial"/>
          <w:sz w:val="22"/>
          <w:szCs w:val="22"/>
          <w:lang w:val="es-ES"/>
        </w:rPr>
        <w:t xml:space="preserve">descenso de los ingresos operativos y; </w:t>
      </w:r>
      <w:r>
        <w:rPr>
          <w:rFonts w:ascii="Arial" w:hAnsi="Arial" w:cs="Arial"/>
          <w:sz w:val="22"/>
          <w:szCs w:val="22"/>
          <w:lang w:val="es-ES"/>
        </w:rPr>
        <w:t>(</w:t>
      </w:r>
      <w:r w:rsidRPr="00F622F4">
        <w:rPr>
          <w:rFonts w:ascii="Arial" w:hAnsi="Arial" w:cs="Arial"/>
          <w:sz w:val="22"/>
          <w:szCs w:val="22"/>
          <w:lang w:val="es-ES"/>
        </w:rPr>
        <w:t>ii) aumento de retrasos en pagos por bienes y servicios prestados</w:t>
      </w:r>
      <w:r>
        <w:rPr>
          <w:rStyle w:val="FootnoteReference"/>
          <w:rFonts w:ascii="Arial" w:hAnsi="Arial" w:cs="Arial"/>
          <w:sz w:val="22"/>
          <w:szCs w:val="22"/>
          <w:lang w:val="es-ES"/>
        </w:rPr>
        <w:footnoteReference w:id="11"/>
      </w:r>
      <w:r w:rsidRPr="00E15EA1">
        <w:rPr>
          <w:rFonts w:ascii="Arial" w:hAnsi="Arial" w:cs="Arial"/>
          <w:sz w:val="22"/>
          <w:szCs w:val="22"/>
          <w:lang w:val="es-ES"/>
        </w:rPr>
        <w:t xml:space="preserve">. Estos factores </w:t>
      </w:r>
      <w:r w:rsidRPr="00B40281">
        <w:rPr>
          <w:rFonts w:ascii="Arial" w:hAnsi="Arial" w:cs="Arial"/>
          <w:sz w:val="22"/>
          <w:szCs w:val="22"/>
          <w:lang w:val="es-ES"/>
        </w:rPr>
        <w:t>de</w:t>
      </w:r>
      <w:r w:rsidRPr="006249D6">
        <w:rPr>
          <w:rFonts w:ascii="Arial" w:hAnsi="Arial" w:cs="Arial"/>
          <w:sz w:val="22"/>
          <w:szCs w:val="22"/>
          <w:lang w:val="es-ES"/>
        </w:rPr>
        <w:t xml:space="preserve"> estrés</w:t>
      </w:r>
      <w:r w:rsidRPr="00502314">
        <w:rPr>
          <w:rFonts w:ascii="Arial" w:hAnsi="Arial" w:cs="Arial"/>
          <w:sz w:val="22"/>
          <w:szCs w:val="22"/>
          <w:lang w:val="es-ES"/>
        </w:rPr>
        <w:t xml:space="preserve"> crean </w:t>
      </w:r>
      <w:r w:rsidRPr="00031233">
        <w:rPr>
          <w:rFonts w:ascii="Arial" w:hAnsi="Arial" w:cs="Arial"/>
          <w:sz w:val="22"/>
          <w:szCs w:val="22"/>
          <w:lang w:val="es-ES"/>
        </w:rPr>
        <w:t>de</w:t>
      </w:r>
      <w:r w:rsidRPr="00AA1D42">
        <w:rPr>
          <w:rFonts w:ascii="Arial" w:hAnsi="Arial" w:cs="Arial"/>
          <w:sz w:val="22"/>
          <w:szCs w:val="22"/>
          <w:lang w:val="es-ES"/>
        </w:rPr>
        <w:t>sbalances re</w:t>
      </w:r>
      <w:r w:rsidRPr="00787236">
        <w:rPr>
          <w:rFonts w:ascii="Arial" w:hAnsi="Arial" w:cs="Arial"/>
          <w:sz w:val="22"/>
          <w:szCs w:val="22"/>
          <w:lang w:val="es-ES"/>
        </w:rPr>
        <w:t>pentinos</w:t>
      </w:r>
      <w:r w:rsidRPr="00C47A07">
        <w:rPr>
          <w:rFonts w:ascii="Arial" w:hAnsi="Arial" w:cs="Arial"/>
          <w:sz w:val="22"/>
          <w:szCs w:val="22"/>
          <w:lang w:val="es-ES"/>
        </w:rPr>
        <w:t xml:space="preserve"> y abruptos en</w:t>
      </w:r>
      <w:r w:rsidRPr="001970CE">
        <w:rPr>
          <w:rFonts w:ascii="Arial" w:hAnsi="Arial" w:cs="Arial"/>
          <w:sz w:val="22"/>
          <w:szCs w:val="22"/>
          <w:lang w:val="es-ES"/>
        </w:rPr>
        <w:t xml:space="preserve"> sus </w:t>
      </w:r>
      <w:r w:rsidRPr="00AB5519">
        <w:rPr>
          <w:rFonts w:ascii="Arial" w:hAnsi="Arial" w:cs="Arial"/>
          <w:sz w:val="22"/>
          <w:szCs w:val="22"/>
          <w:lang w:val="es-ES"/>
        </w:rPr>
        <w:t>f</w:t>
      </w:r>
      <w:r w:rsidRPr="00F622F4">
        <w:rPr>
          <w:rFonts w:ascii="Arial" w:hAnsi="Arial" w:cs="Arial"/>
          <w:sz w:val="22"/>
          <w:szCs w:val="22"/>
          <w:lang w:val="es-ES"/>
        </w:rPr>
        <w:t xml:space="preserve">lujos de caja, generando necesidades de liquidez de corto plazo para poder cubrir costos operativos fijos y mantener niveles de empleo durante periodos de menor actividad económica, como el que actualmente que se enfrenta para combatir el COVID-19. En segundo lugar, el empeoramiento de las condiciones financieras restringe la capacidad de las MIPYME de acceder a financiamiento para </w:t>
      </w:r>
      <w:r>
        <w:rPr>
          <w:rFonts w:ascii="Arial" w:hAnsi="Arial" w:cs="Arial"/>
          <w:sz w:val="22"/>
          <w:szCs w:val="22"/>
          <w:lang w:val="es-ES"/>
        </w:rPr>
        <w:t xml:space="preserve">cubrir estas </w:t>
      </w:r>
      <w:r w:rsidRPr="00F622F4">
        <w:rPr>
          <w:rFonts w:ascii="Arial" w:hAnsi="Arial" w:cs="Arial"/>
          <w:sz w:val="22"/>
          <w:szCs w:val="22"/>
          <w:lang w:val="es-ES"/>
        </w:rPr>
        <w:t>necesidades de liquidez derivadas de la caída de la actividad económica</w:t>
      </w:r>
      <w:r>
        <w:rPr>
          <w:rStyle w:val="FootnoteReference"/>
          <w:rFonts w:ascii="Arial" w:hAnsi="Arial" w:cs="Arial"/>
          <w:sz w:val="22"/>
          <w:szCs w:val="22"/>
          <w:lang w:val="es-ES"/>
        </w:rPr>
        <w:footnoteReference w:id="12"/>
      </w:r>
      <w:r>
        <w:rPr>
          <w:rFonts w:ascii="Arial" w:hAnsi="Arial" w:cs="Arial"/>
          <w:sz w:val="22"/>
          <w:szCs w:val="22"/>
          <w:lang w:val="es-ES"/>
        </w:rPr>
        <w:t xml:space="preserve">. </w:t>
      </w:r>
    </w:p>
    <w:p w14:paraId="6B70509A" w14:textId="18BD35FC" w:rsidR="003D32CD" w:rsidRPr="00BC7CD9" w:rsidRDefault="003D32CD" w:rsidP="003D32CD">
      <w:pPr>
        <w:pStyle w:val="Paragraph"/>
        <w:numPr>
          <w:ilvl w:val="1"/>
          <w:numId w:val="2"/>
        </w:numPr>
        <w:ind w:left="720" w:hanging="720"/>
        <w:rPr>
          <w:rFonts w:ascii="Arial" w:hAnsi="Arial" w:cs="Arial"/>
          <w:sz w:val="22"/>
          <w:szCs w:val="22"/>
          <w:lang w:val="es-ES_tradnl"/>
        </w:rPr>
      </w:pPr>
      <w:r w:rsidRPr="00514234">
        <w:rPr>
          <w:rFonts w:ascii="Arial" w:hAnsi="Arial" w:cs="Arial"/>
          <w:sz w:val="22"/>
          <w:szCs w:val="22"/>
          <w:lang w:val="es-ES"/>
        </w:rPr>
        <w:lastRenderedPageBreak/>
        <w:t xml:space="preserve">Este empeoramiento de las condiciones financieras para las MIPYME se debe principalmente a que en contextos de contracción macroeconómica el sector financiero: </w:t>
      </w:r>
      <w:r>
        <w:rPr>
          <w:rFonts w:ascii="Arial" w:hAnsi="Arial" w:cs="Arial"/>
          <w:sz w:val="22"/>
          <w:szCs w:val="22"/>
          <w:lang w:val="es-ES"/>
        </w:rPr>
        <w:t>(</w:t>
      </w:r>
      <w:r w:rsidRPr="00514234">
        <w:rPr>
          <w:rFonts w:ascii="Arial" w:hAnsi="Arial" w:cs="Arial"/>
          <w:sz w:val="22"/>
          <w:szCs w:val="22"/>
          <w:lang w:val="es-ES"/>
        </w:rPr>
        <w:t>i)</w:t>
      </w:r>
      <w:r>
        <w:rPr>
          <w:rFonts w:ascii="Arial" w:hAnsi="Arial" w:cs="Arial"/>
          <w:sz w:val="22"/>
          <w:szCs w:val="22"/>
          <w:lang w:val="es-ES"/>
        </w:rPr>
        <w:t> </w:t>
      </w:r>
      <w:r w:rsidRPr="00514234">
        <w:rPr>
          <w:rFonts w:ascii="Arial" w:hAnsi="Arial" w:cs="Arial"/>
          <w:sz w:val="22"/>
          <w:szCs w:val="22"/>
          <w:lang w:val="es-ES"/>
        </w:rPr>
        <w:t>reduce su oferta de crédito</w:t>
      </w:r>
      <w:r>
        <w:rPr>
          <w:rStyle w:val="FootnoteReference"/>
          <w:rFonts w:ascii="Arial" w:hAnsi="Arial" w:cs="Arial"/>
          <w:sz w:val="22"/>
          <w:szCs w:val="22"/>
        </w:rPr>
        <w:footnoteReference w:id="13"/>
      </w:r>
      <w:r w:rsidRPr="00514234">
        <w:rPr>
          <w:rFonts w:ascii="Arial" w:hAnsi="Arial" w:cs="Arial"/>
          <w:sz w:val="22"/>
          <w:szCs w:val="22"/>
          <w:lang w:val="es-ES"/>
        </w:rPr>
        <w:t xml:space="preserve">; y </w:t>
      </w:r>
      <w:r>
        <w:rPr>
          <w:rFonts w:ascii="Arial" w:hAnsi="Arial" w:cs="Arial"/>
          <w:sz w:val="22"/>
          <w:szCs w:val="22"/>
          <w:lang w:val="es-ES"/>
        </w:rPr>
        <w:t>(</w:t>
      </w:r>
      <w:r w:rsidRPr="00514234">
        <w:rPr>
          <w:rFonts w:ascii="Arial" w:hAnsi="Arial" w:cs="Arial"/>
          <w:sz w:val="22"/>
          <w:szCs w:val="22"/>
          <w:lang w:val="es-ES"/>
        </w:rPr>
        <w:t>ii) lo hace en una mayor proporción en el segmento de la MIPYME en comparación con empresas de mayor tamaño</w:t>
      </w:r>
      <w:r>
        <w:rPr>
          <w:rStyle w:val="FootnoteReference"/>
          <w:rFonts w:ascii="Arial" w:hAnsi="Arial" w:cs="Arial"/>
          <w:sz w:val="22"/>
          <w:szCs w:val="22"/>
        </w:rPr>
        <w:footnoteReference w:id="14"/>
      </w:r>
      <w:r w:rsidRPr="00514234">
        <w:rPr>
          <w:rFonts w:ascii="Arial" w:hAnsi="Arial" w:cs="Arial"/>
          <w:sz w:val="22"/>
          <w:szCs w:val="22"/>
          <w:lang w:val="es-ES"/>
        </w:rPr>
        <w:t xml:space="preserve">, y </w:t>
      </w:r>
      <w:r>
        <w:rPr>
          <w:rFonts w:ascii="Arial" w:hAnsi="Arial" w:cs="Arial"/>
          <w:sz w:val="22"/>
          <w:szCs w:val="22"/>
          <w:lang w:val="es-ES"/>
        </w:rPr>
        <w:t>(</w:t>
      </w:r>
      <w:r w:rsidRPr="00514234">
        <w:rPr>
          <w:rFonts w:ascii="Arial" w:hAnsi="Arial" w:cs="Arial"/>
          <w:sz w:val="22"/>
          <w:szCs w:val="22"/>
          <w:lang w:val="es-ES"/>
        </w:rPr>
        <w:t>iii) se demora un tiempo en recuperar el nivel previo a la crisis</w:t>
      </w:r>
      <w:r>
        <w:rPr>
          <w:rStyle w:val="FootnoteReference"/>
          <w:rFonts w:ascii="Arial" w:hAnsi="Arial" w:cs="Arial"/>
          <w:sz w:val="22"/>
          <w:szCs w:val="22"/>
        </w:rPr>
        <w:footnoteReference w:id="15"/>
      </w:r>
      <w:r w:rsidRPr="00514234">
        <w:rPr>
          <w:rFonts w:ascii="Arial" w:hAnsi="Arial" w:cs="Arial"/>
          <w:sz w:val="22"/>
          <w:szCs w:val="22"/>
          <w:lang w:val="es-ES"/>
        </w:rPr>
        <w:t xml:space="preserve">. Este empeoramiento de las condiciones de acceso a financiamiento en contexto de contracción económica se unen a los obstáculos de </w:t>
      </w:r>
      <w:r w:rsidRPr="00514234">
        <w:rPr>
          <w:rFonts w:ascii="Arial" w:eastAsia="Arial" w:hAnsi="Arial" w:cs="Arial"/>
          <w:sz w:val="22"/>
          <w:szCs w:val="22"/>
          <w:lang w:val="es-ES"/>
        </w:rPr>
        <w:t xml:space="preserve">acceso al financiamiento que ya de por si acumulan las MIPYME respecto a empresas de mayor tamaño como: </w:t>
      </w:r>
      <w:r w:rsidRPr="00D14E04">
        <w:rPr>
          <w:rFonts w:ascii="Arial" w:eastAsia="Arial" w:hAnsi="Arial" w:cs="Arial"/>
          <w:sz w:val="22"/>
          <w:szCs w:val="22"/>
          <w:lang w:val="es"/>
        </w:rPr>
        <w:t>(i) ciclos comerciales más cortos con mayores necesidades de liquidez a corto plazo; (ii) carencia de instrumentos para la gestión del riesgo asociado a su ciclo de proyecto</w:t>
      </w:r>
      <w:r w:rsidRPr="00D62BD9">
        <w:rPr>
          <w:rFonts w:ascii="Arial" w:eastAsia="Arial" w:hAnsi="Arial" w:cs="Arial"/>
          <w:sz w:val="22"/>
          <w:szCs w:val="22"/>
          <w:lang w:val="es"/>
        </w:rPr>
        <w:t>s; (iii) mayores limitaciones de colateral disponible y su ejecución, debido a la falta de capital existente; (iv) altos costos de operación para prestar a e</w:t>
      </w:r>
      <w:r w:rsidRPr="00BA4070">
        <w:rPr>
          <w:rFonts w:ascii="Arial" w:eastAsia="Arial" w:hAnsi="Arial" w:cs="Arial"/>
          <w:sz w:val="22"/>
          <w:szCs w:val="22"/>
          <w:lang w:val="es"/>
        </w:rPr>
        <w:t xml:space="preserve">scalas pequeñas; y (v) </w:t>
      </w:r>
      <w:r w:rsidRPr="00F4339B">
        <w:rPr>
          <w:rFonts w:ascii="Arial" w:eastAsia="Arial" w:hAnsi="Arial" w:cs="Arial"/>
          <w:sz w:val="22"/>
          <w:szCs w:val="22"/>
          <w:lang w:val="es"/>
        </w:rPr>
        <w:t>me</w:t>
      </w:r>
      <w:r w:rsidRPr="004942A0">
        <w:rPr>
          <w:rFonts w:ascii="Arial" w:eastAsia="Arial" w:hAnsi="Arial" w:cs="Arial"/>
          <w:sz w:val="22"/>
          <w:szCs w:val="22"/>
          <w:lang w:val="es"/>
        </w:rPr>
        <w:t>n</w:t>
      </w:r>
      <w:r w:rsidRPr="00130218">
        <w:rPr>
          <w:rFonts w:ascii="Arial" w:eastAsia="Arial" w:hAnsi="Arial" w:cs="Arial"/>
          <w:sz w:val="22"/>
          <w:szCs w:val="22"/>
          <w:lang w:val="es"/>
        </w:rPr>
        <w:t xml:space="preserve">or </w:t>
      </w:r>
      <w:r w:rsidRPr="00000951">
        <w:rPr>
          <w:rFonts w:ascii="Arial" w:eastAsia="Arial" w:hAnsi="Arial" w:cs="Arial"/>
          <w:sz w:val="22"/>
          <w:szCs w:val="22"/>
          <w:lang w:val="es"/>
        </w:rPr>
        <w:t>rentabilidad que otros segmentos empresariales</w:t>
      </w:r>
      <w:r>
        <w:rPr>
          <w:rStyle w:val="FootnoteReference"/>
          <w:rFonts w:ascii="Arial" w:eastAsia="Arial" w:hAnsi="Arial" w:cs="Arial"/>
          <w:sz w:val="22"/>
          <w:szCs w:val="22"/>
          <w:lang w:val="es"/>
        </w:rPr>
        <w:footnoteReference w:id="16"/>
      </w:r>
      <w:r>
        <w:rPr>
          <w:rFonts w:ascii="Arial" w:eastAsia="Arial" w:hAnsi="Arial" w:cs="Arial"/>
          <w:sz w:val="22"/>
          <w:szCs w:val="22"/>
          <w:lang w:val="es"/>
        </w:rPr>
        <w:t>.</w:t>
      </w:r>
    </w:p>
    <w:p w14:paraId="2DCCD300" w14:textId="17F3DF0A" w:rsidR="00BC7CD9" w:rsidRPr="00514234" w:rsidRDefault="00BC7CD9" w:rsidP="003D32CD">
      <w:pPr>
        <w:pStyle w:val="Paragraph"/>
        <w:numPr>
          <w:ilvl w:val="1"/>
          <w:numId w:val="2"/>
        </w:numPr>
        <w:ind w:left="720" w:hanging="720"/>
        <w:rPr>
          <w:rFonts w:ascii="Arial" w:hAnsi="Arial" w:cs="Arial"/>
          <w:sz w:val="22"/>
          <w:szCs w:val="22"/>
          <w:lang w:val="es-ES_tradnl"/>
        </w:rPr>
      </w:pPr>
      <w:r w:rsidRPr="00BC7CD9">
        <w:rPr>
          <w:rFonts w:ascii="Arial" w:hAnsi="Arial" w:cs="Arial"/>
          <w:sz w:val="22"/>
          <w:szCs w:val="22"/>
          <w:lang w:val="es-ES"/>
        </w:rPr>
        <w:t xml:space="preserve">Las MIPYME hondureñas ya afrontaban limitaciones de acceso a financiamiento antes de enfrentar las dificultades económicas generadas por las medidas de contención del COVID-19. Según un estudio del </w:t>
      </w:r>
      <w:r w:rsidRPr="00BC7CD9">
        <w:rPr>
          <w:rFonts w:ascii="Arial" w:hAnsi="Arial" w:cs="Arial"/>
          <w:i/>
          <w:iCs/>
          <w:sz w:val="22"/>
          <w:szCs w:val="22"/>
          <w:lang w:val="es-ES"/>
        </w:rPr>
        <w:t>SME Finance Forum</w:t>
      </w:r>
      <w:r w:rsidRPr="00BC7CD9">
        <w:rPr>
          <w:rFonts w:ascii="Arial" w:hAnsi="Arial" w:cs="Arial"/>
          <w:sz w:val="22"/>
          <w:szCs w:val="22"/>
          <w:lang w:val="es-ES"/>
        </w:rPr>
        <w:t xml:space="preserve"> de 2018, el 37% de las MIPYME manifiestan tener restricciones para acceder al crédito. Se estima que la brecha financiera de las MIPYME formales es de aproximadamente 2,6 veces el nivel actual de préstamos otorgados por el sistema financiero, lo que equivale a una demanda de crédito insatisfecha de más de US$2.900 millones (equivalente al 15% del PIB). Estos datos son consistentes con la encuesta nacional de MIPYME realizada como parte del </w:t>
      </w:r>
      <w:r w:rsidRPr="00BC7CD9">
        <w:rPr>
          <w:rFonts w:ascii="Arial" w:hAnsi="Arial" w:cs="Arial"/>
          <w:i/>
          <w:iCs/>
          <w:sz w:val="22"/>
          <w:szCs w:val="22"/>
          <w:lang w:val="es-ES"/>
        </w:rPr>
        <w:t>Entrerprise Survey</w:t>
      </w:r>
      <w:r w:rsidRPr="00BC7CD9">
        <w:rPr>
          <w:rFonts w:ascii="Arial" w:hAnsi="Arial" w:cs="Arial"/>
          <w:sz w:val="22"/>
          <w:szCs w:val="22"/>
          <w:lang w:val="es-ES"/>
        </w:rPr>
        <w:t xml:space="preserve"> del Banco Mundial de 2016, que reflejan: (i) el 48,2% de las micro y pequeñas identifican el acceso o costo de financiamiento como una restricción seria o muy seria; y (ii) tan solo el 13,8% del capital de trabajo de las micro y pequeñas empresas es financiado a través de financiamiento bancario; y (iii) el 71,9% de los préstamos a las micro y pequeñas empresas requiere colateral, siendo el valor exigido del 231% de la cantidad prestada.</w:t>
      </w:r>
    </w:p>
    <w:p w14:paraId="4ED11F80" w14:textId="1573E01D" w:rsidR="003D32CD" w:rsidRPr="00BC7CD9" w:rsidRDefault="003D32CD" w:rsidP="003D32CD">
      <w:pPr>
        <w:pStyle w:val="Paragraph"/>
        <w:numPr>
          <w:ilvl w:val="1"/>
          <w:numId w:val="2"/>
        </w:numPr>
        <w:ind w:left="720" w:hanging="720"/>
        <w:rPr>
          <w:rFonts w:ascii="Arial" w:hAnsi="Arial" w:cs="Arial"/>
          <w:sz w:val="22"/>
          <w:szCs w:val="22"/>
          <w:lang w:val="es-ES_tradnl"/>
        </w:rPr>
      </w:pPr>
      <w:r>
        <w:rPr>
          <w:rFonts w:ascii="Arial" w:eastAsia="Arial" w:hAnsi="Arial" w:cs="Arial"/>
          <w:sz w:val="22"/>
          <w:szCs w:val="22"/>
          <w:lang w:val="es-ES"/>
        </w:rPr>
        <w:t xml:space="preserve">Además </w:t>
      </w:r>
      <w:r>
        <w:rPr>
          <w:rFonts w:ascii="Arial" w:hAnsi="Arial" w:cs="Arial"/>
          <w:sz w:val="22"/>
          <w:szCs w:val="22"/>
          <w:lang w:val="es-ES_tradnl"/>
        </w:rPr>
        <w:t xml:space="preserve">de los obstáculos que presentaban las MIPYME para acceder al </w:t>
      </w:r>
      <w:r w:rsidRPr="00050ECA">
        <w:rPr>
          <w:rFonts w:ascii="Arial" w:hAnsi="Arial" w:cs="Arial"/>
          <w:sz w:val="22"/>
          <w:szCs w:val="22"/>
          <w:lang w:val="es-ES"/>
        </w:rPr>
        <w:t>financiamiento</w:t>
      </w:r>
      <w:r>
        <w:rPr>
          <w:rFonts w:ascii="Arial" w:hAnsi="Arial" w:cs="Arial"/>
          <w:sz w:val="22"/>
          <w:szCs w:val="22"/>
          <w:lang w:val="es-ES_tradnl"/>
        </w:rPr>
        <w:t xml:space="preserve"> antes de la actual crisis</w:t>
      </w:r>
      <w:r>
        <w:rPr>
          <w:rStyle w:val="FootnoteReference"/>
          <w:rFonts w:ascii="Arial" w:hAnsi="Arial" w:cs="Arial"/>
          <w:sz w:val="22"/>
          <w:szCs w:val="22"/>
          <w:lang w:val="es-ES_tradnl"/>
        </w:rPr>
        <w:footnoteReference w:id="17"/>
      </w:r>
      <w:r>
        <w:rPr>
          <w:rFonts w:ascii="Arial" w:hAnsi="Arial" w:cs="Arial"/>
          <w:sz w:val="22"/>
          <w:szCs w:val="22"/>
          <w:lang w:val="es-ES_tradnl"/>
        </w:rPr>
        <w:t>, e</w:t>
      </w:r>
      <w:r w:rsidRPr="00514234">
        <w:rPr>
          <w:rFonts w:ascii="Arial" w:eastAsia="Arial" w:hAnsi="Arial" w:cs="Arial"/>
          <w:sz w:val="22"/>
          <w:szCs w:val="22"/>
          <w:lang w:val="es-ES"/>
        </w:rPr>
        <w:t>l efecto dual de reducción de actividad económica y acceso a crédito del sector productivo puede poner en riesgo de supervivencia a muchas MIPYME de la región afectadas por la crisis del COVID</w:t>
      </w:r>
      <w:r>
        <w:rPr>
          <w:rFonts w:ascii="Arial" w:eastAsia="Arial" w:hAnsi="Arial" w:cs="Arial"/>
          <w:sz w:val="22"/>
          <w:szCs w:val="22"/>
          <w:lang w:val="es-ES"/>
        </w:rPr>
        <w:noBreakHyphen/>
      </w:r>
      <w:r w:rsidRPr="00514234">
        <w:rPr>
          <w:rFonts w:ascii="Arial" w:eastAsia="Arial" w:hAnsi="Arial" w:cs="Arial"/>
          <w:sz w:val="22"/>
          <w:szCs w:val="22"/>
          <w:lang w:val="es-ES"/>
        </w:rPr>
        <w:t>19</w:t>
      </w:r>
      <w:r>
        <w:rPr>
          <w:rFonts w:ascii="Arial" w:eastAsia="Arial" w:hAnsi="Arial" w:cs="Arial"/>
          <w:sz w:val="22"/>
          <w:szCs w:val="22"/>
          <w:lang w:val="es-ES"/>
        </w:rPr>
        <w:t xml:space="preserve">. </w:t>
      </w:r>
      <w:r w:rsidR="00BC7CD9" w:rsidRPr="00BC7CD9">
        <w:rPr>
          <w:rFonts w:ascii="Arial" w:hAnsi="Arial" w:cs="Arial"/>
          <w:sz w:val="22"/>
          <w:szCs w:val="22"/>
          <w:lang w:val="es-ES"/>
        </w:rPr>
        <w:t xml:space="preserve">Se anticipa que las dificultades que sufren las MIPYME para acceder a financiamiento se vea acrecentadas con la contracción económica del 2020. El principal problema que encuentran las MIPYPME en el contexto actual es la ausencia de liquidez para cubrir costos fijos y mantener el empleo ante la </w:t>
      </w:r>
      <w:r w:rsidR="00BC7CD9" w:rsidRPr="00BC7CD9">
        <w:rPr>
          <w:rFonts w:ascii="Arial" w:hAnsi="Arial" w:cs="Arial"/>
          <w:sz w:val="22"/>
          <w:szCs w:val="22"/>
          <w:lang w:val="es-ES"/>
        </w:rPr>
        <w:lastRenderedPageBreak/>
        <w:t>reducción abrupta de sus ingresos operativos. Particularmente, se anticipa que pueda haber fuertes necesidades de crédito de corto plazo para continuar operando y mantener los niveles de empleo en sectores como hoteles, restaurantes, transporte, comercio, industria manufacturera, y almacenamiento. En un estudio de demanda de crédito que fue conducido en marzo de 2020 por la CNBS se estimó que las necesidades de crédito de capital trabajo de la MIPYME para los 12 siguientes meses tras la declaración de pandemia por el COVID-19 (el periodo de mayo de 2020 a abril de 2021) será de un mínimo de US$734 millones, lo que equivale al 3% del PIB aproximadamente.</w:t>
      </w:r>
    </w:p>
    <w:p w14:paraId="19698437" w14:textId="64672B83" w:rsidR="00BC7CD9" w:rsidRPr="00BC7CD9" w:rsidRDefault="00BC7CD9" w:rsidP="003D32CD">
      <w:pPr>
        <w:pStyle w:val="Paragraph"/>
        <w:numPr>
          <w:ilvl w:val="1"/>
          <w:numId w:val="2"/>
        </w:numPr>
        <w:ind w:left="720" w:hanging="720"/>
        <w:rPr>
          <w:rFonts w:ascii="Arial" w:hAnsi="Arial" w:cs="Arial"/>
          <w:sz w:val="22"/>
          <w:szCs w:val="22"/>
          <w:lang w:val="es-ES_tradnl"/>
        </w:rPr>
      </w:pPr>
      <w:r w:rsidRPr="00BC7CD9">
        <w:rPr>
          <w:rFonts w:ascii="Arial" w:hAnsi="Arial" w:cs="Arial"/>
          <w:sz w:val="22"/>
          <w:szCs w:val="22"/>
          <w:lang w:val="es-ES"/>
        </w:rPr>
        <w:t>La reducción de ingresos de las MIPYME hace que su riesgo de crédito aumente y la oferta de crédito disminuya</w:t>
      </w:r>
      <w:r w:rsidRPr="00FC6E60">
        <w:rPr>
          <w:rFonts w:ascii="Arial" w:eastAsia="Arial" w:hAnsi="Arial" w:cs="Arial"/>
          <w:sz w:val="22"/>
          <w:szCs w:val="22"/>
          <w:lang w:val="es-ES"/>
        </w:rPr>
        <w:t xml:space="preserve">. </w:t>
      </w:r>
      <w:r w:rsidRPr="00901BB8">
        <w:rPr>
          <w:rFonts w:ascii="Arial" w:eastAsia="Arial" w:hAnsi="Arial" w:cs="Arial"/>
          <w:sz w:val="22"/>
          <w:szCs w:val="22"/>
          <w:lang w:val="es-ES"/>
        </w:rPr>
        <w:t xml:space="preserve">En mayo de 2020, la </w:t>
      </w:r>
      <w:r w:rsidRPr="00FC6E60">
        <w:rPr>
          <w:rFonts w:ascii="Arial" w:eastAsia="Arial" w:hAnsi="Arial" w:cs="Arial"/>
          <w:sz w:val="22"/>
          <w:szCs w:val="22"/>
          <w:lang w:val="es-ES"/>
        </w:rPr>
        <w:t>Universidad Nacional Autónoma de Honduras (UNAH),</w:t>
      </w:r>
      <w:r w:rsidRPr="00901BB8">
        <w:rPr>
          <w:rFonts w:ascii="Arial" w:eastAsia="Arial" w:hAnsi="Arial" w:cs="Arial"/>
          <w:sz w:val="22"/>
          <w:szCs w:val="22"/>
          <w:lang w:val="es-ES"/>
        </w:rPr>
        <w:t xml:space="preserve"> realiz</w:t>
      </w:r>
      <w:r w:rsidR="00103FB0">
        <w:rPr>
          <w:rFonts w:ascii="Arial" w:eastAsia="Arial" w:hAnsi="Arial" w:cs="Arial"/>
          <w:sz w:val="22"/>
          <w:szCs w:val="22"/>
          <w:lang w:val="es-ES"/>
        </w:rPr>
        <w:t>ó</w:t>
      </w:r>
      <w:r w:rsidRPr="00901BB8">
        <w:rPr>
          <w:rFonts w:ascii="Arial" w:eastAsia="Arial" w:hAnsi="Arial" w:cs="Arial"/>
          <w:sz w:val="22"/>
          <w:szCs w:val="22"/>
          <w:lang w:val="es-ES"/>
        </w:rPr>
        <w:t xml:space="preserve"> una encuesta nacional a 1.330 MIPYME y grandes empresas</w:t>
      </w:r>
      <w:r>
        <w:rPr>
          <w:rFonts w:ascii="Arial" w:eastAsia="Arial" w:hAnsi="Arial" w:cs="Arial"/>
          <w:sz w:val="22"/>
          <w:szCs w:val="22"/>
          <w:lang w:val="es-ES"/>
        </w:rPr>
        <w:t>,</w:t>
      </w:r>
      <w:r w:rsidRPr="00901BB8">
        <w:rPr>
          <w:rFonts w:ascii="Arial" w:eastAsia="Arial" w:hAnsi="Arial" w:cs="Arial"/>
          <w:sz w:val="22"/>
          <w:szCs w:val="22"/>
          <w:lang w:val="es-ES"/>
        </w:rPr>
        <w:t xml:space="preserve"> </w:t>
      </w:r>
      <w:r>
        <w:rPr>
          <w:rFonts w:ascii="Arial" w:eastAsia="Arial" w:hAnsi="Arial" w:cs="Arial"/>
          <w:sz w:val="22"/>
          <w:szCs w:val="22"/>
          <w:lang w:val="es-ES"/>
        </w:rPr>
        <w:t xml:space="preserve">que conforman una muestra representativa de estructura empresarial del país, para </w:t>
      </w:r>
      <w:r w:rsidRPr="00901BB8">
        <w:rPr>
          <w:rFonts w:ascii="Arial" w:eastAsia="Arial" w:hAnsi="Arial" w:cs="Arial"/>
          <w:sz w:val="22"/>
          <w:szCs w:val="22"/>
          <w:lang w:val="es-ES"/>
        </w:rPr>
        <w:t>recolect</w:t>
      </w:r>
      <w:r>
        <w:rPr>
          <w:rFonts w:ascii="Arial" w:eastAsia="Arial" w:hAnsi="Arial" w:cs="Arial"/>
          <w:sz w:val="22"/>
          <w:szCs w:val="22"/>
          <w:lang w:val="es-ES"/>
        </w:rPr>
        <w:t xml:space="preserve">ar </w:t>
      </w:r>
      <w:r w:rsidRPr="00901BB8">
        <w:rPr>
          <w:rFonts w:ascii="Arial" w:eastAsia="Arial" w:hAnsi="Arial" w:cs="Arial"/>
          <w:sz w:val="22"/>
          <w:szCs w:val="22"/>
          <w:lang w:val="es-ES"/>
        </w:rPr>
        <w:t>información sobre la resiliencia empresarial a</w:t>
      </w:r>
      <w:r>
        <w:rPr>
          <w:rFonts w:ascii="Arial" w:eastAsia="Arial" w:hAnsi="Arial" w:cs="Arial"/>
          <w:sz w:val="22"/>
          <w:szCs w:val="22"/>
          <w:lang w:val="es-ES"/>
        </w:rPr>
        <w:t>nte</w:t>
      </w:r>
      <w:r w:rsidRPr="00901BB8">
        <w:rPr>
          <w:rFonts w:ascii="Arial" w:eastAsia="Arial" w:hAnsi="Arial" w:cs="Arial"/>
          <w:sz w:val="22"/>
          <w:szCs w:val="22"/>
          <w:lang w:val="es-ES"/>
        </w:rPr>
        <w:t xml:space="preserve"> la crisis provocada por el COVID-19</w:t>
      </w:r>
      <w:r>
        <w:rPr>
          <w:rStyle w:val="FootnoteReference"/>
          <w:rFonts w:ascii="Arial" w:eastAsia="Arial" w:hAnsi="Arial" w:cs="Arial"/>
          <w:sz w:val="22"/>
          <w:szCs w:val="22"/>
          <w:lang w:val="es-ES"/>
        </w:rPr>
        <w:footnoteReference w:id="18"/>
      </w:r>
      <w:r w:rsidRPr="00901BB8">
        <w:rPr>
          <w:rFonts w:ascii="Arial" w:eastAsia="Arial" w:hAnsi="Arial" w:cs="Arial"/>
          <w:sz w:val="22"/>
          <w:szCs w:val="22"/>
          <w:lang w:val="es-ES"/>
        </w:rPr>
        <w:t xml:space="preserve">. </w:t>
      </w:r>
      <w:r>
        <w:rPr>
          <w:rFonts w:ascii="Arial" w:eastAsia="Arial" w:hAnsi="Arial" w:cs="Arial"/>
          <w:sz w:val="22"/>
          <w:szCs w:val="22"/>
          <w:lang w:val="es-ES"/>
        </w:rPr>
        <w:t>Según esta encuesta: (i) e</w:t>
      </w:r>
      <w:r w:rsidRPr="00901BB8">
        <w:rPr>
          <w:rFonts w:ascii="Arial" w:eastAsia="Arial" w:hAnsi="Arial" w:cs="Arial"/>
          <w:sz w:val="22"/>
          <w:szCs w:val="22"/>
          <w:lang w:val="es-ES"/>
        </w:rPr>
        <w:t>l 75% de empresas afirm</w:t>
      </w:r>
      <w:r>
        <w:rPr>
          <w:rFonts w:ascii="Arial" w:eastAsia="Arial" w:hAnsi="Arial" w:cs="Arial"/>
          <w:sz w:val="22"/>
          <w:szCs w:val="22"/>
          <w:lang w:val="es-ES"/>
        </w:rPr>
        <w:t>ó</w:t>
      </w:r>
      <w:r w:rsidRPr="00901BB8">
        <w:rPr>
          <w:rFonts w:ascii="Arial" w:eastAsia="Arial" w:hAnsi="Arial" w:cs="Arial"/>
          <w:sz w:val="22"/>
          <w:szCs w:val="22"/>
          <w:lang w:val="es-ES"/>
        </w:rPr>
        <w:t xml:space="preserve"> no tener ventas en abril</w:t>
      </w:r>
      <w:r>
        <w:rPr>
          <w:rFonts w:ascii="Arial" w:eastAsia="Arial" w:hAnsi="Arial" w:cs="Arial"/>
          <w:sz w:val="22"/>
          <w:szCs w:val="22"/>
          <w:lang w:val="es-ES"/>
        </w:rPr>
        <w:t xml:space="preserve">; (ii) </w:t>
      </w:r>
      <w:r w:rsidRPr="00901BB8">
        <w:rPr>
          <w:rFonts w:ascii="Arial" w:eastAsia="Arial" w:hAnsi="Arial" w:cs="Arial"/>
          <w:sz w:val="22"/>
          <w:szCs w:val="22"/>
          <w:lang w:val="es-ES"/>
        </w:rPr>
        <w:t>el 38% reporto que había cerrado temporalmente durante mayo</w:t>
      </w:r>
      <w:r>
        <w:rPr>
          <w:rFonts w:ascii="Arial" w:eastAsia="Arial" w:hAnsi="Arial" w:cs="Arial"/>
          <w:sz w:val="22"/>
          <w:szCs w:val="22"/>
          <w:lang w:val="es-ES"/>
        </w:rPr>
        <w:t xml:space="preserve">; </w:t>
      </w:r>
      <w:r w:rsidRPr="00901BB8">
        <w:rPr>
          <w:rFonts w:ascii="Arial" w:eastAsia="Arial" w:hAnsi="Arial" w:cs="Arial"/>
          <w:sz w:val="22"/>
          <w:szCs w:val="22"/>
          <w:lang w:val="es-ES"/>
        </w:rPr>
        <w:t xml:space="preserve">y </w:t>
      </w:r>
      <w:r>
        <w:rPr>
          <w:rFonts w:ascii="Arial" w:eastAsia="Arial" w:hAnsi="Arial" w:cs="Arial"/>
          <w:sz w:val="22"/>
          <w:szCs w:val="22"/>
          <w:lang w:val="es-ES"/>
        </w:rPr>
        <w:t xml:space="preserve">(iii) </w:t>
      </w:r>
      <w:r w:rsidRPr="00901BB8">
        <w:rPr>
          <w:rFonts w:ascii="Arial" w:eastAsia="Arial" w:hAnsi="Arial" w:cs="Arial"/>
          <w:sz w:val="22"/>
          <w:szCs w:val="22"/>
          <w:lang w:val="es-ES"/>
        </w:rPr>
        <w:t>el 64% informo que en abril y mayo ha tenido que suspender o despedir empleados a causa de la crisis del COVID-19. En el caso de empresas que todavía están en operación, se identificó que un 41% lograría llegar hasta julio de 2020 si se mantiene el ritmo actual de ventas.</w:t>
      </w:r>
      <w:r>
        <w:rPr>
          <w:rFonts w:ascii="Arial" w:eastAsia="Arial" w:hAnsi="Arial" w:cs="Arial"/>
          <w:sz w:val="22"/>
          <w:szCs w:val="22"/>
          <w:lang w:val="es-ES"/>
        </w:rPr>
        <w:t xml:space="preserve"> </w:t>
      </w:r>
      <w:r w:rsidRPr="00901BB8">
        <w:rPr>
          <w:rFonts w:ascii="Arial" w:eastAsia="Arial" w:hAnsi="Arial" w:cs="Arial"/>
          <w:sz w:val="22"/>
          <w:szCs w:val="22"/>
          <w:lang w:val="es-ES"/>
        </w:rPr>
        <w:t>Las micro y pequeñas empresas registra</w:t>
      </w:r>
      <w:r>
        <w:rPr>
          <w:rFonts w:ascii="Arial" w:eastAsia="Arial" w:hAnsi="Arial" w:cs="Arial"/>
          <w:sz w:val="22"/>
          <w:szCs w:val="22"/>
          <w:lang w:val="es-ES"/>
        </w:rPr>
        <w:t>n</w:t>
      </w:r>
      <w:r w:rsidRPr="00901BB8">
        <w:rPr>
          <w:rFonts w:ascii="Arial" w:eastAsia="Arial" w:hAnsi="Arial" w:cs="Arial"/>
          <w:sz w:val="22"/>
          <w:szCs w:val="22"/>
          <w:lang w:val="es-ES"/>
        </w:rPr>
        <w:t xml:space="preserve"> menos opciones de vender (22</w:t>
      </w:r>
      <w:r>
        <w:rPr>
          <w:rFonts w:ascii="Arial" w:eastAsia="Arial" w:hAnsi="Arial" w:cs="Arial"/>
          <w:sz w:val="22"/>
          <w:szCs w:val="22"/>
          <w:lang w:val="es-ES"/>
        </w:rPr>
        <w:t>,</w:t>
      </w:r>
      <w:r w:rsidRPr="00901BB8">
        <w:rPr>
          <w:rFonts w:ascii="Arial" w:eastAsia="Arial" w:hAnsi="Arial" w:cs="Arial"/>
          <w:sz w:val="22"/>
          <w:szCs w:val="22"/>
          <w:lang w:val="es-ES"/>
        </w:rPr>
        <w:t>6% y 35</w:t>
      </w:r>
      <w:r>
        <w:rPr>
          <w:rFonts w:ascii="Arial" w:eastAsia="Arial" w:hAnsi="Arial" w:cs="Arial"/>
          <w:sz w:val="22"/>
          <w:szCs w:val="22"/>
          <w:lang w:val="es-ES"/>
        </w:rPr>
        <w:t>,</w:t>
      </w:r>
      <w:r w:rsidRPr="00901BB8">
        <w:rPr>
          <w:rFonts w:ascii="Arial" w:eastAsia="Arial" w:hAnsi="Arial" w:cs="Arial"/>
          <w:sz w:val="22"/>
          <w:szCs w:val="22"/>
          <w:lang w:val="es-ES"/>
        </w:rPr>
        <w:t>1%, respectivamente), comparado con las empresas medianas y grandes (66</w:t>
      </w:r>
      <w:r>
        <w:rPr>
          <w:rFonts w:ascii="Arial" w:eastAsia="Arial" w:hAnsi="Arial" w:cs="Arial"/>
          <w:sz w:val="22"/>
          <w:szCs w:val="22"/>
          <w:lang w:val="es-ES"/>
        </w:rPr>
        <w:t>,</w:t>
      </w:r>
      <w:r w:rsidRPr="00901BB8">
        <w:rPr>
          <w:rFonts w:ascii="Arial" w:eastAsia="Arial" w:hAnsi="Arial" w:cs="Arial"/>
          <w:sz w:val="22"/>
          <w:szCs w:val="22"/>
          <w:lang w:val="es-ES"/>
        </w:rPr>
        <w:t>2%)</w:t>
      </w:r>
      <w:r>
        <w:rPr>
          <w:rFonts w:ascii="Arial" w:eastAsia="Arial" w:hAnsi="Arial" w:cs="Arial"/>
          <w:sz w:val="22"/>
          <w:szCs w:val="22"/>
          <w:lang w:val="es-ES"/>
        </w:rPr>
        <w:t>.</w:t>
      </w:r>
    </w:p>
    <w:p w14:paraId="2EC04EDA" w14:textId="1A66A86E" w:rsidR="00BC7CD9" w:rsidRPr="00F26972" w:rsidRDefault="00BC7CD9" w:rsidP="003D32CD">
      <w:pPr>
        <w:pStyle w:val="Paragraph"/>
        <w:numPr>
          <w:ilvl w:val="1"/>
          <w:numId w:val="2"/>
        </w:numPr>
        <w:ind w:left="720" w:hanging="720"/>
        <w:rPr>
          <w:rFonts w:ascii="Arial" w:hAnsi="Arial" w:cs="Arial"/>
          <w:sz w:val="22"/>
          <w:szCs w:val="22"/>
          <w:lang w:val="es-ES_tradnl"/>
        </w:rPr>
      </w:pPr>
      <w:r w:rsidRPr="00013792">
        <w:rPr>
          <w:rFonts w:ascii="Arial" w:eastAsia="Arial" w:hAnsi="Arial" w:cs="Arial"/>
          <w:sz w:val="22"/>
          <w:szCs w:val="22"/>
          <w:lang w:val="es-ES"/>
        </w:rPr>
        <w:t>Esta situación hace que l</w:t>
      </w:r>
      <w:r w:rsidRPr="00BC7CD9">
        <w:rPr>
          <w:rFonts w:ascii="Arial" w:hAnsi="Arial" w:cs="Arial"/>
          <w:sz w:val="22"/>
          <w:szCs w:val="22"/>
          <w:lang w:val="es-ES"/>
        </w:rPr>
        <w:t xml:space="preserve">a percepción de riesgo de crédito del segmento MIPYME aumente sustancialmente y el sistema financiero aumente su preferencia por conservar su liquidez en vez de continuar prestando a clientes MIPYME que atraviesan por dificultades económicas. </w:t>
      </w:r>
      <w:r w:rsidRPr="00013792">
        <w:rPr>
          <w:rFonts w:ascii="Arial" w:eastAsia="Arial" w:hAnsi="Arial" w:cs="Arial"/>
          <w:sz w:val="22"/>
          <w:szCs w:val="22"/>
          <w:lang w:val="es-ES"/>
        </w:rPr>
        <w:t>En ese sentido, el 85% de las empresa</w:t>
      </w:r>
      <w:r>
        <w:rPr>
          <w:rFonts w:ascii="Arial" w:eastAsia="Arial" w:hAnsi="Arial" w:cs="Arial"/>
          <w:sz w:val="22"/>
          <w:szCs w:val="22"/>
          <w:lang w:val="es-ES"/>
        </w:rPr>
        <w:t>s encuestadas</w:t>
      </w:r>
      <w:r w:rsidRPr="00013792">
        <w:rPr>
          <w:rFonts w:ascii="Arial" w:eastAsia="Arial" w:hAnsi="Arial" w:cs="Arial"/>
          <w:sz w:val="22"/>
          <w:szCs w:val="22"/>
          <w:lang w:val="es-ES"/>
        </w:rPr>
        <w:t xml:space="preserve">, incluidas las que ya tenían financiamiento, informaron que necesitaban financiamiento adicional y el 66% de las empresas reportaron que no contaban </w:t>
      </w:r>
      <w:r>
        <w:rPr>
          <w:rFonts w:ascii="Arial" w:eastAsia="Arial" w:hAnsi="Arial" w:cs="Arial"/>
          <w:sz w:val="22"/>
          <w:szCs w:val="22"/>
          <w:lang w:val="es-ES"/>
        </w:rPr>
        <w:t xml:space="preserve">actualmente </w:t>
      </w:r>
      <w:r w:rsidRPr="00013792">
        <w:rPr>
          <w:rFonts w:ascii="Arial" w:eastAsia="Arial" w:hAnsi="Arial" w:cs="Arial"/>
          <w:sz w:val="22"/>
          <w:szCs w:val="22"/>
          <w:lang w:val="es-ES"/>
        </w:rPr>
        <w:t xml:space="preserve">con </w:t>
      </w:r>
      <w:r>
        <w:rPr>
          <w:rFonts w:ascii="Arial" w:eastAsia="Arial" w:hAnsi="Arial" w:cs="Arial"/>
          <w:sz w:val="22"/>
          <w:szCs w:val="22"/>
          <w:lang w:val="es-ES"/>
        </w:rPr>
        <w:t xml:space="preserve">ninguna forma de </w:t>
      </w:r>
      <w:r w:rsidRPr="00013792">
        <w:rPr>
          <w:rFonts w:ascii="Arial" w:eastAsia="Arial" w:hAnsi="Arial" w:cs="Arial"/>
          <w:sz w:val="22"/>
          <w:szCs w:val="22"/>
          <w:lang w:val="es-ES"/>
        </w:rPr>
        <w:t>financiamiento.</w:t>
      </w:r>
      <w:r>
        <w:rPr>
          <w:rFonts w:ascii="Arial" w:eastAsia="Arial" w:hAnsi="Arial" w:cs="Arial"/>
          <w:sz w:val="22"/>
          <w:szCs w:val="22"/>
          <w:lang w:val="es-ES"/>
        </w:rPr>
        <w:t xml:space="preserve"> </w:t>
      </w:r>
      <w:r w:rsidRPr="00BC7CD9">
        <w:rPr>
          <w:rFonts w:ascii="Arial" w:hAnsi="Arial" w:cs="Arial"/>
          <w:sz w:val="22"/>
          <w:szCs w:val="22"/>
          <w:lang w:val="es-ES"/>
        </w:rPr>
        <w:t xml:space="preserve">En este contexto es importante el rol de las políticas públicas, como pueden ser la provisión de nuevas líneas de crédito y de garantías crediticias a través de banco públicos de segundo piso, para estimular a las </w:t>
      </w:r>
      <w:r w:rsidR="00103FB0">
        <w:rPr>
          <w:rFonts w:ascii="Arial" w:hAnsi="Arial" w:cs="Arial"/>
          <w:sz w:val="22"/>
          <w:szCs w:val="22"/>
          <w:lang w:val="es-ES"/>
        </w:rPr>
        <w:t>Instituciones Financieras Intermediarias (</w:t>
      </w:r>
      <w:r w:rsidRPr="00BC7CD9">
        <w:rPr>
          <w:rFonts w:ascii="Arial" w:hAnsi="Arial" w:cs="Arial"/>
          <w:sz w:val="22"/>
          <w:szCs w:val="22"/>
          <w:lang w:val="es-ES"/>
        </w:rPr>
        <w:t>IFI</w:t>
      </w:r>
      <w:r w:rsidR="00103FB0">
        <w:rPr>
          <w:rFonts w:ascii="Arial" w:hAnsi="Arial" w:cs="Arial"/>
          <w:sz w:val="22"/>
          <w:szCs w:val="22"/>
          <w:lang w:val="es-ES"/>
        </w:rPr>
        <w:t>)</w:t>
      </w:r>
      <w:r w:rsidRPr="00BC7CD9">
        <w:rPr>
          <w:rFonts w:ascii="Arial" w:hAnsi="Arial" w:cs="Arial"/>
          <w:sz w:val="22"/>
          <w:szCs w:val="22"/>
          <w:lang w:val="es-ES"/>
        </w:rPr>
        <w:t xml:space="preserve"> a que mantengan su oferta de crédito al sector </w:t>
      </w:r>
      <w:r>
        <w:rPr>
          <w:rFonts w:ascii="Arial" w:hAnsi="Arial" w:cs="Arial"/>
          <w:sz w:val="22"/>
          <w:szCs w:val="22"/>
          <w:lang w:val="es-ES"/>
        </w:rPr>
        <w:t>productivo.</w:t>
      </w:r>
    </w:p>
    <w:p w14:paraId="25521565" w14:textId="189AAEE4" w:rsidR="00F26972" w:rsidRPr="00F26972" w:rsidRDefault="00F26972" w:rsidP="003D32CD">
      <w:pPr>
        <w:pStyle w:val="Paragraph"/>
        <w:numPr>
          <w:ilvl w:val="1"/>
          <w:numId w:val="2"/>
        </w:numPr>
        <w:ind w:left="720" w:hanging="720"/>
        <w:rPr>
          <w:rFonts w:ascii="Arial" w:hAnsi="Arial" w:cs="Arial"/>
          <w:sz w:val="22"/>
          <w:szCs w:val="22"/>
          <w:lang w:val="es-ES_tradnl"/>
        </w:rPr>
      </w:pPr>
      <w:r>
        <w:rPr>
          <w:rFonts w:ascii="Arial" w:eastAsia="Calibri" w:hAnsi="Arial" w:cs="Arial"/>
          <w:b/>
          <w:bCs/>
          <w:sz w:val="22"/>
          <w:szCs w:val="22"/>
          <w:lang w:val="es-ES_tradnl"/>
        </w:rPr>
        <w:t xml:space="preserve">Intervención propuesta. </w:t>
      </w:r>
      <w:r w:rsidRPr="00C54BCF">
        <w:rPr>
          <w:rFonts w:ascii="Arial" w:eastAsia="Calibri" w:hAnsi="Arial" w:cs="Arial"/>
          <w:sz w:val="22"/>
          <w:szCs w:val="22"/>
          <w:lang w:val="es-ES"/>
        </w:rPr>
        <w:t xml:space="preserve">En apoyo a las medidas de política pública que Honduras ha tomado para reducir las limitaciones de acceso al financiamiento de sus MIPYME, la intervención se </w:t>
      </w:r>
      <w:r w:rsidRPr="00EE514A">
        <w:rPr>
          <w:rFonts w:ascii="Arial" w:eastAsia="Calibri" w:hAnsi="Arial" w:cs="Arial"/>
          <w:sz w:val="22"/>
          <w:szCs w:val="22"/>
          <w:lang w:val="es-ES"/>
        </w:rPr>
        <w:t xml:space="preserve">centra en </w:t>
      </w:r>
      <w:r w:rsidRPr="00384CDE">
        <w:rPr>
          <w:rFonts w:ascii="Arial" w:eastAsia="Calibri" w:hAnsi="Arial" w:cs="Arial"/>
          <w:sz w:val="22"/>
          <w:szCs w:val="22"/>
          <w:lang w:val="es-ES"/>
        </w:rPr>
        <w:t>ayudar a sostener</w:t>
      </w:r>
      <w:r w:rsidRPr="00EE514A">
        <w:rPr>
          <w:rFonts w:ascii="Arial" w:eastAsia="Calibri" w:hAnsi="Arial" w:cs="Arial"/>
          <w:sz w:val="22"/>
          <w:szCs w:val="22"/>
          <w:lang w:val="es-ES"/>
        </w:rPr>
        <w:t xml:space="preserve"> la oferta de crédito</w:t>
      </w:r>
      <w:r w:rsidRPr="00C54BCF">
        <w:rPr>
          <w:rFonts w:ascii="Arial" w:eastAsia="Calibri" w:hAnsi="Arial" w:cs="Arial"/>
          <w:sz w:val="22"/>
          <w:szCs w:val="22"/>
          <w:lang w:val="es-ES"/>
        </w:rPr>
        <w:t xml:space="preserve"> del sistema financiero hacia la MIPYME a través de un Programa Global de Crédito.</w:t>
      </w:r>
      <w:r>
        <w:rPr>
          <w:rFonts w:ascii="Arial" w:eastAsia="Calibri" w:hAnsi="Arial" w:cs="Arial"/>
          <w:sz w:val="22"/>
          <w:szCs w:val="22"/>
          <w:lang w:val="es-ES"/>
        </w:rPr>
        <w:t xml:space="preserve"> </w:t>
      </w:r>
      <w:r w:rsidR="00FE4CA2">
        <w:rPr>
          <w:rFonts w:ascii="Arial" w:eastAsia="Calibri" w:hAnsi="Arial" w:cs="Arial"/>
          <w:sz w:val="22"/>
          <w:szCs w:val="22"/>
          <w:lang w:val="es-ES"/>
        </w:rPr>
        <w:t xml:space="preserve">El presente programa forma parte de la estrategia de gobierno para preservar el empleo de la MIPYME y complementa las iniciativas mencionadas anteriormente. De igual forma, </w:t>
      </w:r>
      <w:proofErr w:type="gramStart"/>
      <w:r w:rsidR="00FE4CA2">
        <w:rPr>
          <w:rFonts w:ascii="Arial" w:eastAsia="Calibri" w:hAnsi="Arial" w:cs="Arial"/>
          <w:sz w:val="22"/>
          <w:szCs w:val="22"/>
          <w:lang w:val="es-ES"/>
        </w:rPr>
        <w:t>e</w:t>
      </w:r>
      <w:r w:rsidR="00FE4CA2" w:rsidRPr="00C54BCF">
        <w:rPr>
          <w:rFonts w:ascii="Arial" w:eastAsia="Calibri" w:hAnsi="Arial" w:cs="Arial"/>
          <w:sz w:val="22"/>
          <w:szCs w:val="22"/>
          <w:lang w:val="es-ES"/>
        </w:rPr>
        <w:t xml:space="preserve">l </w:t>
      </w:r>
      <w:r w:rsidRPr="00C54BCF">
        <w:rPr>
          <w:rFonts w:ascii="Arial" w:eastAsia="Calibri" w:hAnsi="Arial" w:cs="Arial"/>
          <w:sz w:val="22"/>
          <w:szCs w:val="22"/>
          <w:lang w:val="es-ES"/>
        </w:rPr>
        <w:t xml:space="preserve"> programa</w:t>
      </w:r>
      <w:proofErr w:type="gramEnd"/>
      <w:r w:rsidRPr="00C54BCF">
        <w:rPr>
          <w:rFonts w:ascii="Arial" w:eastAsia="Calibri" w:hAnsi="Arial" w:cs="Arial"/>
          <w:sz w:val="22"/>
          <w:szCs w:val="22"/>
          <w:lang w:val="es-ES"/>
        </w:rPr>
        <w:t xml:space="preserve"> busca aminorar las restricciones de acceso a crédito que enfrentan las MIPYME afectadas por la crisis del COVID-19 para apoyar su supervivencia y preservar el empleo que aportan a la economía, lo que a su vez minimizará la carga sobre los sistemas de protección social y maximizará la velocidad de recuperación económica una vez superada la </w:t>
      </w:r>
      <w:r w:rsidRPr="00C54BCF">
        <w:rPr>
          <w:rFonts w:ascii="Arial" w:eastAsia="Calibri" w:hAnsi="Arial" w:cs="Arial"/>
          <w:sz w:val="22"/>
          <w:szCs w:val="22"/>
          <w:lang w:val="es-ES"/>
        </w:rPr>
        <w:lastRenderedPageBreak/>
        <w:t>emergencia sanitaria. La intervención se articulará a través d</w:t>
      </w:r>
      <w:r>
        <w:rPr>
          <w:rFonts w:ascii="Arial" w:eastAsia="Calibri" w:hAnsi="Arial" w:cs="Arial"/>
          <w:sz w:val="22"/>
          <w:szCs w:val="22"/>
          <w:lang w:val="es-ES"/>
        </w:rPr>
        <w:t>e BANHPROVI</w:t>
      </w:r>
      <w:r w:rsidRPr="00C54BCF">
        <w:rPr>
          <w:rFonts w:ascii="Arial" w:eastAsia="Calibri" w:hAnsi="Arial" w:cs="Arial"/>
          <w:sz w:val="22"/>
          <w:szCs w:val="22"/>
          <w:lang w:val="es-ES"/>
        </w:rPr>
        <w:t xml:space="preserve">, que recibirá apoyo del Banco para mejorar su capacidad de proporcionar </w:t>
      </w:r>
      <w:r w:rsidRPr="00CF6E33">
        <w:rPr>
          <w:rFonts w:ascii="Arial" w:eastAsia="Calibri" w:hAnsi="Arial" w:cs="Arial"/>
          <w:sz w:val="22"/>
          <w:szCs w:val="22"/>
          <w:lang w:val="es-ES"/>
        </w:rPr>
        <w:t>crédito</w:t>
      </w:r>
      <w:r>
        <w:rPr>
          <w:rFonts w:ascii="Arial" w:eastAsia="Calibri" w:hAnsi="Arial" w:cs="Arial"/>
          <w:sz w:val="22"/>
          <w:szCs w:val="22"/>
          <w:lang w:val="es-ES"/>
        </w:rPr>
        <w:t>s</w:t>
      </w:r>
      <w:r w:rsidRPr="00CF6E33">
        <w:rPr>
          <w:rFonts w:ascii="Arial" w:eastAsia="Calibri" w:hAnsi="Arial" w:cs="Arial"/>
          <w:sz w:val="22"/>
          <w:szCs w:val="22"/>
          <w:lang w:val="es-ES"/>
        </w:rPr>
        <w:t xml:space="preserve"> </w:t>
      </w:r>
      <w:r w:rsidRPr="008877F8">
        <w:rPr>
          <w:rFonts w:ascii="Arial" w:eastAsia="Calibri" w:hAnsi="Arial" w:cs="Arial"/>
          <w:sz w:val="22"/>
          <w:szCs w:val="22"/>
          <w:lang w:val="es-ES"/>
        </w:rPr>
        <w:t>y garantías</w:t>
      </w:r>
      <w:r w:rsidRPr="00C54BCF">
        <w:rPr>
          <w:rFonts w:ascii="Arial" w:eastAsia="Calibri" w:hAnsi="Arial" w:cs="Arial"/>
          <w:sz w:val="22"/>
          <w:szCs w:val="22"/>
          <w:lang w:val="es-ES"/>
        </w:rPr>
        <w:t xml:space="preserve"> </w:t>
      </w:r>
      <w:r>
        <w:rPr>
          <w:rFonts w:ascii="Arial" w:eastAsia="Calibri" w:hAnsi="Arial" w:cs="Arial"/>
          <w:sz w:val="22"/>
          <w:szCs w:val="22"/>
          <w:lang w:val="es-ES"/>
        </w:rPr>
        <w:t xml:space="preserve">a las IFI </w:t>
      </w:r>
      <w:r w:rsidRPr="00C54BCF">
        <w:rPr>
          <w:rFonts w:ascii="Arial" w:eastAsia="Calibri" w:hAnsi="Arial" w:cs="Arial"/>
          <w:sz w:val="22"/>
          <w:szCs w:val="22"/>
          <w:lang w:val="es-ES"/>
        </w:rPr>
        <w:t xml:space="preserve">con el objetivo de que </w:t>
      </w:r>
      <w:r>
        <w:rPr>
          <w:rFonts w:ascii="Arial" w:eastAsia="Calibri" w:hAnsi="Arial" w:cs="Arial"/>
          <w:sz w:val="22"/>
          <w:szCs w:val="22"/>
          <w:lang w:val="es-ES"/>
        </w:rPr>
        <w:t xml:space="preserve">estas </w:t>
      </w:r>
      <w:r w:rsidRPr="00C54BCF">
        <w:rPr>
          <w:rFonts w:ascii="Arial" w:eastAsia="Calibri" w:hAnsi="Arial" w:cs="Arial"/>
          <w:sz w:val="22"/>
          <w:szCs w:val="22"/>
          <w:lang w:val="es-ES"/>
        </w:rPr>
        <w:t>continúen ofreciendo crédito a MIPYME afectadas con la crisis generada por el COVID-19</w:t>
      </w:r>
      <w:r>
        <w:rPr>
          <w:rFonts w:ascii="Arial" w:eastAsia="Calibri" w:hAnsi="Arial" w:cs="Arial"/>
          <w:sz w:val="22"/>
          <w:szCs w:val="22"/>
          <w:lang w:val="es-ES"/>
        </w:rPr>
        <w:t>.</w:t>
      </w:r>
    </w:p>
    <w:p w14:paraId="6753547E" w14:textId="456EB8C1" w:rsidR="00F26972" w:rsidRPr="00514234" w:rsidRDefault="00F26972" w:rsidP="003D32CD">
      <w:pPr>
        <w:pStyle w:val="Paragraph"/>
        <w:numPr>
          <w:ilvl w:val="1"/>
          <w:numId w:val="2"/>
        </w:numPr>
        <w:ind w:left="720" w:hanging="720"/>
        <w:rPr>
          <w:rFonts w:ascii="Arial" w:hAnsi="Arial" w:cs="Arial"/>
          <w:sz w:val="22"/>
          <w:szCs w:val="22"/>
          <w:lang w:val="es-ES_tradnl"/>
        </w:rPr>
      </w:pPr>
      <w:r w:rsidRPr="00A577BA">
        <w:rPr>
          <w:rFonts w:ascii="Arial" w:eastAsia="Calibri" w:hAnsi="Arial" w:cs="Arial"/>
          <w:sz w:val="22"/>
          <w:szCs w:val="22"/>
          <w:lang w:val="es-ES"/>
        </w:rPr>
        <w:t>El programa propuesto atenderá a las MIPYME</w:t>
      </w:r>
      <w:r w:rsidR="008608B7">
        <w:rPr>
          <w:rFonts w:ascii="Arial" w:eastAsia="Calibri" w:hAnsi="Arial" w:cs="Arial"/>
          <w:sz w:val="22"/>
          <w:szCs w:val="22"/>
          <w:lang w:val="es-ES"/>
        </w:rPr>
        <w:t xml:space="preserve"> afectadas por el COVID-19, </w:t>
      </w:r>
      <w:r w:rsidR="00BC6520">
        <w:rPr>
          <w:rFonts w:ascii="Arial" w:eastAsia="Calibri" w:hAnsi="Arial" w:cs="Arial"/>
          <w:sz w:val="22"/>
          <w:szCs w:val="22"/>
          <w:lang w:val="es-ES"/>
        </w:rPr>
        <w:t>focalizándose en las</w:t>
      </w:r>
      <w:r w:rsidR="00BC6520" w:rsidRPr="00A577BA">
        <w:rPr>
          <w:rFonts w:ascii="Arial" w:eastAsia="Calibri" w:hAnsi="Arial" w:cs="Arial"/>
          <w:sz w:val="22"/>
          <w:szCs w:val="22"/>
          <w:lang w:val="es-ES"/>
        </w:rPr>
        <w:t xml:space="preserve"> </w:t>
      </w:r>
      <w:r w:rsidR="00BC6520">
        <w:rPr>
          <w:rFonts w:ascii="Arial" w:eastAsia="Calibri" w:hAnsi="Arial" w:cs="Arial"/>
          <w:sz w:val="22"/>
          <w:szCs w:val="22"/>
          <w:lang w:val="es-ES"/>
        </w:rPr>
        <w:t>vinculadas a</w:t>
      </w:r>
      <w:r w:rsidR="00BC6520" w:rsidRPr="00866C0A">
        <w:rPr>
          <w:rFonts w:ascii="Arial" w:eastAsia="Calibri" w:hAnsi="Arial" w:cs="Arial"/>
          <w:sz w:val="22"/>
          <w:szCs w:val="22"/>
          <w:lang w:val="es-ES"/>
        </w:rPr>
        <w:t xml:space="preserve">l </w:t>
      </w:r>
      <w:r w:rsidRPr="00866C0A">
        <w:rPr>
          <w:rFonts w:ascii="Arial" w:eastAsia="Calibri" w:hAnsi="Arial" w:cs="Arial"/>
          <w:sz w:val="22"/>
          <w:szCs w:val="22"/>
          <w:lang w:val="es-ES"/>
        </w:rPr>
        <w:t>turismo</w:t>
      </w:r>
      <w:r w:rsidRPr="00866C0A">
        <w:rPr>
          <w:rStyle w:val="FootnoteReference"/>
          <w:rFonts w:ascii="Arial" w:eastAsia="Calibri" w:hAnsi="Arial" w:cs="Arial"/>
          <w:sz w:val="22"/>
          <w:szCs w:val="22"/>
          <w:lang w:val="es-ES"/>
        </w:rPr>
        <w:footnoteReference w:id="19"/>
      </w:r>
      <w:r w:rsidRPr="00866C0A">
        <w:rPr>
          <w:rFonts w:ascii="Arial" w:eastAsia="Calibri" w:hAnsi="Arial" w:cs="Arial"/>
          <w:sz w:val="22"/>
          <w:szCs w:val="22"/>
          <w:lang w:val="es-ES"/>
        </w:rPr>
        <w:t xml:space="preserve"> como</w:t>
      </w:r>
      <w:r>
        <w:rPr>
          <w:rFonts w:ascii="Arial" w:eastAsia="Calibri" w:hAnsi="Arial" w:cs="Arial"/>
          <w:sz w:val="22"/>
          <w:szCs w:val="22"/>
          <w:lang w:val="es-ES"/>
        </w:rPr>
        <w:t xml:space="preserve"> </w:t>
      </w:r>
      <w:r w:rsidR="00092E88">
        <w:rPr>
          <w:rFonts w:ascii="Arial" w:eastAsia="Calibri" w:hAnsi="Arial" w:cs="Arial"/>
          <w:sz w:val="22"/>
          <w:szCs w:val="22"/>
          <w:lang w:val="es-ES"/>
        </w:rPr>
        <w:t>el sector</w:t>
      </w:r>
      <w:r w:rsidRPr="7E2DC094">
        <w:rPr>
          <w:rFonts w:ascii="Arial" w:eastAsia="Calibri" w:hAnsi="Arial" w:cs="Arial"/>
          <w:sz w:val="22"/>
          <w:szCs w:val="22"/>
          <w:lang w:val="es-ES"/>
        </w:rPr>
        <w:t xml:space="preserve"> productivo más afectado en la economía</w:t>
      </w:r>
      <w:r w:rsidR="00092E88">
        <w:rPr>
          <w:rFonts w:ascii="Arial" w:eastAsia="Calibri" w:hAnsi="Arial" w:cs="Arial"/>
          <w:sz w:val="22"/>
          <w:szCs w:val="22"/>
          <w:lang w:val="es-ES"/>
        </w:rPr>
        <w:t xml:space="preserve"> de Honduras</w:t>
      </w:r>
      <w:r w:rsidRPr="002A0C08">
        <w:rPr>
          <w:rFonts w:ascii="Arial" w:eastAsia="Calibri" w:hAnsi="Arial" w:cs="Arial"/>
          <w:sz w:val="22"/>
          <w:szCs w:val="22"/>
          <w:lang w:val="es-ES"/>
        </w:rPr>
        <w:t xml:space="preserve">. </w:t>
      </w:r>
      <w:r>
        <w:rPr>
          <w:rFonts w:ascii="Arial" w:eastAsia="Calibri" w:hAnsi="Arial" w:cs="Arial"/>
          <w:sz w:val="22"/>
          <w:szCs w:val="22"/>
          <w:lang w:val="es-ES"/>
        </w:rPr>
        <w:t>El turismo</w:t>
      </w:r>
      <w:r w:rsidRPr="002A0C08">
        <w:rPr>
          <w:rFonts w:ascii="Arial" w:eastAsia="Calibri" w:hAnsi="Arial" w:cs="Arial"/>
          <w:sz w:val="22"/>
          <w:szCs w:val="22"/>
          <w:lang w:val="es-ES"/>
        </w:rPr>
        <w:t xml:space="preserve"> se ha identificado </w:t>
      </w:r>
      <w:r>
        <w:rPr>
          <w:rFonts w:ascii="Arial" w:eastAsia="Calibri" w:hAnsi="Arial" w:cs="Arial"/>
          <w:sz w:val="22"/>
          <w:szCs w:val="22"/>
          <w:lang w:val="es-ES"/>
        </w:rPr>
        <w:t xml:space="preserve">como el sector más vulnerable ante la crisis del COVID-19 </w:t>
      </w:r>
      <w:r w:rsidRPr="002A0C08">
        <w:rPr>
          <w:rFonts w:ascii="Arial" w:eastAsia="Calibri" w:hAnsi="Arial" w:cs="Arial"/>
          <w:sz w:val="22"/>
          <w:szCs w:val="22"/>
          <w:lang w:val="es-ES"/>
        </w:rPr>
        <w:t>mediante un análisis de vulnerabilidad realizado por el Banco</w:t>
      </w:r>
      <w:r>
        <w:rPr>
          <w:rFonts w:ascii="Arial" w:eastAsia="Calibri" w:hAnsi="Arial" w:cs="Arial"/>
          <w:sz w:val="22"/>
          <w:szCs w:val="22"/>
          <w:lang w:val="es-ES"/>
        </w:rPr>
        <w:t xml:space="preserve"> </w:t>
      </w:r>
      <w:r w:rsidRPr="00F26972">
        <w:rPr>
          <w:rFonts w:ascii="Arial" w:eastAsia="Calibri" w:hAnsi="Arial" w:cs="Arial"/>
          <w:sz w:val="22"/>
          <w:szCs w:val="22"/>
          <w:lang w:val="es-ES"/>
        </w:rPr>
        <w:t>(</w:t>
      </w:r>
      <w:hyperlink r:id="rId20" w:history="1">
        <w:r w:rsidRPr="001922DD">
          <w:rPr>
            <w:rStyle w:val="Hyperlink"/>
            <w:rFonts w:ascii="Arial" w:eastAsia="Calibri" w:hAnsi="Arial" w:cs="Arial"/>
            <w:sz w:val="22"/>
            <w:szCs w:val="22"/>
            <w:lang w:val="es-ES"/>
          </w:rPr>
          <w:t>EEO#6</w:t>
        </w:r>
      </w:hyperlink>
      <w:r w:rsidRPr="00F26972">
        <w:rPr>
          <w:rFonts w:ascii="Arial" w:eastAsia="Calibri" w:hAnsi="Arial" w:cs="Arial"/>
          <w:sz w:val="22"/>
          <w:szCs w:val="22"/>
          <w:lang w:val="es-ES"/>
        </w:rPr>
        <w:t>).</w:t>
      </w:r>
      <w:r w:rsidRPr="00A577BA">
        <w:rPr>
          <w:rFonts w:ascii="Arial" w:eastAsia="Calibri" w:hAnsi="Arial" w:cs="Arial"/>
          <w:sz w:val="22"/>
          <w:szCs w:val="22"/>
          <w:lang w:val="es-ES"/>
        </w:rPr>
        <w:t xml:space="preserve"> Este</w:t>
      </w:r>
      <w:r w:rsidRPr="7E2DC094">
        <w:rPr>
          <w:rFonts w:ascii="Arial" w:eastAsia="Calibri" w:hAnsi="Arial" w:cs="Arial"/>
          <w:sz w:val="22"/>
          <w:szCs w:val="22"/>
          <w:lang w:val="es-ES"/>
        </w:rPr>
        <w:t xml:space="preserve"> análisis concluye que </w:t>
      </w:r>
      <w:r>
        <w:rPr>
          <w:rFonts w:ascii="Arial" w:eastAsia="Calibri" w:hAnsi="Arial" w:cs="Arial"/>
          <w:sz w:val="22"/>
          <w:szCs w:val="22"/>
          <w:lang w:val="es-ES"/>
        </w:rPr>
        <w:t>el turismo es el sector más vulnerable</w:t>
      </w:r>
      <w:r w:rsidR="00FA638F" w:rsidRPr="001F116C">
        <w:rPr>
          <w:lang w:val="es-ES_tradnl"/>
        </w:rPr>
        <w:t xml:space="preserve"> </w:t>
      </w:r>
      <w:r w:rsidR="00FA638F" w:rsidRPr="00FA638F">
        <w:rPr>
          <w:rFonts w:ascii="Arial" w:eastAsia="Calibri" w:hAnsi="Arial" w:cs="Arial"/>
          <w:sz w:val="22"/>
          <w:szCs w:val="22"/>
          <w:lang w:val="es-ES"/>
        </w:rPr>
        <w:t>del país por tener la mayor probabilidad de reducción de ingresos y pérdida de empleo</w:t>
      </w:r>
      <w:r>
        <w:rPr>
          <w:rStyle w:val="FootnoteReference"/>
          <w:rFonts w:ascii="Arial" w:eastAsia="Calibri" w:hAnsi="Arial" w:cs="Arial"/>
          <w:sz w:val="22"/>
          <w:szCs w:val="22"/>
          <w:lang w:val="es-ES"/>
        </w:rPr>
        <w:footnoteReference w:id="20"/>
      </w:r>
      <w:r w:rsidRPr="7E2DC094">
        <w:rPr>
          <w:rFonts w:ascii="Arial" w:eastAsia="Calibri" w:hAnsi="Arial" w:cs="Arial"/>
          <w:sz w:val="22"/>
          <w:szCs w:val="22"/>
          <w:lang w:val="es-ES"/>
        </w:rPr>
        <w:t xml:space="preserve">. </w:t>
      </w:r>
      <w:r>
        <w:rPr>
          <w:rFonts w:ascii="Arial" w:eastAsia="Calibri" w:hAnsi="Arial" w:cs="Arial"/>
          <w:sz w:val="22"/>
          <w:szCs w:val="22"/>
          <w:lang w:val="es-ES"/>
        </w:rPr>
        <w:t xml:space="preserve">Este análisis es consistente con la encuesta a empresas mencionada anteriormente, que también identifica a las empresas del sector turístico como las que tienen una menor resiliencia </w:t>
      </w:r>
      <w:r w:rsidR="00BA4813">
        <w:rPr>
          <w:rFonts w:ascii="Arial" w:eastAsia="Calibri" w:hAnsi="Arial" w:cs="Arial"/>
          <w:sz w:val="22"/>
          <w:szCs w:val="22"/>
          <w:lang w:val="es-ES"/>
        </w:rPr>
        <w:t xml:space="preserve">financiera </w:t>
      </w:r>
      <w:r>
        <w:rPr>
          <w:rFonts w:ascii="Arial" w:eastAsia="Calibri" w:hAnsi="Arial" w:cs="Arial"/>
          <w:sz w:val="22"/>
          <w:szCs w:val="22"/>
          <w:lang w:val="es-ES"/>
        </w:rPr>
        <w:t xml:space="preserve">ante la crisis del COVID-19. </w:t>
      </w:r>
      <w:r w:rsidRPr="00384CDE">
        <w:rPr>
          <w:rFonts w:ascii="Arial" w:eastAsia="Calibri" w:hAnsi="Arial" w:cs="Arial"/>
          <w:sz w:val="22"/>
          <w:szCs w:val="22"/>
          <w:lang w:val="es-ES"/>
        </w:rPr>
        <w:t xml:space="preserve">De esta manera, el programa compagina la atención a los colectivos de empresas (MIPYME) y sector </w:t>
      </w:r>
      <w:r>
        <w:rPr>
          <w:rFonts w:ascii="Arial" w:eastAsia="Calibri" w:hAnsi="Arial" w:cs="Arial"/>
          <w:sz w:val="22"/>
          <w:szCs w:val="22"/>
          <w:lang w:val="es-ES"/>
        </w:rPr>
        <w:t xml:space="preserve">económico (turismo) </w:t>
      </w:r>
      <w:r w:rsidRPr="00384CDE">
        <w:rPr>
          <w:rFonts w:ascii="Arial" w:eastAsia="Calibri" w:hAnsi="Arial" w:cs="Arial"/>
          <w:sz w:val="22"/>
          <w:szCs w:val="22"/>
          <w:lang w:val="es-ES"/>
        </w:rPr>
        <w:t xml:space="preserve">más vulnerable, </w:t>
      </w:r>
      <w:r>
        <w:rPr>
          <w:rFonts w:ascii="Arial" w:eastAsia="Calibri" w:hAnsi="Arial" w:cs="Arial"/>
          <w:sz w:val="22"/>
          <w:szCs w:val="22"/>
          <w:lang w:val="es-ES"/>
        </w:rPr>
        <w:t xml:space="preserve">y aporta una solución flexible, </w:t>
      </w:r>
      <w:r w:rsidRPr="00384CDE">
        <w:rPr>
          <w:rFonts w:ascii="Arial" w:eastAsia="Calibri" w:hAnsi="Arial" w:cs="Arial"/>
          <w:sz w:val="22"/>
          <w:szCs w:val="22"/>
          <w:lang w:val="es-ES"/>
        </w:rPr>
        <w:t xml:space="preserve">que </w:t>
      </w:r>
      <w:r w:rsidRPr="000B6FEC">
        <w:rPr>
          <w:rFonts w:ascii="Arial" w:eastAsia="Calibri" w:hAnsi="Arial" w:cs="Arial"/>
          <w:sz w:val="22"/>
          <w:szCs w:val="22"/>
          <w:lang w:val="es-ES"/>
        </w:rPr>
        <w:t>en la ejecución</w:t>
      </w:r>
      <w:r>
        <w:rPr>
          <w:rFonts w:ascii="Arial" w:eastAsia="Calibri" w:hAnsi="Arial" w:cs="Arial"/>
          <w:sz w:val="22"/>
          <w:szCs w:val="22"/>
          <w:lang w:val="es-ES"/>
        </w:rPr>
        <w:t xml:space="preserve"> </w:t>
      </w:r>
      <w:r w:rsidRPr="00384CDE">
        <w:rPr>
          <w:rFonts w:ascii="Arial" w:eastAsia="Calibri" w:hAnsi="Arial" w:cs="Arial"/>
          <w:sz w:val="22"/>
          <w:szCs w:val="22"/>
          <w:lang w:val="es-ES"/>
        </w:rPr>
        <w:t xml:space="preserve">pueda adaptarse a </w:t>
      </w:r>
      <w:r>
        <w:rPr>
          <w:rFonts w:ascii="Arial" w:eastAsia="Calibri" w:hAnsi="Arial" w:cs="Arial"/>
          <w:sz w:val="22"/>
          <w:szCs w:val="22"/>
          <w:lang w:val="es-ES"/>
        </w:rPr>
        <w:t xml:space="preserve">aportar liquidez y tomar riesgo según </w:t>
      </w:r>
      <w:r w:rsidRPr="00384CDE">
        <w:rPr>
          <w:rFonts w:ascii="Arial" w:eastAsia="Calibri" w:hAnsi="Arial" w:cs="Arial"/>
          <w:sz w:val="22"/>
          <w:szCs w:val="22"/>
          <w:lang w:val="es-ES"/>
        </w:rPr>
        <w:t>la</w:t>
      </w:r>
      <w:r>
        <w:rPr>
          <w:rFonts w:ascii="Arial" w:eastAsia="Calibri" w:hAnsi="Arial" w:cs="Arial"/>
          <w:sz w:val="22"/>
          <w:szCs w:val="22"/>
          <w:lang w:val="es-ES"/>
        </w:rPr>
        <w:t xml:space="preserve">s necesidades del sector financiero para continuar aportando crédito a las MIPYME en un escenario de alta incertidumbre sobre la </w:t>
      </w:r>
      <w:r w:rsidRPr="00384CDE">
        <w:rPr>
          <w:rFonts w:ascii="Arial" w:eastAsia="Calibri" w:hAnsi="Arial" w:cs="Arial"/>
          <w:sz w:val="22"/>
          <w:szCs w:val="22"/>
          <w:lang w:val="es-ES"/>
        </w:rPr>
        <w:t>evolución del impacto del COVID-19</w:t>
      </w:r>
      <w:r>
        <w:rPr>
          <w:rFonts w:ascii="Arial" w:eastAsia="Calibri" w:hAnsi="Arial" w:cs="Arial"/>
          <w:sz w:val="22"/>
          <w:szCs w:val="22"/>
          <w:lang w:val="es-ES"/>
        </w:rPr>
        <w:t xml:space="preserve"> durante el periodo 2020-2021.</w:t>
      </w:r>
    </w:p>
    <w:p w14:paraId="303F1750" w14:textId="36E9853C" w:rsidR="00F26972" w:rsidRPr="00F26972" w:rsidRDefault="008608B7" w:rsidP="003D32CD">
      <w:pPr>
        <w:pStyle w:val="Paragraph"/>
        <w:numPr>
          <w:ilvl w:val="1"/>
          <w:numId w:val="2"/>
        </w:numPr>
        <w:ind w:left="720" w:hanging="720"/>
        <w:rPr>
          <w:rFonts w:ascii="Arial" w:hAnsi="Arial" w:cs="Arial"/>
          <w:sz w:val="22"/>
          <w:szCs w:val="22"/>
          <w:lang w:val="es-ES_tradnl"/>
        </w:rPr>
      </w:pPr>
      <w:r>
        <w:rPr>
          <w:rFonts w:ascii="Arial" w:hAnsi="Arial" w:cs="Arial"/>
          <w:b/>
          <w:bCs/>
          <w:sz w:val="22"/>
          <w:szCs w:val="22"/>
          <w:lang w:val="es-ES_tradnl"/>
        </w:rPr>
        <w:t xml:space="preserve">Descripción </w:t>
      </w:r>
      <w:r w:rsidR="003D32CD">
        <w:rPr>
          <w:rFonts w:ascii="Arial" w:hAnsi="Arial" w:cs="Arial"/>
          <w:b/>
          <w:bCs/>
          <w:sz w:val="22"/>
          <w:szCs w:val="22"/>
          <w:lang w:val="es-ES_tradnl"/>
        </w:rPr>
        <w:t xml:space="preserve">sectorial. </w:t>
      </w:r>
      <w:r w:rsidR="00F26972" w:rsidRPr="02C07B18">
        <w:rPr>
          <w:rFonts w:ascii="Arial" w:hAnsi="Arial" w:cs="Arial"/>
          <w:sz w:val="22"/>
          <w:szCs w:val="22"/>
          <w:lang w:val="es-ES"/>
        </w:rPr>
        <w:t>El sector turismo contribuye un 11,7% al PIB y en un 12,2% al empleo</w:t>
      </w:r>
      <w:r w:rsidR="00F26972">
        <w:rPr>
          <w:rStyle w:val="FootnoteReference"/>
          <w:rFonts w:ascii="Arial" w:hAnsi="Arial" w:cs="Arial"/>
          <w:sz w:val="22"/>
          <w:szCs w:val="22"/>
          <w:lang w:val="es-ES"/>
        </w:rPr>
        <w:footnoteReference w:id="21"/>
      </w:r>
      <w:r w:rsidR="00F26972" w:rsidRPr="02C07B18">
        <w:rPr>
          <w:rFonts w:ascii="Arial" w:hAnsi="Arial" w:cs="Arial"/>
          <w:sz w:val="22"/>
          <w:szCs w:val="22"/>
          <w:lang w:val="es-ES"/>
        </w:rPr>
        <w:t xml:space="preserve">. Aproximadamente el 26,4% de su producción se orienta a la demanda externa, que se verá fuertemente reducida en lo que resta de 2020. Las estimaciones macroeconómicas de pérdida de ingresos recaudatorios por la caída de la actividad turística muestran un descenso de US$677 millones respecto a las previsiones de ingresos pre-COVID. </w:t>
      </w:r>
      <w:r w:rsidR="00F26972">
        <w:rPr>
          <w:rFonts w:ascii="Arial" w:hAnsi="Arial" w:cs="Arial"/>
          <w:sz w:val="22"/>
          <w:szCs w:val="22"/>
          <w:lang w:val="es-ES"/>
        </w:rPr>
        <w:t>Se estima que e</w:t>
      </w:r>
      <w:r w:rsidR="00F26972" w:rsidRPr="02C07B18">
        <w:rPr>
          <w:rFonts w:ascii="Arial" w:hAnsi="Arial" w:cs="Arial"/>
          <w:sz w:val="22"/>
          <w:szCs w:val="22"/>
          <w:lang w:val="es-ES"/>
        </w:rPr>
        <w:t xml:space="preserve">n el sector existen </w:t>
      </w:r>
      <w:r w:rsidR="00F26972">
        <w:rPr>
          <w:rFonts w:ascii="Arial" w:hAnsi="Arial" w:cs="Arial"/>
          <w:sz w:val="22"/>
          <w:szCs w:val="22"/>
          <w:lang w:val="es-ES"/>
        </w:rPr>
        <w:t xml:space="preserve">al menos </w:t>
      </w:r>
      <w:r w:rsidR="00F26972" w:rsidRPr="02C07B18">
        <w:rPr>
          <w:rFonts w:ascii="Arial" w:hAnsi="Arial" w:cs="Arial"/>
          <w:sz w:val="22"/>
          <w:szCs w:val="22"/>
          <w:lang w:val="es-ES"/>
        </w:rPr>
        <w:t>4.0</w:t>
      </w:r>
      <w:r w:rsidR="00F26972">
        <w:rPr>
          <w:rFonts w:ascii="Arial" w:hAnsi="Arial" w:cs="Arial"/>
          <w:sz w:val="22"/>
          <w:szCs w:val="22"/>
          <w:lang w:val="es-ES"/>
        </w:rPr>
        <w:t>88</w:t>
      </w:r>
      <w:r w:rsidR="00F26972" w:rsidRPr="02C07B18">
        <w:rPr>
          <w:rFonts w:ascii="Arial" w:hAnsi="Arial" w:cs="Arial"/>
          <w:sz w:val="22"/>
          <w:szCs w:val="22"/>
          <w:lang w:val="es-ES"/>
        </w:rPr>
        <w:t xml:space="preserve"> empresas</w:t>
      </w:r>
      <w:r w:rsidR="00F26972">
        <w:rPr>
          <w:rStyle w:val="FootnoteReference"/>
          <w:rFonts w:ascii="Arial" w:hAnsi="Arial" w:cs="Arial"/>
          <w:sz w:val="22"/>
          <w:szCs w:val="22"/>
          <w:lang w:val="es-ES"/>
        </w:rPr>
        <w:footnoteReference w:id="22"/>
      </w:r>
      <w:r w:rsidR="00F26972" w:rsidRPr="02C07B18">
        <w:rPr>
          <w:rFonts w:ascii="Arial" w:hAnsi="Arial" w:cs="Arial"/>
          <w:sz w:val="22"/>
          <w:szCs w:val="22"/>
          <w:lang w:val="es-ES"/>
        </w:rPr>
        <w:t xml:space="preserve">, de las </w:t>
      </w:r>
      <w:r w:rsidR="00F26972">
        <w:rPr>
          <w:rFonts w:ascii="Arial" w:hAnsi="Arial" w:cs="Arial"/>
          <w:sz w:val="22"/>
          <w:szCs w:val="22"/>
          <w:lang w:val="es-ES"/>
        </w:rPr>
        <w:t xml:space="preserve">el </w:t>
      </w:r>
      <w:r w:rsidR="00F26972" w:rsidRPr="02C07B18">
        <w:rPr>
          <w:rFonts w:ascii="Arial" w:hAnsi="Arial" w:cs="Arial"/>
          <w:sz w:val="22"/>
          <w:szCs w:val="22"/>
          <w:lang w:val="es-ES"/>
        </w:rPr>
        <w:t>9</w:t>
      </w:r>
      <w:r w:rsidR="00F26972">
        <w:rPr>
          <w:rFonts w:ascii="Arial" w:hAnsi="Arial" w:cs="Arial"/>
          <w:sz w:val="22"/>
          <w:szCs w:val="22"/>
          <w:lang w:val="es-ES"/>
        </w:rPr>
        <w:t>7</w:t>
      </w:r>
      <w:r w:rsidR="00F26972" w:rsidRPr="02C07B18">
        <w:rPr>
          <w:rFonts w:ascii="Arial" w:hAnsi="Arial" w:cs="Arial"/>
          <w:sz w:val="22"/>
          <w:szCs w:val="22"/>
          <w:lang w:val="es-ES"/>
        </w:rPr>
        <w:t xml:space="preserve">% son MIPYME. Estas MIPYME </w:t>
      </w:r>
      <w:r w:rsidR="00F26972">
        <w:rPr>
          <w:rFonts w:ascii="Arial" w:hAnsi="Arial" w:cs="Arial"/>
          <w:sz w:val="22"/>
          <w:szCs w:val="22"/>
          <w:lang w:val="es-ES"/>
        </w:rPr>
        <w:t xml:space="preserve">y otras cuyos ingresos dependen de la actividad turística </w:t>
      </w:r>
      <w:r w:rsidR="00F26972" w:rsidRPr="02C07B18">
        <w:rPr>
          <w:rFonts w:ascii="Arial" w:hAnsi="Arial" w:cs="Arial"/>
          <w:sz w:val="22"/>
          <w:szCs w:val="22"/>
          <w:lang w:val="es-ES"/>
        </w:rPr>
        <w:t>están siendo especialmente afectadas por la crisis del COVID</w:t>
      </w:r>
      <w:r w:rsidR="00E34E7B">
        <w:rPr>
          <w:rFonts w:ascii="Arial" w:hAnsi="Arial" w:cs="Arial"/>
          <w:sz w:val="22"/>
          <w:szCs w:val="22"/>
          <w:lang w:val="es-ES"/>
        </w:rPr>
        <w:noBreakHyphen/>
      </w:r>
      <w:r w:rsidR="00F26972" w:rsidRPr="02C07B18">
        <w:rPr>
          <w:rFonts w:ascii="Arial" w:hAnsi="Arial" w:cs="Arial"/>
          <w:sz w:val="22"/>
          <w:szCs w:val="22"/>
          <w:lang w:val="es-ES"/>
        </w:rPr>
        <w:t>19. En los meses de abril y mayo</w:t>
      </w:r>
      <w:r w:rsidR="004E1452">
        <w:rPr>
          <w:rFonts w:ascii="Arial" w:hAnsi="Arial" w:cs="Arial"/>
          <w:sz w:val="22"/>
          <w:szCs w:val="22"/>
          <w:lang w:val="es-ES"/>
        </w:rPr>
        <w:t xml:space="preserve"> de 2020</w:t>
      </w:r>
      <w:r w:rsidR="00650004">
        <w:rPr>
          <w:rFonts w:ascii="Arial" w:hAnsi="Arial" w:cs="Arial"/>
          <w:sz w:val="22"/>
          <w:szCs w:val="22"/>
          <w:lang w:val="es-ES"/>
        </w:rPr>
        <w:t>,</w:t>
      </w:r>
      <w:r w:rsidR="004E1452">
        <w:rPr>
          <w:rFonts w:ascii="Arial" w:hAnsi="Arial" w:cs="Arial"/>
          <w:sz w:val="22"/>
          <w:szCs w:val="22"/>
          <w:lang w:val="es-ES"/>
        </w:rPr>
        <w:t xml:space="preserve"> </w:t>
      </w:r>
      <w:r w:rsidR="00F26972" w:rsidRPr="02C07B18">
        <w:rPr>
          <w:rFonts w:ascii="Arial" w:eastAsia="Arial" w:hAnsi="Arial" w:cs="Arial"/>
          <w:sz w:val="22"/>
          <w:szCs w:val="22"/>
          <w:lang w:val="es-ES"/>
        </w:rPr>
        <w:t>los subsectores de turismo que incluyen servicios como alojamiento, operadores turísticos, comida y artes, eventos y recreación reportaron una actividad económica menor al 20% de su actividad habitual previa a la crisis del COVID-19</w:t>
      </w:r>
      <w:r w:rsidR="00F26972">
        <w:rPr>
          <w:rFonts w:ascii="Arial" w:eastAsia="Arial" w:hAnsi="Arial" w:cs="Arial"/>
          <w:sz w:val="22"/>
          <w:szCs w:val="22"/>
          <w:lang w:val="es-ES"/>
        </w:rPr>
        <w:t>. Se espera una progresiva recuperación de actividad en los próximos 24 meses, pero con un alto grado de incertidumbre</w:t>
      </w:r>
      <w:r w:rsidR="00F26972" w:rsidRPr="00F26972">
        <w:rPr>
          <w:rFonts w:ascii="Arial" w:hAnsi="Arial" w:cs="Arial"/>
          <w:sz w:val="22"/>
          <w:szCs w:val="22"/>
          <w:lang w:val="es-ES"/>
        </w:rPr>
        <w:t>.</w:t>
      </w:r>
      <w:r w:rsidR="00F26972" w:rsidRPr="02C07B18">
        <w:rPr>
          <w:rFonts w:ascii="Arial" w:eastAsia="Arial" w:hAnsi="Arial" w:cs="Arial"/>
          <w:sz w:val="22"/>
          <w:szCs w:val="22"/>
          <w:lang w:val="es-ES"/>
        </w:rPr>
        <w:t xml:space="preserve"> La problemática específica </w:t>
      </w:r>
      <w:r w:rsidR="00F26972">
        <w:rPr>
          <w:rFonts w:ascii="Arial" w:eastAsia="Arial" w:hAnsi="Arial" w:cs="Arial"/>
          <w:sz w:val="22"/>
          <w:szCs w:val="22"/>
          <w:lang w:val="es-ES"/>
        </w:rPr>
        <w:t xml:space="preserve">que actualmente enfrenta </w:t>
      </w:r>
      <w:r w:rsidR="00F26972" w:rsidRPr="02C07B18">
        <w:rPr>
          <w:rFonts w:ascii="Arial" w:eastAsia="Arial" w:hAnsi="Arial" w:cs="Arial"/>
          <w:sz w:val="22"/>
          <w:szCs w:val="22"/>
          <w:lang w:val="es-ES"/>
        </w:rPr>
        <w:t>el sector turismo es que: (i)</w:t>
      </w:r>
      <w:r w:rsidR="00E34E7B">
        <w:rPr>
          <w:rFonts w:ascii="Arial" w:eastAsia="Arial" w:hAnsi="Arial" w:cs="Arial"/>
          <w:sz w:val="22"/>
          <w:szCs w:val="22"/>
          <w:lang w:val="es-ES"/>
        </w:rPr>
        <w:t> </w:t>
      </w:r>
      <w:r w:rsidR="00F26972" w:rsidRPr="02C07B18">
        <w:rPr>
          <w:rFonts w:ascii="Arial" w:eastAsia="Arial" w:hAnsi="Arial" w:cs="Arial"/>
          <w:sz w:val="22"/>
          <w:szCs w:val="22"/>
          <w:lang w:val="es-ES"/>
        </w:rPr>
        <w:t xml:space="preserve">es el sector donde la MIPYME han tenido un mayor aumento relativo de riesgo de crédito dentro de la economía, por lo que se espera que la oferta de crédito del sector financiero se reduzca especialmente en este sector; y </w:t>
      </w:r>
      <w:r w:rsidR="00F26972" w:rsidRPr="02C07B18">
        <w:rPr>
          <w:rFonts w:ascii="Arial" w:eastAsia="Arial" w:hAnsi="Arial" w:cs="Arial"/>
          <w:sz w:val="22"/>
          <w:szCs w:val="22"/>
          <w:lang w:val="es-ES"/>
        </w:rPr>
        <w:lastRenderedPageBreak/>
        <w:t xml:space="preserve">(ii) es unos de los sectores con mayor demanda de crédito para capital trabajo debido a la estacionalidad del sector y la consecuente necesidad de compra de insumos para reanudar la operación, </w:t>
      </w:r>
      <w:r w:rsidR="00F26972">
        <w:rPr>
          <w:rFonts w:ascii="Arial" w:eastAsia="Arial" w:hAnsi="Arial" w:cs="Arial"/>
          <w:sz w:val="22"/>
          <w:szCs w:val="22"/>
          <w:lang w:val="es-ES"/>
        </w:rPr>
        <w:t xml:space="preserve">y </w:t>
      </w:r>
      <w:r w:rsidR="00F26972" w:rsidRPr="02C07B18">
        <w:rPr>
          <w:rFonts w:ascii="Arial" w:eastAsia="Arial" w:hAnsi="Arial" w:cs="Arial"/>
          <w:sz w:val="22"/>
          <w:szCs w:val="22"/>
          <w:lang w:val="es-ES"/>
        </w:rPr>
        <w:t>la necesidad de realizar gastos de bioseguridad requeridos para operar bajo las nuevas normativas para la prevención de contagios</w:t>
      </w:r>
      <w:r w:rsidR="00F26972">
        <w:rPr>
          <w:rFonts w:ascii="Arial" w:eastAsia="Arial" w:hAnsi="Arial" w:cs="Arial"/>
          <w:sz w:val="22"/>
          <w:szCs w:val="22"/>
          <w:lang w:val="es-ES"/>
        </w:rPr>
        <w:t>, lo que a su vez permite una recuperación más rápida del sector</w:t>
      </w:r>
      <w:r w:rsidR="00F26972">
        <w:rPr>
          <w:rFonts w:ascii="Arial" w:hAnsi="Arial" w:cs="Arial"/>
          <w:sz w:val="22"/>
          <w:szCs w:val="22"/>
          <w:lang w:val="es-ES"/>
        </w:rPr>
        <w:t xml:space="preserve"> .</w:t>
      </w:r>
    </w:p>
    <w:p w14:paraId="2109375D" w14:textId="42AFE072" w:rsidR="003D32CD" w:rsidRPr="00E13B80" w:rsidRDefault="003D32CD" w:rsidP="003D32CD">
      <w:pPr>
        <w:pStyle w:val="Paragraph"/>
        <w:numPr>
          <w:ilvl w:val="1"/>
          <w:numId w:val="2"/>
        </w:numPr>
        <w:ind w:left="720" w:hanging="720"/>
        <w:rPr>
          <w:rFonts w:ascii="Arial" w:hAnsi="Arial" w:cs="Arial"/>
          <w:sz w:val="22"/>
          <w:szCs w:val="22"/>
          <w:lang w:val="es-ES_tradnl"/>
        </w:rPr>
      </w:pPr>
      <w:r w:rsidRPr="00E13B80">
        <w:rPr>
          <w:rFonts w:ascii="Arial" w:hAnsi="Arial" w:cs="Arial"/>
          <w:b/>
          <w:bCs/>
          <w:sz w:val="22"/>
          <w:szCs w:val="22"/>
          <w:lang w:val="es-ES_tradnl"/>
        </w:rPr>
        <w:t>Objetivos</w:t>
      </w:r>
      <w:r>
        <w:rPr>
          <w:rFonts w:ascii="Arial" w:hAnsi="Arial" w:cs="Arial"/>
          <w:b/>
          <w:bCs/>
          <w:sz w:val="22"/>
          <w:szCs w:val="22"/>
          <w:lang w:val="es-ES_tradnl"/>
        </w:rPr>
        <w:t xml:space="preserve"> </w:t>
      </w:r>
      <w:r w:rsidRPr="00E13B80">
        <w:rPr>
          <w:rFonts w:ascii="Arial" w:hAnsi="Arial" w:cs="Arial"/>
          <w:b/>
          <w:bCs/>
          <w:sz w:val="22"/>
          <w:szCs w:val="22"/>
          <w:lang w:val="es-ES_tradnl"/>
        </w:rPr>
        <w:t>del programa</w:t>
      </w:r>
      <w:r w:rsidRPr="00496C30">
        <w:rPr>
          <w:rFonts w:ascii="Arial" w:hAnsi="Arial" w:cs="Arial"/>
          <w:b/>
          <w:bCs/>
          <w:sz w:val="22"/>
          <w:szCs w:val="22"/>
          <w:lang w:val="es-ES_tradnl"/>
        </w:rPr>
        <w:t>.</w:t>
      </w:r>
      <w:r w:rsidRPr="00E13B80">
        <w:rPr>
          <w:rFonts w:ascii="Arial" w:hAnsi="Arial" w:cs="Arial"/>
          <w:sz w:val="22"/>
          <w:szCs w:val="22"/>
          <w:lang w:val="es-ES_tradnl"/>
        </w:rPr>
        <w:t xml:space="preserve"> </w:t>
      </w:r>
      <w:r w:rsidR="00F26972" w:rsidRPr="00F26972">
        <w:rPr>
          <w:rFonts w:ascii="Arial" w:hAnsi="Arial" w:cs="Arial"/>
          <w:sz w:val="22"/>
          <w:szCs w:val="22"/>
          <w:lang w:val="es-ES"/>
        </w:rPr>
        <w:t>El objetivo general de este proyecto es apoyar la sostenibilidad frente a la crisis del COVID-19, de las MIPYME como sostén del empleo en Honduras. El objetivo específico del programa es apoyar la sostenibilidad financiera de corto plazo de las MIPYME</w:t>
      </w:r>
      <w:r w:rsidRPr="00E13B80">
        <w:rPr>
          <w:rFonts w:ascii="Arial" w:hAnsi="Arial" w:cs="Arial"/>
          <w:sz w:val="22"/>
          <w:szCs w:val="22"/>
          <w:lang w:val="es-ES"/>
        </w:rPr>
        <w:t xml:space="preserve">. </w:t>
      </w:r>
    </w:p>
    <w:p w14:paraId="799D9DA9" w14:textId="05E81BB3" w:rsidR="003D32CD" w:rsidRPr="00D53C77" w:rsidRDefault="003D32CD" w:rsidP="003D32CD">
      <w:pPr>
        <w:pStyle w:val="Paragraph"/>
        <w:numPr>
          <w:ilvl w:val="1"/>
          <w:numId w:val="2"/>
        </w:numPr>
        <w:ind w:left="720" w:hanging="720"/>
        <w:rPr>
          <w:rFonts w:ascii="Arial" w:hAnsi="Arial" w:cs="Arial"/>
          <w:sz w:val="22"/>
          <w:szCs w:val="22"/>
          <w:lang w:val="es-ES_tradnl"/>
        </w:rPr>
      </w:pPr>
      <w:r>
        <w:rPr>
          <w:rFonts w:ascii="Arial" w:hAnsi="Arial" w:cs="Arial"/>
          <w:sz w:val="22"/>
          <w:szCs w:val="22"/>
          <w:lang w:val="es-ES"/>
        </w:rPr>
        <w:t xml:space="preserve">El programa busca beneficiar a una población de </w:t>
      </w:r>
      <w:r w:rsidR="00BC7CD9">
        <w:rPr>
          <w:rFonts w:ascii="Arial" w:hAnsi="Arial" w:cs="Arial"/>
          <w:sz w:val="22"/>
          <w:szCs w:val="22"/>
          <w:lang w:val="es-ES"/>
        </w:rPr>
        <w:t>aproximadamente 1.000</w:t>
      </w:r>
      <w:r>
        <w:rPr>
          <w:rFonts w:ascii="Arial" w:hAnsi="Arial" w:cs="Arial"/>
          <w:sz w:val="22"/>
          <w:szCs w:val="22"/>
          <w:lang w:val="es-ES"/>
        </w:rPr>
        <w:t xml:space="preserve"> MIPYMES</w:t>
      </w:r>
      <w:r w:rsidR="008608B7">
        <w:rPr>
          <w:rFonts w:ascii="Arial" w:hAnsi="Arial" w:cs="Arial"/>
          <w:sz w:val="22"/>
          <w:szCs w:val="22"/>
          <w:lang w:val="es-ES"/>
        </w:rPr>
        <w:t xml:space="preserve"> afectadas por la crisis del COVID-19</w:t>
      </w:r>
      <w:r w:rsidR="00DC5EDB">
        <w:rPr>
          <w:rFonts w:ascii="Arial" w:hAnsi="Arial" w:cs="Arial"/>
          <w:sz w:val="22"/>
          <w:szCs w:val="22"/>
          <w:lang w:val="es-ES"/>
        </w:rPr>
        <w:t xml:space="preserve"> que estén vinculadas</w:t>
      </w:r>
      <w:r w:rsidR="008608B7">
        <w:rPr>
          <w:rFonts w:ascii="Arial" w:hAnsi="Arial" w:cs="Arial"/>
          <w:sz w:val="22"/>
          <w:szCs w:val="22"/>
          <w:lang w:val="es-ES"/>
        </w:rPr>
        <w:t xml:space="preserve"> al sector turismo por su mayor grado de vulnerabilidad.</w:t>
      </w:r>
    </w:p>
    <w:p w14:paraId="2136F782" w14:textId="77777777" w:rsidR="003D32CD" w:rsidRPr="00B935F5" w:rsidRDefault="003D32CD" w:rsidP="003D32CD">
      <w:pPr>
        <w:pStyle w:val="Chapter"/>
        <w:tabs>
          <w:tab w:val="clear" w:pos="2088"/>
          <w:tab w:val="num" w:pos="648"/>
        </w:tabs>
        <w:spacing w:before="0"/>
        <w:ind w:left="0"/>
        <w:rPr>
          <w:rFonts w:ascii="Arial" w:hAnsi="Arial" w:cs="Arial"/>
          <w:sz w:val="22"/>
          <w:szCs w:val="22"/>
          <w:lang w:val="es-ES_tradnl"/>
        </w:rPr>
      </w:pPr>
      <w:bookmarkStart w:id="7" w:name="_Toc36386500"/>
      <w:r w:rsidRPr="00B935F5">
        <w:rPr>
          <w:rFonts w:ascii="Arial" w:hAnsi="Arial" w:cs="Arial"/>
          <w:sz w:val="22"/>
          <w:szCs w:val="22"/>
          <w:lang w:val="es-ES_tradnl"/>
        </w:rPr>
        <w:t>Metodología y Supuestos</w:t>
      </w:r>
      <w:bookmarkEnd w:id="7"/>
    </w:p>
    <w:p w14:paraId="54C1E907" w14:textId="77777777" w:rsidR="003D32CD" w:rsidRPr="00B935F5" w:rsidRDefault="003D32CD" w:rsidP="003D32CD">
      <w:pPr>
        <w:pStyle w:val="ListParagraph"/>
        <w:numPr>
          <w:ilvl w:val="0"/>
          <w:numId w:val="4"/>
        </w:numPr>
        <w:spacing w:before="360" w:after="200" w:line="276" w:lineRule="auto"/>
        <w:ind w:hanging="720"/>
        <w:jc w:val="both"/>
        <w:rPr>
          <w:rFonts w:ascii="Arial" w:hAnsi="Arial" w:cs="Arial"/>
          <w:b/>
          <w:sz w:val="22"/>
          <w:szCs w:val="22"/>
          <w:lang w:val="es-MX"/>
        </w:rPr>
      </w:pPr>
      <w:r w:rsidRPr="00B935F5">
        <w:rPr>
          <w:rFonts w:ascii="Arial" w:hAnsi="Arial" w:cs="Arial"/>
          <w:b/>
          <w:sz w:val="22"/>
          <w:szCs w:val="22"/>
          <w:lang w:val="es-MX"/>
        </w:rPr>
        <w:t>Metodología</w:t>
      </w:r>
    </w:p>
    <w:p w14:paraId="2E15913A" w14:textId="77777777" w:rsidR="003D32CD" w:rsidRPr="00B935F5" w:rsidRDefault="003D32CD" w:rsidP="003D32CD">
      <w:pPr>
        <w:pStyle w:val="ListParagraph"/>
        <w:numPr>
          <w:ilvl w:val="0"/>
          <w:numId w:val="2"/>
        </w:numPr>
        <w:spacing w:before="120" w:after="120"/>
        <w:ind w:left="630" w:hanging="630"/>
        <w:contextualSpacing w:val="0"/>
        <w:jc w:val="both"/>
        <w:outlineLvl w:val="1"/>
        <w:rPr>
          <w:rFonts w:ascii="Arial" w:hAnsi="Arial" w:cs="Arial"/>
          <w:vanish/>
          <w:sz w:val="22"/>
          <w:szCs w:val="22"/>
          <w:lang w:val="es-ES" w:eastAsia="en-GB"/>
        </w:rPr>
      </w:pPr>
    </w:p>
    <w:p w14:paraId="0C713631" w14:textId="77777777" w:rsidR="003D32CD" w:rsidRPr="00B935F5" w:rsidRDefault="003D32CD" w:rsidP="003D32CD">
      <w:pPr>
        <w:pStyle w:val="Paragraph"/>
        <w:numPr>
          <w:ilvl w:val="1"/>
          <w:numId w:val="2"/>
        </w:numPr>
        <w:ind w:left="720" w:hanging="720"/>
        <w:rPr>
          <w:rFonts w:ascii="Arial" w:hAnsi="Arial" w:cs="Arial"/>
          <w:sz w:val="22"/>
          <w:szCs w:val="22"/>
          <w:lang w:val="es-ES"/>
        </w:rPr>
      </w:pPr>
      <w:r w:rsidRPr="00B935F5">
        <w:rPr>
          <w:rFonts w:ascii="Arial" w:hAnsi="Arial" w:cs="Arial"/>
          <w:sz w:val="22"/>
          <w:szCs w:val="22"/>
          <w:lang w:val="es-ES"/>
        </w:rPr>
        <w:t>El presente análisis se basa en un marco teórico que anali</w:t>
      </w:r>
      <w:r>
        <w:rPr>
          <w:rFonts w:ascii="Arial" w:hAnsi="Arial" w:cs="Arial"/>
          <w:sz w:val="22"/>
          <w:szCs w:val="22"/>
          <w:lang w:val="es-ES"/>
        </w:rPr>
        <w:t>za</w:t>
      </w:r>
      <w:r w:rsidRPr="00B935F5">
        <w:rPr>
          <w:rFonts w:ascii="Arial" w:hAnsi="Arial" w:cs="Arial"/>
          <w:sz w:val="22"/>
          <w:szCs w:val="22"/>
          <w:lang w:val="es-ES"/>
        </w:rPr>
        <w:t xml:space="preserve"> el efecto del programa sobre la probabilidad de supervivencia de las MIPYME beneficiarias y sobre la evolución de sus ingresos en un contexto de crisis económica generalizada. </w:t>
      </w:r>
    </w:p>
    <w:p w14:paraId="6E389A4A" w14:textId="77777777" w:rsidR="003D32CD" w:rsidRPr="00B935F5" w:rsidRDefault="003D32CD" w:rsidP="003D32CD">
      <w:pPr>
        <w:pStyle w:val="Paragraph"/>
        <w:numPr>
          <w:ilvl w:val="1"/>
          <w:numId w:val="2"/>
        </w:numPr>
        <w:ind w:left="720" w:hanging="720"/>
        <w:rPr>
          <w:rFonts w:ascii="Arial" w:hAnsi="Arial" w:cs="Arial"/>
          <w:sz w:val="22"/>
          <w:szCs w:val="22"/>
          <w:lang w:val="es-ES"/>
        </w:rPr>
      </w:pPr>
      <w:r w:rsidRPr="00B935F5">
        <w:rPr>
          <w:rFonts w:ascii="Arial" w:hAnsi="Arial" w:cs="Arial"/>
          <w:sz w:val="22"/>
          <w:szCs w:val="22"/>
          <w:lang w:val="es-ES"/>
        </w:rPr>
        <w:t xml:space="preserve">En primer lugar, es necesario analizar el escenario de intervención a la luz de un marco teórico que, si bien simplificado, permita ubicar la intervención dentro un conjunto de eventos económicos que están ocurriendo en el entorno de los beneficiarios. </w:t>
      </w:r>
      <w:r>
        <w:rPr>
          <w:rFonts w:ascii="Arial" w:hAnsi="Arial" w:cs="Arial"/>
          <w:sz w:val="22"/>
          <w:szCs w:val="22"/>
          <w:lang w:val="es-ES"/>
        </w:rPr>
        <w:t>Partiendo de la descripción de la problemática mencionada en la sección anterior y</w:t>
      </w:r>
      <w:r w:rsidRPr="00B935F5">
        <w:rPr>
          <w:rFonts w:ascii="Arial" w:hAnsi="Arial" w:cs="Arial"/>
          <w:sz w:val="22"/>
          <w:szCs w:val="22"/>
          <w:lang w:val="es-ES"/>
        </w:rPr>
        <w:t xml:space="preserve"> desde un punto de vista de equilibrio económico parcial enfocado en un beneficiario tipo, podemos entender la presente crisis económica generada por la pandemia del COVID-19 como un escenario en el cual han ocurrido simultáneamente </w:t>
      </w:r>
      <w:r w:rsidRPr="00AD71D6">
        <w:rPr>
          <w:rFonts w:ascii="Arial" w:hAnsi="Arial" w:cs="Arial"/>
          <w:i/>
          <w:iCs/>
          <w:sz w:val="22"/>
          <w:szCs w:val="22"/>
          <w:lang w:val="es-ES"/>
        </w:rPr>
        <w:t>shocks</w:t>
      </w:r>
      <w:r w:rsidRPr="00B935F5">
        <w:rPr>
          <w:rFonts w:ascii="Arial" w:hAnsi="Arial" w:cs="Arial"/>
          <w:sz w:val="22"/>
          <w:szCs w:val="22"/>
          <w:lang w:val="es-ES"/>
        </w:rPr>
        <w:t xml:space="preserve"> de oferta y demanda, tanto en el mercado financiero como en la economía real.  </w:t>
      </w:r>
    </w:p>
    <w:p w14:paraId="0C83F455" w14:textId="37D5870F" w:rsidR="003D32CD" w:rsidRPr="00B935F5" w:rsidRDefault="003D32CD" w:rsidP="003D32CD">
      <w:pPr>
        <w:pStyle w:val="Paragraph"/>
        <w:numPr>
          <w:ilvl w:val="1"/>
          <w:numId w:val="2"/>
        </w:numPr>
        <w:ind w:left="720" w:hanging="720"/>
        <w:rPr>
          <w:rFonts w:ascii="Arial" w:hAnsi="Arial" w:cs="Arial"/>
          <w:sz w:val="22"/>
          <w:szCs w:val="22"/>
          <w:lang w:val="es-ES"/>
        </w:rPr>
      </w:pPr>
      <w:r w:rsidRPr="00B935F5">
        <w:rPr>
          <w:rFonts w:ascii="Arial" w:hAnsi="Arial" w:cs="Arial"/>
          <w:sz w:val="22"/>
          <w:szCs w:val="22"/>
          <w:lang w:val="es-PE"/>
        </w:rPr>
        <w:t>Desde el lado de la oferta, las medidas de salud pública tomadas para frenar la pandemia han generado un conjunto de efectos que incluyen, la inhabilitación de la m</w:t>
      </w:r>
      <w:r>
        <w:rPr>
          <w:rFonts w:ascii="Arial" w:hAnsi="Arial" w:cs="Arial"/>
          <w:sz w:val="22"/>
          <w:szCs w:val="22"/>
          <w:lang w:val="es-PE"/>
        </w:rPr>
        <w:t>ano</w:t>
      </w:r>
      <w:r w:rsidRPr="00B935F5">
        <w:rPr>
          <w:rFonts w:ascii="Arial" w:hAnsi="Arial" w:cs="Arial"/>
          <w:sz w:val="22"/>
          <w:szCs w:val="22"/>
          <w:lang w:val="es-PE"/>
        </w:rPr>
        <w:t xml:space="preserve"> de obra, la inhabilitación del capital, interrupción de las cadenas locales y globales de valor, el encarecimiento o falta de disponibilidad de insumos intermedios, el incremento en los precios internacionales de estos o el bien de producción, y el empeoramiento de las condiciones financieras</w:t>
      </w:r>
      <w:r w:rsidRPr="00B935F5">
        <w:rPr>
          <w:rFonts w:ascii="Arial" w:hAnsi="Arial" w:cs="Arial"/>
          <w:sz w:val="22"/>
          <w:szCs w:val="22"/>
          <w:vertAlign w:val="superscript"/>
          <w:lang w:val="en-GB"/>
        </w:rPr>
        <w:footnoteReference w:id="23"/>
      </w:r>
      <w:r w:rsidRPr="00B935F5">
        <w:rPr>
          <w:rFonts w:ascii="Arial" w:hAnsi="Arial" w:cs="Arial"/>
          <w:sz w:val="22"/>
          <w:szCs w:val="22"/>
          <w:lang w:val="es-PE"/>
        </w:rPr>
        <w:t xml:space="preserve">. Esto ocasiona que la capacidad productiva de </w:t>
      </w:r>
      <w:r w:rsidRPr="00050ECA">
        <w:rPr>
          <w:rFonts w:ascii="Arial" w:hAnsi="Arial" w:cs="Arial"/>
          <w:sz w:val="22"/>
          <w:szCs w:val="22"/>
          <w:lang w:val="es-ES"/>
        </w:rPr>
        <w:t>los</w:t>
      </w:r>
      <w:r w:rsidRPr="00B935F5">
        <w:rPr>
          <w:rFonts w:ascii="Arial" w:hAnsi="Arial" w:cs="Arial"/>
          <w:sz w:val="22"/>
          <w:szCs w:val="22"/>
          <w:lang w:val="es-PE"/>
        </w:rPr>
        <w:t xml:space="preserve"> beneficiarios se vea afectada. Desde el lado de la demanda, las medidas de salud pública tomadas por los gobiernos de la región han significado en el corto plazo la desaparición de la demanda para la mayoría de los bienes o servicios producidos por los beneficiarios</w:t>
      </w:r>
      <w:r w:rsidRPr="00B935F5">
        <w:rPr>
          <w:rFonts w:ascii="Arial" w:hAnsi="Arial" w:cs="Arial"/>
          <w:sz w:val="22"/>
          <w:szCs w:val="22"/>
          <w:vertAlign w:val="superscript"/>
          <w:lang w:val="es-PE"/>
        </w:rPr>
        <w:footnoteReference w:id="24"/>
      </w:r>
      <w:r w:rsidRPr="00B935F5">
        <w:rPr>
          <w:rFonts w:ascii="Arial" w:hAnsi="Arial" w:cs="Arial"/>
          <w:sz w:val="22"/>
          <w:szCs w:val="22"/>
          <w:lang w:val="es-PE"/>
        </w:rPr>
        <w:t>, una contracción en los ingresos de los consumidores como consecuencia de su incapacidad de laborar</w:t>
      </w:r>
      <w:r w:rsidRPr="00B935F5">
        <w:rPr>
          <w:rFonts w:ascii="Arial" w:hAnsi="Arial" w:cs="Arial"/>
          <w:sz w:val="22"/>
          <w:szCs w:val="22"/>
          <w:vertAlign w:val="superscript"/>
          <w:lang w:val="es-PE"/>
        </w:rPr>
        <w:footnoteReference w:id="25"/>
      </w:r>
      <w:r w:rsidRPr="00B935F5">
        <w:rPr>
          <w:rFonts w:ascii="Arial" w:hAnsi="Arial" w:cs="Arial"/>
          <w:sz w:val="22"/>
          <w:szCs w:val="22"/>
          <w:lang w:val="es-PE"/>
        </w:rPr>
        <w:t xml:space="preserve"> o un posible cambio en las preferencias de estos debido </w:t>
      </w:r>
      <w:r w:rsidRPr="00B935F5">
        <w:rPr>
          <w:rFonts w:ascii="Arial" w:hAnsi="Arial" w:cs="Arial"/>
          <w:sz w:val="22"/>
          <w:szCs w:val="22"/>
          <w:lang w:val="es-PE"/>
        </w:rPr>
        <w:lastRenderedPageBreak/>
        <w:t>a las extraordinarias circunstancias</w:t>
      </w:r>
      <w:r w:rsidRPr="00B935F5">
        <w:rPr>
          <w:rFonts w:ascii="Arial" w:hAnsi="Arial" w:cs="Arial"/>
          <w:sz w:val="22"/>
          <w:szCs w:val="22"/>
          <w:vertAlign w:val="superscript"/>
          <w:lang w:val="es-PE"/>
        </w:rPr>
        <w:footnoteReference w:id="26"/>
      </w:r>
      <w:r w:rsidRPr="00B935F5">
        <w:rPr>
          <w:rFonts w:ascii="Arial" w:hAnsi="Arial" w:cs="Arial"/>
          <w:sz w:val="22"/>
          <w:szCs w:val="22"/>
          <w:lang w:val="es-PE"/>
        </w:rPr>
        <w:t xml:space="preserve">. Teóricamente, la combinación de todos estos efectos tiene como consecuencia la reducción de la cantidad producida y demandada de equilibrio, que es lo que efectivamente se evidencia en la situación del sector productivo en </w:t>
      </w:r>
      <w:r w:rsidR="00F26972">
        <w:rPr>
          <w:rFonts w:ascii="Arial" w:hAnsi="Arial" w:cs="Arial"/>
          <w:sz w:val="22"/>
          <w:szCs w:val="22"/>
          <w:lang w:val="es-PE"/>
        </w:rPr>
        <w:t>Honduras como se mencionaba en la sección anterior</w:t>
      </w:r>
      <w:r w:rsidRPr="00B935F5">
        <w:rPr>
          <w:rFonts w:ascii="Arial" w:hAnsi="Arial" w:cs="Arial"/>
          <w:sz w:val="22"/>
          <w:szCs w:val="22"/>
          <w:vertAlign w:val="superscript"/>
          <w:lang w:val="es-PE"/>
        </w:rPr>
        <w:footnoteReference w:id="27"/>
      </w:r>
      <w:r w:rsidRPr="00B935F5">
        <w:rPr>
          <w:rFonts w:ascii="Arial" w:hAnsi="Arial" w:cs="Arial"/>
          <w:sz w:val="22"/>
          <w:szCs w:val="22"/>
          <w:lang w:val="es-ES"/>
        </w:rPr>
        <w:t xml:space="preserve">. </w:t>
      </w:r>
    </w:p>
    <w:p w14:paraId="3D4126A3" w14:textId="77777777" w:rsidR="003D32CD" w:rsidRPr="00B935F5" w:rsidRDefault="003D32CD" w:rsidP="003D32CD">
      <w:pPr>
        <w:pStyle w:val="Paragraph"/>
        <w:numPr>
          <w:ilvl w:val="1"/>
          <w:numId w:val="2"/>
        </w:numPr>
        <w:ind w:left="720" w:hanging="720"/>
        <w:rPr>
          <w:rFonts w:ascii="Arial" w:hAnsi="Arial" w:cs="Arial"/>
          <w:sz w:val="22"/>
          <w:szCs w:val="22"/>
          <w:lang w:val="es-ES"/>
        </w:rPr>
      </w:pPr>
      <w:r w:rsidRPr="00B935F5">
        <w:rPr>
          <w:rFonts w:ascii="Arial" w:hAnsi="Arial" w:cs="Arial"/>
          <w:sz w:val="22"/>
          <w:szCs w:val="22"/>
          <w:lang w:val="es-ES"/>
        </w:rPr>
        <w:t>No obstante, es importante resaltar que la existencia de costos fijos o no ajustables a la cantidad de producción imposibilita a muchas empresas producir a niveles inferiores a cierto umbral ya que de ser así los ingresos por ventas no alcanzarían a cubrir los costos de producción. Ciertamente, la existencia de capital financiero en las empresas puede, en el corto plazo, ayudar a absorber las pérdidas. Sin embargo, a medida que este se consuma, la probabilidad de supervivencia de las empresas se reduce. Como consecuencia, los movimientos de oferta y demanda generados por la pandemia pueden potencialmente llevar a niveles de demanda de equilibrio que ubiquen a las empresas en esta zona de riesgo para su supervivencia.</w:t>
      </w:r>
    </w:p>
    <w:p w14:paraId="0774192E" w14:textId="799B3518" w:rsidR="003D32CD" w:rsidRPr="00B935F5" w:rsidRDefault="003D32CD" w:rsidP="003D32CD">
      <w:pPr>
        <w:pStyle w:val="Paragraph"/>
        <w:numPr>
          <w:ilvl w:val="1"/>
          <w:numId w:val="2"/>
        </w:numPr>
        <w:ind w:left="720" w:hanging="720"/>
        <w:rPr>
          <w:rFonts w:ascii="Arial" w:hAnsi="Arial" w:cs="Arial"/>
          <w:sz w:val="22"/>
          <w:szCs w:val="22"/>
          <w:lang w:val="es-ES"/>
        </w:rPr>
      </w:pPr>
      <w:r w:rsidRPr="00B935F5">
        <w:rPr>
          <w:rFonts w:ascii="Arial" w:hAnsi="Arial" w:cs="Arial"/>
          <w:sz w:val="22"/>
          <w:szCs w:val="22"/>
          <w:lang w:val="es-ES"/>
        </w:rPr>
        <w:t xml:space="preserve">Dada la multiplicidad de sectores y mercados en los que operan las empresas afectadas, y dadas sus características particulares dentro de estos, es de esperar que los efectos de la crisis económica generada por la pandemia generen, en una situación </w:t>
      </w:r>
      <w:r w:rsidRPr="00117CEA">
        <w:rPr>
          <w:rFonts w:ascii="Arial" w:hAnsi="Arial" w:cs="Arial"/>
          <w:sz w:val="22"/>
          <w:szCs w:val="22"/>
          <w:lang w:val="es-PE"/>
        </w:rPr>
        <w:t>sin intervención</w:t>
      </w:r>
      <w:r w:rsidRPr="00117CEA">
        <w:rPr>
          <w:rFonts w:ascii="Arial" w:hAnsi="Arial" w:cs="Arial"/>
          <w:sz w:val="22"/>
          <w:szCs w:val="22"/>
          <w:vertAlign w:val="superscript"/>
          <w:lang w:val="es-PE"/>
        </w:rPr>
        <w:footnoteReference w:id="28"/>
      </w:r>
      <w:r w:rsidR="00AD71D6">
        <w:rPr>
          <w:rFonts w:ascii="Arial" w:hAnsi="Arial" w:cs="Arial"/>
          <w:sz w:val="22"/>
          <w:szCs w:val="22"/>
          <w:lang w:val="es-PE"/>
        </w:rPr>
        <w:t>,</w:t>
      </w:r>
      <w:r w:rsidRPr="00B935F5">
        <w:rPr>
          <w:rFonts w:ascii="Arial" w:hAnsi="Arial" w:cs="Arial"/>
          <w:sz w:val="22"/>
          <w:szCs w:val="22"/>
          <w:lang w:val="es-ES"/>
        </w:rPr>
        <w:t xml:space="preserve"> un incremento en el número de empresas que no sobreviven y una reducción en los ingresos de las empresas que sobreviven. </w:t>
      </w:r>
    </w:p>
    <w:p w14:paraId="0BF6A4A6" w14:textId="58C6048D" w:rsidR="003D32CD" w:rsidRPr="009367E3" w:rsidRDefault="003D32CD" w:rsidP="003D32CD">
      <w:pPr>
        <w:pStyle w:val="Paragraph"/>
        <w:numPr>
          <w:ilvl w:val="1"/>
          <w:numId w:val="2"/>
        </w:numPr>
        <w:ind w:left="720" w:hanging="720"/>
        <w:rPr>
          <w:rFonts w:ascii="Arial" w:hAnsi="Arial" w:cs="Arial"/>
          <w:sz w:val="22"/>
          <w:szCs w:val="22"/>
          <w:lang w:val="es-ES"/>
        </w:rPr>
      </w:pPr>
      <w:r w:rsidRPr="00175AAF">
        <w:rPr>
          <w:rFonts w:ascii="Arial" w:hAnsi="Arial" w:cs="Arial"/>
          <w:sz w:val="22"/>
          <w:szCs w:val="22"/>
          <w:lang w:val="es-ES"/>
        </w:rPr>
        <w:t>Como se mencionaba en la sección anterior, la caída de la actividad económica supone dos factores de estrés para la MIPYME: (i) descenso de los ingresos operativos; y (ii)</w:t>
      </w:r>
      <w:r>
        <w:rPr>
          <w:rFonts w:ascii="Arial" w:hAnsi="Arial" w:cs="Arial"/>
          <w:sz w:val="22"/>
          <w:szCs w:val="22"/>
          <w:lang w:val="es-ES"/>
        </w:rPr>
        <w:t> </w:t>
      </w:r>
      <w:r w:rsidRPr="00175AAF">
        <w:rPr>
          <w:rFonts w:ascii="Arial" w:hAnsi="Arial" w:cs="Arial"/>
          <w:sz w:val="22"/>
          <w:szCs w:val="22"/>
          <w:lang w:val="es-ES"/>
        </w:rPr>
        <w:t>aumento de retrasos en pagos por bienes y servicios prestados</w:t>
      </w:r>
      <w:r w:rsidRPr="00175AAF">
        <w:rPr>
          <w:rFonts w:ascii="Arial" w:hAnsi="Arial" w:cs="Arial"/>
          <w:sz w:val="22"/>
          <w:szCs w:val="22"/>
          <w:vertAlign w:val="superscript"/>
        </w:rPr>
        <w:footnoteReference w:id="29"/>
      </w:r>
      <w:r w:rsidR="00AD71D6" w:rsidRPr="00175AAF">
        <w:rPr>
          <w:rFonts w:ascii="Arial" w:hAnsi="Arial" w:cs="Arial"/>
          <w:sz w:val="22"/>
          <w:szCs w:val="22"/>
          <w:lang w:val="es-ES"/>
        </w:rPr>
        <w:t>.</w:t>
      </w:r>
      <w:r w:rsidRPr="00175AAF">
        <w:rPr>
          <w:rFonts w:ascii="Arial" w:hAnsi="Arial" w:cs="Arial"/>
          <w:sz w:val="22"/>
          <w:szCs w:val="22"/>
          <w:lang w:val="es-ES"/>
        </w:rPr>
        <w:t xml:space="preserve"> Estos factores de estrés crean desbalances repentinos y abruptos en sus flujos de caja, generando necesidades de liquidez de corto plazo para poder cubrir costos operativos fijos y mantener niveles de empleo durante periodos de menor actividad económica, como el que actualmente que se enfrenta para combatir el COVID-19. En segundo lugar, el empeoramiento de las condiciones financieras restringe la capacidad de las MIPYME de acceder a financiamiento para cubrir estas necesidades de liquidez derivadas de la caída de la actividad económica</w:t>
      </w:r>
      <w:r w:rsidRPr="00175AAF">
        <w:rPr>
          <w:rFonts w:ascii="Arial" w:hAnsi="Arial" w:cs="Arial"/>
          <w:sz w:val="22"/>
          <w:szCs w:val="22"/>
          <w:vertAlign w:val="superscript"/>
        </w:rPr>
        <w:footnoteReference w:id="30"/>
      </w:r>
      <w:r w:rsidR="00AD71D6" w:rsidRPr="00175AAF">
        <w:rPr>
          <w:rFonts w:ascii="Arial" w:hAnsi="Arial" w:cs="Arial"/>
          <w:sz w:val="22"/>
          <w:szCs w:val="22"/>
          <w:lang w:val="es-ES"/>
        </w:rPr>
        <w:t>.</w:t>
      </w:r>
      <w:r w:rsidRPr="009367E3">
        <w:rPr>
          <w:rFonts w:ascii="Arial" w:hAnsi="Arial" w:cs="Arial"/>
          <w:sz w:val="22"/>
          <w:szCs w:val="22"/>
          <w:lang w:val="es-ES"/>
        </w:rPr>
        <w:t xml:space="preserve"> Este empeoramiento de las condiciones financieras para las MIPYME se debe principalmente a que en contextos de contracción macroeconómica el sector financiero: (i) reduce su oferta de crédito</w:t>
      </w:r>
      <w:r w:rsidRPr="00175AAF">
        <w:rPr>
          <w:rFonts w:ascii="Arial" w:hAnsi="Arial" w:cs="Arial"/>
          <w:sz w:val="22"/>
          <w:szCs w:val="22"/>
          <w:vertAlign w:val="superscript"/>
          <w:lang w:val="es-ES"/>
        </w:rPr>
        <w:footnoteReference w:id="31"/>
      </w:r>
      <w:r w:rsidRPr="009367E3">
        <w:rPr>
          <w:rFonts w:ascii="Arial" w:hAnsi="Arial" w:cs="Arial"/>
          <w:sz w:val="22"/>
          <w:szCs w:val="22"/>
          <w:lang w:val="es-ES"/>
        </w:rPr>
        <w:t>; (ii) lo hace en una mayor proporción en el segmento de la MIPYME en comparación con empresas de mayor tamaño</w:t>
      </w:r>
      <w:r w:rsidRPr="00175AAF">
        <w:rPr>
          <w:rFonts w:ascii="Arial" w:hAnsi="Arial" w:cs="Arial"/>
          <w:sz w:val="22"/>
          <w:szCs w:val="22"/>
          <w:vertAlign w:val="superscript"/>
          <w:lang w:val="es-ES"/>
        </w:rPr>
        <w:footnoteReference w:id="32"/>
      </w:r>
      <w:r w:rsidRPr="009367E3">
        <w:rPr>
          <w:rFonts w:ascii="Arial" w:hAnsi="Arial" w:cs="Arial"/>
          <w:sz w:val="22"/>
          <w:szCs w:val="22"/>
          <w:lang w:val="es-ES"/>
        </w:rPr>
        <w:t xml:space="preserve">; </w:t>
      </w:r>
      <w:r w:rsidRPr="009367E3">
        <w:rPr>
          <w:rFonts w:ascii="Arial" w:hAnsi="Arial" w:cs="Arial"/>
          <w:sz w:val="22"/>
          <w:szCs w:val="22"/>
          <w:lang w:val="es-ES"/>
        </w:rPr>
        <w:lastRenderedPageBreak/>
        <w:t>y (iii) se demora un tiempo en recuperar el nivel previo a la crisis</w:t>
      </w:r>
      <w:r w:rsidRPr="00175AAF">
        <w:rPr>
          <w:rFonts w:ascii="Arial" w:hAnsi="Arial" w:cs="Arial"/>
          <w:sz w:val="22"/>
          <w:szCs w:val="22"/>
          <w:vertAlign w:val="superscript"/>
          <w:lang w:val="es-ES"/>
        </w:rPr>
        <w:footnoteReference w:id="33"/>
      </w:r>
      <w:r w:rsidR="00AD71D6" w:rsidRPr="009367E3">
        <w:rPr>
          <w:rFonts w:ascii="Arial" w:hAnsi="Arial" w:cs="Arial"/>
          <w:sz w:val="22"/>
          <w:szCs w:val="22"/>
          <w:lang w:val="es-ES"/>
        </w:rPr>
        <w:t>.</w:t>
      </w:r>
      <w:r w:rsidR="00AD71D6">
        <w:rPr>
          <w:rFonts w:ascii="Arial" w:hAnsi="Arial" w:cs="Arial"/>
          <w:sz w:val="22"/>
          <w:szCs w:val="22"/>
          <w:lang w:val="es-ES"/>
        </w:rPr>
        <w:t xml:space="preserve"> </w:t>
      </w:r>
      <w:r w:rsidRPr="009367E3">
        <w:rPr>
          <w:rFonts w:ascii="Arial" w:hAnsi="Arial" w:cs="Arial"/>
          <w:sz w:val="22"/>
          <w:szCs w:val="22"/>
          <w:lang w:val="es-ES"/>
        </w:rPr>
        <w:t>Este empeoramiento de las condiciones de acceso a financiamiento en contexto de contracción económica se unen a los obstáculos de acceso al financiamiento que ya de por si acumulan las MIPYME respecto a empresas de mayor tamaño como: (i) ciclos comerciales más cortos con mayores necesidades de liquidez a corto plazo; (ii) carencia de instrumentos para la gestión del riesgo asociado a su ciclo de proyectos; (iii) mayores limitaciones de colateral disponible y su ejecución, debido a la falta de capital existente; (iv) altos costos de operación para prestar a escalas pequeñas; y (v) menor rentabilidad que otros segmentos empresariales</w:t>
      </w:r>
      <w:r w:rsidRPr="00175AAF">
        <w:rPr>
          <w:rFonts w:ascii="Arial" w:hAnsi="Arial" w:cs="Arial"/>
          <w:sz w:val="22"/>
          <w:szCs w:val="22"/>
          <w:vertAlign w:val="superscript"/>
          <w:lang w:val="es-ES"/>
        </w:rPr>
        <w:footnoteReference w:id="34"/>
      </w:r>
      <w:r w:rsidR="00AD71D6" w:rsidRPr="009367E3">
        <w:rPr>
          <w:rFonts w:ascii="Arial" w:hAnsi="Arial" w:cs="Arial"/>
          <w:sz w:val="22"/>
          <w:szCs w:val="22"/>
          <w:lang w:val="es-ES"/>
        </w:rPr>
        <w:t>.</w:t>
      </w:r>
    </w:p>
    <w:p w14:paraId="10172ADB" w14:textId="13D14418" w:rsidR="003D32CD" w:rsidRPr="001E3350" w:rsidRDefault="003D32CD" w:rsidP="003D32CD">
      <w:pPr>
        <w:pStyle w:val="Paragraph"/>
        <w:numPr>
          <w:ilvl w:val="1"/>
          <w:numId w:val="2"/>
        </w:numPr>
        <w:ind w:left="720" w:hanging="720"/>
        <w:rPr>
          <w:rFonts w:ascii="Arial" w:hAnsi="Arial" w:cs="Arial"/>
          <w:sz w:val="22"/>
          <w:szCs w:val="22"/>
          <w:lang w:val="es-ES"/>
        </w:rPr>
      </w:pPr>
      <w:r w:rsidRPr="006A77B8">
        <w:rPr>
          <w:rFonts w:ascii="Arial" w:hAnsi="Arial" w:cs="Arial"/>
          <w:sz w:val="22"/>
          <w:szCs w:val="22"/>
          <w:lang w:val="es-ES"/>
        </w:rPr>
        <w:t xml:space="preserve">El efecto dual de reducción de actividad económica y acceso a crédito del sector productivo puede poner en riesgo de supervivencia a muchas MIPYME de la región afectadas por la crisis del COVID-19. </w:t>
      </w:r>
      <w:r w:rsidRPr="00F42FD5">
        <w:rPr>
          <w:rFonts w:ascii="Arial" w:hAnsi="Arial" w:cs="Arial"/>
          <w:sz w:val="22"/>
          <w:szCs w:val="22"/>
          <w:lang w:val="es-ES"/>
        </w:rPr>
        <w:t>E</w:t>
      </w:r>
      <w:r w:rsidRPr="00D14E04">
        <w:rPr>
          <w:rFonts w:ascii="Arial" w:hAnsi="Arial" w:cs="Arial"/>
          <w:sz w:val="22"/>
          <w:szCs w:val="22"/>
          <w:lang w:val="es-ES"/>
        </w:rPr>
        <w:t>n la actualidad</w:t>
      </w:r>
      <w:r w:rsidRPr="00D62BD9">
        <w:rPr>
          <w:rFonts w:ascii="Arial" w:hAnsi="Arial" w:cs="Arial"/>
          <w:sz w:val="22"/>
          <w:szCs w:val="22"/>
          <w:lang w:val="es-ES"/>
        </w:rPr>
        <w:t xml:space="preserve"> existe un riesgo sustancial de </w:t>
      </w:r>
      <w:r w:rsidRPr="006A77B8">
        <w:rPr>
          <w:rFonts w:ascii="Arial" w:hAnsi="Arial" w:cs="Arial"/>
          <w:sz w:val="22"/>
          <w:szCs w:val="22"/>
          <w:lang w:val="es-ES"/>
        </w:rPr>
        <w:t>que muchas MIPYME, que eran comercialmente viables antes de la crisis, se encuentren con situaciones de falta de liquidez temporal que derive en una situación de insolvencia permanente, imposibilitando atender sus pagos a proveedores, gobiernos y/o trabajadores, o hacer frente a los compromisos financieros. Es importante destacar que, si las MIPYME cuentan con el acceso a financiamiento para atender sus necesidades de liquidez, pueden ser altamente flexibles para adaptarse a una recesión económica porque son menos resistentes a la inercia, la rigidez y los costos hundidos, más capaces de explotar nichos de mercado</w:t>
      </w:r>
      <w:r w:rsidRPr="00175AAF">
        <w:rPr>
          <w:rFonts w:ascii="Arial" w:hAnsi="Arial" w:cs="Arial"/>
          <w:sz w:val="22"/>
          <w:szCs w:val="22"/>
          <w:vertAlign w:val="superscript"/>
          <w:lang w:val="es-ES"/>
        </w:rPr>
        <w:footnoteReference w:id="35"/>
      </w:r>
      <w:r w:rsidR="00AD71D6" w:rsidRPr="006A77B8">
        <w:rPr>
          <w:rFonts w:ascii="Arial" w:hAnsi="Arial" w:cs="Arial"/>
          <w:sz w:val="22"/>
          <w:szCs w:val="22"/>
          <w:lang w:val="es-ES"/>
        </w:rPr>
        <w:t>.</w:t>
      </w:r>
    </w:p>
    <w:p w14:paraId="63D3D006" w14:textId="078D90CC" w:rsidR="003D32CD" w:rsidRPr="00B935F5" w:rsidRDefault="003D32CD" w:rsidP="003D32CD">
      <w:pPr>
        <w:pStyle w:val="Paragraph"/>
        <w:numPr>
          <w:ilvl w:val="1"/>
          <w:numId w:val="2"/>
        </w:numPr>
        <w:ind w:left="720" w:hanging="720"/>
        <w:rPr>
          <w:rFonts w:ascii="Arial" w:hAnsi="Arial" w:cs="Arial"/>
          <w:sz w:val="22"/>
          <w:szCs w:val="22"/>
          <w:lang w:val="es-ES"/>
        </w:rPr>
      </w:pPr>
      <w:r w:rsidRPr="00B935F5">
        <w:rPr>
          <w:rFonts w:ascii="Arial" w:hAnsi="Arial" w:cs="Arial"/>
          <w:sz w:val="22"/>
          <w:szCs w:val="22"/>
          <w:lang w:val="es-ES"/>
        </w:rPr>
        <w:t xml:space="preserve">En este línea, la presente intervención busca contrarrestar, los efectos de los </w:t>
      </w:r>
      <w:r w:rsidRPr="00AD71D6">
        <w:rPr>
          <w:rFonts w:ascii="Arial" w:hAnsi="Arial" w:cs="Arial"/>
          <w:i/>
          <w:iCs/>
          <w:sz w:val="22"/>
          <w:szCs w:val="22"/>
          <w:lang w:val="es-ES"/>
        </w:rPr>
        <w:t xml:space="preserve">shocks </w:t>
      </w:r>
      <w:r w:rsidRPr="00B935F5">
        <w:rPr>
          <w:rFonts w:ascii="Arial" w:hAnsi="Arial" w:cs="Arial"/>
          <w:sz w:val="22"/>
          <w:szCs w:val="22"/>
          <w:lang w:val="es-ES"/>
        </w:rPr>
        <w:t xml:space="preserve">de oferta y demanda que enfrentan los beneficiarios a través de la facilitación de financiamiento que les permita acceder a capital de trabajo necesario para mantener la actividad productiva durante y tras la interrupción inicial de ingresos como consecuencia de la paralización de los mercados; y la realización de inversiones conducentes a contrarrestar la pérdida de capacidad productiva como consecuencia de los </w:t>
      </w:r>
      <w:r w:rsidRPr="00AD71D6">
        <w:rPr>
          <w:rFonts w:ascii="Arial" w:hAnsi="Arial" w:cs="Arial"/>
          <w:i/>
          <w:iCs/>
          <w:sz w:val="22"/>
          <w:szCs w:val="22"/>
          <w:lang w:val="es-ES"/>
        </w:rPr>
        <w:t>shocks</w:t>
      </w:r>
      <w:r w:rsidRPr="00B935F5">
        <w:rPr>
          <w:rFonts w:ascii="Arial" w:hAnsi="Arial" w:cs="Arial"/>
          <w:sz w:val="22"/>
          <w:szCs w:val="22"/>
          <w:lang w:val="es-ES"/>
        </w:rPr>
        <w:t xml:space="preserve"> de oferta. Si bien el campo de acción de la intervención es el lado de la oferta (en tanto a efectos sobre la actividad productiva de los beneficiarios), es de esperar, dentro del contexto más amplio de intervenciones similares en </w:t>
      </w:r>
      <w:r w:rsidR="00A25A8F">
        <w:rPr>
          <w:rFonts w:ascii="Arial" w:hAnsi="Arial" w:cs="Arial"/>
          <w:sz w:val="22"/>
          <w:szCs w:val="22"/>
          <w:lang w:val="es-ES"/>
        </w:rPr>
        <w:t>Honduras</w:t>
      </w:r>
      <w:r w:rsidRPr="00B935F5">
        <w:rPr>
          <w:rFonts w:ascii="Arial" w:hAnsi="Arial" w:cs="Arial"/>
          <w:sz w:val="22"/>
          <w:szCs w:val="22"/>
          <w:lang w:val="es-ES"/>
        </w:rPr>
        <w:t xml:space="preserve">, </w:t>
      </w:r>
      <w:r w:rsidRPr="00DA469C">
        <w:rPr>
          <w:rFonts w:ascii="Arial" w:hAnsi="Arial" w:cs="Arial"/>
          <w:sz w:val="22"/>
          <w:szCs w:val="22"/>
          <w:lang w:val="es-ES"/>
        </w:rPr>
        <w:t>efectos positivos de equilibrio general sobre la demanda que promuevan la manutención de ingresos de los trabajadores y las rentas de los empresarios.</w:t>
      </w:r>
    </w:p>
    <w:p w14:paraId="4FE0666C" w14:textId="299E83BD" w:rsidR="003D32CD" w:rsidRPr="00175AAF" w:rsidRDefault="003D32CD" w:rsidP="003D32CD">
      <w:pPr>
        <w:pStyle w:val="Paragraph"/>
        <w:numPr>
          <w:ilvl w:val="1"/>
          <w:numId w:val="2"/>
        </w:numPr>
        <w:ind w:left="720" w:hanging="720"/>
        <w:rPr>
          <w:rFonts w:ascii="Arial" w:hAnsi="Arial" w:cs="Arial"/>
          <w:sz w:val="22"/>
          <w:szCs w:val="22"/>
          <w:lang w:val="es-MX"/>
        </w:rPr>
      </w:pPr>
      <w:r w:rsidRPr="00B935F5">
        <w:rPr>
          <w:rFonts w:ascii="Arial" w:hAnsi="Arial" w:cs="Arial"/>
          <w:sz w:val="22"/>
          <w:szCs w:val="22"/>
          <w:lang w:val="es-ES"/>
        </w:rPr>
        <w:t xml:space="preserve">Como consecuencia, es de esperar que, en un escenario con intervención, la tasa de supervivencia de las empresas beneficiarias sea mayor (al proveer capital de trabajo necesario para el mantenimiento de la actividad productiva) y que la caída en los ingresos de </w:t>
      </w:r>
      <w:r w:rsidR="00AD71D6">
        <w:rPr>
          <w:rFonts w:ascii="Arial" w:hAnsi="Arial" w:cs="Arial"/>
          <w:sz w:val="22"/>
          <w:szCs w:val="22"/>
          <w:lang w:val="es-ES"/>
        </w:rPr>
        <w:t>é</w:t>
      </w:r>
      <w:r w:rsidRPr="00B935F5">
        <w:rPr>
          <w:rFonts w:ascii="Arial" w:hAnsi="Arial" w:cs="Arial"/>
          <w:sz w:val="22"/>
          <w:szCs w:val="22"/>
          <w:lang w:val="es-ES"/>
        </w:rPr>
        <w:t>stas sea menor en comparación con el escenario sin intervención (al proveer financiamiento para inversiones que contrarresten la pérdida de capacidad productiva). En la misma línea, la supervivencia y futura salud de las MIPYME es conductor natural de la supervivencia del empleo lo cual tiene gran importancia en el bienestar social dada la importante contribución al empleo</w:t>
      </w:r>
      <w:r>
        <w:rPr>
          <w:rFonts w:ascii="Arial" w:hAnsi="Arial" w:cs="Arial"/>
          <w:sz w:val="22"/>
          <w:szCs w:val="22"/>
          <w:lang w:val="es-ES"/>
        </w:rPr>
        <w:t xml:space="preserve"> agregado</w:t>
      </w:r>
      <w:r w:rsidR="00A25A8F">
        <w:rPr>
          <w:rFonts w:ascii="Arial" w:hAnsi="Arial" w:cs="Arial"/>
          <w:sz w:val="22"/>
          <w:szCs w:val="22"/>
          <w:lang w:val="es-ES"/>
        </w:rPr>
        <w:t xml:space="preserve"> de la MIPYME en Honduras (70%) y de la MIPYME turística en </w:t>
      </w:r>
      <w:r w:rsidR="00A25A8F">
        <w:rPr>
          <w:rFonts w:ascii="Arial" w:hAnsi="Arial" w:cs="Arial"/>
          <w:sz w:val="22"/>
          <w:szCs w:val="22"/>
          <w:lang w:val="es-ES"/>
        </w:rPr>
        <w:lastRenderedPageBreak/>
        <w:t xml:space="preserve">particular (12% </w:t>
      </w:r>
      <w:r w:rsidR="008B545F">
        <w:rPr>
          <w:rFonts w:ascii="Arial" w:hAnsi="Arial" w:cs="Arial"/>
          <w:sz w:val="22"/>
          <w:szCs w:val="22"/>
          <w:lang w:val="es-ES"/>
        </w:rPr>
        <w:t>-</w:t>
      </w:r>
      <w:r w:rsidR="008B545F" w:rsidRPr="00AD71D6">
        <w:rPr>
          <w:rFonts w:ascii="Arial" w:hAnsi="Arial" w:cs="Arial"/>
          <w:i/>
          <w:iCs/>
          <w:sz w:val="22"/>
          <w:szCs w:val="22"/>
          <w:lang w:val="es-ES"/>
        </w:rPr>
        <w:t>World Travel &amp; Tourism Council</w:t>
      </w:r>
      <w:r w:rsidR="008B545F">
        <w:rPr>
          <w:rFonts w:ascii="Arial" w:hAnsi="Arial" w:cs="Arial"/>
          <w:sz w:val="22"/>
          <w:szCs w:val="22"/>
          <w:lang w:val="es-ES"/>
        </w:rPr>
        <w:t xml:space="preserve">, 2020). Las primeras estimaciones sobre la destrucción de empleo en el sector turística, especialmente castigado por la crisis como se indicaba en la sección anterior, apuntan a una pérdida de 100.000 trabajos en el sector para el mes de mayo como consecuencia de la crisis del COVID-19. </w:t>
      </w:r>
    </w:p>
    <w:p w14:paraId="6EC61AD1" w14:textId="77777777" w:rsidR="003D32CD" w:rsidRPr="00117CEA" w:rsidRDefault="003D32CD" w:rsidP="003D32CD">
      <w:pPr>
        <w:pStyle w:val="Paragraph"/>
        <w:numPr>
          <w:ilvl w:val="0"/>
          <w:numId w:val="0"/>
        </w:numPr>
        <w:spacing w:after="200" w:line="276" w:lineRule="auto"/>
        <w:rPr>
          <w:rFonts w:ascii="Arial" w:hAnsi="Arial" w:cs="Arial"/>
          <w:b/>
          <w:bCs/>
          <w:sz w:val="22"/>
          <w:szCs w:val="22"/>
          <w:lang w:val="es-MX"/>
        </w:rPr>
      </w:pPr>
      <w:r w:rsidRPr="00117CEA">
        <w:rPr>
          <w:rFonts w:ascii="Arial" w:hAnsi="Arial" w:cs="Arial"/>
          <w:b/>
          <w:bCs/>
          <w:sz w:val="22"/>
          <w:szCs w:val="22"/>
          <w:lang w:val="es-MX"/>
        </w:rPr>
        <w:t>Beneficios económicos de la intervención</w:t>
      </w:r>
    </w:p>
    <w:p w14:paraId="40FFBF1C" w14:textId="77777777" w:rsidR="003D32CD" w:rsidRPr="006C2D8B" w:rsidRDefault="003D32CD" w:rsidP="003D32CD">
      <w:pPr>
        <w:pStyle w:val="ListParagraph"/>
        <w:numPr>
          <w:ilvl w:val="0"/>
          <w:numId w:val="3"/>
        </w:numPr>
        <w:spacing w:before="120" w:after="120"/>
        <w:contextualSpacing w:val="0"/>
        <w:jc w:val="both"/>
        <w:outlineLvl w:val="1"/>
        <w:rPr>
          <w:rFonts w:ascii="Arial" w:hAnsi="Arial" w:cs="Arial"/>
          <w:vanish/>
          <w:sz w:val="22"/>
          <w:szCs w:val="22"/>
          <w:lang w:val="es-MX" w:eastAsia="en-GB"/>
        </w:rPr>
      </w:pPr>
      <w:bookmarkStart w:id="8" w:name="_Ref36384385"/>
    </w:p>
    <w:p w14:paraId="2E536054" w14:textId="77777777" w:rsidR="003D32CD" w:rsidRPr="006C2D8B" w:rsidRDefault="003D32CD" w:rsidP="003D32CD">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4FA3311C" w14:textId="77777777" w:rsidR="003D32CD" w:rsidRPr="006C2D8B" w:rsidRDefault="003D32CD" w:rsidP="003D32CD">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429FDAA9" w14:textId="77777777" w:rsidR="003D32CD" w:rsidRPr="006C2D8B" w:rsidRDefault="003D32CD" w:rsidP="003D32CD">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099456EC" w14:textId="77777777" w:rsidR="003D32CD" w:rsidRPr="006C2D8B" w:rsidRDefault="003D32CD" w:rsidP="003D32CD">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1AD740D4" w14:textId="77777777" w:rsidR="003D32CD" w:rsidRPr="006C2D8B" w:rsidRDefault="003D32CD" w:rsidP="003D32CD">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4EDEB51E" w14:textId="77777777" w:rsidR="003D32CD" w:rsidRPr="006C2D8B" w:rsidRDefault="003D32CD" w:rsidP="003D32CD">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50D73144" w14:textId="77777777" w:rsidR="003D32CD" w:rsidRPr="006C2D8B" w:rsidRDefault="003D32CD" w:rsidP="003D32CD">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6A89D0B9" w14:textId="77777777" w:rsidR="003D32CD" w:rsidRPr="006C2D8B" w:rsidRDefault="003D32CD" w:rsidP="003D32CD">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44192CF0" w14:textId="77777777" w:rsidR="003D32CD" w:rsidRPr="006C2D8B" w:rsidRDefault="003D32CD" w:rsidP="003D32CD">
      <w:pPr>
        <w:pStyle w:val="ListParagraph"/>
        <w:numPr>
          <w:ilvl w:val="1"/>
          <w:numId w:val="3"/>
        </w:numPr>
        <w:spacing w:before="120" w:after="120"/>
        <w:contextualSpacing w:val="0"/>
        <w:jc w:val="both"/>
        <w:outlineLvl w:val="1"/>
        <w:rPr>
          <w:rFonts w:ascii="Arial" w:hAnsi="Arial" w:cs="Arial"/>
          <w:vanish/>
          <w:sz w:val="22"/>
          <w:szCs w:val="22"/>
          <w:lang w:val="es-MX" w:eastAsia="en-GB"/>
        </w:rPr>
      </w:pPr>
    </w:p>
    <w:p w14:paraId="14DDC3F7" w14:textId="1A49FA65" w:rsidR="003D32CD" w:rsidRDefault="003D32CD" w:rsidP="003D32CD">
      <w:pPr>
        <w:pStyle w:val="Paragraph"/>
        <w:numPr>
          <w:ilvl w:val="1"/>
          <w:numId w:val="2"/>
        </w:numPr>
        <w:ind w:left="720" w:hanging="720"/>
        <w:rPr>
          <w:rFonts w:ascii="Arial" w:hAnsi="Arial" w:cs="Arial"/>
          <w:sz w:val="22"/>
          <w:szCs w:val="22"/>
          <w:lang w:val="es-MX"/>
        </w:rPr>
      </w:pPr>
      <w:bookmarkStart w:id="9" w:name="_Ref36384475"/>
      <w:r>
        <w:rPr>
          <w:rFonts w:ascii="Arial" w:hAnsi="Arial" w:cs="Arial"/>
          <w:sz w:val="22"/>
          <w:szCs w:val="22"/>
          <w:lang w:val="es-MX"/>
        </w:rPr>
        <w:t xml:space="preserve">La evolución de las MIPYME beneficiarias del programa puede ser clasificadas en tres grupos, a la luz de la probabilidad de supervivencia durante la crisis: (i) </w:t>
      </w:r>
      <w:r w:rsidRPr="00117CEA">
        <w:rPr>
          <w:rFonts w:ascii="Arial" w:hAnsi="Arial" w:cs="Arial"/>
          <w:sz w:val="22"/>
          <w:szCs w:val="22"/>
          <w:lang w:val="es-PE"/>
        </w:rPr>
        <w:t xml:space="preserve">las que </w:t>
      </w:r>
      <w:r w:rsidRPr="00050ECA">
        <w:rPr>
          <w:rFonts w:ascii="Arial" w:hAnsi="Arial" w:cs="Arial"/>
          <w:sz w:val="22"/>
          <w:szCs w:val="22"/>
          <w:lang w:val="es-ES"/>
        </w:rPr>
        <w:t>hubiesen</w:t>
      </w:r>
      <w:r w:rsidRPr="00117CEA">
        <w:rPr>
          <w:rFonts w:ascii="Arial" w:hAnsi="Arial" w:cs="Arial"/>
          <w:sz w:val="22"/>
          <w:szCs w:val="22"/>
          <w:lang w:val="es-PE"/>
        </w:rPr>
        <w:t xml:space="preserve"> sobrevivido independientemente de la intervención</w:t>
      </w:r>
      <w:r w:rsidR="00AD71D6">
        <w:rPr>
          <w:rFonts w:ascii="Arial" w:hAnsi="Arial" w:cs="Arial"/>
          <w:sz w:val="22"/>
          <w:szCs w:val="22"/>
          <w:lang w:val="es-PE"/>
        </w:rPr>
        <w:t>;</w:t>
      </w:r>
      <w:r w:rsidRPr="00117CEA">
        <w:rPr>
          <w:rFonts w:ascii="Arial" w:hAnsi="Arial" w:cs="Arial"/>
          <w:sz w:val="22"/>
          <w:szCs w:val="22"/>
          <w:lang w:val="es-PE"/>
        </w:rPr>
        <w:t xml:space="preserve"> </w:t>
      </w:r>
      <w:r>
        <w:rPr>
          <w:rFonts w:ascii="Arial" w:hAnsi="Arial" w:cs="Arial"/>
          <w:sz w:val="22"/>
          <w:szCs w:val="22"/>
          <w:lang w:val="es-PE"/>
        </w:rPr>
        <w:t xml:space="preserve">(ii) </w:t>
      </w:r>
      <w:r w:rsidRPr="00117CEA">
        <w:rPr>
          <w:rFonts w:ascii="Arial" w:hAnsi="Arial" w:cs="Arial"/>
          <w:sz w:val="22"/>
          <w:szCs w:val="22"/>
          <w:lang w:val="es-PE"/>
        </w:rPr>
        <w:t>las que no hubiesen sobrevivido sin la intervención</w:t>
      </w:r>
      <w:r w:rsidR="00AD71D6">
        <w:rPr>
          <w:rFonts w:ascii="Arial" w:hAnsi="Arial" w:cs="Arial"/>
          <w:sz w:val="22"/>
          <w:szCs w:val="22"/>
          <w:lang w:val="es-PE"/>
        </w:rPr>
        <w:t>;</w:t>
      </w:r>
      <w:r w:rsidRPr="00117CEA">
        <w:rPr>
          <w:rFonts w:ascii="Arial" w:hAnsi="Arial" w:cs="Arial"/>
          <w:sz w:val="22"/>
          <w:szCs w:val="22"/>
          <w:lang w:val="es-PE"/>
        </w:rPr>
        <w:t xml:space="preserve"> y </w:t>
      </w:r>
      <w:r>
        <w:rPr>
          <w:rFonts w:ascii="Arial" w:hAnsi="Arial" w:cs="Arial"/>
          <w:sz w:val="22"/>
          <w:szCs w:val="22"/>
          <w:lang w:val="es-PE"/>
        </w:rPr>
        <w:t xml:space="preserve">(iii) </w:t>
      </w:r>
      <w:r w:rsidRPr="00117CEA">
        <w:rPr>
          <w:rFonts w:ascii="Arial" w:hAnsi="Arial" w:cs="Arial"/>
          <w:sz w:val="22"/>
          <w:szCs w:val="22"/>
          <w:lang w:val="es-PE"/>
        </w:rPr>
        <w:t>las que no sobreviven a pesar de la intervención.</w:t>
      </w:r>
      <w:bookmarkEnd w:id="8"/>
      <w:bookmarkEnd w:id="9"/>
    </w:p>
    <w:p w14:paraId="1AB386DE" w14:textId="2317B8CE" w:rsidR="003D32CD" w:rsidRDefault="003D32CD" w:rsidP="003D32CD">
      <w:pPr>
        <w:pStyle w:val="Paragraph"/>
        <w:numPr>
          <w:ilvl w:val="1"/>
          <w:numId w:val="2"/>
        </w:numPr>
        <w:ind w:left="720" w:hanging="720"/>
        <w:rPr>
          <w:rFonts w:ascii="Arial" w:hAnsi="Arial" w:cs="Arial"/>
          <w:sz w:val="22"/>
          <w:szCs w:val="22"/>
          <w:lang w:val="es-MX"/>
        </w:rPr>
      </w:pPr>
      <w:bookmarkStart w:id="10" w:name="_Ref43400947"/>
      <w:r w:rsidRPr="00117CEA">
        <w:rPr>
          <w:rFonts w:ascii="Arial" w:hAnsi="Arial" w:cs="Arial"/>
          <w:sz w:val="22"/>
          <w:szCs w:val="22"/>
          <w:lang w:val="es-MX"/>
        </w:rPr>
        <w:t xml:space="preserve">Los </w:t>
      </w:r>
      <w:r w:rsidRPr="00117CEA">
        <w:rPr>
          <w:rFonts w:ascii="Arial" w:hAnsi="Arial" w:cs="Arial"/>
          <w:sz w:val="22"/>
          <w:szCs w:val="22"/>
          <w:lang w:val="es-PE"/>
        </w:rPr>
        <w:t xml:space="preserve">beneficios económicos considerados en el presente análisis </w:t>
      </w:r>
      <w:r>
        <w:rPr>
          <w:rFonts w:ascii="Arial" w:hAnsi="Arial" w:cs="Arial"/>
          <w:sz w:val="22"/>
          <w:szCs w:val="22"/>
          <w:lang w:val="es-PE"/>
        </w:rPr>
        <w:t xml:space="preserve">son dos: (i) </w:t>
      </w:r>
      <w:r w:rsidRPr="00117CEA">
        <w:rPr>
          <w:rFonts w:ascii="Arial" w:hAnsi="Arial" w:cs="Arial"/>
          <w:sz w:val="22"/>
          <w:szCs w:val="22"/>
          <w:lang w:val="es-PE"/>
        </w:rPr>
        <w:t>la reducción en la caída de los ingresos de las empresas beneficiadas</w:t>
      </w:r>
      <w:r w:rsidR="00AD71D6">
        <w:rPr>
          <w:rFonts w:ascii="Arial" w:hAnsi="Arial" w:cs="Arial"/>
          <w:sz w:val="22"/>
          <w:szCs w:val="22"/>
          <w:lang w:val="es-PE"/>
        </w:rPr>
        <w:t>;</w:t>
      </w:r>
      <w:r w:rsidRPr="00117CEA">
        <w:rPr>
          <w:rFonts w:ascii="Arial" w:hAnsi="Arial" w:cs="Arial"/>
          <w:sz w:val="22"/>
          <w:szCs w:val="22"/>
          <w:lang w:val="es-PE"/>
        </w:rPr>
        <w:t xml:space="preserve"> </w:t>
      </w:r>
      <w:r>
        <w:rPr>
          <w:rFonts w:ascii="Arial" w:hAnsi="Arial" w:cs="Arial"/>
          <w:sz w:val="22"/>
          <w:szCs w:val="22"/>
          <w:lang w:val="es-PE"/>
        </w:rPr>
        <w:t xml:space="preserve">y (ii) la preservación del empleo en empresas que sobreviven gracias al programa. Los beneficios de </w:t>
      </w:r>
      <w:r w:rsidRPr="00050ECA">
        <w:rPr>
          <w:rFonts w:ascii="Arial" w:hAnsi="Arial" w:cs="Arial"/>
          <w:sz w:val="22"/>
          <w:szCs w:val="22"/>
          <w:lang w:val="es-ES"/>
        </w:rPr>
        <w:t>ingresos</w:t>
      </w:r>
      <w:r>
        <w:rPr>
          <w:rFonts w:ascii="Arial" w:hAnsi="Arial" w:cs="Arial"/>
          <w:sz w:val="22"/>
          <w:szCs w:val="22"/>
          <w:lang w:val="es-PE"/>
        </w:rPr>
        <w:t xml:space="preserve"> consisten en la </w:t>
      </w:r>
      <w:r w:rsidRPr="000126B7">
        <w:rPr>
          <w:rFonts w:ascii="Arial" w:hAnsi="Arial" w:cs="Arial"/>
          <w:sz w:val="22"/>
          <w:szCs w:val="22"/>
          <w:lang w:val="es-MX"/>
        </w:rPr>
        <w:t>diferencia</w:t>
      </w:r>
      <w:r>
        <w:rPr>
          <w:rFonts w:ascii="Arial" w:hAnsi="Arial" w:cs="Arial"/>
          <w:sz w:val="22"/>
          <w:szCs w:val="22"/>
          <w:lang w:val="es-PE"/>
        </w:rPr>
        <w:t xml:space="preserve"> en los flujos de ingresos por ventas de las firmas que sobreviven en comparación con un escenario </w:t>
      </w:r>
      <w:r w:rsidRPr="00117CEA">
        <w:rPr>
          <w:rFonts w:ascii="Arial" w:hAnsi="Arial" w:cs="Arial"/>
          <w:sz w:val="22"/>
          <w:szCs w:val="22"/>
          <w:lang w:val="es-PE"/>
        </w:rPr>
        <w:t xml:space="preserve">sin intervención. </w:t>
      </w:r>
      <w:r>
        <w:rPr>
          <w:rFonts w:ascii="Arial" w:hAnsi="Arial" w:cs="Arial"/>
          <w:sz w:val="22"/>
          <w:szCs w:val="22"/>
          <w:lang w:val="es-PE"/>
        </w:rPr>
        <w:t xml:space="preserve">Tomando como referencia la clasificación de MIPYME descrita en el párrafo </w:t>
      </w:r>
      <w:r>
        <w:rPr>
          <w:rFonts w:ascii="Arial" w:hAnsi="Arial" w:cs="Arial"/>
          <w:sz w:val="22"/>
          <w:szCs w:val="22"/>
          <w:lang w:val="es-PE"/>
        </w:rPr>
        <w:fldChar w:fldCharType="begin"/>
      </w:r>
      <w:r>
        <w:rPr>
          <w:rFonts w:ascii="Arial" w:hAnsi="Arial" w:cs="Arial"/>
          <w:sz w:val="22"/>
          <w:szCs w:val="22"/>
          <w:lang w:val="es-PE"/>
        </w:rPr>
        <w:instrText xml:space="preserve"> REF _Ref36384475 \r \h </w:instrText>
      </w:r>
      <w:r>
        <w:rPr>
          <w:rFonts w:ascii="Arial" w:hAnsi="Arial" w:cs="Arial"/>
          <w:sz w:val="22"/>
          <w:szCs w:val="22"/>
          <w:lang w:val="es-PE"/>
        </w:rPr>
      </w:r>
      <w:r>
        <w:rPr>
          <w:rFonts w:ascii="Arial" w:hAnsi="Arial" w:cs="Arial"/>
          <w:sz w:val="22"/>
          <w:szCs w:val="22"/>
          <w:lang w:val="es-PE"/>
        </w:rPr>
        <w:fldChar w:fldCharType="separate"/>
      </w:r>
      <w:r>
        <w:rPr>
          <w:rFonts w:ascii="Arial" w:hAnsi="Arial" w:cs="Arial"/>
          <w:sz w:val="22"/>
          <w:szCs w:val="22"/>
          <w:lang w:val="es-PE"/>
        </w:rPr>
        <w:t>2.10</w:t>
      </w:r>
      <w:r>
        <w:rPr>
          <w:rFonts w:ascii="Arial" w:hAnsi="Arial" w:cs="Arial"/>
          <w:sz w:val="22"/>
          <w:szCs w:val="22"/>
          <w:lang w:val="es-PE"/>
        </w:rPr>
        <w:fldChar w:fldCharType="end"/>
      </w:r>
      <w:r>
        <w:rPr>
          <w:rFonts w:ascii="Arial" w:hAnsi="Arial" w:cs="Arial"/>
          <w:sz w:val="22"/>
          <w:szCs w:val="22"/>
          <w:lang w:val="es-PE"/>
        </w:rPr>
        <w:t>, podemos analizar estos beneficios de la siguiente manera: p</w:t>
      </w:r>
      <w:r w:rsidRPr="00117CEA">
        <w:rPr>
          <w:rFonts w:ascii="Arial" w:hAnsi="Arial" w:cs="Arial"/>
          <w:sz w:val="22"/>
          <w:szCs w:val="22"/>
          <w:lang w:val="es-PE"/>
        </w:rPr>
        <w:t>ara el primer grupo</w:t>
      </w:r>
      <w:r>
        <w:rPr>
          <w:rFonts w:ascii="Arial" w:hAnsi="Arial" w:cs="Arial"/>
          <w:sz w:val="22"/>
          <w:szCs w:val="22"/>
          <w:lang w:val="es-PE"/>
        </w:rPr>
        <w:t xml:space="preserve"> (empresas que hubieran sobrevivido a pesar de la intervención)</w:t>
      </w:r>
      <w:r w:rsidRPr="00117CEA">
        <w:rPr>
          <w:rFonts w:ascii="Arial" w:hAnsi="Arial" w:cs="Arial"/>
          <w:sz w:val="22"/>
          <w:szCs w:val="22"/>
          <w:lang w:val="es-PE"/>
        </w:rPr>
        <w:t xml:space="preserve">, el nivel de ingresos sin programa se espera sea menor (pero mayor que cero) debido a la ausencia de capital de trabajo e inversiones que les permita mantener o restituir su capacidad productiva inicial. Por tanto, el beneficio del programa para este grupo radica en la reducción del efecto </w:t>
      </w:r>
      <w:r>
        <w:rPr>
          <w:rFonts w:ascii="Arial" w:hAnsi="Arial" w:cs="Arial"/>
          <w:sz w:val="22"/>
          <w:szCs w:val="22"/>
          <w:lang w:val="es-PE"/>
        </w:rPr>
        <w:t xml:space="preserve">negativo </w:t>
      </w:r>
      <w:r w:rsidRPr="00117CEA">
        <w:rPr>
          <w:rFonts w:ascii="Arial" w:hAnsi="Arial" w:cs="Arial"/>
          <w:sz w:val="22"/>
          <w:szCs w:val="22"/>
          <w:lang w:val="es-PE"/>
        </w:rPr>
        <w:t>sobre los ingresos. Para el segundo grupo</w:t>
      </w:r>
      <w:r>
        <w:rPr>
          <w:rFonts w:ascii="Arial" w:hAnsi="Arial" w:cs="Arial"/>
          <w:sz w:val="22"/>
          <w:szCs w:val="22"/>
          <w:lang w:val="es-PE"/>
        </w:rPr>
        <w:t xml:space="preserve"> (empresas que sobreviven gracias a la intervención)</w:t>
      </w:r>
      <w:r w:rsidRPr="00117CEA">
        <w:rPr>
          <w:rFonts w:ascii="Arial" w:hAnsi="Arial" w:cs="Arial"/>
          <w:sz w:val="22"/>
          <w:szCs w:val="22"/>
          <w:lang w:val="es-PE"/>
        </w:rPr>
        <w:t>, el escenario contrafactual implica la desaparición de la firma, por lo que el flujo de ingresos en el escenario sin proyecto sería cero. Por tanto, el beneficio es igual al flujo de ingresos esperados de la firma una vez dada su supervivencia. Esto en valor presente se aproxima a la valuación económica de la firma salvada</w:t>
      </w:r>
      <w:r w:rsidRPr="00117CEA">
        <w:rPr>
          <w:rFonts w:ascii="Arial" w:hAnsi="Arial" w:cs="Arial"/>
          <w:sz w:val="22"/>
          <w:szCs w:val="22"/>
          <w:vertAlign w:val="superscript"/>
          <w:lang w:val="es-PE"/>
        </w:rPr>
        <w:footnoteReference w:id="36"/>
      </w:r>
      <w:r w:rsidRPr="00117CEA">
        <w:rPr>
          <w:rFonts w:ascii="Arial" w:hAnsi="Arial" w:cs="Arial"/>
          <w:sz w:val="22"/>
          <w:szCs w:val="22"/>
          <w:lang w:val="es-PE"/>
        </w:rPr>
        <w:t xml:space="preserve">. Finalmente, no existe un valor económico asociado al tercer grupo </w:t>
      </w:r>
      <w:r>
        <w:rPr>
          <w:rFonts w:ascii="Arial" w:hAnsi="Arial" w:cs="Arial"/>
          <w:sz w:val="22"/>
          <w:szCs w:val="22"/>
          <w:lang w:val="es-PE"/>
        </w:rPr>
        <w:t xml:space="preserve">(empresas que no sobreviven a pesar de la intervención) </w:t>
      </w:r>
      <w:r w:rsidRPr="00117CEA">
        <w:rPr>
          <w:rFonts w:ascii="Arial" w:hAnsi="Arial" w:cs="Arial"/>
          <w:sz w:val="22"/>
          <w:szCs w:val="22"/>
          <w:lang w:val="es-PE"/>
        </w:rPr>
        <w:t>ya que el flujo de ingresos esperados para ambos escenarios es cero, y por tanto la firma deja de existir en el horizonte de análisis del programa</w:t>
      </w:r>
      <w:r w:rsidRPr="00117CEA">
        <w:rPr>
          <w:rFonts w:ascii="Arial" w:hAnsi="Arial" w:cs="Arial"/>
          <w:sz w:val="22"/>
          <w:szCs w:val="22"/>
          <w:vertAlign w:val="superscript"/>
          <w:lang w:val="es-PE"/>
        </w:rPr>
        <w:footnoteReference w:id="37"/>
      </w:r>
      <w:r w:rsidRPr="00117CEA">
        <w:rPr>
          <w:rFonts w:ascii="Arial" w:hAnsi="Arial" w:cs="Arial"/>
          <w:sz w:val="22"/>
          <w:szCs w:val="22"/>
          <w:lang w:val="es-MX"/>
        </w:rPr>
        <w:t>.</w:t>
      </w:r>
      <w:bookmarkEnd w:id="10"/>
      <w:r w:rsidRPr="00117CEA">
        <w:rPr>
          <w:rFonts w:ascii="Arial" w:hAnsi="Arial" w:cs="Arial"/>
          <w:sz w:val="22"/>
          <w:szCs w:val="22"/>
          <w:lang w:val="es-MX"/>
        </w:rPr>
        <w:t xml:space="preserve"> </w:t>
      </w:r>
    </w:p>
    <w:p w14:paraId="7449A599" w14:textId="7CA3A973" w:rsidR="003D32CD" w:rsidRPr="00117CEA" w:rsidRDefault="003D32CD" w:rsidP="003D32CD">
      <w:pPr>
        <w:pStyle w:val="Paragraph"/>
        <w:numPr>
          <w:ilvl w:val="1"/>
          <w:numId w:val="2"/>
        </w:numPr>
        <w:ind w:left="720" w:hanging="720"/>
        <w:rPr>
          <w:rFonts w:ascii="Arial" w:hAnsi="Arial" w:cs="Arial"/>
          <w:sz w:val="22"/>
          <w:szCs w:val="22"/>
          <w:lang w:val="es-MX"/>
        </w:rPr>
      </w:pPr>
      <w:r w:rsidRPr="018353BF">
        <w:rPr>
          <w:rFonts w:ascii="Arial" w:hAnsi="Arial" w:cs="Arial"/>
          <w:sz w:val="22"/>
          <w:szCs w:val="22"/>
          <w:lang w:val="es-MX"/>
        </w:rPr>
        <w:t xml:space="preserve">En segundo lugar, se considerarán los beneficios económicos derivados de la preservación del empleo como consecuencia de la supervivencia de las firmas. Para este caso, se considera que existe un beneficio económico igual al flujo futuro de los ingresos de los </w:t>
      </w:r>
      <w:r w:rsidRPr="00050ECA">
        <w:rPr>
          <w:rFonts w:ascii="Arial" w:hAnsi="Arial" w:cs="Arial"/>
          <w:sz w:val="22"/>
          <w:szCs w:val="22"/>
          <w:lang w:val="es-ES"/>
        </w:rPr>
        <w:t>trabajadores</w:t>
      </w:r>
      <w:r w:rsidRPr="018353BF">
        <w:rPr>
          <w:rFonts w:ascii="Arial" w:hAnsi="Arial" w:cs="Arial"/>
          <w:sz w:val="22"/>
          <w:szCs w:val="22"/>
          <w:lang w:val="es-MX"/>
        </w:rPr>
        <w:t xml:space="preserve"> de MIPYME cuyo empleo es preservado gracias a la supervivencia de las firmas. En este escenario, el beneficio se contabilizará para las firmas que no hubieran sobrevivido a no ser por el programa. No obstante, debido al nuevo nivel de producción y demanda de equilibrio (como consecuencia de la crisis) la cantidad de mano de obra empleada por las firmas que sobreviven es menor al escenario </w:t>
      </w:r>
      <w:proofErr w:type="gramStart"/>
      <w:r w:rsidRPr="018353BF">
        <w:rPr>
          <w:rFonts w:ascii="Arial" w:hAnsi="Arial" w:cs="Arial"/>
          <w:sz w:val="22"/>
          <w:szCs w:val="22"/>
          <w:lang w:val="es-MX"/>
        </w:rPr>
        <w:t>pre-crisis</w:t>
      </w:r>
      <w:proofErr w:type="gramEnd"/>
      <w:r w:rsidRPr="018353BF">
        <w:rPr>
          <w:rFonts w:ascii="Arial" w:hAnsi="Arial" w:cs="Arial"/>
          <w:sz w:val="22"/>
          <w:szCs w:val="22"/>
          <w:lang w:val="es-MX"/>
        </w:rPr>
        <w:t xml:space="preserve">. El beneficio consiste en el valor del </w:t>
      </w:r>
      <w:r w:rsidRPr="00050ECA">
        <w:rPr>
          <w:rFonts w:ascii="Arial" w:hAnsi="Arial" w:cs="Arial"/>
          <w:sz w:val="22"/>
          <w:szCs w:val="22"/>
          <w:lang w:val="es-ES"/>
        </w:rPr>
        <w:t>empleo</w:t>
      </w:r>
      <w:r w:rsidRPr="018353BF">
        <w:rPr>
          <w:rFonts w:ascii="Arial" w:hAnsi="Arial" w:cs="Arial"/>
          <w:sz w:val="22"/>
          <w:szCs w:val="22"/>
          <w:lang w:val="es-MX"/>
        </w:rPr>
        <w:t xml:space="preserve"> de las firmas que sobreviven gracias al programa. La extensión del flujo de este beneficio dependerá de la duración esperada del desempleo durante </w:t>
      </w:r>
      <w:r w:rsidRPr="018353BF">
        <w:rPr>
          <w:rFonts w:ascii="Arial" w:hAnsi="Arial" w:cs="Arial"/>
          <w:sz w:val="22"/>
          <w:szCs w:val="22"/>
          <w:lang w:val="es-MX"/>
        </w:rPr>
        <w:lastRenderedPageBreak/>
        <w:t>la crisis</w:t>
      </w:r>
      <w:r w:rsidR="008B545F">
        <w:rPr>
          <w:rFonts w:ascii="Arial" w:hAnsi="Arial" w:cs="Arial"/>
          <w:sz w:val="22"/>
          <w:szCs w:val="22"/>
          <w:lang w:val="es-MX"/>
        </w:rPr>
        <w:t xml:space="preserve">. Es importante destacar </w:t>
      </w:r>
      <w:r w:rsidR="00AD71D6">
        <w:rPr>
          <w:rFonts w:ascii="Arial" w:hAnsi="Arial" w:cs="Arial"/>
          <w:sz w:val="22"/>
          <w:szCs w:val="22"/>
          <w:lang w:val="es-MX"/>
        </w:rPr>
        <w:t>que,</w:t>
      </w:r>
      <w:r w:rsidR="008B545F">
        <w:rPr>
          <w:rFonts w:ascii="Arial" w:hAnsi="Arial" w:cs="Arial"/>
          <w:sz w:val="22"/>
          <w:szCs w:val="22"/>
          <w:lang w:val="es-MX"/>
        </w:rPr>
        <w:t xml:space="preserve"> si bien existe un alivio para los trabajadores rescindidos en el contexto de la crisis en Honduras, por el momento éste solo se contempla durante tres meses y no estaría vigente al momento de la </w:t>
      </w:r>
      <w:r w:rsidR="00F701BC">
        <w:rPr>
          <w:rFonts w:ascii="Arial" w:hAnsi="Arial" w:cs="Arial"/>
          <w:sz w:val="22"/>
          <w:szCs w:val="22"/>
          <w:lang w:val="es-MX"/>
        </w:rPr>
        <w:t xml:space="preserve">vigencia de </w:t>
      </w:r>
      <w:r w:rsidR="00F701BC" w:rsidRPr="00F701BC">
        <w:rPr>
          <w:rFonts w:ascii="Arial" w:hAnsi="Arial" w:cs="Arial"/>
          <w:sz w:val="22"/>
          <w:szCs w:val="22"/>
          <w:lang w:val="es-MX"/>
        </w:rPr>
        <w:t>este</w:t>
      </w:r>
      <w:r w:rsidR="00F701BC">
        <w:rPr>
          <w:rFonts w:ascii="Arial" w:hAnsi="Arial" w:cs="Arial"/>
          <w:sz w:val="22"/>
          <w:szCs w:val="22"/>
          <w:lang w:val="es-MX"/>
        </w:rPr>
        <w:t xml:space="preserve"> </w:t>
      </w:r>
      <w:r w:rsidR="00F701BC" w:rsidRPr="00F701BC">
        <w:rPr>
          <w:rFonts w:ascii="Arial" w:hAnsi="Arial" w:cs="Arial"/>
          <w:sz w:val="22"/>
          <w:szCs w:val="22"/>
          <w:lang w:val="es-MX"/>
        </w:rPr>
        <w:t>programa</w:t>
      </w:r>
      <w:r w:rsidR="00F701BC">
        <w:rPr>
          <w:rStyle w:val="FootnoteReference"/>
          <w:rFonts w:ascii="Arial" w:hAnsi="Arial" w:cs="Arial"/>
          <w:sz w:val="22"/>
          <w:szCs w:val="22"/>
          <w:lang w:val="es-MX"/>
        </w:rPr>
        <w:footnoteReference w:id="38"/>
      </w:r>
      <w:r w:rsidR="00F701BC" w:rsidRPr="00F701BC">
        <w:rPr>
          <w:rFonts w:ascii="Arial" w:hAnsi="Arial" w:cs="Arial"/>
          <w:sz w:val="22"/>
          <w:szCs w:val="22"/>
          <w:lang w:val="es-MX"/>
        </w:rPr>
        <w:t>. Por ese motivo, e</w:t>
      </w:r>
      <w:r w:rsidRPr="00F701BC">
        <w:rPr>
          <w:rFonts w:ascii="Arial" w:hAnsi="Arial" w:cs="Arial"/>
          <w:sz w:val="22"/>
          <w:szCs w:val="22"/>
          <w:lang w:val="es-MX"/>
        </w:rPr>
        <w:t xml:space="preserve">l escenario contrafactual </w:t>
      </w:r>
      <w:r w:rsidR="00F701BC" w:rsidRPr="00F701BC">
        <w:rPr>
          <w:rFonts w:ascii="Arial" w:hAnsi="Arial" w:cs="Arial"/>
          <w:sz w:val="22"/>
          <w:szCs w:val="22"/>
          <w:lang w:val="es-MX"/>
        </w:rPr>
        <w:t xml:space="preserve">para la medición de los beneficios del programa considera que no existe compensación de salarios perdidos, es decir, </w:t>
      </w:r>
      <w:r w:rsidRPr="00F701BC">
        <w:rPr>
          <w:rFonts w:ascii="Arial" w:hAnsi="Arial" w:cs="Arial"/>
          <w:sz w:val="22"/>
          <w:szCs w:val="22"/>
          <w:lang w:val="es-MX"/>
        </w:rPr>
        <w:t>se da una pérdida total de ingresos por parte de los trabajadores.</w:t>
      </w:r>
    </w:p>
    <w:p w14:paraId="4862CC34" w14:textId="77777777" w:rsidR="003D32CD" w:rsidRPr="00117CEA" w:rsidRDefault="003D32CD" w:rsidP="003D32CD">
      <w:pPr>
        <w:pStyle w:val="Paragraph"/>
        <w:numPr>
          <w:ilvl w:val="0"/>
          <w:numId w:val="0"/>
        </w:numPr>
        <w:spacing w:after="200" w:line="276" w:lineRule="auto"/>
        <w:ind w:left="-90"/>
        <w:rPr>
          <w:rFonts w:ascii="Arial" w:hAnsi="Arial" w:cs="Arial"/>
          <w:b/>
          <w:bCs/>
          <w:sz w:val="22"/>
          <w:szCs w:val="22"/>
          <w:lang w:val="es-MX"/>
        </w:rPr>
      </w:pPr>
      <w:r w:rsidRPr="00117CEA">
        <w:rPr>
          <w:rFonts w:ascii="Arial" w:hAnsi="Arial" w:cs="Arial"/>
          <w:b/>
          <w:bCs/>
          <w:sz w:val="22"/>
          <w:szCs w:val="22"/>
          <w:lang w:val="es-MX"/>
        </w:rPr>
        <w:t>Costos de la intervención</w:t>
      </w:r>
    </w:p>
    <w:p w14:paraId="1140B6D8" w14:textId="55B30BF4" w:rsidR="003D32CD" w:rsidRPr="00117CEA" w:rsidRDefault="003D32CD" w:rsidP="003D32CD">
      <w:pPr>
        <w:pStyle w:val="Paragraph"/>
        <w:numPr>
          <w:ilvl w:val="1"/>
          <w:numId w:val="2"/>
        </w:numPr>
        <w:ind w:left="720" w:hanging="720"/>
        <w:rPr>
          <w:rFonts w:ascii="Arial" w:hAnsi="Arial" w:cs="Arial"/>
          <w:sz w:val="22"/>
          <w:szCs w:val="22"/>
          <w:lang w:val="es-MX"/>
        </w:rPr>
      </w:pPr>
      <w:r w:rsidRPr="00117CEA">
        <w:rPr>
          <w:rFonts w:ascii="Arial" w:hAnsi="Arial" w:cs="Arial"/>
          <w:sz w:val="22"/>
          <w:szCs w:val="22"/>
          <w:lang w:val="es-PE"/>
        </w:rPr>
        <w:t xml:space="preserve">Por simplicidad y </w:t>
      </w:r>
      <w:r w:rsidRPr="000126B7">
        <w:rPr>
          <w:rFonts w:ascii="Arial" w:hAnsi="Arial" w:cs="Arial"/>
          <w:sz w:val="22"/>
          <w:szCs w:val="22"/>
          <w:lang w:val="es-MX"/>
        </w:rPr>
        <w:t>disponibilidad</w:t>
      </w:r>
      <w:r w:rsidRPr="00117CEA">
        <w:rPr>
          <w:rFonts w:ascii="Arial" w:hAnsi="Arial" w:cs="Arial"/>
          <w:sz w:val="22"/>
          <w:szCs w:val="22"/>
          <w:lang w:val="es-PE"/>
        </w:rPr>
        <w:t xml:space="preserve"> de datos, los costos de la intervención serán </w:t>
      </w:r>
      <w:r w:rsidRPr="00050ECA">
        <w:rPr>
          <w:rFonts w:ascii="Arial" w:hAnsi="Arial" w:cs="Arial"/>
          <w:sz w:val="22"/>
          <w:szCs w:val="22"/>
          <w:lang w:val="es-ES"/>
        </w:rPr>
        <w:t>tomados</w:t>
      </w:r>
      <w:r w:rsidRPr="00117CEA">
        <w:rPr>
          <w:rFonts w:ascii="Arial" w:hAnsi="Arial" w:cs="Arial"/>
          <w:sz w:val="22"/>
          <w:szCs w:val="22"/>
          <w:lang w:val="es-PE"/>
        </w:rPr>
        <w:t xml:space="preserve"> como iguales al monto total de la inversión programada en la presente operación.</w:t>
      </w:r>
    </w:p>
    <w:p w14:paraId="7AB328AC" w14:textId="77777777" w:rsidR="003D32CD" w:rsidRPr="00CB590A" w:rsidRDefault="003D32CD" w:rsidP="003D32CD">
      <w:pPr>
        <w:pStyle w:val="ListParagraph"/>
        <w:numPr>
          <w:ilvl w:val="0"/>
          <w:numId w:val="4"/>
        </w:numPr>
        <w:spacing w:before="360" w:after="200" w:line="276" w:lineRule="auto"/>
        <w:ind w:hanging="720"/>
        <w:jc w:val="both"/>
        <w:rPr>
          <w:rFonts w:ascii="Arial" w:hAnsi="Arial" w:cs="Arial"/>
          <w:b/>
          <w:lang w:val="es-MX"/>
        </w:rPr>
      </w:pPr>
      <w:r w:rsidRPr="004756D5">
        <w:rPr>
          <w:rFonts w:ascii="Arial" w:hAnsi="Arial" w:cs="Arial"/>
          <w:b/>
          <w:lang w:val="es-MX"/>
        </w:rPr>
        <w:t xml:space="preserve">Supuestos </w:t>
      </w:r>
    </w:p>
    <w:p w14:paraId="2DCABC90" w14:textId="12BBF93F" w:rsidR="003D32CD" w:rsidRDefault="003D32CD" w:rsidP="003D32CD">
      <w:pPr>
        <w:pStyle w:val="Paragraph"/>
        <w:numPr>
          <w:ilvl w:val="1"/>
          <w:numId w:val="2"/>
        </w:numPr>
        <w:ind w:left="720" w:hanging="720"/>
        <w:rPr>
          <w:rFonts w:ascii="Arial" w:hAnsi="Arial" w:cs="Arial"/>
          <w:sz w:val="22"/>
          <w:szCs w:val="22"/>
          <w:lang w:val="es-PE"/>
        </w:rPr>
      </w:pPr>
      <w:bookmarkStart w:id="11" w:name="_Ref43401425"/>
      <w:r w:rsidRPr="00F55C6E">
        <w:rPr>
          <w:rFonts w:ascii="Arial" w:hAnsi="Arial" w:cs="Arial"/>
          <w:b/>
          <w:bCs/>
          <w:sz w:val="22"/>
          <w:szCs w:val="22"/>
          <w:lang w:val="es-PE"/>
        </w:rPr>
        <w:t>Probabilidad de supervivencia.</w:t>
      </w:r>
      <w:r>
        <w:rPr>
          <w:rFonts w:ascii="Arial" w:hAnsi="Arial" w:cs="Arial"/>
          <w:b/>
          <w:bCs/>
          <w:sz w:val="22"/>
          <w:szCs w:val="22"/>
          <w:lang w:val="es-PE"/>
        </w:rPr>
        <w:t xml:space="preserve"> </w:t>
      </w:r>
      <w:r w:rsidR="005B02FD">
        <w:rPr>
          <w:rFonts w:ascii="Arial" w:hAnsi="Arial" w:cs="Arial"/>
          <w:sz w:val="22"/>
          <w:szCs w:val="22"/>
          <w:lang w:val="es-PE"/>
        </w:rPr>
        <w:t xml:space="preserve">Se estará asumiendo una tasa de supervivencia para el periodo </w:t>
      </w:r>
      <w:proofErr w:type="gramStart"/>
      <w:r w:rsidR="005B02FD">
        <w:rPr>
          <w:rFonts w:ascii="Arial" w:hAnsi="Arial" w:cs="Arial"/>
          <w:sz w:val="22"/>
          <w:szCs w:val="22"/>
          <w:lang w:val="es-PE"/>
        </w:rPr>
        <w:t>pre-crisis</w:t>
      </w:r>
      <w:proofErr w:type="gramEnd"/>
      <w:r w:rsidR="005B02FD">
        <w:rPr>
          <w:rFonts w:ascii="Arial" w:hAnsi="Arial" w:cs="Arial"/>
          <w:sz w:val="22"/>
          <w:szCs w:val="22"/>
          <w:lang w:val="es-PE"/>
        </w:rPr>
        <w:t xml:space="preserve"> del 85%</w:t>
      </w:r>
      <w:r w:rsidR="00F8059E">
        <w:rPr>
          <w:rFonts w:ascii="Arial" w:hAnsi="Arial" w:cs="Arial"/>
          <w:sz w:val="22"/>
          <w:szCs w:val="22"/>
          <w:lang w:val="es-PE"/>
        </w:rPr>
        <w:t xml:space="preserve"> -correspondiente a la tasa observada para el caso chileno-</w:t>
      </w:r>
      <w:r w:rsidR="005B02FD">
        <w:rPr>
          <w:rFonts w:ascii="Arial" w:hAnsi="Arial" w:cs="Arial"/>
          <w:sz w:val="22"/>
          <w:szCs w:val="22"/>
          <w:lang w:val="es-PE"/>
        </w:rPr>
        <w:t xml:space="preserve"> como </w:t>
      </w:r>
      <w:r w:rsidR="005B02FD" w:rsidRPr="00AD71D6">
        <w:rPr>
          <w:rFonts w:ascii="Arial" w:hAnsi="Arial" w:cs="Arial"/>
          <w:i/>
          <w:iCs/>
          <w:sz w:val="22"/>
          <w:szCs w:val="22"/>
          <w:lang w:val="es-PE"/>
        </w:rPr>
        <w:t>proxy</w:t>
      </w:r>
      <w:r w:rsidR="005B02FD">
        <w:rPr>
          <w:rFonts w:ascii="Arial" w:hAnsi="Arial" w:cs="Arial"/>
          <w:sz w:val="22"/>
          <w:szCs w:val="22"/>
          <w:lang w:val="es-PE"/>
        </w:rPr>
        <w:t xml:space="preserve"> </w:t>
      </w:r>
      <w:r w:rsidR="00F8059E">
        <w:rPr>
          <w:rFonts w:ascii="Arial" w:hAnsi="Arial" w:cs="Arial"/>
          <w:sz w:val="22"/>
          <w:szCs w:val="22"/>
          <w:lang w:val="es-PE"/>
        </w:rPr>
        <w:t xml:space="preserve">a falta de datos propios del país. Asumiendo un supuesto conservador si tenemos en cuenta la mayor vulnerabilidad de las actividades priorizadas, se estará aplicando una tasa de supervivencia igual a la mejor información disponible sobre la tasa de supervivencia de la MIPYME a consecuencia de la crisis del COVID-19. En base a </w:t>
      </w:r>
      <w:hyperlink r:id="rId21" w:history="1">
        <w:r w:rsidR="00F8059E" w:rsidRPr="007424CF">
          <w:rPr>
            <w:rStyle w:val="Hyperlink"/>
            <w:rFonts w:ascii="Arial" w:hAnsi="Arial" w:cs="Arial"/>
            <w:i/>
            <w:iCs/>
            <w:sz w:val="22"/>
            <w:szCs w:val="22"/>
            <w:lang w:val="es-PE"/>
          </w:rPr>
          <w:t>Análisis de resiliencia empresarial Covid-19</w:t>
        </w:r>
      </w:hyperlink>
      <w:r w:rsidR="00F8059E">
        <w:rPr>
          <w:rFonts w:ascii="Arial" w:hAnsi="Arial" w:cs="Arial"/>
          <w:sz w:val="22"/>
          <w:szCs w:val="22"/>
          <w:lang w:val="es-PE"/>
        </w:rPr>
        <w:t xml:space="preserve">, segunda investigación (COHEP et al., mayo 2020), que arrojaba una destrucción de MIYME del 6,1% a consecuencia de la crisis, se tomará como tasa de supervivencia durante la crisis que sume esta tasa de destrucción a la del periodo pre-crisis, es decir, que sea del 15,1%. Se espera que las firmas apoyadas por el programa enfrenten una </w:t>
      </w:r>
      <w:r w:rsidR="00987ABF">
        <w:rPr>
          <w:rFonts w:ascii="Arial" w:hAnsi="Arial" w:cs="Arial"/>
          <w:sz w:val="22"/>
          <w:szCs w:val="22"/>
          <w:lang w:val="es-PE"/>
        </w:rPr>
        <w:t xml:space="preserve">menor </w:t>
      </w:r>
      <w:r w:rsidR="00F8059E">
        <w:rPr>
          <w:rFonts w:ascii="Arial" w:hAnsi="Arial" w:cs="Arial"/>
          <w:sz w:val="22"/>
          <w:szCs w:val="22"/>
          <w:lang w:val="es-PE"/>
        </w:rPr>
        <w:t xml:space="preserve">probabilidad de </w:t>
      </w:r>
      <w:r w:rsidR="00D103E8">
        <w:rPr>
          <w:rFonts w:ascii="Arial" w:hAnsi="Arial" w:cs="Arial"/>
          <w:sz w:val="22"/>
          <w:szCs w:val="22"/>
          <w:lang w:val="es-PE"/>
        </w:rPr>
        <w:t>quiebra</w:t>
      </w:r>
      <w:r w:rsidR="00F8059E">
        <w:rPr>
          <w:rFonts w:ascii="Arial" w:hAnsi="Arial" w:cs="Arial"/>
          <w:sz w:val="22"/>
          <w:szCs w:val="22"/>
          <w:lang w:val="es-PE"/>
        </w:rPr>
        <w:t xml:space="preserve"> que, en el escenario central, será del 13%. </w:t>
      </w:r>
      <w:r w:rsidRPr="00F55C6E">
        <w:rPr>
          <w:rFonts w:ascii="Arial" w:hAnsi="Arial" w:cs="Arial"/>
          <w:sz w:val="22"/>
          <w:szCs w:val="22"/>
          <w:lang w:val="es-PE"/>
        </w:rPr>
        <w:t>No obstante, modificaciones a estos parámetros se tomarán en cuenta durante el análisis de sensibilidad.</w:t>
      </w:r>
      <w:bookmarkEnd w:id="11"/>
    </w:p>
    <w:p w14:paraId="55B0B787" w14:textId="06249CC2" w:rsidR="003D32CD" w:rsidRPr="00117CEA" w:rsidRDefault="003D32CD" w:rsidP="003D32CD">
      <w:pPr>
        <w:pStyle w:val="Paragraph"/>
        <w:numPr>
          <w:ilvl w:val="1"/>
          <w:numId w:val="2"/>
        </w:numPr>
        <w:ind w:left="720" w:hanging="720"/>
        <w:rPr>
          <w:rFonts w:ascii="Arial" w:hAnsi="Arial" w:cs="Arial"/>
          <w:sz w:val="22"/>
          <w:szCs w:val="22"/>
          <w:lang w:val="es-PE"/>
        </w:rPr>
      </w:pPr>
      <w:r w:rsidRPr="00117CEA">
        <w:rPr>
          <w:rFonts w:ascii="Arial" w:hAnsi="Arial" w:cs="Arial"/>
          <w:b/>
          <w:bCs/>
          <w:sz w:val="22"/>
          <w:szCs w:val="22"/>
          <w:lang w:val="es-PE"/>
        </w:rPr>
        <w:t xml:space="preserve">Niveles de ventas inicial. </w:t>
      </w:r>
      <w:r w:rsidRPr="00117CEA">
        <w:rPr>
          <w:rFonts w:ascii="Arial" w:hAnsi="Arial" w:cs="Arial"/>
          <w:sz w:val="22"/>
          <w:szCs w:val="22"/>
          <w:lang w:val="es-PE"/>
        </w:rPr>
        <w:t xml:space="preserve">Para el </w:t>
      </w:r>
      <w:r w:rsidRPr="00050ECA">
        <w:rPr>
          <w:rFonts w:ascii="Arial" w:hAnsi="Arial" w:cs="Arial"/>
          <w:sz w:val="22"/>
          <w:szCs w:val="22"/>
          <w:lang w:val="es-ES"/>
        </w:rPr>
        <w:t>escenario</w:t>
      </w:r>
      <w:r w:rsidRPr="00117CEA">
        <w:rPr>
          <w:rFonts w:ascii="Arial" w:hAnsi="Arial" w:cs="Arial"/>
          <w:sz w:val="22"/>
          <w:szCs w:val="22"/>
          <w:lang w:val="es-PE"/>
        </w:rPr>
        <w:t xml:space="preserve"> inicial se asumirá que el nivel de ingresos anuales por ventas promedio de los beneficiarios es igual a </w:t>
      </w:r>
      <w:r w:rsidR="00EE264F">
        <w:rPr>
          <w:rFonts w:ascii="Arial" w:hAnsi="Arial" w:cs="Arial"/>
          <w:sz w:val="22"/>
          <w:szCs w:val="22"/>
          <w:lang w:val="es-PE"/>
        </w:rPr>
        <w:t>US</w:t>
      </w:r>
      <w:r w:rsidRPr="00EE264F">
        <w:rPr>
          <w:rFonts w:ascii="Arial" w:hAnsi="Arial" w:cs="Arial"/>
          <w:sz w:val="22"/>
          <w:szCs w:val="22"/>
          <w:lang w:val="es-PE"/>
        </w:rPr>
        <w:t>$</w:t>
      </w:r>
      <w:r w:rsidR="00EE264F" w:rsidRPr="00EE264F">
        <w:rPr>
          <w:rFonts w:ascii="Arial" w:hAnsi="Arial" w:cs="Arial"/>
          <w:sz w:val="22"/>
          <w:szCs w:val="22"/>
          <w:lang w:val="es-PE"/>
        </w:rPr>
        <w:t>183.810</w:t>
      </w:r>
      <w:r w:rsidRPr="00EE264F">
        <w:rPr>
          <w:rFonts w:ascii="Arial" w:hAnsi="Arial" w:cs="Arial"/>
          <w:sz w:val="22"/>
          <w:szCs w:val="22"/>
          <w:lang w:val="es-PE"/>
        </w:rPr>
        <w:t>.</w:t>
      </w:r>
      <w:r w:rsidRPr="00117CEA">
        <w:rPr>
          <w:rFonts w:ascii="Arial" w:hAnsi="Arial" w:cs="Arial"/>
          <w:sz w:val="22"/>
          <w:szCs w:val="22"/>
          <w:lang w:val="es-PE"/>
        </w:rPr>
        <w:t xml:space="preserve"> Este valor </w:t>
      </w:r>
      <w:r w:rsidR="00EE264F">
        <w:rPr>
          <w:rFonts w:ascii="Arial" w:hAnsi="Arial" w:cs="Arial"/>
          <w:sz w:val="22"/>
          <w:szCs w:val="22"/>
          <w:lang w:val="es-PE"/>
        </w:rPr>
        <w:t>se ha calculado tomando la contribución del sector turístico, priorizado en este programa, al PIB de Honduras (US$</w:t>
      </w:r>
      <w:r w:rsidR="00EE264F" w:rsidRPr="00EE264F">
        <w:rPr>
          <w:rFonts w:ascii="Arial" w:hAnsi="Arial" w:cs="Arial"/>
          <w:sz w:val="22"/>
          <w:szCs w:val="22"/>
          <w:lang w:val="es-PE"/>
        </w:rPr>
        <w:t>2</w:t>
      </w:r>
      <w:r w:rsidR="00AD71D6">
        <w:rPr>
          <w:rFonts w:ascii="Arial" w:hAnsi="Arial" w:cs="Arial"/>
          <w:sz w:val="22"/>
          <w:szCs w:val="22"/>
          <w:lang w:val="es-PE"/>
        </w:rPr>
        <w:t>.</w:t>
      </w:r>
      <w:r w:rsidR="00EE264F" w:rsidRPr="00EE264F">
        <w:rPr>
          <w:rFonts w:ascii="Arial" w:hAnsi="Arial" w:cs="Arial"/>
          <w:sz w:val="22"/>
          <w:szCs w:val="22"/>
          <w:lang w:val="es-PE"/>
        </w:rPr>
        <w:t>918</w:t>
      </w:r>
      <w:r w:rsidR="00AD71D6">
        <w:rPr>
          <w:rFonts w:ascii="Arial" w:hAnsi="Arial" w:cs="Arial"/>
          <w:sz w:val="22"/>
          <w:szCs w:val="22"/>
          <w:lang w:val="es-PE"/>
        </w:rPr>
        <w:t>,</w:t>
      </w:r>
      <w:r w:rsidR="00EE264F" w:rsidRPr="00EE264F">
        <w:rPr>
          <w:rFonts w:ascii="Arial" w:hAnsi="Arial" w:cs="Arial"/>
          <w:sz w:val="22"/>
          <w:szCs w:val="22"/>
          <w:lang w:val="es-PE"/>
        </w:rPr>
        <w:t>8</w:t>
      </w:r>
      <w:r w:rsidR="00EE264F">
        <w:rPr>
          <w:rFonts w:ascii="Arial" w:hAnsi="Arial" w:cs="Arial"/>
          <w:sz w:val="22"/>
          <w:szCs w:val="22"/>
          <w:lang w:val="es-PE"/>
        </w:rPr>
        <w:t xml:space="preserve"> millones -</w:t>
      </w:r>
      <w:r w:rsidR="00EE264F" w:rsidRPr="00B343E6">
        <w:rPr>
          <w:rFonts w:ascii="Arial" w:hAnsi="Arial" w:cs="Arial"/>
          <w:i/>
          <w:iCs/>
          <w:sz w:val="22"/>
          <w:szCs w:val="22"/>
          <w:lang w:val="es-PE"/>
        </w:rPr>
        <w:t xml:space="preserve">World Travel </w:t>
      </w:r>
      <w:r w:rsidR="00B343E6">
        <w:rPr>
          <w:rFonts w:ascii="Arial" w:hAnsi="Arial" w:cs="Arial"/>
          <w:i/>
          <w:iCs/>
          <w:sz w:val="22"/>
          <w:szCs w:val="22"/>
          <w:lang w:val="es-PE"/>
        </w:rPr>
        <w:t>&amp;</w:t>
      </w:r>
      <w:r w:rsidR="00EE264F" w:rsidRPr="00B343E6">
        <w:rPr>
          <w:rFonts w:ascii="Arial" w:hAnsi="Arial" w:cs="Arial"/>
          <w:i/>
          <w:iCs/>
          <w:sz w:val="22"/>
          <w:szCs w:val="22"/>
          <w:lang w:val="es-PE"/>
        </w:rPr>
        <w:t xml:space="preserve"> Toursim Council</w:t>
      </w:r>
      <w:r w:rsidR="00EE264F">
        <w:rPr>
          <w:rFonts w:ascii="Arial" w:hAnsi="Arial" w:cs="Arial"/>
          <w:sz w:val="22"/>
          <w:szCs w:val="22"/>
          <w:lang w:val="es-PE"/>
        </w:rPr>
        <w:t xml:space="preserve">, 2020) y el porcentaje del PIB generado por la MIPYME en el país (25%). Para calcular el promedio se ha dividido el 25% de la contribución del sector turístico al PIB entre el número de MIPYME turísticas en el país (4.564, considerando que son el 97,11% del total de empresas en el sector -CANATURH). </w:t>
      </w:r>
    </w:p>
    <w:p w14:paraId="777DA05D" w14:textId="6BFD6727" w:rsidR="003D32CD" w:rsidRPr="00A6452F" w:rsidRDefault="003D32CD" w:rsidP="007424CF">
      <w:pPr>
        <w:pStyle w:val="Paragraph"/>
        <w:numPr>
          <w:ilvl w:val="1"/>
          <w:numId w:val="2"/>
        </w:numPr>
        <w:ind w:left="720" w:hanging="720"/>
        <w:rPr>
          <w:rFonts w:ascii="Arial" w:hAnsi="Arial" w:cs="Arial"/>
          <w:sz w:val="22"/>
          <w:szCs w:val="22"/>
          <w:lang w:val="es-PE"/>
        </w:rPr>
      </w:pPr>
      <w:bookmarkStart w:id="12" w:name="_Ref36308329"/>
      <w:r w:rsidRPr="00A6452F">
        <w:rPr>
          <w:rFonts w:ascii="Arial" w:hAnsi="Arial" w:cs="Arial"/>
          <w:b/>
          <w:bCs/>
          <w:sz w:val="22"/>
          <w:szCs w:val="22"/>
          <w:lang w:val="es-PE"/>
        </w:rPr>
        <w:t xml:space="preserve">Evolución de las ventas. </w:t>
      </w:r>
      <w:r w:rsidRPr="00A6452F">
        <w:rPr>
          <w:rFonts w:ascii="Arial" w:hAnsi="Arial" w:cs="Arial"/>
          <w:sz w:val="22"/>
          <w:szCs w:val="22"/>
          <w:lang w:val="es-PE"/>
        </w:rPr>
        <w:t>Para el escenario sin intervención se asumirá que las ventas anuales caerán a un</w:t>
      </w:r>
      <w:r w:rsidR="00AF77BF" w:rsidRPr="00A6452F">
        <w:rPr>
          <w:rFonts w:ascii="Arial" w:hAnsi="Arial" w:cs="Arial"/>
          <w:sz w:val="22"/>
          <w:szCs w:val="22"/>
          <w:lang w:val="es-PE"/>
        </w:rPr>
        <w:t xml:space="preserve"> 66,7% el primer año del programa a consecuencia de la crisis, en línea con las primeras estimaciones de destrucción de la actividad económica</w:t>
      </w:r>
      <w:r w:rsidR="00A6452F">
        <w:rPr>
          <w:rStyle w:val="FootnoteReference"/>
          <w:rFonts w:ascii="Arial" w:hAnsi="Arial" w:cs="Arial"/>
          <w:sz w:val="22"/>
          <w:szCs w:val="22"/>
          <w:lang w:val="es-PE"/>
        </w:rPr>
        <w:footnoteReference w:id="39"/>
      </w:r>
      <w:r w:rsidR="00AD71D6" w:rsidRPr="00A6452F">
        <w:rPr>
          <w:rFonts w:ascii="Arial" w:hAnsi="Arial" w:cs="Arial"/>
          <w:sz w:val="22"/>
          <w:szCs w:val="22"/>
          <w:lang w:val="es-PE"/>
        </w:rPr>
        <w:t>.</w:t>
      </w:r>
      <w:r w:rsidR="00AF77BF" w:rsidRPr="00A6452F">
        <w:rPr>
          <w:rFonts w:ascii="Arial" w:hAnsi="Arial" w:cs="Arial"/>
          <w:sz w:val="22"/>
          <w:szCs w:val="22"/>
          <w:lang w:val="es-PE"/>
        </w:rPr>
        <w:t xml:space="preserve"> </w:t>
      </w:r>
      <w:r w:rsidR="00A6452F" w:rsidRPr="00A6452F">
        <w:rPr>
          <w:rFonts w:ascii="Arial" w:hAnsi="Arial" w:cs="Arial"/>
          <w:sz w:val="22"/>
          <w:szCs w:val="22"/>
          <w:lang w:val="es-PE"/>
        </w:rPr>
        <w:t xml:space="preserve">A partir del primer año se espera una recuperación paulatina de las ventas hasta el 2023. </w:t>
      </w:r>
      <w:r w:rsidR="00A6452F">
        <w:rPr>
          <w:rFonts w:ascii="Arial" w:hAnsi="Arial" w:cs="Arial"/>
          <w:sz w:val="22"/>
          <w:szCs w:val="22"/>
          <w:lang w:val="es-PE"/>
        </w:rPr>
        <w:t xml:space="preserve">Por la naturaleza de la operación no se asumirán diferencias sobre la evolución de las ventas con y sin programa. </w:t>
      </w:r>
      <w:bookmarkEnd w:id="12"/>
    </w:p>
    <w:p w14:paraId="297E0653" w14:textId="5C1A2043" w:rsidR="003D32CD" w:rsidRDefault="003D32CD" w:rsidP="003D32CD">
      <w:pPr>
        <w:pStyle w:val="Paragraph"/>
        <w:numPr>
          <w:ilvl w:val="1"/>
          <w:numId w:val="2"/>
        </w:numPr>
        <w:ind w:left="720" w:hanging="720"/>
        <w:rPr>
          <w:rFonts w:ascii="Arial" w:hAnsi="Arial" w:cs="Arial"/>
          <w:sz w:val="22"/>
          <w:szCs w:val="22"/>
          <w:lang w:val="es-PE"/>
        </w:rPr>
      </w:pPr>
      <w:r>
        <w:rPr>
          <w:rFonts w:ascii="Arial" w:hAnsi="Arial" w:cs="Arial"/>
          <w:b/>
          <w:bCs/>
          <w:sz w:val="22"/>
          <w:szCs w:val="22"/>
          <w:lang w:val="es-PE"/>
        </w:rPr>
        <w:lastRenderedPageBreak/>
        <w:t xml:space="preserve">Nivel de empleo en MIPYME. </w:t>
      </w:r>
      <w:r>
        <w:rPr>
          <w:rFonts w:ascii="Arial" w:hAnsi="Arial" w:cs="Arial"/>
          <w:sz w:val="22"/>
          <w:szCs w:val="22"/>
          <w:lang w:val="es-PE"/>
        </w:rPr>
        <w:t>Se asumirá en base a información de empleo en MIPYME en</w:t>
      </w:r>
      <w:r w:rsidR="005B02FD">
        <w:rPr>
          <w:rFonts w:ascii="Arial" w:hAnsi="Arial" w:cs="Arial"/>
          <w:sz w:val="22"/>
          <w:szCs w:val="22"/>
          <w:lang w:val="es-PE"/>
        </w:rPr>
        <w:t xml:space="preserve"> Honduras</w:t>
      </w:r>
      <w:r>
        <w:rPr>
          <w:rFonts w:ascii="Arial" w:hAnsi="Arial" w:cs="Arial"/>
          <w:sz w:val="22"/>
          <w:szCs w:val="22"/>
          <w:lang w:val="es-PE"/>
        </w:rPr>
        <w:t xml:space="preserve"> que una firma promedio tendrá un nivel de empleo igual a </w:t>
      </w:r>
      <w:r w:rsidR="005B02FD">
        <w:rPr>
          <w:rFonts w:ascii="Arial" w:hAnsi="Arial" w:cs="Arial"/>
          <w:sz w:val="22"/>
          <w:szCs w:val="22"/>
          <w:lang w:val="es-PE"/>
        </w:rPr>
        <w:t>8</w:t>
      </w:r>
      <w:r>
        <w:rPr>
          <w:rFonts w:ascii="Arial" w:hAnsi="Arial" w:cs="Arial"/>
          <w:sz w:val="22"/>
          <w:szCs w:val="22"/>
          <w:lang w:val="es-PE"/>
        </w:rPr>
        <w:t xml:space="preserve"> trabajadores por año en el escenario pre-crisis</w:t>
      </w:r>
      <w:r w:rsidR="005B02FD">
        <w:rPr>
          <w:rFonts w:ascii="Arial" w:hAnsi="Arial" w:cs="Arial"/>
          <w:sz w:val="22"/>
          <w:szCs w:val="22"/>
          <w:lang w:val="es-PE"/>
        </w:rPr>
        <w:t xml:space="preserve"> (ver </w:t>
      </w:r>
      <w:hyperlink r:id="rId22" w:history="1">
        <w:r w:rsidR="005B02FD" w:rsidRPr="007424CF">
          <w:rPr>
            <w:rStyle w:val="Hyperlink"/>
            <w:rFonts w:ascii="Arial" w:hAnsi="Arial" w:cs="Arial"/>
            <w:i/>
            <w:iCs/>
            <w:sz w:val="22"/>
            <w:szCs w:val="22"/>
            <w:lang w:val="es-PE"/>
          </w:rPr>
          <w:t>Análisis de resiliencia empresarial Covid-19</w:t>
        </w:r>
      </w:hyperlink>
      <w:r w:rsidR="005B02FD">
        <w:rPr>
          <w:rFonts w:ascii="Arial" w:hAnsi="Arial" w:cs="Arial"/>
          <w:sz w:val="22"/>
          <w:szCs w:val="22"/>
          <w:lang w:val="es-PE"/>
        </w:rPr>
        <w:t>, segunda investigación, mayo 2020)</w:t>
      </w:r>
      <w:r>
        <w:rPr>
          <w:rFonts w:ascii="Arial" w:hAnsi="Arial" w:cs="Arial"/>
          <w:sz w:val="22"/>
          <w:szCs w:val="22"/>
          <w:lang w:val="es-PE"/>
        </w:rPr>
        <w:t>. En el escenario post</w:t>
      </w:r>
      <w:r>
        <w:rPr>
          <w:rFonts w:ascii="Arial" w:hAnsi="Arial" w:cs="Arial"/>
          <w:sz w:val="22"/>
          <w:szCs w:val="22"/>
          <w:lang w:val="es-PE"/>
        </w:rPr>
        <w:noBreakHyphen/>
        <w:t xml:space="preserve">crisis y sin intervención se asumirá que el empleo cae en la misma </w:t>
      </w:r>
      <w:r w:rsidRPr="00050ECA">
        <w:rPr>
          <w:rFonts w:ascii="Arial" w:hAnsi="Arial" w:cs="Arial"/>
          <w:sz w:val="22"/>
          <w:szCs w:val="22"/>
          <w:lang w:val="es-ES"/>
        </w:rPr>
        <w:t>proporción</w:t>
      </w:r>
      <w:r>
        <w:rPr>
          <w:rFonts w:ascii="Arial" w:hAnsi="Arial" w:cs="Arial"/>
          <w:sz w:val="22"/>
          <w:szCs w:val="22"/>
          <w:lang w:val="es-PE"/>
        </w:rPr>
        <w:t xml:space="preserve"> que los ingresos por ventas en el escenario sin programa (¶</w:t>
      </w:r>
      <w:r w:rsidR="00AD71D6">
        <w:rPr>
          <w:rFonts w:ascii="Arial" w:hAnsi="Arial" w:cs="Arial"/>
          <w:sz w:val="22"/>
          <w:szCs w:val="22"/>
          <w:lang w:val="es-PE"/>
        </w:rPr>
        <w:fldChar w:fldCharType="begin"/>
      </w:r>
      <w:r w:rsidR="00AD71D6">
        <w:rPr>
          <w:rFonts w:ascii="Arial" w:hAnsi="Arial" w:cs="Arial"/>
          <w:sz w:val="22"/>
          <w:szCs w:val="22"/>
          <w:lang w:val="es-PE"/>
        </w:rPr>
        <w:instrText xml:space="preserve"> REF _Ref43400947 \r \h </w:instrText>
      </w:r>
      <w:r w:rsidR="00AD71D6">
        <w:rPr>
          <w:rFonts w:ascii="Arial" w:hAnsi="Arial" w:cs="Arial"/>
          <w:sz w:val="22"/>
          <w:szCs w:val="22"/>
          <w:lang w:val="es-PE"/>
        </w:rPr>
      </w:r>
      <w:r w:rsidR="00AD71D6">
        <w:rPr>
          <w:rFonts w:ascii="Arial" w:hAnsi="Arial" w:cs="Arial"/>
          <w:sz w:val="22"/>
          <w:szCs w:val="22"/>
          <w:lang w:val="es-PE"/>
        </w:rPr>
        <w:fldChar w:fldCharType="separate"/>
      </w:r>
      <w:r w:rsidR="00AD71D6">
        <w:rPr>
          <w:rFonts w:ascii="Arial" w:hAnsi="Arial" w:cs="Arial"/>
          <w:sz w:val="22"/>
          <w:szCs w:val="22"/>
          <w:lang w:val="es-PE"/>
        </w:rPr>
        <w:t>2.11</w:t>
      </w:r>
      <w:r w:rsidR="00AD71D6">
        <w:rPr>
          <w:rFonts w:ascii="Arial" w:hAnsi="Arial" w:cs="Arial"/>
          <w:sz w:val="22"/>
          <w:szCs w:val="22"/>
          <w:lang w:val="es-PE"/>
        </w:rPr>
        <w:fldChar w:fldCharType="end"/>
      </w:r>
      <w:r>
        <w:rPr>
          <w:rFonts w:ascii="Arial" w:hAnsi="Arial" w:cs="Arial"/>
          <w:sz w:val="22"/>
          <w:szCs w:val="22"/>
          <w:lang w:val="es-PE"/>
        </w:rPr>
        <w:t xml:space="preserve">). Para el escenario con programa, se asumirá que la reducción del empleo es menor, y equivalente a la reducción de los ingresos con intervención </w:t>
      </w:r>
      <w:r w:rsidR="007424CF">
        <w:rPr>
          <w:rFonts w:ascii="Arial" w:hAnsi="Arial" w:cs="Arial"/>
          <w:sz w:val="22"/>
          <w:szCs w:val="22"/>
          <w:lang w:val="es-PE"/>
        </w:rPr>
        <w:t>(¶</w:t>
      </w:r>
      <w:r w:rsidR="007424CF">
        <w:rPr>
          <w:rFonts w:ascii="Arial" w:hAnsi="Arial" w:cs="Arial"/>
          <w:sz w:val="22"/>
          <w:szCs w:val="22"/>
          <w:lang w:val="es-PE"/>
        </w:rPr>
        <w:fldChar w:fldCharType="begin"/>
      </w:r>
      <w:r w:rsidR="007424CF">
        <w:rPr>
          <w:rFonts w:ascii="Arial" w:hAnsi="Arial" w:cs="Arial"/>
          <w:sz w:val="22"/>
          <w:szCs w:val="22"/>
          <w:lang w:val="es-PE"/>
        </w:rPr>
        <w:instrText xml:space="preserve"> REF _Ref43400947 \r \h </w:instrText>
      </w:r>
      <w:r w:rsidR="007424CF">
        <w:rPr>
          <w:rFonts w:ascii="Arial" w:hAnsi="Arial" w:cs="Arial"/>
          <w:sz w:val="22"/>
          <w:szCs w:val="22"/>
          <w:lang w:val="es-PE"/>
        </w:rPr>
      </w:r>
      <w:r w:rsidR="007424CF">
        <w:rPr>
          <w:rFonts w:ascii="Arial" w:hAnsi="Arial" w:cs="Arial"/>
          <w:sz w:val="22"/>
          <w:szCs w:val="22"/>
          <w:lang w:val="es-PE"/>
        </w:rPr>
        <w:fldChar w:fldCharType="separate"/>
      </w:r>
      <w:r w:rsidR="007424CF">
        <w:rPr>
          <w:rFonts w:ascii="Arial" w:hAnsi="Arial" w:cs="Arial"/>
          <w:sz w:val="22"/>
          <w:szCs w:val="22"/>
          <w:lang w:val="es-PE"/>
        </w:rPr>
        <w:t>2.11</w:t>
      </w:r>
      <w:r w:rsidR="007424CF">
        <w:rPr>
          <w:rFonts w:ascii="Arial" w:hAnsi="Arial" w:cs="Arial"/>
          <w:sz w:val="22"/>
          <w:szCs w:val="22"/>
          <w:lang w:val="es-PE"/>
        </w:rPr>
        <w:fldChar w:fldCharType="end"/>
      </w:r>
      <w:r>
        <w:rPr>
          <w:rFonts w:ascii="Arial" w:hAnsi="Arial" w:cs="Arial"/>
          <w:sz w:val="22"/>
          <w:szCs w:val="22"/>
          <w:lang w:val="es-PE"/>
        </w:rPr>
        <w:t xml:space="preserve">). La evolución del empleo seguirá la evolución asumida de los ingresos </w:t>
      </w:r>
      <w:proofErr w:type="gramStart"/>
      <w:r>
        <w:rPr>
          <w:rFonts w:ascii="Arial" w:hAnsi="Arial" w:cs="Arial"/>
          <w:sz w:val="22"/>
          <w:szCs w:val="22"/>
          <w:lang w:val="es-PE"/>
        </w:rPr>
        <w:t>post-crisis</w:t>
      </w:r>
      <w:proofErr w:type="gramEnd"/>
      <w:r>
        <w:rPr>
          <w:rFonts w:ascii="Arial" w:hAnsi="Arial" w:cs="Arial"/>
          <w:sz w:val="22"/>
          <w:szCs w:val="22"/>
          <w:lang w:val="es-PE"/>
        </w:rPr>
        <w:t>.</w:t>
      </w:r>
    </w:p>
    <w:p w14:paraId="62C55F6A" w14:textId="22D548F1" w:rsidR="003D32CD" w:rsidRDefault="003D32CD" w:rsidP="003D32CD">
      <w:pPr>
        <w:pStyle w:val="Paragraph"/>
        <w:numPr>
          <w:ilvl w:val="1"/>
          <w:numId w:val="2"/>
        </w:numPr>
        <w:ind w:left="720" w:hanging="720"/>
        <w:rPr>
          <w:rFonts w:ascii="Arial" w:hAnsi="Arial" w:cs="Arial"/>
          <w:sz w:val="22"/>
          <w:szCs w:val="22"/>
          <w:lang w:val="es-PE"/>
        </w:rPr>
      </w:pPr>
      <w:bookmarkStart w:id="13" w:name="_Ref36386632"/>
      <w:r w:rsidRPr="6E927DF1">
        <w:rPr>
          <w:rFonts w:ascii="Arial" w:hAnsi="Arial" w:cs="Arial"/>
          <w:b/>
          <w:bCs/>
          <w:sz w:val="22"/>
          <w:szCs w:val="22"/>
          <w:lang w:val="es-PE"/>
        </w:rPr>
        <w:t>Valor del empleo.</w:t>
      </w:r>
      <w:r w:rsidRPr="6E927DF1">
        <w:rPr>
          <w:rFonts w:ascii="Arial" w:hAnsi="Arial" w:cs="Arial"/>
          <w:sz w:val="22"/>
          <w:szCs w:val="22"/>
          <w:lang w:val="es-PE"/>
        </w:rPr>
        <w:t xml:space="preserve"> El valor del empleo de las MIPYME es igual al valor del ingreso total de salarios de toda la mano de obra empleada por la empresa. Para este fin, se asumirá un valor promedio de salario por MIPYME y se multiplicará por el número promedio de empleados para cada escenario. Se asume un valor de salario promedio igual a US</w:t>
      </w:r>
      <w:r w:rsidR="005B02FD">
        <w:rPr>
          <w:rFonts w:ascii="Arial" w:hAnsi="Arial" w:cs="Arial"/>
          <w:sz w:val="22"/>
          <w:szCs w:val="22"/>
          <w:lang w:val="es-PE"/>
        </w:rPr>
        <w:t>$359, correspondiente al menor salario observado en las MIPYME del sector turístico en Honduras (</w:t>
      </w:r>
      <w:r w:rsidR="005B02FD" w:rsidRPr="005B02FD">
        <w:rPr>
          <w:rFonts w:ascii="Arial" w:hAnsi="Arial" w:cs="Arial"/>
          <w:sz w:val="22"/>
          <w:szCs w:val="22"/>
          <w:lang w:val="es-PE"/>
        </w:rPr>
        <w:t>Secretaría de Trabajo</w:t>
      </w:r>
      <w:r w:rsidR="005B02FD">
        <w:rPr>
          <w:rStyle w:val="FootnoteReference"/>
          <w:rFonts w:ascii="Arial" w:hAnsi="Arial" w:cs="Arial"/>
          <w:sz w:val="22"/>
          <w:szCs w:val="22"/>
          <w:lang w:val="es-PE"/>
        </w:rPr>
        <w:footnoteReference w:id="40"/>
      </w:r>
      <w:r w:rsidR="005B02FD">
        <w:rPr>
          <w:rFonts w:ascii="Arial" w:hAnsi="Arial" w:cs="Arial"/>
          <w:sz w:val="22"/>
          <w:szCs w:val="22"/>
          <w:lang w:val="es-PE"/>
        </w:rPr>
        <w:t>)</w:t>
      </w:r>
      <w:r w:rsidRPr="6E927DF1">
        <w:rPr>
          <w:rFonts w:ascii="Arial" w:hAnsi="Arial" w:cs="Arial"/>
          <w:sz w:val="22"/>
          <w:szCs w:val="22"/>
          <w:lang w:val="es-PE"/>
        </w:rPr>
        <w:t>.</w:t>
      </w:r>
      <w:bookmarkEnd w:id="13"/>
    </w:p>
    <w:p w14:paraId="48EA475D" w14:textId="264B2423" w:rsidR="003D32CD" w:rsidRPr="00B343E6" w:rsidRDefault="003D32CD" w:rsidP="003D32CD">
      <w:pPr>
        <w:pStyle w:val="Paragraph"/>
        <w:numPr>
          <w:ilvl w:val="1"/>
          <w:numId w:val="2"/>
        </w:numPr>
        <w:ind w:left="720" w:hanging="720"/>
        <w:rPr>
          <w:rFonts w:ascii="Arial" w:hAnsi="Arial" w:cs="Arial"/>
          <w:sz w:val="22"/>
          <w:szCs w:val="22"/>
          <w:lang w:val="es-PE"/>
        </w:rPr>
      </w:pPr>
      <w:bookmarkStart w:id="14" w:name="_Ref36386457"/>
      <w:r w:rsidRPr="00B343E6">
        <w:rPr>
          <w:rFonts w:ascii="Arial" w:hAnsi="Arial" w:cs="Arial"/>
          <w:b/>
          <w:bCs/>
          <w:sz w:val="22"/>
          <w:szCs w:val="22"/>
          <w:lang w:val="es-PE"/>
        </w:rPr>
        <w:t>Duración del desempleo.</w:t>
      </w:r>
      <w:r w:rsidRPr="00B343E6">
        <w:rPr>
          <w:rFonts w:ascii="Arial" w:hAnsi="Arial" w:cs="Arial"/>
          <w:sz w:val="22"/>
          <w:szCs w:val="22"/>
          <w:lang w:val="es-PE"/>
        </w:rPr>
        <w:t xml:space="preserve"> </w:t>
      </w:r>
      <w:r w:rsidR="00B343E6">
        <w:rPr>
          <w:rFonts w:ascii="Arial" w:hAnsi="Arial" w:cs="Arial"/>
          <w:sz w:val="22"/>
          <w:szCs w:val="22"/>
          <w:lang w:val="es-PE"/>
        </w:rPr>
        <w:t>En línea con la dinámica de empleo observada en Honduras, s</w:t>
      </w:r>
      <w:r w:rsidRPr="00B343E6">
        <w:rPr>
          <w:rFonts w:ascii="Arial" w:hAnsi="Arial" w:cs="Arial"/>
          <w:sz w:val="22"/>
          <w:szCs w:val="22"/>
          <w:lang w:val="es-PE"/>
        </w:rPr>
        <w:t xml:space="preserve">e asume que los trabajadores que pierden su empleo por el cierre de las firmas no se reinsertan instantáneamente en el mercado laboral, sino que </w:t>
      </w:r>
      <w:r w:rsidR="00B343E6">
        <w:rPr>
          <w:rFonts w:ascii="Arial" w:hAnsi="Arial" w:cs="Arial"/>
          <w:sz w:val="22"/>
          <w:szCs w:val="22"/>
          <w:lang w:val="es-PE"/>
        </w:rPr>
        <w:t>en promedio necesitan 3 meses</w:t>
      </w:r>
      <w:r w:rsidRPr="00B343E6">
        <w:rPr>
          <w:rFonts w:ascii="Arial" w:hAnsi="Arial" w:cs="Arial"/>
          <w:sz w:val="22"/>
          <w:szCs w:val="22"/>
          <w:lang w:val="es-PE"/>
        </w:rPr>
        <w:t xml:space="preserve"> para conseguir empleo</w:t>
      </w:r>
      <w:r w:rsidR="00B343E6">
        <w:rPr>
          <w:rFonts w:ascii="Arial" w:hAnsi="Arial" w:cs="Arial"/>
          <w:sz w:val="22"/>
          <w:szCs w:val="22"/>
          <w:lang w:val="es-PE"/>
        </w:rPr>
        <w:t xml:space="preserve"> </w:t>
      </w:r>
      <w:r w:rsidRPr="00B343E6">
        <w:rPr>
          <w:rFonts w:ascii="Arial" w:hAnsi="Arial" w:cs="Arial"/>
          <w:sz w:val="22"/>
          <w:szCs w:val="22"/>
          <w:lang w:val="es-PE"/>
        </w:rPr>
        <w:t>y, por tanto, restablecer sus ingresos</w:t>
      </w:r>
      <w:r w:rsidR="00B343E6">
        <w:rPr>
          <w:rFonts w:ascii="Arial" w:hAnsi="Arial" w:cs="Arial"/>
          <w:sz w:val="22"/>
          <w:szCs w:val="22"/>
          <w:lang w:val="es-PE"/>
        </w:rPr>
        <w:t xml:space="preserve"> en una situación sin crisis. Debido al contexto general de crisis económica y a la mayor vulnerabilidad del sector turístico, priorizado para este programa, se espera que la recuperación del empleo pueda ser </w:t>
      </w:r>
      <w:r w:rsidR="00827082">
        <w:rPr>
          <w:rFonts w:ascii="Arial" w:hAnsi="Arial" w:cs="Arial"/>
          <w:sz w:val="22"/>
          <w:szCs w:val="22"/>
          <w:lang w:val="es-PE"/>
        </w:rPr>
        <w:t>más lenta, llegando a alcanzar los 12 meses durante los primeros tres años del programa</w:t>
      </w:r>
      <w:r w:rsidRPr="00B343E6">
        <w:rPr>
          <w:rFonts w:ascii="Arial" w:hAnsi="Arial" w:cs="Arial"/>
          <w:sz w:val="22"/>
          <w:szCs w:val="22"/>
          <w:lang w:val="es-PE"/>
        </w:rPr>
        <w:t xml:space="preserve">. </w:t>
      </w:r>
      <w:bookmarkEnd w:id="14"/>
      <w:r w:rsidR="00827082">
        <w:rPr>
          <w:rFonts w:ascii="Arial" w:hAnsi="Arial" w:cs="Arial"/>
          <w:sz w:val="22"/>
          <w:szCs w:val="22"/>
          <w:lang w:val="es-PE"/>
        </w:rPr>
        <w:t>No obstante, entendiendo la falta de precedentes para una crisis de la profundidad de la actual, este parámetro estará siendo estresado en el análisis de sensibilidad para la determinación de los beneficios del programa.</w:t>
      </w:r>
    </w:p>
    <w:p w14:paraId="1E5A410E" w14:textId="24AF965F" w:rsidR="003D32CD" w:rsidRPr="00117CEA" w:rsidRDefault="003D32CD" w:rsidP="003D32CD">
      <w:pPr>
        <w:pStyle w:val="Paragraph"/>
        <w:numPr>
          <w:ilvl w:val="1"/>
          <w:numId w:val="2"/>
        </w:numPr>
        <w:ind w:left="720" w:hanging="720"/>
        <w:rPr>
          <w:rFonts w:ascii="Arial" w:hAnsi="Arial" w:cs="Arial"/>
          <w:sz w:val="22"/>
          <w:szCs w:val="22"/>
          <w:lang w:val="es-PE"/>
        </w:rPr>
      </w:pPr>
      <w:r w:rsidRPr="00117CEA">
        <w:rPr>
          <w:rFonts w:ascii="Arial" w:hAnsi="Arial" w:cs="Arial"/>
          <w:b/>
          <w:bCs/>
          <w:sz w:val="22"/>
          <w:szCs w:val="22"/>
          <w:lang w:val="es-PE"/>
        </w:rPr>
        <w:t xml:space="preserve">Horizonte temporal. </w:t>
      </w:r>
      <w:r>
        <w:rPr>
          <w:rFonts w:ascii="Arial" w:hAnsi="Arial" w:cs="Arial"/>
          <w:sz w:val="22"/>
          <w:szCs w:val="22"/>
          <w:lang w:val="es-PE"/>
        </w:rPr>
        <w:t xml:space="preserve">Se considerarán dos horizontes temporales. El primero será para la evolución de la tasa de supervivencia de las firmas. Se espera que la disrupción de esta tasa dure un periodo máximo de 3 años, entendidos como de alto riesgo para la supervivencia de las firmas a causa de la crisis del COVID-19. Después de este período se volverá a las tasas usuales antes de la crisis. </w:t>
      </w:r>
      <w:r w:rsidRPr="00117CEA">
        <w:rPr>
          <w:rFonts w:ascii="Arial" w:hAnsi="Arial" w:cs="Arial"/>
          <w:sz w:val="22"/>
          <w:szCs w:val="22"/>
          <w:lang w:val="es-PE"/>
        </w:rPr>
        <w:t xml:space="preserve">El horizonte temporal para </w:t>
      </w:r>
      <w:r>
        <w:rPr>
          <w:rFonts w:ascii="Arial" w:hAnsi="Arial" w:cs="Arial"/>
          <w:sz w:val="22"/>
          <w:szCs w:val="22"/>
          <w:lang w:val="es-PE"/>
        </w:rPr>
        <w:t>el total de flujos del</w:t>
      </w:r>
      <w:r w:rsidRPr="00117CEA">
        <w:rPr>
          <w:rFonts w:ascii="Arial" w:hAnsi="Arial" w:cs="Arial"/>
          <w:sz w:val="22"/>
          <w:szCs w:val="22"/>
          <w:lang w:val="es-PE"/>
        </w:rPr>
        <w:t xml:space="preserve"> análisis será de </w:t>
      </w:r>
      <w:r>
        <w:rPr>
          <w:rFonts w:ascii="Arial" w:hAnsi="Arial" w:cs="Arial"/>
          <w:sz w:val="22"/>
          <w:szCs w:val="22"/>
          <w:lang w:val="es-PE"/>
        </w:rPr>
        <w:t xml:space="preserve">10 </w:t>
      </w:r>
      <w:r w:rsidRPr="00117CEA">
        <w:rPr>
          <w:rFonts w:ascii="Arial" w:hAnsi="Arial" w:cs="Arial"/>
          <w:sz w:val="22"/>
          <w:szCs w:val="22"/>
          <w:lang w:val="es-PE"/>
        </w:rPr>
        <w:t xml:space="preserve">años. </w:t>
      </w:r>
      <w:r>
        <w:rPr>
          <w:rFonts w:ascii="Arial" w:hAnsi="Arial" w:cs="Arial"/>
          <w:sz w:val="22"/>
          <w:szCs w:val="22"/>
          <w:lang w:val="es-PE"/>
        </w:rPr>
        <w:t>Se considera que,</w:t>
      </w:r>
      <w:r w:rsidRPr="00117CEA">
        <w:rPr>
          <w:rFonts w:ascii="Arial" w:hAnsi="Arial" w:cs="Arial"/>
          <w:sz w:val="22"/>
          <w:szCs w:val="22"/>
          <w:lang w:val="es-PE"/>
        </w:rPr>
        <w:t xml:space="preserve"> dada la naturaleza global y única de la crisis actual</w:t>
      </w:r>
      <w:r>
        <w:rPr>
          <w:rFonts w:ascii="Arial" w:hAnsi="Arial" w:cs="Arial"/>
          <w:sz w:val="22"/>
          <w:szCs w:val="22"/>
          <w:lang w:val="es-PE"/>
        </w:rPr>
        <w:t>, la recuperación pueda ser más lenta (</w:t>
      </w:r>
      <w:r w:rsidR="00A03E6F">
        <w:rPr>
          <w:rFonts w:ascii="Arial" w:hAnsi="Arial" w:cs="Arial"/>
          <w:sz w:val="22"/>
          <w:szCs w:val="22"/>
          <w:lang w:val="es-PE"/>
        </w:rPr>
        <w:t>v</w:t>
      </w:r>
      <w:r>
        <w:rPr>
          <w:rFonts w:ascii="Arial" w:hAnsi="Arial" w:cs="Arial"/>
          <w:sz w:val="22"/>
          <w:szCs w:val="22"/>
          <w:lang w:val="es-PE"/>
        </w:rPr>
        <w:t xml:space="preserve">er </w:t>
      </w:r>
      <w:hyperlink r:id="rId23" w:history="1">
        <w:r w:rsidRPr="0055230E">
          <w:rPr>
            <w:rStyle w:val="Hyperlink"/>
            <w:rFonts w:ascii="Arial" w:hAnsi="Arial" w:cs="Arial"/>
            <w:i/>
            <w:iCs/>
            <w:sz w:val="22"/>
            <w:szCs w:val="22"/>
            <w:lang w:val="es-PE"/>
          </w:rPr>
          <w:t>Interim global economic forecast-IHS Markit</w:t>
        </w:r>
      </w:hyperlink>
      <w:r>
        <w:rPr>
          <w:rFonts w:ascii="Arial" w:hAnsi="Arial" w:cs="Arial"/>
          <w:sz w:val="22"/>
          <w:szCs w:val="22"/>
          <w:lang w:val="es-PE"/>
        </w:rPr>
        <w:t>).</w:t>
      </w:r>
    </w:p>
    <w:p w14:paraId="077E860A" w14:textId="4B814E41" w:rsidR="003D32CD" w:rsidRDefault="003D32CD" w:rsidP="003D32CD">
      <w:pPr>
        <w:pStyle w:val="Paragraph"/>
        <w:numPr>
          <w:ilvl w:val="1"/>
          <w:numId w:val="2"/>
        </w:numPr>
        <w:ind w:left="720" w:hanging="720"/>
        <w:rPr>
          <w:rFonts w:ascii="Arial" w:hAnsi="Arial" w:cs="Arial"/>
          <w:sz w:val="22"/>
          <w:szCs w:val="22"/>
          <w:lang w:val="es-PE"/>
        </w:rPr>
      </w:pPr>
      <w:r w:rsidRPr="00117CEA">
        <w:rPr>
          <w:rFonts w:ascii="Arial" w:hAnsi="Arial" w:cs="Arial"/>
          <w:b/>
          <w:bCs/>
          <w:sz w:val="22"/>
          <w:szCs w:val="22"/>
          <w:lang w:val="es-PE"/>
        </w:rPr>
        <w:t xml:space="preserve">Crédito promedio. </w:t>
      </w:r>
      <w:r w:rsidRPr="00117CEA">
        <w:rPr>
          <w:rFonts w:ascii="Arial" w:hAnsi="Arial" w:cs="Arial"/>
          <w:sz w:val="22"/>
          <w:szCs w:val="22"/>
          <w:lang w:val="es-PE"/>
        </w:rPr>
        <w:t xml:space="preserve">En base al dialogo con </w:t>
      </w:r>
      <w:r w:rsidR="00A03E6F">
        <w:rPr>
          <w:rFonts w:ascii="Arial" w:hAnsi="Arial" w:cs="Arial"/>
          <w:sz w:val="22"/>
          <w:szCs w:val="22"/>
          <w:lang w:val="es-PE"/>
        </w:rPr>
        <w:t>BANHPROVI</w:t>
      </w:r>
      <w:r w:rsidRPr="00117CEA">
        <w:rPr>
          <w:rFonts w:ascii="Arial" w:hAnsi="Arial" w:cs="Arial"/>
          <w:sz w:val="22"/>
          <w:szCs w:val="22"/>
          <w:lang w:val="es-PE"/>
        </w:rPr>
        <w:t xml:space="preserve"> se espera que el crédito promedio sea igual a US</w:t>
      </w:r>
      <w:r w:rsidR="00A03E6F">
        <w:rPr>
          <w:rFonts w:ascii="Arial" w:hAnsi="Arial" w:cs="Arial"/>
          <w:sz w:val="22"/>
          <w:szCs w:val="22"/>
          <w:lang w:val="es-PE"/>
        </w:rPr>
        <w:t>$16</w:t>
      </w:r>
      <w:r w:rsidR="005B02FD">
        <w:rPr>
          <w:rFonts w:ascii="Arial" w:hAnsi="Arial" w:cs="Arial"/>
          <w:sz w:val="22"/>
          <w:szCs w:val="22"/>
          <w:lang w:val="es-PE"/>
        </w:rPr>
        <w:t>.</w:t>
      </w:r>
      <w:r w:rsidR="00A03E6F">
        <w:rPr>
          <w:rFonts w:ascii="Arial" w:hAnsi="Arial" w:cs="Arial"/>
          <w:sz w:val="22"/>
          <w:szCs w:val="22"/>
          <w:lang w:val="es-PE"/>
        </w:rPr>
        <w:t>479</w:t>
      </w:r>
      <w:r w:rsidRPr="00117CEA">
        <w:rPr>
          <w:rFonts w:ascii="Arial" w:hAnsi="Arial" w:cs="Arial"/>
          <w:sz w:val="22"/>
          <w:szCs w:val="22"/>
          <w:lang w:val="es-PE"/>
        </w:rPr>
        <w:t>.</w:t>
      </w:r>
      <w:r w:rsidR="001F6E2E">
        <w:rPr>
          <w:rFonts w:ascii="Arial" w:hAnsi="Arial" w:cs="Arial"/>
          <w:sz w:val="22"/>
          <w:szCs w:val="22"/>
          <w:lang w:val="es-PE"/>
        </w:rPr>
        <w:t xml:space="preserve"> BANHPROVI anticipa que estos créditos podrán requerir garantía por aproximadamente el 33% del monto.</w:t>
      </w:r>
    </w:p>
    <w:p w14:paraId="4EF9ED63" w14:textId="5B916736" w:rsidR="003D32CD" w:rsidRPr="0031785A" w:rsidRDefault="003D32CD" w:rsidP="003D32CD">
      <w:pPr>
        <w:pStyle w:val="Paragraph"/>
        <w:numPr>
          <w:ilvl w:val="1"/>
          <w:numId w:val="2"/>
        </w:numPr>
        <w:ind w:left="720" w:hanging="720"/>
        <w:rPr>
          <w:rFonts w:ascii="Arial" w:hAnsi="Arial" w:cs="Arial"/>
          <w:b/>
          <w:sz w:val="22"/>
          <w:szCs w:val="22"/>
          <w:lang w:val="es-MX"/>
        </w:rPr>
      </w:pPr>
      <w:r w:rsidRPr="00117CEA">
        <w:rPr>
          <w:rFonts w:ascii="Arial" w:hAnsi="Arial" w:cs="Arial"/>
          <w:b/>
          <w:bCs/>
          <w:sz w:val="22"/>
          <w:szCs w:val="22"/>
          <w:lang w:val="es-PE"/>
        </w:rPr>
        <w:t xml:space="preserve">Número de beneficiarios. </w:t>
      </w:r>
      <w:r w:rsidRPr="00117CEA">
        <w:rPr>
          <w:rFonts w:ascii="Arial" w:hAnsi="Arial" w:cs="Arial"/>
          <w:sz w:val="22"/>
          <w:szCs w:val="22"/>
          <w:lang w:val="es-PE"/>
        </w:rPr>
        <w:t>En</w:t>
      </w:r>
      <w:r w:rsidRPr="0031785A">
        <w:rPr>
          <w:rFonts w:ascii="Arial" w:hAnsi="Arial" w:cs="Arial"/>
          <w:sz w:val="22"/>
          <w:szCs w:val="22"/>
          <w:lang w:val="es-PE"/>
        </w:rPr>
        <w:t xml:space="preserve"> base al monto del crédito promedio</w:t>
      </w:r>
      <w:r w:rsidR="001F6E2E">
        <w:rPr>
          <w:rFonts w:ascii="Arial" w:hAnsi="Arial" w:cs="Arial"/>
          <w:sz w:val="22"/>
          <w:szCs w:val="22"/>
          <w:lang w:val="es-PE"/>
        </w:rPr>
        <w:t xml:space="preserve"> y al posible uso combinado de instrumentos y garantías</w:t>
      </w:r>
      <w:r w:rsidRPr="0031785A">
        <w:rPr>
          <w:rFonts w:ascii="Arial" w:hAnsi="Arial" w:cs="Arial"/>
          <w:sz w:val="22"/>
          <w:szCs w:val="22"/>
          <w:lang w:val="es-PE"/>
        </w:rPr>
        <w:t xml:space="preserve">, se espera atender a </w:t>
      </w:r>
      <w:r w:rsidR="00AE00CE">
        <w:rPr>
          <w:rFonts w:ascii="Arial" w:hAnsi="Arial" w:cs="Arial"/>
          <w:sz w:val="22"/>
          <w:szCs w:val="22"/>
          <w:lang w:val="es-PE"/>
        </w:rPr>
        <w:t>910</w:t>
      </w:r>
      <w:r w:rsidRPr="0031785A">
        <w:rPr>
          <w:rFonts w:ascii="Arial" w:hAnsi="Arial" w:cs="Arial"/>
          <w:sz w:val="22"/>
          <w:szCs w:val="22"/>
          <w:lang w:val="es-PE"/>
        </w:rPr>
        <w:t xml:space="preserve"> </w:t>
      </w:r>
      <w:r>
        <w:rPr>
          <w:rFonts w:ascii="Arial" w:hAnsi="Arial" w:cs="Arial"/>
          <w:sz w:val="22"/>
          <w:szCs w:val="22"/>
          <w:lang w:val="es-PE"/>
        </w:rPr>
        <w:t xml:space="preserve">firmas </w:t>
      </w:r>
      <w:r w:rsidRPr="0031785A">
        <w:rPr>
          <w:rFonts w:ascii="Arial" w:hAnsi="Arial" w:cs="Arial"/>
          <w:sz w:val="22"/>
          <w:szCs w:val="22"/>
          <w:lang w:val="es-PE"/>
        </w:rPr>
        <w:t>beneficiari</w:t>
      </w:r>
      <w:r w:rsidR="001F6E2E">
        <w:rPr>
          <w:rFonts w:ascii="Arial" w:hAnsi="Arial" w:cs="Arial"/>
          <w:sz w:val="22"/>
          <w:szCs w:val="22"/>
          <w:lang w:val="es-PE"/>
        </w:rPr>
        <w:t xml:space="preserve">as. </w:t>
      </w:r>
    </w:p>
    <w:p w14:paraId="6514D876" w14:textId="77777777" w:rsidR="003D32CD" w:rsidRPr="0031785A" w:rsidRDefault="003D32CD" w:rsidP="003D32CD">
      <w:pPr>
        <w:pStyle w:val="Paragraph"/>
        <w:numPr>
          <w:ilvl w:val="1"/>
          <w:numId w:val="2"/>
        </w:numPr>
        <w:ind w:left="720" w:hanging="720"/>
        <w:rPr>
          <w:rFonts w:ascii="Arial" w:hAnsi="Arial" w:cs="Arial"/>
          <w:b/>
          <w:sz w:val="22"/>
          <w:szCs w:val="22"/>
          <w:lang w:val="es-MX"/>
        </w:rPr>
      </w:pPr>
      <w:r w:rsidRPr="0031785A">
        <w:rPr>
          <w:rFonts w:ascii="Arial" w:hAnsi="Arial" w:cs="Arial"/>
          <w:b/>
          <w:sz w:val="22"/>
          <w:szCs w:val="22"/>
          <w:lang w:val="es-MX"/>
        </w:rPr>
        <w:t>Escenario contrafactual.</w:t>
      </w:r>
      <w:r>
        <w:rPr>
          <w:rFonts w:ascii="Arial" w:hAnsi="Arial" w:cs="Arial"/>
          <w:sz w:val="22"/>
          <w:szCs w:val="22"/>
          <w:lang w:val="es-MX"/>
        </w:rPr>
        <w:t xml:space="preserve"> El escenario contrafactual estará constituido por una situación en la cual no existe intervención del programa </w:t>
      </w:r>
      <w:proofErr w:type="gramStart"/>
      <w:r>
        <w:rPr>
          <w:rFonts w:ascii="Arial" w:hAnsi="Arial" w:cs="Arial"/>
          <w:sz w:val="22"/>
          <w:szCs w:val="22"/>
          <w:lang w:val="es-MX"/>
        </w:rPr>
        <w:t>y</w:t>
      </w:r>
      <w:proofErr w:type="gramEnd"/>
      <w:r>
        <w:rPr>
          <w:rFonts w:ascii="Arial" w:hAnsi="Arial" w:cs="Arial"/>
          <w:sz w:val="22"/>
          <w:szCs w:val="22"/>
          <w:lang w:val="es-MX"/>
        </w:rPr>
        <w:t xml:space="preserve"> por tanto, los efectos </w:t>
      </w:r>
      <w:r w:rsidRPr="00050ECA">
        <w:rPr>
          <w:rFonts w:ascii="Arial" w:hAnsi="Arial" w:cs="Arial"/>
          <w:sz w:val="22"/>
          <w:szCs w:val="22"/>
          <w:lang w:val="es-PE"/>
        </w:rPr>
        <w:t>económicos</w:t>
      </w:r>
      <w:r>
        <w:rPr>
          <w:rFonts w:ascii="Arial" w:hAnsi="Arial" w:cs="Arial"/>
          <w:sz w:val="22"/>
          <w:szCs w:val="22"/>
          <w:lang w:val="es-MX"/>
        </w:rPr>
        <w:t xml:space="preserve"> de la crisis se manifiestan en su total magnitud sobre las MIPYME beneficiarias.</w:t>
      </w:r>
    </w:p>
    <w:p w14:paraId="6BC11D7A" w14:textId="5DAA2C6E" w:rsidR="003D32CD" w:rsidRPr="0031785A" w:rsidRDefault="003D32CD" w:rsidP="003D32CD">
      <w:pPr>
        <w:pStyle w:val="Paragraph"/>
        <w:numPr>
          <w:ilvl w:val="1"/>
          <w:numId w:val="2"/>
        </w:numPr>
        <w:ind w:left="720" w:hanging="720"/>
        <w:rPr>
          <w:rFonts w:ascii="Arial" w:hAnsi="Arial" w:cs="Arial"/>
          <w:b/>
          <w:sz w:val="22"/>
          <w:szCs w:val="22"/>
          <w:lang w:val="es-MX"/>
        </w:rPr>
      </w:pPr>
      <w:r w:rsidRPr="0031785A">
        <w:rPr>
          <w:rFonts w:ascii="Arial" w:hAnsi="Arial" w:cs="Arial"/>
          <w:b/>
          <w:sz w:val="22"/>
          <w:szCs w:val="22"/>
          <w:lang w:val="es-MX"/>
        </w:rPr>
        <w:lastRenderedPageBreak/>
        <w:t>Tipo de cambio.</w:t>
      </w:r>
      <w:r>
        <w:rPr>
          <w:rFonts w:ascii="Arial" w:hAnsi="Arial" w:cs="Arial"/>
          <w:sz w:val="22"/>
          <w:szCs w:val="22"/>
          <w:lang w:val="es-PE"/>
        </w:rPr>
        <w:t xml:space="preserve"> </w:t>
      </w:r>
      <w:r>
        <w:rPr>
          <w:rFonts w:ascii="Arial" w:hAnsi="Arial" w:cs="Arial"/>
          <w:bCs/>
          <w:sz w:val="22"/>
          <w:szCs w:val="22"/>
          <w:lang w:val="es-MX"/>
        </w:rPr>
        <w:t xml:space="preserve">Se asume un tipo de cambio igual a </w:t>
      </w:r>
      <w:r w:rsidR="00410F44">
        <w:rPr>
          <w:rFonts w:ascii="Arial" w:hAnsi="Arial" w:cs="Arial"/>
          <w:bCs/>
          <w:sz w:val="22"/>
          <w:szCs w:val="22"/>
          <w:lang w:val="es-MX"/>
        </w:rPr>
        <w:t>24,8095</w:t>
      </w:r>
      <w:r>
        <w:rPr>
          <w:rFonts w:ascii="Arial" w:hAnsi="Arial" w:cs="Arial"/>
          <w:bCs/>
          <w:sz w:val="22"/>
          <w:szCs w:val="22"/>
          <w:lang w:val="es-MX"/>
        </w:rPr>
        <w:t xml:space="preserve"> por </w:t>
      </w:r>
      <w:r w:rsidRPr="00050ECA">
        <w:rPr>
          <w:rFonts w:ascii="Arial" w:hAnsi="Arial" w:cs="Arial"/>
          <w:sz w:val="22"/>
          <w:szCs w:val="22"/>
          <w:lang w:val="es-PE"/>
        </w:rPr>
        <w:t>dólar</w:t>
      </w:r>
      <w:r>
        <w:rPr>
          <w:rFonts w:ascii="Arial" w:hAnsi="Arial" w:cs="Arial"/>
          <w:bCs/>
          <w:sz w:val="22"/>
          <w:szCs w:val="22"/>
          <w:lang w:val="es-MX"/>
        </w:rPr>
        <w:t xml:space="preserve"> americano</w:t>
      </w:r>
      <w:r w:rsidR="00410F44">
        <w:rPr>
          <w:rFonts w:ascii="Arial" w:hAnsi="Arial" w:cs="Arial"/>
          <w:bCs/>
          <w:sz w:val="22"/>
          <w:szCs w:val="22"/>
          <w:lang w:val="es-MX"/>
        </w:rPr>
        <w:t xml:space="preserve">, tomado del Banco Central de Honduras a 17 de </w:t>
      </w:r>
      <w:r w:rsidR="00A03E6F">
        <w:rPr>
          <w:rFonts w:ascii="Arial" w:hAnsi="Arial" w:cs="Arial"/>
          <w:bCs/>
          <w:sz w:val="22"/>
          <w:szCs w:val="22"/>
          <w:lang w:val="es-MX"/>
        </w:rPr>
        <w:t>j</w:t>
      </w:r>
      <w:r w:rsidR="00410F44">
        <w:rPr>
          <w:rFonts w:ascii="Arial" w:hAnsi="Arial" w:cs="Arial"/>
          <w:bCs/>
          <w:sz w:val="22"/>
          <w:szCs w:val="22"/>
          <w:lang w:val="es-MX"/>
        </w:rPr>
        <w:t>unio de 2020.</w:t>
      </w:r>
    </w:p>
    <w:p w14:paraId="6A94BFC3" w14:textId="77777777" w:rsidR="003D32CD" w:rsidRPr="00C6375D" w:rsidRDefault="003D32CD" w:rsidP="003D32CD">
      <w:pPr>
        <w:pStyle w:val="Paragraph"/>
        <w:numPr>
          <w:ilvl w:val="1"/>
          <w:numId w:val="2"/>
        </w:numPr>
        <w:ind w:left="720" w:hanging="720"/>
        <w:rPr>
          <w:rFonts w:ascii="Arial" w:hAnsi="Arial" w:cs="Arial"/>
          <w:b/>
          <w:sz w:val="22"/>
          <w:szCs w:val="22"/>
          <w:lang w:val="es-MX"/>
        </w:rPr>
      </w:pPr>
      <w:r w:rsidRPr="0031785A">
        <w:rPr>
          <w:rFonts w:ascii="Arial" w:hAnsi="Arial" w:cs="Arial"/>
          <w:b/>
          <w:sz w:val="22"/>
          <w:szCs w:val="22"/>
          <w:lang w:val="es-MX"/>
        </w:rPr>
        <w:t xml:space="preserve">Tasa de descuento. </w:t>
      </w:r>
      <w:r w:rsidRPr="0031785A">
        <w:rPr>
          <w:rFonts w:ascii="Arial" w:hAnsi="Arial" w:cs="Arial"/>
          <w:sz w:val="22"/>
          <w:szCs w:val="22"/>
          <w:lang w:val="es-MX"/>
        </w:rPr>
        <w:t xml:space="preserve">En concordancia con la práctica del BID para la evaluación económica de sus </w:t>
      </w:r>
      <w:r w:rsidRPr="00050ECA">
        <w:rPr>
          <w:rFonts w:ascii="Arial" w:hAnsi="Arial" w:cs="Arial"/>
          <w:sz w:val="22"/>
          <w:szCs w:val="22"/>
          <w:lang w:val="es-PE"/>
        </w:rPr>
        <w:t>proyectos</w:t>
      </w:r>
      <w:r w:rsidRPr="0031785A">
        <w:rPr>
          <w:rFonts w:ascii="Arial" w:hAnsi="Arial" w:cs="Arial"/>
          <w:sz w:val="22"/>
          <w:szCs w:val="22"/>
          <w:lang w:val="es-MX"/>
        </w:rPr>
        <w:t>, se asume una tasa de descuento social de 12%.</w:t>
      </w:r>
    </w:p>
    <w:p w14:paraId="678D9226" w14:textId="738183B5" w:rsidR="003D32CD" w:rsidRPr="00175AAF" w:rsidRDefault="003D32CD" w:rsidP="003D32CD">
      <w:pPr>
        <w:pStyle w:val="Paragraph"/>
        <w:numPr>
          <w:ilvl w:val="1"/>
          <w:numId w:val="2"/>
        </w:numPr>
        <w:ind w:left="720" w:hanging="720"/>
        <w:rPr>
          <w:rFonts w:ascii="Arial" w:hAnsi="Arial" w:cs="Arial"/>
          <w:b/>
          <w:sz w:val="22"/>
          <w:szCs w:val="22"/>
          <w:lang w:val="es-MX"/>
        </w:rPr>
      </w:pPr>
      <w:r>
        <w:rPr>
          <w:rFonts w:ascii="Arial" w:hAnsi="Arial" w:cs="Arial"/>
          <w:bCs/>
          <w:sz w:val="22"/>
          <w:szCs w:val="22"/>
          <w:lang w:val="es-MX"/>
        </w:rPr>
        <w:t xml:space="preserve">La Tabla </w:t>
      </w:r>
      <w:r w:rsidR="00410F44">
        <w:rPr>
          <w:rFonts w:ascii="Arial" w:hAnsi="Arial" w:cs="Arial"/>
          <w:bCs/>
          <w:sz w:val="22"/>
          <w:szCs w:val="22"/>
          <w:lang w:val="es-MX"/>
        </w:rPr>
        <w:t>1</w:t>
      </w:r>
      <w:r>
        <w:rPr>
          <w:rFonts w:ascii="Arial" w:hAnsi="Arial" w:cs="Arial"/>
          <w:bCs/>
          <w:sz w:val="22"/>
          <w:szCs w:val="22"/>
          <w:lang w:val="es-MX"/>
        </w:rPr>
        <w:t xml:space="preserve"> a </w:t>
      </w:r>
      <w:r w:rsidRPr="00050ECA">
        <w:rPr>
          <w:rFonts w:ascii="Arial" w:hAnsi="Arial" w:cs="Arial"/>
          <w:sz w:val="22"/>
          <w:szCs w:val="22"/>
          <w:lang w:val="es-PE"/>
        </w:rPr>
        <w:t>continuación</w:t>
      </w:r>
      <w:r>
        <w:rPr>
          <w:rFonts w:ascii="Arial" w:hAnsi="Arial" w:cs="Arial"/>
          <w:bCs/>
          <w:sz w:val="22"/>
          <w:szCs w:val="22"/>
          <w:lang w:val="es-MX"/>
        </w:rPr>
        <w:t xml:space="preserve"> resume los supuestos para la valoración del beneficio económico del programa. </w:t>
      </w:r>
    </w:p>
    <w:p w14:paraId="3D2CB4BD" w14:textId="03EC522A" w:rsidR="003D32CD" w:rsidRPr="0073400B" w:rsidRDefault="003D32CD" w:rsidP="003D32CD">
      <w:pPr>
        <w:pStyle w:val="SubSubPar"/>
        <w:numPr>
          <w:ilvl w:val="0"/>
          <w:numId w:val="0"/>
        </w:numPr>
        <w:ind w:left="360"/>
        <w:jc w:val="center"/>
        <w:rPr>
          <w:rFonts w:ascii="Arial" w:hAnsi="Arial" w:cs="Arial"/>
          <w:b/>
          <w:color w:val="000000" w:themeColor="text1"/>
          <w:sz w:val="20"/>
          <w:lang w:val="es-ES_tradnl"/>
        </w:rPr>
      </w:pPr>
      <w:r w:rsidRPr="0073400B">
        <w:rPr>
          <w:rFonts w:ascii="Arial" w:hAnsi="Arial" w:cs="Arial"/>
          <w:b/>
          <w:color w:val="000000" w:themeColor="text1"/>
          <w:sz w:val="20"/>
          <w:lang w:val="es-ES_tradnl"/>
        </w:rPr>
        <w:t xml:space="preserve">Tabla </w:t>
      </w:r>
      <w:r w:rsidR="00410F44">
        <w:rPr>
          <w:rFonts w:ascii="Arial" w:hAnsi="Arial" w:cs="Arial"/>
          <w:b/>
          <w:color w:val="000000" w:themeColor="text1"/>
          <w:sz w:val="20"/>
          <w:lang w:val="es-ES_tradnl"/>
        </w:rPr>
        <w:t>1</w:t>
      </w:r>
      <w:r w:rsidRPr="0073400B">
        <w:rPr>
          <w:rFonts w:ascii="Arial" w:hAnsi="Arial" w:cs="Arial"/>
          <w:b/>
          <w:color w:val="000000" w:themeColor="text1"/>
          <w:sz w:val="20"/>
          <w:lang w:val="es-ES_tradnl"/>
        </w:rPr>
        <w:t xml:space="preserve">. Análisis de </w:t>
      </w:r>
      <w:r w:rsidRPr="007424CF">
        <w:rPr>
          <w:rFonts w:ascii="Arial" w:hAnsi="Arial" w:cs="Arial"/>
          <w:b/>
          <w:color w:val="000000" w:themeColor="text1"/>
          <w:sz w:val="18"/>
          <w:szCs w:val="18"/>
          <w:lang w:val="es-ES_tradnl"/>
        </w:rPr>
        <w:t>Sensibilidad</w:t>
      </w:r>
    </w:p>
    <w:tbl>
      <w:tblPr>
        <w:tblW w:w="846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5515"/>
        <w:gridCol w:w="1525"/>
        <w:gridCol w:w="1429"/>
      </w:tblGrid>
      <w:tr w:rsidR="00A03E6F" w:rsidRPr="007424CF" w14:paraId="0E669F5A" w14:textId="77777777" w:rsidTr="00A03E6F">
        <w:trPr>
          <w:trHeight w:val="520"/>
          <w:jc w:val="center"/>
        </w:trPr>
        <w:tc>
          <w:tcPr>
            <w:tcW w:w="5515" w:type="dxa"/>
            <w:shd w:val="clear" w:color="000000" w:fill="757171"/>
            <w:noWrap/>
            <w:vAlign w:val="center"/>
            <w:hideMark/>
          </w:tcPr>
          <w:p w14:paraId="771E96F1" w14:textId="77777777" w:rsidR="00A03E6F" w:rsidRPr="007424CF" w:rsidRDefault="00A03E6F" w:rsidP="00871C1E">
            <w:pPr>
              <w:spacing w:after="0" w:line="240" w:lineRule="auto"/>
              <w:rPr>
                <w:rFonts w:ascii="Arial" w:eastAsia="Times New Roman" w:hAnsi="Arial" w:cs="Arial"/>
                <w:b/>
                <w:bCs/>
                <w:color w:val="FFFFFF"/>
                <w:sz w:val="18"/>
                <w:szCs w:val="18"/>
                <w:lang w:val="es-419" w:eastAsia="en-US"/>
              </w:rPr>
            </w:pPr>
            <w:r w:rsidRPr="007424CF">
              <w:rPr>
                <w:rFonts w:ascii="Arial" w:eastAsia="Times New Roman" w:hAnsi="Arial" w:cs="Arial"/>
                <w:b/>
                <w:bCs/>
                <w:color w:val="FFFFFF"/>
                <w:sz w:val="18"/>
                <w:szCs w:val="18"/>
                <w:lang w:val="es-419" w:eastAsia="en-US"/>
              </w:rPr>
              <w:t>Parámetro</w:t>
            </w:r>
          </w:p>
        </w:tc>
        <w:tc>
          <w:tcPr>
            <w:tcW w:w="1525" w:type="dxa"/>
            <w:shd w:val="clear" w:color="000000" w:fill="757171"/>
            <w:noWrap/>
            <w:vAlign w:val="center"/>
            <w:hideMark/>
          </w:tcPr>
          <w:p w14:paraId="6B91850C" w14:textId="77777777" w:rsidR="00A03E6F" w:rsidRPr="007424CF" w:rsidRDefault="00A03E6F" w:rsidP="00871C1E">
            <w:pPr>
              <w:spacing w:after="0" w:line="240" w:lineRule="auto"/>
              <w:rPr>
                <w:rFonts w:ascii="Arial" w:eastAsia="Times New Roman" w:hAnsi="Arial" w:cs="Arial"/>
                <w:b/>
                <w:bCs/>
                <w:color w:val="FFFFFF"/>
                <w:sz w:val="18"/>
                <w:szCs w:val="18"/>
                <w:lang w:val="es-419" w:eastAsia="en-US"/>
              </w:rPr>
            </w:pPr>
            <w:r w:rsidRPr="007424CF">
              <w:rPr>
                <w:rFonts w:ascii="Arial" w:eastAsia="Times New Roman" w:hAnsi="Arial" w:cs="Arial"/>
                <w:b/>
                <w:bCs/>
                <w:color w:val="FFFFFF"/>
                <w:sz w:val="18"/>
                <w:szCs w:val="18"/>
                <w:lang w:val="es-419" w:eastAsia="en-US"/>
              </w:rPr>
              <w:t>Con programa</w:t>
            </w:r>
          </w:p>
        </w:tc>
        <w:tc>
          <w:tcPr>
            <w:tcW w:w="1429" w:type="dxa"/>
            <w:shd w:val="clear" w:color="000000" w:fill="757171"/>
            <w:noWrap/>
            <w:vAlign w:val="center"/>
            <w:hideMark/>
          </w:tcPr>
          <w:p w14:paraId="48AA13F8" w14:textId="77777777" w:rsidR="00A03E6F" w:rsidRPr="007424CF" w:rsidRDefault="00A03E6F" w:rsidP="00871C1E">
            <w:pPr>
              <w:spacing w:after="0" w:line="240" w:lineRule="auto"/>
              <w:rPr>
                <w:rFonts w:ascii="Arial" w:eastAsia="Times New Roman" w:hAnsi="Arial" w:cs="Arial"/>
                <w:b/>
                <w:bCs/>
                <w:color w:val="FFFFFF"/>
                <w:sz w:val="18"/>
                <w:szCs w:val="18"/>
                <w:lang w:val="es-419" w:eastAsia="en-US"/>
              </w:rPr>
            </w:pPr>
            <w:r w:rsidRPr="007424CF">
              <w:rPr>
                <w:rFonts w:ascii="Arial" w:eastAsia="Times New Roman" w:hAnsi="Arial" w:cs="Arial"/>
                <w:b/>
                <w:bCs/>
                <w:color w:val="FFFFFF"/>
                <w:sz w:val="18"/>
                <w:szCs w:val="18"/>
                <w:lang w:val="es-419" w:eastAsia="en-US"/>
              </w:rPr>
              <w:t>Sin programa</w:t>
            </w:r>
          </w:p>
        </w:tc>
      </w:tr>
      <w:tr w:rsidR="00A03E6F" w:rsidRPr="007424CF" w14:paraId="24F7596E" w14:textId="77777777" w:rsidTr="00A03E6F">
        <w:trPr>
          <w:trHeight w:val="228"/>
          <w:jc w:val="center"/>
        </w:trPr>
        <w:tc>
          <w:tcPr>
            <w:tcW w:w="5515" w:type="dxa"/>
            <w:shd w:val="clear" w:color="auto" w:fill="auto"/>
            <w:noWrap/>
            <w:vAlign w:val="center"/>
            <w:hideMark/>
          </w:tcPr>
          <w:p w14:paraId="564B1A71" w14:textId="46E10DE8" w:rsidR="00A03E6F" w:rsidRPr="007424CF" w:rsidRDefault="00A03E6F" w:rsidP="00871C1E">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 xml:space="preserve">Probabilidad de quiebra antes de crisis </w:t>
            </w:r>
          </w:p>
        </w:tc>
        <w:tc>
          <w:tcPr>
            <w:tcW w:w="1525" w:type="dxa"/>
            <w:shd w:val="clear" w:color="auto" w:fill="auto"/>
            <w:noWrap/>
            <w:vAlign w:val="center"/>
            <w:hideMark/>
          </w:tcPr>
          <w:p w14:paraId="1A425438" w14:textId="77777777"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9.0%</w:t>
            </w:r>
          </w:p>
        </w:tc>
        <w:tc>
          <w:tcPr>
            <w:tcW w:w="1429" w:type="dxa"/>
            <w:shd w:val="clear" w:color="auto" w:fill="auto"/>
            <w:noWrap/>
            <w:vAlign w:val="center"/>
            <w:hideMark/>
          </w:tcPr>
          <w:p w14:paraId="7DA5A2C9" w14:textId="77777777"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9.0%</w:t>
            </w:r>
          </w:p>
        </w:tc>
      </w:tr>
      <w:tr w:rsidR="00A03E6F" w:rsidRPr="007424CF" w14:paraId="78C02D39" w14:textId="77777777" w:rsidTr="00A03E6F">
        <w:trPr>
          <w:trHeight w:val="228"/>
          <w:jc w:val="center"/>
        </w:trPr>
        <w:tc>
          <w:tcPr>
            <w:tcW w:w="5515" w:type="dxa"/>
            <w:shd w:val="clear" w:color="auto" w:fill="auto"/>
            <w:noWrap/>
            <w:vAlign w:val="center"/>
            <w:hideMark/>
          </w:tcPr>
          <w:p w14:paraId="112CC557" w14:textId="66C1F85D" w:rsidR="00A03E6F" w:rsidRPr="007424CF" w:rsidRDefault="00A03E6F" w:rsidP="00871C1E">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Probabilidad de quiebra durante crisis</w:t>
            </w:r>
          </w:p>
        </w:tc>
        <w:tc>
          <w:tcPr>
            <w:tcW w:w="1525" w:type="dxa"/>
            <w:shd w:val="clear" w:color="auto" w:fill="auto"/>
            <w:noWrap/>
            <w:vAlign w:val="center"/>
            <w:hideMark/>
          </w:tcPr>
          <w:p w14:paraId="7D9B65C1" w14:textId="032D7FE9"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w:t>
            </w:r>
            <w:r w:rsidR="001F6E2E" w:rsidRPr="007424CF">
              <w:rPr>
                <w:rFonts w:ascii="Arial" w:eastAsia="Times New Roman" w:hAnsi="Arial" w:cs="Arial"/>
                <w:color w:val="000000"/>
                <w:sz w:val="18"/>
                <w:szCs w:val="18"/>
                <w:lang w:val="es-419" w:eastAsia="en-US"/>
              </w:rPr>
              <w:t>3</w:t>
            </w:r>
            <w:r w:rsidRPr="007424CF">
              <w:rPr>
                <w:rFonts w:ascii="Arial" w:eastAsia="Times New Roman" w:hAnsi="Arial" w:cs="Arial"/>
                <w:color w:val="000000"/>
                <w:sz w:val="18"/>
                <w:szCs w:val="18"/>
                <w:lang w:val="es-419" w:eastAsia="en-US"/>
              </w:rPr>
              <w:t>.0%</w:t>
            </w:r>
          </w:p>
        </w:tc>
        <w:tc>
          <w:tcPr>
            <w:tcW w:w="1429" w:type="dxa"/>
            <w:shd w:val="clear" w:color="auto" w:fill="auto"/>
            <w:noWrap/>
            <w:vAlign w:val="center"/>
            <w:hideMark/>
          </w:tcPr>
          <w:p w14:paraId="4D9BA46F" w14:textId="7F3C4C87"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w:t>
            </w:r>
            <w:r w:rsidR="001F6E2E" w:rsidRPr="007424CF">
              <w:rPr>
                <w:rFonts w:ascii="Arial" w:eastAsia="Times New Roman" w:hAnsi="Arial" w:cs="Arial"/>
                <w:color w:val="000000"/>
                <w:sz w:val="18"/>
                <w:szCs w:val="18"/>
                <w:lang w:val="es-419" w:eastAsia="en-US"/>
              </w:rPr>
              <w:t>5</w:t>
            </w:r>
            <w:r w:rsidRPr="007424CF">
              <w:rPr>
                <w:rFonts w:ascii="Arial" w:eastAsia="Times New Roman" w:hAnsi="Arial" w:cs="Arial"/>
                <w:color w:val="000000"/>
                <w:sz w:val="18"/>
                <w:szCs w:val="18"/>
                <w:lang w:val="es-419" w:eastAsia="en-US"/>
              </w:rPr>
              <w:t>.</w:t>
            </w:r>
            <w:r w:rsidR="001F6E2E" w:rsidRPr="007424CF">
              <w:rPr>
                <w:rFonts w:ascii="Arial" w:eastAsia="Times New Roman" w:hAnsi="Arial" w:cs="Arial"/>
                <w:color w:val="000000"/>
                <w:sz w:val="18"/>
                <w:szCs w:val="18"/>
                <w:lang w:val="es-419" w:eastAsia="en-US"/>
              </w:rPr>
              <w:t>1</w:t>
            </w:r>
            <w:r w:rsidRPr="007424CF">
              <w:rPr>
                <w:rFonts w:ascii="Arial" w:eastAsia="Times New Roman" w:hAnsi="Arial" w:cs="Arial"/>
                <w:color w:val="000000"/>
                <w:sz w:val="18"/>
                <w:szCs w:val="18"/>
                <w:lang w:val="es-419" w:eastAsia="en-US"/>
              </w:rPr>
              <w:t>%</w:t>
            </w:r>
          </w:p>
        </w:tc>
      </w:tr>
      <w:tr w:rsidR="00A03E6F" w:rsidRPr="007424CF" w14:paraId="6B196D65" w14:textId="77777777" w:rsidTr="00A03E6F">
        <w:trPr>
          <w:trHeight w:val="228"/>
          <w:jc w:val="center"/>
        </w:trPr>
        <w:tc>
          <w:tcPr>
            <w:tcW w:w="5515" w:type="dxa"/>
            <w:shd w:val="clear" w:color="auto" w:fill="auto"/>
            <w:noWrap/>
            <w:vAlign w:val="center"/>
            <w:hideMark/>
          </w:tcPr>
          <w:p w14:paraId="11492BF7" w14:textId="57BA68BA" w:rsidR="00A03E6F" w:rsidRPr="007424CF" w:rsidRDefault="00A03E6F" w:rsidP="00871C1E">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Reducción inicial de las ventas empresas</w:t>
            </w:r>
          </w:p>
        </w:tc>
        <w:tc>
          <w:tcPr>
            <w:tcW w:w="1525" w:type="dxa"/>
            <w:shd w:val="clear" w:color="auto" w:fill="auto"/>
            <w:noWrap/>
            <w:vAlign w:val="center"/>
            <w:hideMark/>
          </w:tcPr>
          <w:p w14:paraId="3F28651E" w14:textId="0C94311B" w:rsidR="00A03E6F" w:rsidRPr="007424CF" w:rsidRDefault="001F6E2E"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66,7</w:t>
            </w:r>
            <w:r w:rsidR="00A03E6F" w:rsidRPr="007424CF">
              <w:rPr>
                <w:rFonts w:ascii="Arial" w:eastAsia="Times New Roman" w:hAnsi="Arial" w:cs="Arial"/>
                <w:color w:val="000000"/>
                <w:sz w:val="18"/>
                <w:szCs w:val="18"/>
                <w:lang w:val="es-419" w:eastAsia="en-US"/>
              </w:rPr>
              <w:t>%</w:t>
            </w:r>
          </w:p>
        </w:tc>
        <w:tc>
          <w:tcPr>
            <w:tcW w:w="1429" w:type="dxa"/>
            <w:shd w:val="clear" w:color="auto" w:fill="auto"/>
            <w:noWrap/>
            <w:vAlign w:val="center"/>
            <w:hideMark/>
          </w:tcPr>
          <w:p w14:paraId="0BBC0732" w14:textId="74BD97AB" w:rsidR="00A03E6F" w:rsidRPr="007424CF" w:rsidRDefault="001F6E2E"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66,7</w:t>
            </w:r>
            <w:r w:rsidR="00A03E6F" w:rsidRPr="007424CF">
              <w:rPr>
                <w:rFonts w:ascii="Arial" w:eastAsia="Times New Roman" w:hAnsi="Arial" w:cs="Arial"/>
                <w:color w:val="000000"/>
                <w:sz w:val="18"/>
                <w:szCs w:val="18"/>
                <w:lang w:val="es-419" w:eastAsia="en-US"/>
              </w:rPr>
              <w:t>%</w:t>
            </w:r>
          </w:p>
        </w:tc>
      </w:tr>
      <w:tr w:rsidR="00A03E6F" w:rsidRPr="007424CF" w14:paraId="4FABEA8E" w14:textId="77777777" w:rsidTr="00A03E6F">
        <w:trPr>
          <w:trHeight w:val="20"/>
          <w:jc w:val="center"/>
        </w:trPr>
        <w:tc>
          <w:tcPr>
            <w:tcW w:w="5515" w:type="dxa"/>
            <w:shd w:val="clear" w:color="auto" w:fill="auto"/>
            <w:vAlign w:val="center"/>
            <w:hideMark/>
          </w:tcPr>
          <w:p w14:paraId="0F176AD1" w14:textId="77777777" w:rsidR="00A03E6F" w:rsidRPr="007424CF" w:rsidRDefault="00A03E6F" w:rsidP="00871C1E">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Años en el desempleo durante la crisis (primeros de crisis)</w:t>
            </w:r>
          </w:p>
        </w:tc>
        <w:tc>
          <w:tcPr>
            <w:tcW w:w="1525" w:type="dxa"/>
            <w:shd w:val="clear" w:color="auto" w:fill="auto"/>
            <w:noWrap/>
            <w:vAlign w:val="center"/>
            <w:hideMark/>
          </w:tcPr>
          <w:p w14:paraId="1069A022" w14:textId="7BDF2C00" w:rsidR="00A03E6F" w:rsidRPr="007424CF" w:rsidRDefault="001F6E2E"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w:t>
            </w:r>
          </w:p>
        </w:tc>
        <w:tc>
          <w:tcPr>
            <w:tcW w:w="1429" w:type="dxa"/>
            <w:shd w:val="clear" w:color="auto" w:fill="auto"/>
            <w:noWrap/>
            <w:vAlign w:val="center"/>
            <w:hideMark/>
          </w:tcPr>
          <w:p w14:paraId="3F30E16A" w14:textId="3560D5C6" w:rsidR="00A03E6F" w:rsidRPr="007424CF" w:rsidRDefault="001F6E2E"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w:t>
            </w:r>
          </w:p>
        </w:tc>
      </w:tr>
      <w:tr w:rsidR="00A03E6F" w:rsidRPr="007424CF" w14:paraId="51CB551C" w14:textId="77777777" w:rsidTr="00A03E6F">
        <w:trPr>
          <w:trHeight w:val="20"/>
          <w:jc w:val="center"/>
        </w:trPr>
        <w:tc>
          <w:tcPr>
            <w:tcW w:w="5515" w:type="dxa"/>
            <w:shd w:val="clear" w:color="auto" w:fill="auto"/>
            <w:noWrap/>
            <w:vAlign w:val="center"/>
            <w:hideMark/>
          </w:tcPr>
          <w:p w14:paraId="1152327D" w14:textId="77777777" w:rsidR="00A03E6F" w:rsidRPr="007424CF" w:rsidRDefault="00A03E6F" w:rsidP="00871C1E">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Años en el desempleo durante la post crisis</w:t>
            </w:r>
          </w:p>
        </w:tc>
        <w:tc>
          <w:tcPr>
            <w:tcW w:w="1525" w:type="dxa"/>
            <w:shd w:val="clear" w:color="auto" w:fill="auto"/>
            <w:noWrap/>
            <w:vAlign w:val="center"/>
            <w:hideMark/>
          </w:tcPr>
          <w:p w14:paraId="1967A447" w14:textId="5C8630BF" w:rsidR="00A03E6F" w:rsidRPr="007424CF" w:rsidRDefault="001F6E2E"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0,275</w:t>
            </w:r>
          </w:p>
        </w:tc>
        <w:tc>
          <w:tcPr>
            <w:tcW w:w="1429" w:type="dxa"/>
            <w:shd w:val="clear" w:color="auto" w:fill="auto"/>
            <w:noWrap/>
            <w:vAlign w:val="center"/>
            <w:hideMark/>
          </w:tcPr>
          <w:p w14:paraId="3815FA7B" w14:textId="3344F727" w:rsidR="00A03E6F" w:rsidRPr="007424CF" w:rsidRDefault="001F6E2E"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0,275</w:t>
            </w:r>
          </w:p>
        </w:tc>
      </w:tr>
      <w:tr w:rsidR="00A03E6F" w:rsidRPr="007424CF" w14:paraId="589A9B39" w14:textId="77777777" w:rsidTr="00A03E6F">
        <w:trPr>
          <w:trHeight w:val="20"/>
          <w:jc w:val="center"/>
        </w:trPr>
        <w:tc>
          <w:tcPr>
            <w:tcW w:w="5515" w:type="dxa"/>
            <w:shd w:val="clear" w:color="auto" w:fill="auto"/>
            <w:noWrap/>
            <w:vAlign w:val="center"/>
            <w:hideMark/>
          </w:tcPr>
          <w:p w14:paraId="008CECF1" w14:textId="77777777" w:rsidR="00A03E6F" w:rsidRPr="007424CF" w:rsidRDefault="00A03E6F" w:rsidP="00871C1E">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Parámetro de compensación salarial</w:t>
            </w:r>
          </w:p>
        </w:tc>
        <w:tc>
          <w:tcPr>
            <w:tcW w:w="1525" w:type="dxa"/>
            <w:shd w:val="clear" w:color="auto" w:fill="auto"/>
            <w:noWrap/>
            <w:vAlign w:val="center"/>
            <w:hideMark/>
          </w:tcPr>
          <w:p w14:paraId="396A7DE4" w14:textId="77777777"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0%</w:t>
            </w:r>
          </w:p>
        </w:tc>
        <w:tc>
          <w:tcPr>
            <w:tcW w:w="1429" w:type="dxa"/>
            <w:shd w:val="clear" w:color="auto" w:fill="auto"/>
            <w:noWrap/>
            <w:vAlign w:val="center"/>
            <w:hideMark/>
          </w:tcPr>
          <w:p w14:paraId="456C7157" w14:textId="77777777"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0%</w:t>
            </w:r>
          </w:p>
        </w:tc>
      </w:tr>
      <w:tr w:rsidR="00A03E6F" w:rsidRPr="007424CF" w14:paraId="7CCB9659" w14:textId="77777777" w:rsidTr="00A03E6F">
        <w:trPr>
          <w:trHeight w:val="20"/>
          <w:jc w:val="center"/>
        </w:trPr>
        <w:tc>
          <w:tcPr>
            <w:tcW w:w="5515" w:type="dxa"/>
            <w:shd w:val="clear" w:color="auto" w:fill="auto"/>
            <w:vAlign w:val="center"/>
            <w:hideMark/>
          </w:tcPr>
          <w:p w14:paraId="21BEC267" w14:textId="56D7C7AE" w:rsidR="00A03E6F" w:rsidRPr="007424CF" w:rsidRDefault="00A03E6F" w:rsidP="00871C1E">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Ventas anuales promedio Iniciales (US$)</w:t>
            </w:r>
          </w:p>
        </w:tc>
        <w:tc>
          <w:tcPr>
            <w:tcW w:w="1525" w:type="dxa"/>
            <w:shd w:val="clear" w:color="auto" w:fill="auto"/>
            <w:noWrap/>
            <w:vAlign w:val="center"/>
          </w:tcPr>
          <w:p w14:paraId="2E34B9AB" w14:textId="4A8AABC7" w:rsidR="00A03E6F" w:rsidRPr="007424CF" w:rsidRDefault="001F6E2E"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183.80</w:t>
            </w:r>
          </w:p>
        </w:tc>
        <w:tc>
          <w:tcPr>
            <w:tcW w:w="1429" w:type="dxa"/>
            <w:shd w:val="clear" w:color="auto" w:fill="auto"/>
            <w:noWrap/>
            <w:vAlign w:val="center"/>
          </w:tcPr>
          <w:p w14:paraId="37C39D34" w14:textId="148C116A" w:rsidR="00A03E6F" w:rsidRPr="007424CF" w:rsidRDefault="001F6E2E"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183.810</w:t>
            </w:r>
          </w:p>
        </w:tc>
      </w:tr>
      <w:tr w:rsidR="00A03E6F" w:rsidRPr="007424CF" w14:paraId="28DB82F8" w14:textId="77777777" w:rsidTr="00A03E6F">
        <w:trPr>
          <w:trHeight w:val="20"/>
          <w:jc w:val="center"/>
        </w:trPr>
        <w:tc>
          <w:tcPr>
            <w:tcW w:w="5515" w:type="dxa"/>
            <w:shd w:val="clear" w:color="auto" w:fill="auto"/>
            <w:vAlign w:val="center"/>
            <w:hideMark/>
          </w:tcPr>
          <w:p w14:paraId="7D4CAF17" w14:textId="1501F03E" w:rsidR="00A03E6F" w:rsidRPr="007424CF" w:rsidRDefault="00A03E6F" w:rsidP="00871C1E">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Empleo anual promedio (Número de empleados) antes de la crisis</w:t>
            </w:r>
          </w:p>
        </w:tc>
        <w:tc>
          <w:tcPr>
            <w:tcW w:w="1525" w:type="dxa"/>
            <w:shd w:val="clear" w:color="auto" w:fill="auto"/>
            <w:noWrap/>
            <w:vAlign w:val="center"/>
          </w:tcPr>
          <w:p w14:paraId="01E5F72D" w14:textId="5CF4AD7B"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8</w:t>
            </w:r>
          </w:p>
        </w:tc>
        <w:tc>
          <w:tcPr>
            <w:tcW w:w="1429" w:type="dxa"/>
            <w:shd w:val="clear" w:color="auto" w:fill="auto"/>
            <w:noWrap/>
            <w:vAlign w:val="center"/>
          </w:tcPr>
          <w:p w14:paraId="6E482986" w14:textId="31B03FCB"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8</w:t>
            </w:r>
          </w:p>
        </w:tc>
      </w:tr>
      <w:tr w:rsidR="00A03E6F" w:rsidRPr="007424CF" w14:paraId="479B3CA2" w14:textId="77777777" w:rsidTr="00A03E6F">
        <w:trPr>
          <w:trHeight w:val="20"/>
          <w:jc w:val="center"/>
        </w:trPr>
        <w:tc>
          <w:tcPr>
            <w:tcW w:w="5515" w:type="dxa"/>
            <w:shd w:val="clear" w:color="auto" w:fill="auto"/>
            <w:noWrap/>
            <w:vAlign w:val="center"/>
            <w:hideMark/>
          </w:tcPr>
          <w:p w14:paraId="200323D8" w14:textId="513E1994" w:rsidR="00A03E6F" w:rsidRPr="007424CF" w:rsidRDefault="00A03E6F" w:rsidP="00871C1E">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Salario mensual promedio (US$)</w:t>
            </w:r>
          </w:p>
        </w:tc>
        <w:tc>
          <w:tcPr>
            <w:tcW w:w="1525" w:type="dxa"/>
            <w:shd w:val="clear" w:color="auto" w:fill="auto"/>
            <w:noWrap/>
            <w:vAlign w:val="center"/>
          </w:tcPr>
          <w:p w14:paraId="3382CF51" w14:textId="638A94E3" w:rsidR="00A03E6F" w:rsidRPr="007424CF" w:rsidRDefault="001F6E2E"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359</w:t>
            </w:r>
          </w:p>
        </w:tc>
        <w:tc>
          <w:tcPr>
            <w:tcW w:w="1429" w:type="dxa"/>
            <w:shd w:val="clear" w:color="auto" w:fill="auto"/>
            <w:noWrap/>
            <w:vAlign w:val="center"/>
          </w:tcPr>
          <w:p w14:paraId="3C581298" w14:textId="2F7E2700" w:rsidR="00A03E6F" w:rsidRPr="007424CF" w:rsidRDefault="001F6E2E"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359</w:t>
            </w:r>
          </w:p>
        </w:tc>
      </w:tr>
      <w:tr w:rsidR="00A03E6F" w:rsidRPr="007424CF" w14:paraId="2F9C3995" w14:textId="77777777" w:rsidTr="00A03E6F">
        <w:trPr>
          <w:trHeight w:val="20"/>
          <w:jc w:val="center"/>
        </w:trPr>
        <w:tc>
          <w:tcPr>
            <w:tcW w:w="5515" w:type="dxa"/>
            <w:shd w:val="clear" w:color="auto" w:fill="auto"/>
            <w:vAlign w:val="center"/>
            <w:hideMark/>
          </w:tcPr>
          <w:p w14:paraId="16E1C1B9" w14:textId="34731680" w:rsidR="00A03E6F" w:rsidRPr="007424CF" w:rsidRDefault="00A03E6F" w:rsidP="00871C1E">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Años de supervivencia en alto riesgo consecuencia de la crisis</w:t>
            </w:r>
          </w:p>
        </w:tc>
        <w:tc>
          <w:tcPr>
            <w:tcW w:w="1525" w:type="dxa"/>
            <w:shd w:val="clear" w:color="auto" w:fill="auto"/>
            <w:noWrap/>
            <w:vAlign w:val="center"/>
            <w:hideMark/>
          </w:tcPr>
          <w:p w14:paraId="6DD1A16F" w14:textId="77777777"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3</w:t>
            </w:r>
          </w:p>
        </w:tc>
        <w:tc>
          <w:tcPr>
            <w:tcW w:w="1429" w:type="dxa"/>
            <w:shd w:val="clear" w:color="auto" w:fill="auto"/>
            <w:noWrap/>
            <w:vAlign w:val="center"/>
            <w:hideMark/>
          </w:tcPr>
          <w:p w14:paraId="1E2B0741" w14:textId="77777777"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3</w:t>
            </w:r>
          </w:p>
        </w:tc>
      </w:tr>
      <w:tr w:rsidR="00A03E6F" w:rsidRPr="007424CF" w14:paraId="75F62A76" w14:textId="77777777" w:rsidTr="00A03E6F">
        <w:trPr>
          <w:trHeight w:hRule="exact" w:val="226"/>
          <w:jc w:val="center"/>
        </w:trPr>
        <w:tc>
          <w:tcPr>
            <w:tcW w:w="5515" w:type="dxa"/>
            <w:shd w:val="clear" w:color="auto" w:fill="auto"/>
            <w:noWrap/>
            <w:vAlign w:val="center"/>
            <w:hideMark/>
          </w:tcPr>
          <w:p w14:paraId="1759D961" w14:textId="77777777" w:rsidR="00A03E6F" w:rsidRPr="007424CF" w:rsidRDefault="00A03E6F" w:rsidP="00871C1E">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Horizonte temporal general</w:t>
            </w:r>
          </w:p>
        </w:tc>
        <w:tc>
          <w:tcPr>
            <w:tcW w:w="1525" w:type="dxa"/>
            <w:shd w:val="clear" w:color="auto" w:fill="auto"/>
            <w:noWrap/>
            <w:vAlign w:val="center"/>
            <w:hideMark/>
          </w:tcPr>
          <w:p w14:paraId="6CF52651" w14:textId="77777777"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10</w:t>
            </w:r>
          </w:p>
        </w:tc>
        <w:tc>
          <w:tcPr>
            <w:tcW w:w="1429" w:type="dxa"/>
            <w:shd w:val="clear" w:color="auto" w:fill="auto"/>
            <w:noWrap/>
            <w:vAlign w:val="center"/>
            <w:hideMark/>
          </w:tcPr>
          <w:p w14:paraId="13CBE797" w14:textId="77777777"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10</w:t>
            </w:r>
          </w:p>
        </w:tc>
      </w:tr>
      <w:tr w:rsidR="00A03E6F" w:rsidRPr="007424CF" w14:paraId="38230E7A" w14:textId="77777777" w:rsidTr="00A03E6F">
        <w:trPr>
          <w:trHeight w:hRule="exact" w:val="226"/>
          <w:jc w:val="center"/>
        </w:trPr>
        <w:tc>
          <w:tcPr>
            <w:tcW w:w="5515" w:type="dxa"/>
            <w:shd w:val="clear" w:color="auto" w:fill="auto"/>
            <w:noWrap/>
            <w:vAlign w:val="center"/>
            <w:hideMark/>
          </w:tcPr>
          <w:p w14:paraId="7F44DEFD" w14:textId="1E84AADD" w:rsidR="00A03E6F" w:rsidRPr="007424CF" w:rsidRDefault="00A03E6F" w:rsidP="00871C1E">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Monto del programa (US$ millones)</w:t>
            </w:r>
          </w:p>
        </w:tc>
        <w:tc>
          <w:tcPr>
            <w:tcW w:w="1525" w:type="dxa"/>
            <w:shd w:val="clear" w:color="auto" w:fill="auto"/>
            <w:noWrap/>
            <w:vAlign w:val="center"/>
            <w:hideMark/>
          </w:tcPr>
          <w:p w14:paraId="102B9EBA" w14:textId="629B91A9"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19,96           40,000,000</w:t>
            </w:r>
          </w:p>
        </w:tc>
        <w:tc>
          <w:tcPr>
            <w:tcW w:w="1429" w:type="dxa"/>
            <w:shd w:val="clear" w:color="auto" w:fill="000000" w:themeFill="text1"/>
            <w:noWrap/>
            <w:vAlign w:val="center"/>
            <w:hideMark/>
          </w:tcPr>
          <w:p w14:paraId="74750123" w14:textId="052FF523"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p>
        </w:tc>
      </w:tr>
      <w:tr w:rsidR="00A03E6F" w:rsidRPr="007424CF" w14:paraId="0A71E904" w14:textId="77777777" w:rsidTr="00A03E6F">
        <w:trPr>
          <w:trHeight w:hRule="exact" w:val="226"/>
          <w:jc w:val="center"/>
        </w:trPr>
        <w:tc>
          <w:tcPr>
            <w:tcW w:w="5515" w:type="dxa"/>
            <w:shd w:val="clear" w:color="auto" w:fill="auto"/>
            <w:noWrap/>
            <w:vAlign w:val="center"/>
            <w:hideMark/>
          </w:tcPr>
          <w:p w14:paraId="348DAA12" w14:textId="6416EAD9" w:rsidR="00A03E6F" w:rsidRPr="007424CF" w:rsidRDefault="00A03E6F" w:rsidP="00A03E6F">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 xml:space="preserve">Crédito promedio </w:t>
            </w:r>
          </w:p>
        </w:tc>
        <w:tc>
          <w:tcPr>
            <w:tcW w:w="1525" w:type="dxa"/>
            <w:shd w:val="clear" w:color="auto" w:fill="auto"/>
            <w:noWrap/>
            <w:vAlign w:val="center"/>
            <w:hideMark/>
          </w:tcPr>
          <w:p w14:paraId="39C23B92" w14:textId="67202AE5"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16.479</w:t>
            </w:r>
          </w:p>
        </w:tc>
        <w:tc>
          <w:tcPr>
            <w:tcW w:w="1429" w:type="dxa"/>
            <w:shd w:val="clear" w:color="auto" w:fill="auto"/>
            <w:noWrap/>
            <w:vAlign w:val="center"/>
            <w:hideMark/>
          </w:tcPr>
          <w:p w14:paraId="6B74315E" w14:textId="1C588665"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16.479,38</w:t>
            </w:r>
          </w:p>
        </w:tc>
      </w:tr>
      <w:tr w:rsidR="00A03E6F" w:rsidRPr="007424CF" w14:paraId="471AD575" w14:textId="77777777" w:rsidTr="001F6E2E">
        <w:trPr>
          <w:trHeight w:hRule="exact" w:val="226"/>
          <w:jc w:val="center"/>
        </w:trPr>
        <w:tc>
          <w:tcPr>
            <w:tcW w:w="5515" w:type="dxa"/>
            <w:shd w:val="clear" w:color="auto" w:fill="auto"/>
            <w:vAlign w:val="center"/>
            <w:hideMark/>
          </w:tcPr>
          <w:p w14:paraId="68699B54" w14:textId="2331A8C8" w:rsidR="00A03E6F" w:rsidRPr="007424CF" w:rsidRDefault="00A03E6F" w:rsidP="00A03E6F">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Número de beneficiarios</w:t>
            </w:r>
          </w:p>
        </w:tc>
        <w:tc>
          <w:tcPr>
            <w:tcW w:w="1525" w:type="dxa"/>
            <w:shd w:val="clear" w:color="auto" w:fill="auto"/>
            <w:noWrap/>
            <w:vAlign w:val="center"/>
            <w:hideMark/>
          </w:tcPr>
          <w:p w14:paraId="3678E08C" w14:textId="55D5FBB5"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910</w:t>
            </w:r>
          </w:p>
        </w:tc>
        <w:tc>
          <w:tcPr>
            <w:tcW w:w="1429" w:type="dxa"/>
            <w:shd w:val="clear" w:color="auto" w:fill="000000" w:themeFill="text1"/>
            <w:noWrap/>
            <w:vAlign w:val="center"/>
            <w:hideMark/>
          </w:tcPr>
          <w:p w14:paraId="564B3E70" w14:textId="5A158FA1"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p>
        </w:tc>
      </w:tr>
      <w:tr w:rsidR="00A03E6F" w:rsidRPr="007424CF" w14:paraId="41247984" w14:textId="77777777" w:rsidTr="00A03E6F">
        <w:trPr>
          <w:trHeight w:val="228"/>
          <w:jc w:val="center"/>
        </w:trPr>
        <w:tc>
          <w:tcPr>
            <w:tcW w:w="5515" w:type="dxa"/>
            <w:shd w:val="clear" w:color="auto" w:fill="auto"/>
            <w:vAlign w:val="center"/>
            <w:hideMark/>
          </w:tcPr>
          <w:p w14:paraId="67FAA8E1" w14:textId="6C11781D" w:rsidR="00A03E6F" w:rsidRPr="007424CF" w:rsidRDefault="00A03E6F" w:rsidP="00A03E6F">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Tipo de Cambio utilizado Lempiras por Dólar</w:t>
            </w:r>
          </w:p>
        </w:tc>
        <w:tc>
          <w:tcPr>
            <w:tcW w:w="1525" w:type="dxa"/>
            <w:shd w:val="clear" w:color="auto" w:fill="auto"/>
            <w:noWrap/>
            <w:vAlign w:val="center"/>
          </w:tcPr>
          <w:p w14:paraId="162DBBE6" w14:textId="2EC958E9"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24,8095</w:t>
            </w:r>
          </w:p>
        </w:tc>
        <w:tc>
          <w:tcPr>
            <w:tcW w:w="1429" w:type="dxa"/>
            <w:shd w:val="clear" w:color="auto" w:fill="auto"/>
            <w:noWrap/>
            <w:vAlign w:val="center"/>
            <w:hideMark/>
          </w:tcPr>
          <w:p w14:paraId="738E3035" w14:textId="5B16217B"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24,8095</w:t>
            </w:r>
          </w:p>
        </w:tc>
      </w:tr>
      <w:tr w:rsidR="00A03E6F" w:rsidRPr="007424CF" w14:paraId="72919126" w14:textId="77777777" w:rsidTr="00A03E6F">
        <w:trPr>
          <w:trHeight w:val="228"/>
          <w:jc w:val="center"/>
        </w:trPr>
        <w:tc>
          <w:tcPr>
            <w:tcW w:w="5515" w:type="dxa"/>
            <w:shd w:val="clear" w:color="auto" w:fill="auto"/>
            <w:noWrap/>
            <w:vAlign w:val="center"/>
            <w:hideMark/>
          </w:tcPr>
          <w:p w14:paraId="2F56A03C" w14:textId="77777777" w:rsidR="00A03E6F" w:rsidRPr="007424CF" w:rsidRDefault="00A03E6F" w:rsidP="00A03E6F">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Tasa de financiamiento</w:t>
            </w:r>
          </w:p>
        </w:tc>
        <w:tc>
          <w:tcPr>
            <w:tcW w:w="1525" w:type="dxa"/>
            <w:shd w:val="clear" w:color="auto" w:fill="auto"/>
            <w:noWrap/>
            <w:vAlign w:val="center"/>
          </w:tcPr>
          <w:p w14:paraId="294DEB20" w14:textId="27150C98"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15,2%</w:t>
            </w:r>
          </w:p>
        </w:tc>
        <w:tc>
          <w:tcPr>
            <w:tcW w:w="1429" w:type="dxa"/>
            <w:shd w:val="clear" w:color="auto" w:fill="auto"/>
            <w:noWrap/>
            <w:vAlign w:val="center"/>
            <w:hideMark/>
          </w:tcPr>
          <w:p w14:paraId="2D41EF7C" w14:textId="0A5E3272"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15,2%</w:t>
            </w:r>
          </w:p>
        </w:tc>
      </w:tr>
      <w:tr w:rsidR="00A03E6F" w:rsidRPr="007424CF" w14:paraId="51975D09" w14:textId="77777777" w:rsidTr="00A03E6F">
        <w:trPr>
          <w:trHeight w:val="228"/>
          <w:jc w:val="center"/>
        </w:trPr>
        <w:tc>
          <w:tcPr>
            <w:tcW w:w="5515" w:type="dxa"/>
            <w:shd w:val="clear" w:color="auto" w:fill="auto"/>
            <w:noWrap/>
            <w:vAlign w:val="center"/>
            <w:hideMark/>
          </w:tcPr>
          <w:p w14:paraId="557A4588" w14:textId="77777777" w:rsidR="00A03E6F" w:rsidRPr="007424CF" w:rsidRDefault="00A03E6F" w:rsidP="00A03E6F">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Tasa de reinversión</w:t>
            </w:r>
          </w:p>
        </w:tc>
        <w:tc>
          <w:tcPr>
            <w:tcW w:w="1525" w:type="dxa"/>
            <w:shd w:val="clear" w:color="auto" w:fill="auto"/>
            <w:noWrap/>
            <w:vAlign w:val="center"/>
          </w:tcPr>
          <w:p w14:paraId="4ECA4D72" w14:textId="3C3FBAD2"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15,2%</w:t>
            </w:r>
          </w:p>
        </w:tc>
        <w:tc>
          <w:tcPr>
            <w:tcW w:w="1429" w:type="dxa"/>
            <w:shd w:val="clear" w:color="auto" w:fill="auto"/>
            <w:noWrap/>
            <w:vAlign w:val="center"/>
            <w:hideMark/>
          </w:tcPr>
          <w:p w14:paraId="4209DC7D" w14:textId="5AC1EED8"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15,2%</w:t>
            </w:r>
          </w:p>
        </w:tc>
      </w:tr>
      <w:tr w:rsidR="00A03E6F" w:rsidRPr="007424CF" w14:paraId="3E0030AE" w14:textId="77777777" w:rsidTr="00A03E6F">
        <w:trPr>
          <w:trHeight w:val="235"/>
          <w:jc w:val="center"/>
        </w:trPr>
        <w:tc>
          <w:tcPr>
            <w:tcW w:w="5515" w:type="dxa"/>
            <w:shd w:val="clear" w:color="auto" w:fill="auto"/>
            <w:vAlign w:val="center"/>
            <w:hideMark/>
          </w:tcPr>
          <w:p w14:paraId="36D8FDE8" w14:textId="77777777" w:rsidR="00A03E6F" w:rsidRPr="007424CF" w:rsidRDefault="00A03E6F" w:rsidP="00A03E6F">
            <w:pPr>
              <w:spacing w:after="0" w:line="240" w:lineRule="auto"/>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 xml:space="preserve">Tasa de descuento VPN </w:t>
            </w:r>
          </w:p>
        </w:tc>
        <w:tc>
          <w:tcPr>
            <w:tcW w:w="1525" w:type="dxa"/>
            <w:shd w:val="clear" w:color="auto" w:fill="auto"/>
            <w:noWrap/>
            <w:vAlign w:val="center"/>
            <w:hideMark/>
          </w:tcPr>
          <w:p w14:paraId="3D918CBE" w14:textId="77777777"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r w:rsidRPr="007424CF">
              <w:rPr>
                <w:rFonts w:ascii="Arial" w:eastAsia="Times New Roman" w:hAnsi="Arial" w:cs="Arial"/>
                <w:color w:val="000000"/>
                <w:sz w:val="18"/>
                <w:szCs w:val="18"/>
                <w:lang w:val="es-419" w:eastAsia="en-US"/>
              </w:rPr>
              <w:t>12%</w:t>
            </w:r>
          </w:p>
        </w:tc>
        <w:tc>
          <w:tcPr>
            <w:tcW w:w="1429" w:type="dxa"/>
            <w:shd w:val="clear" w:color="auto" w:fill="000000" w:themeFill="text1"/>
            <w:noWrap/>
            <w:vAlign w:val="center"/>
            <w:hideMark/>
          </w:tcPr>
          <w:p w14:paraId="13D1183D" w14:textId="60AD6A05" w:rsidR="00A03E6F" w:rsidRPr="007424CF" w:rsidRDefault="00A03E6F" w:rsidP="00A03E6F">
            <w:pPr>
              <w:spacing w:after="0" w:line="240" w:lineRule="auto"/>
              <w:jc w:val="center"/>
              <w:rPr>
                <w:rFonts w:ascii="Arial" w:eastAsia="Times New Roman" w:hAnsi="Arial" w:cs="Arial"/>
                <w:color w:val="000000"/>
                <w:sz w:val="18"/>
                <w:szCs w:val="18"/>
                <w:lang w:val="es-419" w:eastAsia="en-US"/>
              </w:rPr>
            </w:pPr>
          </w:p>
        </w:tc>
      </w:tr>
    </w:tbl>
    <w:p w14:paraId="28586AB0" w14:textId="77777777" w:rsidR="003D32CD" w:rsidRPr="0031785A" w:rsidRDefault="003D32CD" w:rsidP="00871C1E">
      <w:pPr>
        <w:pStyle w:val="Chapter"/>
        <w:tabs>
          <w:tab w:val="clear" w:pos="2088"/>
          <w:tab w:val="num" w:pos="648"/>
        </w:tabs>
        <w:ind w:left="0"/>
        <w:rPr>
          <w:rFonts w:ascii="Arial" w:hAnsi="Arial" w:cs="Arial"/>
          <w:sz w:val="22"/>
          <w:szCs w:val="22"/>
          <w:lang w:val="es-ES_tradnl"/>
        </w:rPr>
      </w:pPr>
      <w:bookmarkStart w:id="15" w:name="_Toc36386501"/>
      <w:r w:rsidRPr="0031785A">
        <w:rPr>
          <w:rFonts w:ascii="Arial" w:hAnsi="Arial" w:cs="Arial"/>
          <w:sz w:val="22"/>
          <w:szCs w:val="22"/>
          <w:lang w:val="es-ES_tradnl"/>
        </w:rPr>
        <w:t>Valoración del Beneficio Económico</w:t>
      </w:r>
      <w:bookmarkEnd w:id="15"/>
    </w:p>
    <w:p w14:paraId="6301B5DB" w14:textId="77777777" w:rsidR="003D32CD" w:rsidRPr="00DA469C" w:rsidRDefault="003D32CD" w:rsidP="003D32CD">
      <w:pPr>
        <w:pStyle w:val="ListParagraph"/>
        <w:numPr>
          <w:ilvl w:val="0"/>
          <w:numId w:val="3"/>
        </w:numPr>
        <w:spacing w:before="360" w:after="200" w:line="276" w:lineRule="auto"/>
        <w:contextualSpacing w:val="0"/>
        <w:jc w:val="both"/>
        <w:rPr>
          <w:rFonts w:ascii="Arial" w:hAnsi="Arial" w:cs="Arial"/>
          <w:b/>
          <w:vanish/>
          <w:sz w:val="22"/>
          <w:szCs w:val="22"/>
          <w:lang w:val="es-MX"/>
        </w:rPr>
      </w:pPr>
      <w:bookmarkStart w:id="16" w:name="_Hlk36319663"/>
    </w:p>
    <w:p w14:paraId="53AA7D2E" w14:textId="77777777" w:rsidR="003D32CD" w:rsidRPr="009B54A7" w:rsidRDefault="003D32CD" w:rsidP="003D32CD">
      <w:pPr>
        <w:pStyle w:val="ListParagraph"/>
        <w:numPr>
          <w:ilvl w:val="1"/>
          <w:numId w:val="5"/>
        </w:numPr>
        <w:spacing w:before="360"/>
        <w:ind w:hanging="720"/>
        <w:jc w:val="both"/>
        <w:rPr>
          <w:rFonts w:ascii="Arial" w:hAnsi="Arial" w:cs="Arial"/>
          <w:sz w:val="22"/>
          <w:szCs w:val="22"/>
          <w:lang w:val="es-MX"/>
        </w:rPr>
      </w:pPr>
      <w:r w:rsidRPr="009B54A7">
        <w:rPr>
          <w:rFonts w:ascii="Arial" w:hAnsi="Arial" w:cs="Arial"/>
          <w:b/>
          <w:sz w:val="22"/>
          <w:szCs w:val="22"/>
          <w:lang w:val="es-MX"/>
        </w:rPr>
        <w:t>Cálculo de Beneficios.</w:t>
      </w:r>
      <w:r w:rsidRPr="009B54A7">
        <w:rPr>
          <w:rFonts w:ascii="Arial" w:hAnsi="Arial" w:cs="Arial"/>
          <w:sz w:val="22"/>
          <w:szCs w:val="22"/>
          <w:lang w:val="es-MX"/>
        </w:rPr>
        <w:t xml:space="preserve"> Para el cálculo de beneficios se procede de la siguiente manera:</w:t>
      </w:r>
    </w:p>
    <w:p w14:paraId="4E9139C2" w14:textId="77777777" w:rsidR="003D32CD" w:rsidRDefault="003D32CD" w:rsidP="003D32CD">
      <w:pPr>
        <w:pStyle w:val="ListParagraph"/>
        <w:numPr>
          <w:ilvl w:val="3"/>
          <w:numId w:val="3"/>
        </w:numPr>
        <w:spacing w:before="360" w:after="200" w:line="276" w:lineRule="auto"/>
        <w:ind w:left="1260"/>
        <w:contextualSpacing w:val="0"/>
        <w:jc w:val="both"/>
        <w:rPr>
          <w:rFonts w:ascii="Arial" w:hAnsi="Arial" w:cs="Arial"/>
          <w:sz w:val="22"/>
          <w:szCs w:val="22"/>
          <w:lang w:val="es-MX"/>
        </w:rPr>
      </w:pPr>
      <w:r w:rsidRPr="009B54A7">
        <w:rPr>
          <w:rFonts w:ascii="Arial" w:hAnsi="Arial" w:cs="Arial"/>
          <w:sz w:val="22"/>
          <w:szCs w:val="22"/>
          <w:lang w:val="es-MX"/>
        </w:rPr>
        <w:t>Para los beneficios derivados</w:t>
      </w:r>
      <w:r>
        <w:rPr>
          <w:rFonts w:ascii="Arial" w:hAnsi="Arial" w:cs="Arial"/>
          <w:sz w:val="22"/>
          <w:szCs w:val="22"/>
          <w:lang w:val="es-MX"/>
        </w:rPr>
        <w:t xml:space="preserve"> de las diferencias en ingresos de las firmas se calcula en primer lugar el número de firmas activas en cada año del análisis. Para esto se aplica la probabilidad de supervivencia para cada año consistente con los supuestos desarrollados en la sección anterior para los escenarios con y sin programa. Una vez determinado el número de firmas activas en cada año, se procede a calcular el valor de los ingresos por ventas para estas. Para el escenario sin programa se calcula el nivel de ingresos por firma multiplicando el nivel de ingresos inicial por la correspondiente tasa de decrecimiento asumida para cada año. Una vez calculado el ingreso por firma para cada año, se multiplica por el número de firmas activas en el escenario correspondiente con el fin de obtener el valor agregado. Para el caso de la situación con programa se emplea la tasa de decrecimiento de las ventas que ya incorpora el impacto esperado del programa y se multiplica por el número esperado de firmas por año en el escenario con intervención. </w:t>
      </w:r>
      <w:r>
        <w:rPr>
          <w:rFonts w:ascii="Arial" w:hAnsi="Arial" w:cs="Arial"/>
          <w:sz w:val="22"/>
          <w:szCs w:val="22"/>
          <w:lang w:val="es-MX"/>
        </w:rPr>
        <w:lastRenderedPageBreak/>
        <w:t>Finalmente, los beneficios corresponderán a la diferencia de ingresos agregados por año entre los dos escenarios.</w:t>
      </w:r>
    </w:p>
    <w:p w14:paraId="34619E78" w14:textId="2A079949" w:rsidR="003D32CD" w:rsidRPr="007F7403" w:rsidRDefault="003D32CD" w:rsidP="003D32CD">
      <w:pPr>
        <w:pStyle w:val="ListParagraph"/>
        <w:numPr>
          <w:ilvl w:val="3"/>
          <w:numId w:val="3"/>
        </w:numPr>
        <w:spacing w:before="360" w:after="200" w:line="276" w:lineRule="auto"/>
        <w:ind w:left="1260"/>
        <w:contextualSpacing w:val="0"/>
        <w:jc w:val="both"/>
        <w:rPr>
          <w:rFonts w:ascii="Arial" w:hAnsi="Arial" w:cs="Arial"/>
          <w:sz w:val="22"/>
          <w:szCs w:val="22"/>
          <w:lang w:val="es-MX"/>
        </w:rPr>
      </w:pPr>
      <w:r>
        <w:rPr>
          <w:rFonts w:ascii="Arial" w:hAnsi="Arial" w:cs="Arial"/>
          <w:sz w:val="22"/>
          <w:szCs w:val="22"/>
          <w:lang w:val="es-MX"/>
        </w:rPr>
        <w:t>Para los beneficios asociados a la prevención de la pérdida de empleos, se multiplica el número de firmas que sobreviven gracias al programa (calculado en base a la diferencia de tasas de supervivencias asumidas para el escenario con y sin programa) por el valor del ingreso de los trabajadores. Este último se calcula tras multiplicar el número de trabajadores promedio por el valor promedio del salario asumido (ver párrafo</w:t>
      </w:r>
      <w:r w:rsidR="007424CF">
        <w:rPr>
          <w:rFonts w:ascii="Arial" w:hAnsi="Arial" w:cs="Arial"/>
          <w:sz w:val="22"/>
          <w:szCs w:val="22"/>
          <w:lang w:val="es-MX"/>
        </w:rPr>
        <w:t xml:space="preserve"> </w:t>
      </w:r>
      <w:r w:rsidR="007424CF">
        <w:rPr>
          <w:rFonts w:ascii="Arial" w:hAnsi="Arial" w:cs="Arial"/>
          <w:sz w:val="22"/>
          <w:szCs w:val="22"/>
          <w:lang w:val="es-MX"/>
        </w:rPr>
        <w:fldChar w:fldCharType="begin"/>
      </w:r>
      <w:r w:rsidR="007424CF">
        <w:rPr>
          <w:rFonts w:ascii="Arial" w:hAnsi="Arial" w:cs="Arial"/>
          <w:sz w:val="22"/>
          <w:szCs w:val="22"/>
          <w:lang w:val="es-MX"/>
        </w:rPr>
        <w:instrText xml:space="preserve"> REF _Ref36386632 \r \h </w:instrText>
      </w:r>
      <w:r w:rsidR="007424CF">
        <w:rPr>
          <w:rFonts w:ascii="Arial" w:hAnsi="Arial" w:cs="Arial"/>
          <w:sz w:val="22"/>
          <w:szCs w:val="22"/>
          <w:lang w:val="es-MX"/>
        </w:rPr>
      </w:r>
      <w:r w:rsidR="007424CF">
        <w:rPr>
          <w:rFonts w:ascii="Arial" w:hAnsi="Arial" w:cs="Arial"/>
          <w:sz w:val="22"/>
          <w:szCs w:val="22"/>
          <w:lang w:val="es-MX"/>
        </w:rPr>
        <w:fldChar w:fldCharType="separate"/>
      </w:r>
      <w:r w:rsidR="007424CF">
        <w:rPr>
          <w:rFonts w:ascii="Arial" w:hAnsi="Arial" w:cs="Arial"/>
          <w:sz w:val="22"/>
          <w:szCs w:val="22"/>
          <w:lang w:val="es-MX"/>
        </w:rPr>
        <w:t>2.18</w:t>
      </w:r>
      <w:r w:rsidR="007424CF">
        <w:rPr>
          <w:rFonts w:ascii="Arial" w:hAnsi="Arial" w:cs="Arial"/>
          <w:sz w:val="22"/>
          <w:szCs w:val="22"/>
          <w:lang w:val="es-MX"/>
        </w:rPr>
        <w:fldChar w:fldCharType="end"/>
      </w:r>
      <w:r>
        <w:rPr>
          <w:rFonts w:ascii="Arial" w:hAnsi="Arial" w:cs="Arial"/>
          <w:sz w:val="22"/>
          <w:szCs w:val="22"/>
          <w:lang w:val="es-MX"/>
        </w:rPr>
        <w:t>).  Finalmente, al escenario sin proyecto se le adiciona el valor de la compensación de ingresos</w:t>
      </w:r>
      <w:r w:rsidR="007424CF">
        <w:rPr>
          <w:rFonts w:ascii="Arial" w:hAnsi="Arial" w:cs="Arial"/>
          <w:sz w:val="22"/>
          <w:szCs w:val="22"/>
          <w:lang w:val="es-MX"/>
        </w:rPr>
        <w:t xml:space="preserve">, </w:t>
      </w:r>
      <w:r>
        <w:rPr>
          <w:rFonts w:ascii="Arial" w:hAnsi="Arial" w:cs="Arial"/>
          <w:sz w:val="22"/>
          <w:szCs w:val="22"/>
          <w:lang w:val="es-MX"/>
        </w:rPr>
        <w:t>en caso aplique</w:t>
      </w:r>
      <w:r w:rsidR="007424CF">
        <w:rPr>
          <w:rFonts w:ascii="Arial" w:hAnsi="Arial" w:cs="Arial"/>
          <w:sz w:val="22"/>
          <w:szCs w:val="22"/>
          <w:lang w:val="es-MX"/>
        </w:rPr>
        <w:t xml:space="preserve">, </w:t>
      </w:r>
      <w:r>
        <w:rPr>
          <w:rFonts w:ascii="Arial" w:hAnsi="Arial" w:cs="Arial"/>
          <w:sz w:val="22"/>
          <w:szCs w:val="22"/>
          <w:lang w:val="es-MX"/>
        </w:rPr>
        <w:t xml:space="preserve">a los trabajadores que perdieron su empleo. </w:t>
      </w:r>
      <w:r w:rsidRPr="00876DB7">
        <w:rPr>
          <w:rFonts w:ascii="Arial" w:hAnsi="Arial" w:cs="Arial"/>
          <w:sz w:val="22"/>
          <w:szCs w:val="22"/>
          <w:lang w:val="es-MX"/>
        </w:rPr>
        <w:t>Esto se calcula multiplicando el ingreso promedio de los trabajadores</w:t>
      </w:r>
      <w:r>
        <w:rPr>
          <w:rFonts w:ascii="Arial" w:hAnsi="Arial" w:cs="Arial"/>
          <w:sz w:val="22"/>
          <w:szCs w:val="22"/>
          <w:lang w:val="es-MX"/>
        </w:rPr>
        <w:t xml:space="preserve"> por firma</w:t>
      </w:r>
      <w:r w:rsidRPr="00876DB7">
        <w:rPr>
          <w:rFonts w:ascii="Arial" w:hAnsi="Arial" w:cs="Arial"/>
          <w:sz w:val="22"/>
          <w:szCs w:val="22"/>
          <w:lang w:val="es-MX"/>
        </w:rPr>
        <w:t xml:space="preserve"> por el parámetro de compensación asumido en el párrafo 2.18, y multiplicado por el diferencial entre el número de firmas que cierran con y sin programa</w:t>
      </w:r>
      <w:r>
        <w:rPr>
          <w:rFonts w:ascii="Arial" w:hAnsi="Arial" w:cs="Arial"/>
          <w:sz w:val="22"/>
          <w:szCs w:val="22"/>
          <w:lang w:val="es-MX"/>
        </w:rPr>
        <w:t xml:space="preserve">. El valor anual de este beneficio se multiplicará por uno menos la tasa de reinserción asumida para cada año (ver párrafo </w:t>
      </w:r>
      <w:r w:rsidR="007424CF">
        <w:rPr>
          <w:rFonts w:ascii="Arial" w:hAnsi="Arial" w:cs="Arial"/>
          <w:sz w:val="22"/>
          <w:szCs w:val="22"/>
          <w:lang w:val="es-MX"/>
        </w:rPr>
        <w:fldChar w:fldCharType="begin"/>
      </w:r>
      <w:r w:rsidR="007424CF">
        <w:rPr>
          <w:rFonts w:ascii="Arial" w:hAnsi="Arial" w:cs="Arial"/>
          <w:sz w:val="22"/>
          <w:szCs w:val="22"/>
          <w:lang w:val="es-MX"/>
        </w:rPr>
        <w:instrText xml:space="preserve"> REF _Ref43401425 \r \h </w:instrText>
      </w:r>
      <w:r w:rsidR="007424CF">
        <w:rPr>
          <w:rFonts w:ascii="Arial" w:hAnsi="Arial" w:cs="Arial"/>
          <w:sz w:val="22"/>
          <w:szCs w:val="22"/>
          <w:lang w:val="es-MX"/>
        </w:rPr>
      </w:r>
      <w:r w:rsidR="007424CF">
        <w:rPr>
          <w:rFonts w:ascii="Arial" w:hAnsi="Arial" w:cs="Arial"/>
          <w:sz w:val="22"/>
          <w:szCs w:val="22"/>
          <w:lang w:val="es-MX"/>
        </w:rPr>
        <w:fldChar w:fldCharType="separate"/>
      </w:r>
      <w:r w:rsidR="007424CF">
        <w:rPr>
          <w:rFonts w:ascii="Arial" w:hAnsi="Arial" w:cs="Arial"/>
          <w:sz w:val="22"/>
          <w:szCs w:val="22"/>
          <w:lang w:val="es-MX"/>
        </w:rPr>
        <w:t>2.14</w:t>
      </w:r>
      <w:r w:rsidR="007424CF">
        <w:rPr>
          <w:rFonts w:ascii="Arial" w:hAnsi="Arial" w:cs="Arial"/>
          <w:sz w:val="22"/>
          <w:szCs w:val="22"/>
          <w:lang w:val="es-MX"/>
        </w:rPr>
        <w:fldChar w:fldCharType="end"/>
      </w:r>
      <w:r>
        <w:rPr>
          <w:rFonts w:ascii="Arial" w:hAnsi="Arial" w:cs="Arial"/>
          <w:sz w:val="22"/>
          <w:szCs w:val="22"/>
          <w:lang w:val="es-MX"/>
        </w:rPr>
        <w:fldChar w:fldCharType="begin"/>
      </w:r>
      <w:r>
        <w:rPr>
          <w:rFonts w:ascii="Arial" w:hAnsi="Arial" w:cs="Arial"/>
          <w:sz w:val="22"/>
          <w:szCs w:val="22"/>
          <w:lang w:val="es-MX"/>
        </w:rPr>
        <w:instrText xml:space="preserve"> REF _Ref36386457 \r \h </w:instrText>
      </w:r>
      <w:r>
        <w:rPr>
          <w:rFonts w:ascii="Arial" w:hAnsi="Arial" w:cs="Arial"/>
          <w:sz w:val="22"/>
          <w:szCs w:val="22"/>
          <w:lang w:val="es-MX"/>
        </w:rPr>
      </w:r>
      <w:r>
        <w:rPr>
          <w:rFonts w:ascii="Arial" w:hAnsi="Arial" w:cs="Arial"/>
          <w:sz w:val="22"/>
          <w:szCs w:val="22"/>
          <w:lang w:val="es-MX"/>
        </w:rPr>
        <w:fldChar w:fldCharType="end"/>
      </w:r>
      <w:r>
        <w:rPr>
          <w:rFonts w:ascii="Arial" w:hAnsi="Arial" w:cs="Arial"/>
          <w:sz w:val="22"/>
          <w:szCs w:val="22"/>
          <w:lang w:val="es-MX"/>
        </w:rPr>
        <w:t>).</w:t>
      </w:r>
    </w:p>
    <w:p w14:paraId="20093704" w14:textId="1162E827" w:rsidR="003D32CD" w:rsidRDefault="003D32CD" w:rsidP="003D32CD">
      <w:pPr>
        <w:pStyle w:val="ListParagraph"/>
        <w:numPr>
          <w:ilvl w:val="1"/>
          <w:numId w:val="5"/>
        </w:numPr>
        <w:spacing w:before="360"/>
        <w:ind w:hanging="720"/>
        <w:jc w:val="both"/>
        <w:rPr>
          <w:rFonts w:ascii="Arial" w:hAnsi="Arial" w:cs="Arial"/>
          <w:sz w:val="22"/>
          <w:szCs w:val="22"/>
          <w:lang w:val="es-MX"/>
        </w:rPr>
      </w:pPr>
      <w:r w:rsidRPr="00CD490E">
        <w:rPr>
          <w:rFonts w:ascii="Arial" w:hAnsi="Arial" w:cs="Arial"/>
          <w:b/>
          <w:sz w:val="22"/>
          <w:szCs w:val="22"/>
          <w:lang w:val="es-MX"/>
        </w:rPr>
        <w:t>Cálculo de Costos</w:t>
      </w:r>
      <w:r w:rsidRPr="007424CF">
        <w:rPr>
          <w:rFonts w:ascii="Arial" w:hAnsi="Arial" w:cs="Arial"/>
          <w:b/>
          <w:bCs/>
          <w:sz w:val="22"/>
          <w:szCs w:val="22"/>
          <w:lang w:val="es-MX"/>
        </w:rPr>
        <w:t>.</w:t>
      </w:r>
      <w:r>
        <w:rPr>
          <w:rFonts w:ascii="Arial" w:hAnsi="Arial" w:cs="Arial"/>
          <w:sz w:val="22"/>
          <w:szCs w:val="22"/>
          <w:lang w:val="es-MX"/>
        </w:rPr>
        <w:t xml:space="preserve"> Los costos corresponden al valor agregado de la inversión del programa</w:t>
      </w:r>
      <w:r w:rsidR="00410F44">
        <w:rPr>
          <w:rFonts w:ascii="Arial" w:hAnsi="Arial" w:cs="Arial"/>
          <w:sz w:val="22"/>
          <w:szCs w:val="22"/>
          <w:lang w:val="es-MX"/>
        </w:rPr>
        <w:t xml:space="preserve"> y están imputados en línea con el calendario esperado de desembolsos.</w:t>
      </w:r>
    </w:p>
    <w:p w14:paraId="1C904AA1" w14:textId="77777777" w:rsidR="003D32CD" w:rsidRPr="00CD490E" w:rsidRDefault="003D32CD" w:rsidP="003D32CD">
      <w:pPr>
        <w:pStyle w:val="ListParagraph"/>
        <w:spacing w:before="360"/>
        <w:jc w:val="both"/>
        <w:rPr>
          <w:rFonts w:ascii="Arial" w:hAnsi="Arial" w:cs="Arial"/>
          <w:sz w:val="22"/>
          <w:szCs w:val="22"/>
          <w:lang w:val="es-MX"/>
        </w:rPr>
      </w:pPr>
    </w:p>
    <w:p w14:paraId="668BC27A" w14:textId="3B4765E2" w:rsidR="003D32CD" w:rsidRDefault="003D32CD" w:rsidP="003D32CD">
      <w:pPr>
        <w:pStyle w:val="ListParagraph"/>
        <w:numPr>
          <w:ilvl w:val="1"/>
          <w:numId w:val="5"/>
        </w:numPr>
        <w:spacing w:before="360"/>
        <w:ind w:hanging="720"/>
        <w:jc w:val="both"/>
        <w:rPr>
          <w:rFonts w:ascii="Arial" w:hAnsi="Arial" w:cs="Arial"/>
          <w:sz w:val="22"/>
          <w:szCs w:val="22"/>
          <w:lang w:val="es-MX"/>
        </w:rPr>
      </w:pPr>
      <w:bookmarkStart w:id="17" w:name="_Ref36315437"/>
      <w:bookmarkStart w:id="18" w:name="_Ref43401575"/>
      <w:r w:rsidRPr="00CD490E">
        <w:rPr>
          <w:rFonts w:ascii="Arial" w:hAnsi="Arial" w:cs="Arial"/>
          <w:b/>
          <w:sz w:val="22"/>
          <w:szCs w:val="22"/>
          <w:lang w:val="es-MX"/>
        </w:rPr>
        <w:t>Cálculo de Beneficios Netos</w:t>
      </w:r>
      <w:r w:rsidRPr="007424CF">
        <w:rPr>
          <w:rFonts w:ascii="Arial" w:hAnsi="Arial" w:cs="Arial"/>
          <w:b/>
          <w:bCs/>
          <w:sz w:val="22"/>
          <w:szCs w:val="22"/>
          <w:lang w:val="es-MX"/>
        </w:rPr>
        <w:t xml:space="preserve">. </w:t>
      </w:r>
      <w:r w:rsidRPr="00CD490E">
        <w:rPr>
          <w:rFonts w:ascii="Arial" w:hAnsi="Arial" w:cs="Arial"/>
          <w:sz w:val="22"/>
          <w:szCs w:val="22"/>
          <w:lang w:val="es-MX"/>
        </w:rPr>
        <w:t xml:space="preserve"> </w:t>
      </w:r>
      <w:r>
        <w:rPr>
          <w:rFonts w:ascii="Arial" w:hAnsi="Arial" w:cs="Arial"/>
          <w:sz w:val="22"/>
          <w:szCs w:val="22"/>
          <w:lang w:val="es-MX"/>
        </w:rPr>
        <w:t>Los beneficios netos del programa en cada año se calculan restando la diferencia de beneficios totales entre el escenario con y sin programa menos la diferencia de costos entre ambos escenarios.</w:t>
      </w:r>
      <w:bookmarkEnd w:id="17"/>
      <w:r w:rsidRPr="00CD490E">
        <w:rPr>
          <w:rFonts w:ascii="Arial" w:hAnsi="Arial" w:cs="Arial"/>
          <w:sz w:val="22"/>
          <w:szCs w:val="22"/>
          <w:lang w:val="es-MX"/>
        </w:rPr>
        <w:t xml:space="preserve"> </w:t>
      </w:r>
      <w:r>
        <w:rPr>
          <w:rFonts w:ascii="Arial" w:hAnsi="Arial" w:cs="Arial"/>
          <w:sz w:val="22"/>
          <w:szCs w:val="22"/>
          <w:lang w:val="es-MX"/>
        </w:rPr>
        <w:t>Los resultados de estas estimaciones pueden observarse en la Tabla</w:t>
      </w:r>
      <w:r w:rsidR="00410F44">
        <w:rPr>
          <w:rFonts w:ascii="Arial" w:hAnsi="Arial" w:cs="Arial"/>
          <w:sz w:val="22"/>
          <w:szCs w:val="22"/>
          <w:lang w:val="es-MX"/>
        </w:rPr>
        <w:t xml:space="preserve"> 4</w:t>
      </w:r>
      <w:r>
        <w:rPr>
          <w:rFonts w:ascii="Arial" w:hAnsi="Arial" w:cs="Arial"/>
          <w:sz w:val="22"/>
          <w:szCs w:val="22"/>
          <w:lang w:val="es-MX"/>
        </w:rPr>
        <w:t>.</w:t>
      </w:r>
      <w:bookmarkEnd w:id="18"/>
    </w:p>
    <w:p w14:paraId="1AB0A0CF" w14:textId="77777777" w:rsidR="003D32CD" w:rsidRPr="006A016B" w:rsidRDefault="003D32CD" w:rsidP="003D32CD">
      <w:pPr>
        <w:pStyle w:val="ListParagraph"/>
        <w:rPr>
          <w:rFonts w:ascii="Arial" w:hAnsi="Arial" w:cs="Arial"/>
          <w:sz w:val="22"/>
          <w:szCs w:val="22"/>
          <w:lang w:val="es-MX"/>
        </w:rPr>
      </w:pPr>
    </w:p>
    <w:p w14:paraId="0515DA8D" w14:textId="4CD0D303" w:rsidR="003D32CD" w:rsidRDefault="003D32CD" w:rsidP="003D32CD">
      <w:pPr>
        <w:pStyle w:val="ListParagraph"/>
        <w:numPr>
          <w:ilvl w:val="1"/>
          <w:numId w:val="5"/>
        </w:numPr>
        <w:spacing w:before="360"/>
        <w:ind w:hanging="720"/>
        <w:jc w:val="both"/>
        <w:rPr>
          <w:rFonts w:ascii="Arial" w:hAnsi="Arial" w:cs="Arial"/>
          <w:sz w:val="22"/>
          <w:szCs w:val="22"/>
          <w:lang w:val="es-MX"/>
        </w:rPr>
      </w:pPr>
      <w:r w:rsidRPr="00CD490E">
        <w:rPr>
          <w:rFonts w:ascii="Arial" w:hAnsi="Arial" w:cs="Arial"/>
          <w:b/>
          <w:sz w:val="22"/>
          <w:szCs w:val="22"/>
          <w:lang w:val="es-MX"/>
        </w:rPr>
        <w:t>Valor Presente Neto del Programa</w:t>
      </w:r>
      <w:r w:rsidR="00722AEE">
        <w:rPr>
          <w:rFonts w:ascii="Arial" w:hAnsi="Arial" w:cs="Arial"/>
          <w:b/>
          <w:sz w:val="22"/>
          <w:szCs w:val="22"/>
          <w:lang w:val="es-MX"/>
        </w:rPr>
        <w:t xml:space="preserve"> (VPN)</w:t>
      </w:r>
      <w:r w:rsidRPr="007424CF">
        <w:rPr>
          <w:rFonts w:ascii="Arial" w:hAnsi="Arial" w:cs="Arial"/>
          <w:b/>
          <w:bCs/>
          <w:sz w:val="22"/>
          <w:szCs w:val="22"/>
          <w:lang w:val="es-MX"/>
        </w:rPr>
        <w:t>.</w:t>
      </w:r>
      <w:r w:rsidRPr="00CD490E">
        <w:rPr>
          <w:rFonts w:ascii="Arial" w:hAnsi="Arial" w:cs="Arial"/>
          <w:sz w:val="22"/>
          <w:szCs w:val="22"/>
          <w:lang w:val="es-MX"/>
        </w:rPr>
        <w:t xml:space="preserve"> </w:t>
      </w:r>
      <w:r>
        <w:rPr>
          <w:rFonts w:ascii="Arial" w:hAnsi="Arial" w:cs="Arial"/>
          <w:sz w:val="22"/>
          <w:szCs w:val="22"/>
          <w:lang w:val="es-MX"/>
        </w:rPr>
        <w:t xml:space="preserve">El VPN se calcula descontando los flujos de beneficios netos calculados en el párrafo </w:t>
      </w:r>
      <w:r w:rsidR="007424CF">
        <w:rPr>
          <w:rFonts w:ascii="Arial" w:hAnsi="Arial" w:cs="Arial"/>
          <w:sz w:val="22"/>
          <w:szCs w:val="22"/>
          <w:lang w:val="es-MX"/>
        </w:rPr>
        <w:fldChar w:fldCharType="begin"/>
      </w:r>
      <w:r w:rsidR="007424CF">
        <w:rPr>
          <w:rFonts w:ascii="Arial" w:hAnsi="Arial" w:cs="Arial"/>
          <w:sz w:val="22"/>
          <w:szCs w:val="22"/>
          <w:lang w:val="es-MX"/>
        </w:rPr>
        <w:instrText xml:space="preserve"> REF _Ref43401575 \r \h </w:instrText>
      </w:r>
      <w:r w:rsidR="007424CF">
        <w:rPr>
          <w:rFonts w:ascii="Arial" w:hAnsi="Arial" w:cs="Arial"/>
          <w:sz w:val="22"/>
          <w:szCs w:val="22"/>
          <w:lang w:val="es-MX"/>
        </w:rPr>
      </w:r>
      <w:r w:rsidR="007424CF">
        <w:rPr>
          <w:rFonts w:ascii="Arial" w:hAnsi="Arial" w:cs="Arial"/>
          <w:sz w:val="22"/>
          <w:szCs w:val="22"/>
          <w:lang w:val="es-MX"/>
        </w:rPr>
        <w:fldChar w:fldCharType="separate"/>
      </w:r>
      <w:r w:rsidR="007424CF">
        <w:rPr>
          <w:rFonts w:ascii="Arial" w:hAnsi="Arial" w:cs="Arial"/>
          <w:sz w:val="22"/>
          <w:szCs w:val="22"/>
          <w:lang w:val="es-MX"/>
        </w:rPr>
        <w:t>3.3</w:t>
      </w:r>
      <w:r w:rsidR="007424CF">
        <w:rPr>
          <w:rFonts w:ascii="Arial" w:hAnsi="Arial" w:cs="Arial"/>
          <w:sz w:val="22"/>
          <w:szCs w:val="22"/>
          <w:lang w:val="es-MX"/>
        </w:rPr>
        <w:fldChar w:fldCharType="end"/>
      </w:r>
      <w:r w:rsidR="007424CF">
        <w:rPr>
          <w:rFonts w:ascii="Arial" w:hAnsi="Arial" w:cs="Arial"/>
          <w:sz w:val="22"/>
          <w:szCs w:val="22"/>
          <w:lang w:val="es-MX"/>
        </w:rPr>
        <w:t xml:space="preserve"> </w:t>
      </w:r>
      <w:r>
        <w:rPr>
          <w:rFonts w:ascii="Arial" w:hAnsi="Arial" w:cs="Arial"/>
          <w:sz w:val="22"/>
          <w:szCs w:val="22"/>
          <w:lang w:val="es-MX"/>
        </w:rPr>
        <w:t xml:space="preserve">a la tasa de descuento estándar para proyectos del BID igual a 12%. Los resultados indican un VPN igual a </w:t>
      </w:r>
      <w:r w:rsidR="00AE00CE" w:rsidRPr="006A016B">
        <w:rPr>
          <w:rFonts w:ascii="Arial" w:hAnsi="Arial" w:cs="Arial"/>
          <w:sz w:val="22"/>
          <w:szCs w:val="22"/>
          <w:lang w:val="es-NI"/>
        </w:rPr>
        <w:t>US$</w:t>
      </w:r>
      <w:r w:rsidR="00AE00CE">
        <w:rPr>
          <w:rFonts w:ascii="Arial" w:hAnsi="Arial" w:cs="Arial"/>
          <w:sz w:val="22"/>
          <w:szCs w:val="22"/>
          <w:lang w:val="es-NI"/>
        </w:rPr>
        <w:t>3.858.863</w:t>
      </w:r>
      <w:r>
        <w:rPr>
          <w:rFonts w:ascii="Arial" w:hAnsi="Arial" w:cs="Arial"/>
          <w:sz w:val="22"/>
          <w:szCs w:val="22"/>
          <w:lang w:val="es-MX"/>
        </w:rPr>
        <w:t xml:space="preserve">. (Ver Tabla </w:t>
      </w:r>
      <w:r w:rsidR="00410F44">
        <w:rPr>
          <w:rFonts w:ascii="Arial" w:hAnsi="Arial" w:cs="Arial"/>
          <w:sz w:val="22"/>
          <w:szCs w:val="22"/>
          <w:lang w:val="es-MX"/>
        </w:rPr>
        <w:t>4</w:t>
      </w:r>
      <w:r>
        <w:rPr>
          <w:rFonts w:ascii="Arial" w:hAnsi="Arial" w:cs="Arial"/>
          <w:sz w:val="22"/>
          <w:szCs w:val="22"/>
          <w:lang w:val="es-MX"/>
        </w:rPr>
        <w:t>).</w:t>
      </w:r>
    </w:p>
    <w:p w14:paraId="326E134A" w14:textId="77777777" w:rsidR="003D32CD" w:rsidRPr="006A016B" w:rsidRDefault="003D32CD" w:rsidP="003D32CD">
      <w:pPr>
        <w:pStyle w:val="ListParagraph"/>
        <w:rPr>
          <w:rFonts w:ascii="Arial" w:hAnsi="Arial" w:cs="Arial"/>
          <w:sz w:val="22"/>
          <w:szCs w:val="22"/>
          <w:lang w:val="es-MX"/>
        </w:rPr>
      </w:pPr>
    </w:p>
    <w:p w14:paraId="43E6BCF9" w14:textId="017F1F61" w:rsidR="003D32CD" w:rsidRPr="006A016B" w:rsidRDefault="003D32CD" w:rsidP="003D32CD">
      <w:pPr>
        <w:pStyle w:val="ListParagraph"/>
        <w:numPr>
          <w:ilvl w:val="1"/>
          <w:numId w:val="5"/>
        </w:numPr>
        <w:spacing w:before="360"/>
        <w:ind w:hanging="720"/>
        <w:jc w:val="both"/>
        <w:rPr>
          <w:rFonts w:ascii="Arial" w:hAnsi="Arial" w:cs="Arial"/>
          <w:b/>
          <w:sz w:val="22"/>
          <w:szCs w:val="22"/>
          <w:u w:val="single"/>
          <w:lang w:val="es-PE"/>
        </w:rPr>
      </w:pPr>
      <w:r w:rsidRPr="00496C30">
        <w:rPr>
          <w:rFonts w:ascii="Arial" w:hAnsi="Arial" w:cs="Arial"/>
          <w:b/>
          <w:sz w:val="22"/>
          <w:szCs w:val="22"/>
          <w:lang w:val="es-NI"/>
        </w:rPr>
        <w:t xml:space="preserve">Tasa </w:t>
      </w:r>
      <w:r w:rsidR="00722AEE" w:rsidRPr="00496C30">
        <w:rPr>
          <w:rFonts w:ascii="Arial" w:hAnsi="Arial" w:cs="Arial"/>
          <w:b/>
          <w:sz w:val="22"/>
          <w:szCs w:val="22"/>
          <w:lang w:val="es-NI"/>
        </w:rPr>
        <w:t>I</w:t>
      </w:r>
      <w:r w:rsidRPr="00496C30">
        <w:rPr>
          <w:rFonts w:ascii="Arial" w:hAnsi="Arial" w:cs="Arial"/>
          <w:b/>
          <w:sz w:val="22"/>
          <w:szCs w:val="22"/>
          <w:lang w:val="es-NI"/>
        </w:rPr>
        <w:t xml:space="preserve">nterna de </w:t>
      </w:r>
      <w:r w:rsidR="00722AEE" w:rsidRPr="00496C30">
        <w:rPr>
          <w:rFonts w:ascii="Arial" w:hAnsi="Arial" w:cs="Arial"/>
          <w:b/>
          <w:sz w:val="22"/>
          <w:szCs w:val="22"/>
          <w:lang w:val="es-NI"/>
        </w:rPr>
        <w:t>R</w:t>
      </w:r>
      <w:r w:rsidRPr="00496C30">
        <w:rPr>
          <w:rFonts w:ascii="Arial" w:hAnsi="Arial" w:cs="Arial"/>
          <w:b/>
          <w:sz w:val="22"/>
          <w:szCs w:val="22"/>
          <w:lang w:val="es-NI"/>
        </w:rPr>
        <w:t>etorno</w:t>
      </w:r>
      <w:r w:rsidR="00722AEE" w:rsidRPr="00496C30">
        <w:rPr>
          <w:rFonts w:ascii="Arial" w:hAnsi="Arial" w:cs="Arial"/>
          <w:b/>
          <w:sz w:val="22"/>
          <w:szCs w:val="22"/>
          <w:lang w:val="es-NI"/>
        </w:rPr>
        <w:t xml:space="preserve"> (TIR)</w:t>
      </w:r>
      <w:r w:rsidRPr="00496C30">
        <w:rPr>
          <w:rFonts w:ascii="Arial" w:hAnsi="Arial" w:cs="Arial"/>
          <w:b/>
          <w:bCs/>
          <w:sz w:val="22"/>
          <w:szCs w:val="22"/>
          <w:lang w:val="es-NI"/>
        </w:rPr>
        <w:t xml:space="preserve">. </w:t>
      </w:r>
      <w:r w:rsidRPr="00E554F5">
        <w:rPr>
          <w:rFonts w:ascii="Arial" w:hAnsi="Arial" w:cs="Arial"/>
          <w:sz w:val="22"/>
          <w:szCs w:val="22"/>
          <w:lang w:val="es-MX"/>
        </w:rPr>
        <w:t xml:space="preserve">La TIR calculada sobre el flujo de beneficios </w:t>
      </w:r>
      <w:r w:rsidRPr="007F7403">
        <w:rPr>
          <w:rFonts w:ascii="Arial" w:hAnsi="Arial" w:cs="Arial"/>
          <w:sz w:val="22"/>
          <w:szCs w:val="22"/>
          <w:lang w:val="es-MX"/>
        </w:rPr>
        <w:t xml:space="preserve">netos del programa es igual a </w:t>
      </w:r>
      <w:r w:rsidR="00AE00CE">
        <w:rPr>
          <w:rFonts w:ascii="Arial" w:hAnsi="Arial" w:cs="Arial"/>
          <w:sz w:val="22"/>
          <w:szCs w:val="22"/>
          <w:lang w:val="es-MX"/>
        </w:rPr>
        <w:t>18</w:t>
      </w:r>
      <w:r w:rsidRPr="007F7403">
        <w:rPr>
          <w:rFonts w:ascii="Arial" w:hAnsi="Arial" w:cs="Arial"/>
          <w:sz w:val="22"/>
          <w:szCs w:val="22"/>
          <w:lang w:val="es-MX"/>
        </w:rPr>
        <w:t>%.</w:t>
      </w:r>
      <w:r w:rsidR="00410F44">
        <w:rPr>
          <w:rFonts w:ascii="Arial" w:hAnsi="Arial" w:cs="Arial"/>
          <w:sz w:val="22"/>
          <w:szCs w:val="22"/>
          <w:lang w:val="es-MX"/>
        </w:rPr>
        <w:t xml:space="preserve"> (Ver Tabla 4).</w:t>
      </w:r>
    </w:p>
    <w:p w14:paraId="05EC740D" w14:textId="77777777" w:rsidR="003D32CD" w:rsidRPr="006A016B" w:rsidRDefault="003D32CD" w:rsidP="003D32CD">
      <w:pPr>
        <w:pStyle w:val="ListParagraph"/>
        <w:rPr>
          <w:rFonts w:ascii="Arial" w:hAnsi="Arial" w:cs="Arial"/>
          <w:b/>
          <w:sz w:val="22"/>
          <w:szCs w:val="22"/>
          <w:u w:val="single"/>
          <w:lang w:val="es-PE"/>
        </w:rPr>
      </w:pPr>
    </w:p>
    <w:p w14:paraId="5B2CD729" w14:textId="4182B0CD" w:rsidR="003D32CD" w:rsidRDefault="003D32CD" w:rsidP="003D32CD">
      <w:pPr>
        <w:pStyle w:val="ListParagraph"/>
        <w:numPr>
          <w:ilvl w:val="1"/>
          <w:numId w:val="5"/>
        </w:numPr>
        <w:spacing w:before="360"/>
        <w:ind w:hanging="720"/>
        <w:jc w:val="both"/>
        <w:rPr>
          <w:rFonts w:ascii="Arial" w:hAnsi="Arial" w:cs="Arial"/>
          <w:sz w:val="22"/>
          <w:szCs w:val="22"/>
          <w:lang w:val="es-PE"/>
        </w:rPr>
      </w:pPr>
      <w:bookmarkStart w:id="19" w:name="_Hlk43390124"/>
      <w:r w:rsidRPr="006A77B8">
        <w:rPr>
          <w:rFonts w:ascii="Arial" w:hAnsi="Arial" w:cs="Arial"/>
          <w:b/>
          <w:sz w:val="22"/>
          <w:szCs w:val="22"/>
          <w:lang w:val="es-PE"/>
        </w:rPr>
        <w:t>Relación entre resultados del análisis y matriz de resultados del programa</w:t>
      </w:r>
      <w:bookmarkEnd w:id="19"/>
      <w:r w:rsidRPr="006A77B8">
        <w:rPr>
          <w:rFonts w:ascii="Arial" w:hAnsi="Arial" w:cs="Arial"/>
          <w:sz w:val="22"/>
          <w:szCs w:val="22"/>
          <w:lang w:val="es-PE"/>
        </w:rPr>
        <w:t xml:space="preserve">. </w:t>
      </w:r>
      <w:r w:rsidR="00AE00CE">
        <w:rPr>
          <w:rFonts w:ascii="Arial" w:hAnsi="Arial" w:cs="Arial"/>
          <w:sz w:val="22"/>
          <w:szCs w:val="22"/>
          <w:lang w:val="es-PE"/>
        </w:rPr>
        <w:t>La</w:t>
      </w:r>
      <w:r w:rsidRPr="006A77B8">
        <w:rPr>
          <w:rFonts w:ascii="Arial" w:hAnsi="Arial" w:cs="Arial"/>
          <w:sz w:val="22"/>
          <w:szCs w:val="22"/>
          <w:lang w:val="es-PE"/>
        </w:rPr>
        <w:t xml:space="preserve"> </w:t>
      </w:r>
      <w:r>
        <w:rPr>
          <w:rFonts w:ascii="Arial" w:hAnsi="Arial" w:cs="Arial"/>
          <w:sz w:val="22"/>
          <w:szCs w:val="22"/>
          <w:lang w:val="es-PE"/>
        </w:rPr>
        <w:t>Tabla</w:t>
      </w:r>
      <w:r w:rsidRPr="006A77B8">
        <w:rPr>
          <w:rFonts w:ascii="Arial" w:hAnsi="Arial" w:cs="Arial"/>
          <w:sz w:val="22"/>
          <w:szCs w:val="22"/>
          <w:lang w:val="es-PE"/>
        </w:rPr>
        <w:t xml:space="preserve"> </w:t>
      </w:r>
      <w:r w:rsidR="00AE00CE">
        <w:rPr>
          <w:rFonts w:ascii="Arial" w:hAnsi="Arial" w:cs="Arial"/>
          <w:sz w:val="22"/>
          <w:szCs w:val="22"/>
          <w:lang w:val="es-PE"/>
        </w:rPr>
        <w:t>2</w:t>
      </w:r>
      <w:r w:rsidRPr="006A77B8">
        <w:rPr>
          <w:rFonts w:ascii="Arial" w:hAnsi="Arial" w:cs="Arial"/>
          <w:sz w:val="22"/>
          <w:szCs w:val="22"/>
          <w:lang w:val="es-PE"/>
        </w:rPr>
        <w:t xml:space="preserve"> presenta la relación entre los indicadores de impacto del programa y los cálculos realizados en este análisis. De esta manera se puede observar como la variación porcentual de las ventas del programa comparadas con el escenario contrafactual esperada para el cuarto año equivale a la meta establecida para el indicador correspondiente en la Matriz de Resultados. De igual manera, el nivel de empleo esperado al cuarto año de ejecución sobre el nivel de empleo de MIPYME en el país esperado para dicho año es </w:t>
      </w:r>
      <w:r>
        <w:rPr>
          <w:rFonts w:ascii="Arial" w:hAnsi="Arial" w:cs="Arial"/>
          <w:sz w:val="22"/>
          <w:szCs w:val="22"/>
          <w:lang w:val="es-PE"/>
        </w:rPr>
        <w:t>consistente con</w:t>
      </w:r>
      <w:r w:rsidRPr="006A77B8">
        <w:rPr>
          <w:rFonts w:ascii="Arial" w:hAnsi="Arial" w:cs="Arial"/>
          <w:sz w:val="22"/>
          <w:szCs w:val="22"/>
          <w:lang w:val="es-PE"/>
        </w:rPr>
        <w:t xml:space="preserve"> la meta esperada del indicador de impacto.</w:t>
      </w:r>
    </w:p>
    <w:p w14:paraId="6CF7289E" w14:textId="77777777" w:rsidR="00AE00CE" w:rsidRPr="00AE00CE" w:rsidRDefault="00AE00CE" w:rsidP="00AE00CE">
      <w:pPr>
        <w:pStyle w:val="ListParagraph"/>
        <w:rPr>
          <w:rFonts w:ascii="Arial" w:hAnsi="Arial" w:cs="Arial"/>
          <w:sz w:val="22"/>
          <w:szCs w:val="22"/>
          <w:lang w:val="es-PE"/>
        </w:rPr>
      </w:pPr>
    </w:p>
    <w:p w14:paraId="624721D3" w14:textId="44BFB4BF" w:rsidR="003D32CD" w:rsidRPr="007424CF" w:rsidRDefault="00AE00CE" w:rsidP="003D32CD">
      <w:pPr>
        <w:pStyle w:val="Caption"/>
        <w:keepNext/>
        <w:jc w:val="center"/>
        <w:rPr>
          <w:rFonts w:ascii="Arial" w:hAnsi="Arial" w:cs="Arial"/>
          <w:b/>
          <w:i w:val="0"/>
          <w:color w:val="auto"/>
          <w:lang w:val="es-PE"/>
        </w:rPr>
      </w:pPr>
      <w:r w:rsidRPr="007424CF">
        <w:rPr>
          <w:rFonts w:ascii="Arial" w:hAnsi="Arial" w:cs="Arial"/>
          <w:b/>
          <w:i w:val="0"/>
          <w:color w:val="auto"/>
          <w:lang w:val="es-PE"/>
        </w:rPr>
        <w:t xml:space="preserve">Tabla 2. Relación entre análisis </w:t>
      </w:r>
      <w:r w:rsidR="008328B9" w:rsidRPr="007424CF">
        <w:rPr>
          <w:rFonts w:ascii="Arial" w:hAnsi="Arial" w:cs="Arial"/>
          <w:b/>
          <w:i w:val="0"/>
          <w:color w:val="auto"/>
          <w:lang w:val="es-PE"/>
        </w:rPr>
        <w:t xml:space="preserve">económico </w:t>
      </w:r>
      <w:r w:rsidRPr="007424CF">
        <w:rPr>
          <w:rFonts w:ascii="Arial" w:hAnsi="Arial" w:cs="Arial"/>
          <w:b/>
          <w:i w:val="0"/>
          <w:color w:val="auto"/>
          <w:lang w:val="es-PE"/>
        </w:rPr>
        <w:t>y matriz de resultados del programa</w:t>
      </w:r>
    </w:p>
    <w:tbl>
      <w:tblPr>
        <w:tblStyle w:val="TableGrid"/>
        <w:tblW w:w="864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30"/>
        <w:gridCol w:w="1170"/>
        <w:gridCol w:w="1620"/>
        <w:gridCol w:w="1027"/>
        <w:gridCol w:w="3293"/>
      </w:tblGrid>
      <w:tr w:rsidR="00410F44" w:rsidRPr="0003709D" w14:paraId="5B1ED340" w14:textId="77777777" w:rsidTr="00B45BA7">
        <w:trPr>
          <w:trHeight w:val="511"/>
        </w:trPr>
        <w:tc>
          <w:tcPr>
            <w:tcW w:w="1530" w:type="dxa"/>
            <w:shd w:val="clear" w:color="auto" w:fill="BFBFBF" w:themeFill="background1" w:themeFillShade="BF"/>
            <w:vAlign w:val="center"/>
          </w:tcPr>
          <w:bookmarkEnd w:id="16"/>
          <w:p w14:paraId="21E94510" w14:textId="77777777" w:rsidR="00410F44" w:rsidRPr="0003709D" w:rsidRDefault="00410F44" w:rsidP="007424CF">
            <w:pPr>
              <w:pStyle w:val="ListParagraph"/>
              <w:ind w:left="0"/>
              <w:contextualSpacing w:val="0"/>
              <w:jc w:val="center"/>
              <w:rPr>
                <w:rFonts w:ascii="Arial" w:hAnsi="Arial" w:cs="Arial"/>
                <w:b/>
                <w:bCs/>
                <w:sz w:val="18"/>
                <w:szCs w:val="18"/>
                <w:lang w:val="es-419"/>
              </w:rPr>
            </w:pPr>
            <w:r w:rsidRPr="0003709D">
              <w:rPr>
                <w:rFonts w:ascii="Arial" w:hAnsi="Arial" w:cs="Arial"/>
                <w:b/>
                <w:bCs/>
                <w:sz w:val="18"/>
                <w:szCs w:val="18"/>
                <w:lang w:val="es-419"/>
              </w:rPr>
              <w:t>Parámetros de Análisis Económico</w:t>
            </w:r>
          </w:p>
        </w:tc>
        <w:tc>
          <w:tcPr>
            <w:tcW w:w="1170" w:type="dxa"/>
            <w:shd w:val="clear" w:color="auto" w:fill="BFBFBF" w:themeFill="background1" w:themeFillShade="BF"/>
            <w:vAlign w:val="center"/>
          </w:tcPr>
          <w:p w14:paraId="0D0B3681" w14:textId="77777777" w:rsidR="00410F44" w:rsidRPr="0003709D" w:rsidRDefault="00410F44" w:rsidP="007424CF">
            <w:pPr>
              <w:pStyle w:val="ListParagraph"/>
              <w:ind w:left="0"/>
              <w:contextualSpacing w:val="0"/>
              <w:jc w:val="center"/>
              <w:rPr>
                <w:rFonts w:ascii="Arial" w:hAnsi="Arial" w:cs="Arial"/>
                <w:b/>
                <w:bCs/>
                <w:sz w:val="18"/>
                <w:szCs w:val="18"/>
                <w:lang w:val="es-419"/>
              </w:rPr>
            </w:pPr>
            <w:r w:rsidRPr="0003709D">
              <w:rPr>
                <w:rFonts w:ascii="Arial" w:hAnsi="Arial" w:cs="Arial"/>
                <w:b/>
                <w:bCs/>
                <w:sz w:val="18"/>
                <w:szCs w:val="18"/>
                <w:lang w:val="es-419"/>
              </w:rPr>
              <w:t>Valor de parámetro</w:t>
            </w:r>
          </w:p>
        </w:tc>
        <w:tc>
          <w:tcPr>
            <w:tcW w:w="1620" w:type="dxa"/>
            <w:shd w:val="clear" w:color="auto" w:fill="BFBFBF" w:themeFill="background1" w:themeFillShade="BF"/>
            <w:vAlign w:val="center"/>
          </w:tcPr>
          <w:p w14:paraId="0236B57B" w14:textId="77777777" w:rsidR="00410F44" w:rsidRPr="0003709D" w:rsidRDefault="00410F44" w:rsidP="007424CF">
            <w:pPr>
              <w:pStyle w:val="ListParagraph"/>
              <w:ind w:left="0"/>
              <w:contextualSpacing w:val="0"/>
              <w:jc w:val="center"/>
              <w:rPr>
                <w:rFonts w:ascii="Arial" w:hAnsi="Arial" w:cs="Arial"/>
                <w:b/>
                <w:bCs/>
                <w:sz w:val="18"/>
                <w:szCs w:val="18"/>
                <w:lang w:val="es-419"/>
              </w:rPr>
            </w:pPr>
            <w:r w:rsidRPr="0003709D">
              <w:rPr>
                <w:rFonts w:ascii="Arial" w:hAnsi="Arial" w:cs="Arial"/>
                <w:b/>
                <w:bCs/>
                <w:sz w:val="18"/>
                <w:szCs w:val="18"/>
                <w:lang w:val="es-419"/>
              </w:rPr>
              <w:t xml:space="preserve">Indicador de </w:t>
            </w:r>
            <w:r>
              <w:rPr>
                <w:rFonts w:ascii="Arial" w:hAnsi="Arial" w:cs="Arial"/>
                <w:b/>
                <w:bCs/>
                <w:sz w:val="18"/>
                <w:szCs w:val="18"/>
                <w:lang w:val="es-419"/>
              </w:rPr>
              <w:t>Impacto</w:t>
            </w:r>
          </w:p>
        </w:tc>
        <w:tc>
          <w:tcPr>
            <w:tcW w:w="1027" w:type="dxa"/>
            <w:shd w:val="clear" w:color="auto" w:fill="BFBFBF" w:themeFill="background1" w:themeFillShade="BF"/>
            <w:vAlign w:val="center"/>
          </w:tcPr>
          <w:p w14:paraId="07DCCF28" w14:textId="77777777" w:rsidR="00410F44" w:rsidRPr="0003709D" w:rsidRDefault="00410F44" w:rsidP="007424CF">
            <w:pPr>
              <w:pStyle w:val="ListParagraph"/>
              <w:ind w:left="0"/>
              <w:contextualSpacing w:val="0"/>
              <w:jc w:val="center"/>
              <w:rPr>
                <w:rFonts w:ascii="Arial" w:hAnsi="Arial" w:cs="Arial"/>
                <w:b/>
                <w:bCs/>
                <w:sz w:val="18"/>
                <w:szCs w:val="18"/>
                <w:lang w:val="es-419"/>
              </w:rPr>
            </w:pPr>
            <w:r w:rsidRPr="0003709D">
              <w:rPr>
                <w:rFonts w:ascii="Arial" w:hAnsi="Arial" w:cs="Arial"/>
                <w:b/>
                <w:bCs/>
                <w:sz w:val="18"/>
                <w:szCs w:val="18"/>
                <w:lang w:val="es-419"/>
              </w:rPr>
              <w:t>Meta de indicador</w:t>
            </w:r>
          </w:p>
        </w:tc>
        <w:tc>
          <w:tcPr>
            <w:tcW w:w="3293" w:type="dxa"/>
            <w:shd w:val="clear" w:color="auto" w:fill="BFBFBF" w:themeFill="background1" w:themeFillShade="BF"/>
            <w:vAlign w:val="center"/>
          </w:tcPr>
          <w:p w14:paraId="3D03F019" w14:textId="77777777" w:rsidR="00410F44" w:rsidRPr="0003709D" w:rsidRDefault="00410F44" w:rsidP="007424CF">
            <w:pPr>
              <w:pStyle w:val="ListParagraph"/>
              <w:ind w:left="0"/>
              <w:contextualSpacing w:val="0"/>
              <w:jc w:val="center"/>
              <w:rPr>
                <w:rFonts w:ascii="Arial" w:hAnsi="Arial" w:cs="Arial"/>
                <w:b/>
                <w:bCs/>
                <w:sz w:val="18"/>
                <w:szCs w:val="18"/>
                <w:lang w:val="es-419"/>
              </w:rPr>
            </w:pPr>
            <w:r w:rsidRPr="0003709D">
              <w:rPr>
                <w:rFonts w:ascii="Arial" w:hAnsi="Arial" w:cs="Arial"/>
                <w:b/>
                <w:bCs/>
                <w:sz w:val="18"/>
                <w:szCs w:val="18"/>
                <w:lang w:val="es-419"/>
              </w:rPr>
              <w:t>Comentario</w:t>
            </w:r>
          </w:p>
        </w:tc>
      </w:tr>
      <w:tr w:rsidR="00410F44" w:rsidRPr="001F116C" w14:paraId="3C068C5F" w14:textId="77777777" w:rsidTr="00B45BA7">
        <w:tc>
          <w:tcPr>
            <w:tcW w:w="1530" w:type="dxa"/>
            <w:vAlign w:val="center"/>
          </w:tcPr>
          <w:p w14:paraId="68E2A4D8" w14:textId="2D0BD485" w:rsidR="00410F44" w:rsidRPr="0003709D" w:rsidRDefault="00410F44" w:rsidP="007424CF">
            <w:pPr>
              <w:pStyle w:val="ListParagraph"/>
              <w:ind w:left="0"/>
              <w:contextualSpacing w:val="0"/>
              <w:rPr>
                <w:rFonts w:ascii="Arial" w:hAnsi="Arial" w:cs="Arial"/>
                <w:sz w:val="18"/>
                <w:szCs w:val="18"/>
                <w:lang w:val="es-419"/>
              </w:rPr>
            </w:pPr>
            <w:r w:rsidRPr="0003709D">
              <w:rPr>
                <w:rFonts w:ascii="Arial" w:hAnsi="Arial" w:cs="Arial"/>
                <w:sz w:val="18"/>
                <w:szCs w:val="18"/>
                <w:lang w:val="es-419"/>
              </w:rPr>
              <w:lastRenderedPageBreak/>
              <w:t>Número de empleados promedio en las MIPYME beneficiarias del programa</w:t>
            </w:r>
            <w:r w:rsidR="00AF73D9">
              <w:rPr>
                <w:rFonts w:ascii="Arial" w:hAnsi="Arial" w:cs="Arial"/>
                <w:sz w:val="18"/>
                <w:szCs w:val="18"/>
                <w:lang w:val="es-419"/>
              </w:rPr>
              <w:t>.</w:t>
            </w:r>
          </w:p>
        </w:tc>
        <w:tc>
          <w:tcPr>
            <w:tcW w:w="1170" w:type="dxa"/>
            <w:vAlign w:val="center"/>
          </w:tcPr>
          <w:p w14:paraId="59DAD1A0" w14:textId="77777777" w:rsidR="00410F44" w:rsidRPr="00296F08" w:rsidRDefault="00410F44" w:rsidP="007424CF">
            <w:pPr>
              <w:pStyle w:val="ListParagraph"/>
              <w:ind w:left="0"/>
              <w:contextualSpacing w:val="0"/>
              <w:jc w:val="center"/>
              <w:rPr>
                <w:rFonts w:ascii="Arial" w:hAnsi="Arial" w:cs="Arial"/>
                <w:b/>
                <w:bCs/>
                <w:sz w:val="18"/>
                <w:szCs w:val="18"/>
                <w:lang w:val="es-419"/>
              </w:rPr>
            </w:pPr>
            <w:r w:rsidRPr="00296F08">
              <w:rPr>
                <w:rFonts w:ascii="Arial" w:hAnsi="Arial" w:cs="Arial"/>
                <w:b/>
                <w:bCs/>
                <w:sz w:val="18"/>
                <w:szCs w:val="18"/>
                <w:lang w:val="es-419"/>
              </w:rPr>
              <w:t>8</w:t>
            </w:r>
          </w:p>
        </w:tc>
        <w:tc>
          <w:tcPr>
            <w:tcW w:w="1620" w:type="dxa"/>
            <w:vAlign w:val="center"/>
          </w:tcPr>
          <w:p w14:paraId="4FCD0824" w14:textId="77777777" w:rsidR="00F07022" w:rsidRDefault="00F07022" w:rsidP="007424CF">
            <w:pPr>
              <w:pBdr>
                <w:top w:val="nil"/>
                <w:left w:val="nil"/>
                <w:bottom w:val="nil"/>
                <w:right w:val="nil"/>
                <w:between w:val="nil"/>
              </w:pBdr>
              <w:spacing w:after="0" w:line="240" w:lineRule="auto"/>
              <w:jc w:val="both"/>
              <w:rPr>
                <w:rFonts w:ascii="Arial" w:eastAsia="Arial" w:hAnsi="Arial" w:cs="Arial"/>
                <w:b/>
                <w:color w:val="000000"/>
                <w:sz w:val="18"/>
                <w:szCs w:val="18"/>
                <w:lang w:val="es-ES"/>
              </w:rPr>
            </w:pPr>
            <w:r>
              <w:rPr>
                <w:rFonts w:ascii="Arial" w:eastAsia="Arial" w:hAnsi="Arial" w:cs="Arial"/>
                <w:b/>
                <w:color w:val="000000"/>
                <w:sz w:val="18"/>
                <w:szCs w:val="18"/>
                <w:lang w:val="es-ES"/>
              </w:rPr>
              <w:t>Indicadores de impacto 1 y 2:</w:t>
            </w:r>
          </w:p>
          <w:p w14:paraId="441F79AF" w14:textId="77777777" w:rsidR="00F07022" w:rsidRDefault="00F07022" w:rsidP="007424CF">
            <w:pPr>
              <w:pBdr>
                <w:top w:val="nil"/>
                <w:left w:val="nil"/>
                <w:bottom w:val="nil"/>
                <w:right w:val="nil"/>
                <w:between w:val="nil"/>
              </w:pBdr>
              <w:spacing w:after="0" w:line="240" w:lineRule="auto"/>
              <w:jc w:val="both"/>
              <w:rPr>
                <w:rFonts w:ascii="Arial" w:eastAsia="Arial" w:hAnsi="Arial" w:cs="Arial"/>
                <w:b/>
                <w:color w:val="000000"/>
                <w:sz w:val="18"/>
                <w:szCs w:val="18"/>
                <w:lang w:val="es-ES"/>
              </w:rPr>
            </w:pPr>
          </w:p>
          <w:p w14:paraId="46313069" w14:textId="77777777" w:rsidR="00F07022" w:rsidRDefault="00F07022" w:rsidP="007424CF">
            <w:pPr>
              <w:pBdr>
                <w:top w:val="nil"/>
                <w:left w:val="nil"/>
                <w:bottom w:val="nil"/>
                <w:right w:val="nil"/>
                <w:between w:val="nil"/>
              </w:pBdr>
              <w:spacing w:after="0" w:line="240" w:lineRule="auto"/>
              <w:jc w:val="both"/>
              <w:rPr>
                <w:rFonts w:ascii="Arial" w:eastAsia="Arial" w:hAnsi="Arial" w:cs="Arial"/>
                <w:b/>
                <w:color w:val="000000"/>
                <w:sz w:val="18"/>
                <w:szCs w:val="18"/>
                <w:lang w:val="es-ES"/>
              </w:rPr>
            </w:pPr>
          </w:p>
          <w:p w14:paraId="70FAB81F" w14:textId="17EEBE70" w:rsidR="00F07022" w:rsidRDefault="00F07022" w:rsidP="007424CF">
            <w:pPr>
              <w:pBdr>
                <w:top w:val="nil"/>
                <w:left w:val="nil"/>
                <w:bottom w:val="nil"/>
                <w:right w:val="nil"/>
                <w:between w:val="nil"/>
              </w:pBdr>
              <w:spacing w:after="0" w:line="240" w:lineRule="auto"/>
              <w:jc w:val="both"/>
              <w:rPr>
                <w:rFonts w:ascii="Arial" w:hAnsi="Arial" w:cs="Arial"/>
                <w:bCs/>
                <w:sz w:val="18"/>
                <w:szCs w:val="18"/>
                <w:lang w:val="es-ES"/>
              </w:rPr>
            </w:pPr>
            <w:r w:rsidRPr="0032442E">
              <w:rPr>
                <w:rFonts w:ascii="Arial" w:hAnsi="Arial" w:cs="Arial"/>
                <w:b/>
                <w:sz w:val="18"/>
                <w:szCs w:val="18"/>
                <w:lang w:val="es-ES"/>
              </w:rPr>
              <w:t xml:space="preserve">Indicador 1: </w:t>
            </w:r>
            <w:r w:rsidRPr="0032442E">
              <w:rPr>
                <w:rFonts w:ascii="Arial" w:hAnsi="Arial" w:cs="Arial"/>
                <w:bCs/>
                <w:sz w:val="18"/>
                <w:szCs w:val="18"/>
                <w:lang w:val="es-ES"/>
              </w:rPr>
              <w:t>Porcentaje del empleo MIPYME sobre el empleo total en el país.</w:t>
            </w:r>
          </w:p>
          <w:p w14:paraId="3D0C85AF" w14:textId="247170DA" w:rsidR="00F07022" w:rsidRDefault="00F07022" w:rsidP="007424CF">
            <w:pPr>
              <w:pBdr>
                <w:top w:val="nil"/>
                <w:left w:val="nil"/>
                <w:bottom w:val="nil"/>
                <w:right w:val="nil"/>
                <w:between w:val="nil"/>
              </w:pBdr>
              <w:spacing w:after="0" w:line="240" w:lineRule="auto"/>
              <w:jc w:val="both"/>
              <w:rPr>
                <w:rFonts w:ascii="Arial" w:hAnsi="Arial" w:cs="Arial"/>
                <w:bCs/>
                <w:sz w:val="18"/>
                <w:szCs w:val="18"/>
                <w:lang w:val="es-ES"/>
              </w:rPr>
            </w:pPr>
          </w:p>
          <w:p w14:paraId="2F0332B7" w14:textId="28BD4FF4" w:rsidR="00F07022" w:rsidRDefault="00F07022" w:rsidP="007424CF">
            <w:pPr>
              <w:pBdr>
                <w:top w:val="nil"/>
                <w:left w:val="nil"/>
                <w:bottom w:val="nil"/>
                <w:right w:val="nil"/>
                <w:between w:val="nil"/>
              </w:pBdr>
              <w:spacing w:after="0" w:line="240" w:lineRule="auto"/>
              <w:jc w:val="both"/>
              <w:rPr>
                <w:rFonts w:ascii="Arial" w:hAnsi="Arial" w:cs="Arial"/>
                <w:bCs/>
                <w:sz w:val="18"/>
                <w:szCs w:val="18"/>
                <w:lang w:val="es-ES"/>
              </w:rPr>
            </w:pPr>
          </w:p>
          <w:p w14:paraId="01B10355" w14:textId="77777777" w:rsidR="00F07022" w:rsidRDefault="00F07022" w:rsidP="007424CF">
            <w:pPr>
              <w:pBdr>
                <w:top w:val="nil"/>
                <w:left w:val="nil"/>
                <w:bottom w:val="nil"/>
                <w:right w:val="nil"/>
                <w:between w:val="nil"/>
              </w:pBdr>
              <w:spacing w:after="0" w:line="240" w:lineRule="auto"/>
              <w:jc w:val="both"/>
              <w:rPr>
                <w:rFonts w:ascii="Arial" w:eastAsia="Arial" w:hAnsi="Arial" w:cs="Arial"/>
                <w:b/>
                <w:color w:val="000000"/>
                <w:sz w:val="18"/>
                <w:szCs w:val="18"/>
                <w:lang w:val="es-ES"/>
              </w:rPr>
            </w:pPr>
          </w:p>
          <w:p w14:paraId="3AA8DB31" w14:textId="5265505C" w:rsidR="00410F44" w:rsidRPr="00AB6EDC" w:rsidRDefault="00410F44" w:rsidP="007424CF">
            <w:pPr>
              <w:pBdr>
                <w:top w:val="nil"/>
                <w:left w:val="nil"/>
                <w:bottom w:val="nil"/>
                <w:right w:val="nil"/>
                <w:between w:val="nil"/>
              </w:pBdr>
              <w:spacing w:after="0" w:line="240" w:lineRule="auto"/>
              <w:jc w:val="both"/>
              <w:rPr>
                <w:rFonts w:ascii="Arial" w:eastAsia="Arial" w:hAnsi="Arial" w:cs="Arial"/>
                <w:b/>
                <w:color w:val="000000"/>
                <w:sz w:val="18"/>
                <w:szCs w:val="18"/>
                <w:lang w:val="es-ES"/>
              </w:rPr>
            </w:pPr>
            <w:r w:rsidRPr="00AB6EDC">
              <w:rPr>
                <w:rFonts w:ascii="Arial" w:eastAsia="Arial" w:hAnsi="Arial" w:cs="Arial"/>
                <w:b/>
                <w:color w:val="000000"/>
                <w:sz w:val="18"/>
                <w:szCs w:val="18"/>
                <w:lang w:val="es-ES"/>
              </w:rPr>
              <w:t xml:space="preserve">Indicador </w:t>
            </w:r>
            <w:r w:rsidR="00F07022">
              <w:rPr>
                <w:rFonts w:ascii="Arial" w:eastAsia="Arial" w:hAnsi="Arial" w:cs="Arial"/>
                <w:b/>
                <w:color w:val="000000"/>
                <w:sz w:val="18"/>
                <w:szCs w:val="18"/>
                <w:lang w:val="es-ES"/>
              </w:rPr>
              <w:t>2</w:t>
            </w:r>
            <w:r w:rsidRPr="00AB6EDC">
              <w:rPr>
                <w:rFonts w:ascii="Arial" w:eastAsia="Arial" w:hAnsi="Arial" w:cs="Arial"/>
                <w:b/>
                <w:color w:val="000000"/>
                <w:sz w:val="18"/>
                <w:szCs w:val="18"/>
                <w:lang w:val="es-ES"/>
              </w:rPr>
              <w:t>:</w:t>
            </w:r>
          </w:p>
          <w:p w14:paraId="7AEDA823" w14:textId="09CA3216" w:rsidR="00410F44" w:rsidRPr="0003709D" w:rsidRDefault="00410F44" w:rsidP="007424CF">
            <w:pPr>
              <w:pStyle w:val="ListParagraph"/>
              <w:ind w:left="0"/>
              <w:contextualSpacing w:val="0"/>
              <w:jc w:val="both"/>
              <w:rPr>
                <w:rFonts w:ascii="Arial" w:hAnsi="Arial" w:cs="Arial"/>
                <w:sz w:val="18"/>
                <w:szCs w:val="18"/>
                <w:lang w:val="es-419"/>
              </w:rPr>
            </w:pPr>
            <w:bookmarkStart w:id="20" w:name="_gjdgxs" w:colFirst="0" w:colLast="0"/>
            <w:bookmarkEnd w:id="20"/>
            <w:r>
              <w:rPr>
                <w:rFonts w:ascii="Arial" w:hAnsi="Arial" w:cs="Arial"/>
                <w:sz w:val="18"/>
                <w:szCs w:val="18"/>
                <w:lang w:val="es-ES"/>
              </w:rPr>
              <w:t>Porcentaje del empleo directo en MIPYME del sector turístico sobre el empleo total de MIPYME en el país</w:t>
            </w:r>
            <w:r>
              <w:rPr>
                <w:rFonts w:ascii="Arial" w:eastAsia="Arial" w:hAnsi="Arial" w:cs="Arial"/>
                <w:color w:val="000000"/>
                <w:sz w:val="18"/>
                <w:szCs w:val="18"/>
              </w:rPr>
              <w:t>.</w:t>
            </w:r>
          </w:p>
        </w:tc>
        <w:tc>
          <w:tcPr>
            <w:tcW w:w="1027" w:type="dxa"/>
            <w:vAlign w:val="center"/>
          </w:tcPr>
          <w:p w14:paraId="7C6F259B" w14:textId="77777777" w:rsidR="00F07022" w:rsidRDefault="00F07022" w:rsidP="007424CF">
            <w:pPr>
              <w:pStyle w:val="ListParagraph"/>
              <w:ind w:left="0"/>
              <w:contextualSpacing w:val="0"/>
              <w:jc w:val="center"/>
              <w:rPr>
                <w:rFonts w:ascii="Arial" w:hAnsi="Arial" w:cs="Arial"/>
                <w:b/>
                <w:bCs/>
                <w:sz w:val="18"/>
                <w:szCs w:val="18"/>
                <w:lang w:val="es-419"/>
              </w:rPr>
            </w:pPr>
          </w:p>
          <w:p w14:paraId="33D99994" w14:textId="77777777" w:rsidR="00F07022" w:rsidRDefault="00F07022" w:rsidP="007424CF">
            <w:pPr>
              <w:pStyle w:val="ListParagraph"/>
              <w:ind w:left="0"/>
              <w:contextualSpacing w:val="0"/>
              <w:jc w:val="center"/>
              <w:rPr>
                <w:rFonts w:ascii="Arial" w:hAnsi="Arial" w:cs="Arial"/>
                <w:b/>
                <w:bCs/>
                <w:sz w:val="18"/>
                <w:szCs w:val="18"/>
                <w:lang w:val="es-419"/>
              </w:rPr>
            </w:pPr>
          </w:p>
          <w:p w14:paraId="2DC6CBB2" w14:textId="77777777" w:rsidR="00F07022" w:rsidRDefault="00F07022" w:rsidP="007424CF">
            <w:pPr>
              <w:pStyle w:val="ListParagraph"/>
              <w:ind w:left="0"/>
              <w:contextualSpacing w:val="0"/>
              <w:jc w:val="center"/>
              <w:rPr>
                <w:rFonts w:ascii="Arial" w:hAnsi="Arial" w:cs="Arial"/>
                <w:b/>
                <w:bCs/>
                <w:sz w:val="18"/>
                <w:szCs w:val="18"/>
                <w:lang w:val="es-419"/>
              </w:rPr>
            </w:pPr>
          </w:p>
          <w:p w14:paraId="7F1525E3" w14:textId="77777777" w:rsidR="00F07022" w:rsidRDefault="00F07022" w:rsidP="007424CF">
            <w:pPr>
              <w:pStyle w:val="ListParagraph"/>
              <w:ind w:left="0"/>
              <w:contextualSpacing w:val="0"/>
              <w:jc w:val="center"/>
              <w:rPr>
                <w:rFonts w:ascii="Arial" w:hAnsi="Arial" w:cs="Arial"/>
                <w:b/>
                <w:bCs/>
                <w:sz w:val="18"/>
                <w:szCs w:val="18"/>
                <w:lang w:val="es-419"/>
              </w:rPr>
            </w:pPr>
          </w:p>
          <w:p w14:paraId="743C98C2" w14:textId="77777777" w:rsidR="00F07022" w:rsidRDefault="00F07022" w:rsidP="007424CF">
            <w:pPr>
              <w:pStyle w:val="ListParagraph"/>
              <w:ind w:left="0"/>
              <w:contextualSpacing w:val="0"/>
              <w:jc w:val="center"/>
              <w:rPr>
                <w:rFonts w:ascii="Arial" w:hAnsi="Arial" w:cs="Arial"/>
                <w:b/>
                <w:bCs/>
                <w:sz w:val="18"/>
                <w:szCs w:val="18"/>
                <w:lang w:val="es-419"/>
              </w:rPr>
            </w:pPr>
          </w:p>
          <w:p w14:paraId="1FF2D537" w14:textId="77777777" w:rsidR="00F07022" w:rsidRDefault="00F07022" w:rsidP="007424CF">
            <w:pPr>
              <w:pStyle w:val="ListParagraph"/>
              <w:ind w:left="0"/>
              <w:contextualSpacing w:val="0"/>
              <w:jc w:val="center"/>
              <w:rPr>
                <w:rFonts w:ascii="Arial" w:hAnsi="Arial" w:cs="Arial"/>
                <w:b/>
                <w:bCs/>
                <w:sz w:val="18"/>
                <w:szCs w:val="18"/>
                <w:lang w:val="es-419"/>
              </w:rPr>
            </w:pPr>
            <w:r>
              <w:rPr>
                <w:rFonts w:ascii="Arial" w:hAnsi="Arial" w:cs="Arial"/>
                <w:b/>
                <w:bCs/>
                <w:sz w:val="18"/>
                <w:szCs w:val="18"/>
                <w:lang w:val="es-419"/>
              </w:rPr>
              <w:t>70%</w:t>
            </w:r>
          </w:p>
          <w:p w14:paraId="57E287B9" w14:textId="77777777" w:rsidR="00F07022" w:rsidRDefault="00F07022" w:rsidP="007424CF">
            <w:pPr>
              <w:pStyle w:val="ListParagraph"/>
              <w:ind w:left="0"/>
              <w:contextualSpacing w:val="0"/>
              <w:jc w:val="center"/>
              <w:rPr>
                <w:rFonts w:ascii="Arial" w:hAnsi="Arial" w:cs="Arial"/>
                <w:b/>
                <w:bCs/>
                <w:sz w:val="18"/>
                <w:szCs w:val="18"/>
                <w:lang w:val="es-419"/>
              </w:rPr>
            </w:pPr>
          </w:p>
          <w:p w14:paraId="78302C7E" w14:textId="77777777" w:rsidR="00F07022" w:rsidRDefault="00F07022" w:rsidP="007424CF">
            <w:pPr>
              <w:pStyle w:val="ListParagraph"/>
              <w:ind w:left="0"/>
              <w:contextualSpacing w:val="0"/>
              <w:jc w:val="center"/>
              <w:rPr>
                <w:rFonts w:ascii="Arial" w:hAnsi="Arial" w:cs="Arial"/>
                <w:b/>
                <w:bCs/>
                <w:sz w:val="18"/>
                <w:szCs w:val="18"/>
                <w:lang w:val="es-419"/>
              </w:rPr>
            </w:pPr>
          </w:p>
          <w:p w14:paraId="703FB6CF" w14:textId="77777777" w:rsidR="00F07022" w:rsidRDefault="00F07022" w:rsidP="007424CF">
            <w:pPr>
              <w:pStyle w:val="ListParagraph"/>
              <w:ind w:left="0"/>
              <w:contextualSpacing w:val="0"/>
              <w:jc w:val="center"/>
              <w:rPr>
                <w:rFonts w:ascii="Arial" w:hAnsi="Arial" w:cs="Arial"/>
                <w:b/>
                <w:bCs/>
                <w:sz w:val="18"/>
                <w:szCs w:val="18"/>
                <w:lang w:val="es-419"/>
              </w:rPr>
            </w:pPr>
          </w:p>
          <w:p w14:paraId="78DCF0EB" w14:textId="77777777" w:rsidR="00F07022" w:rsidRDefault="00F07022" w:rsidP="007424CF">
            <w:pPr>
              <w:pStyle w:val="ListParagraph"/>
              <w:ind w:left="0"/>
              <w:contextualSpacing w:val="0"/>
              <w:jc w:val="center"/>
              <w:rPr>
                <w:rFonts w:ascii="Arial" w:hAnsi="Arial" w:cs="Arial"/>
                <w:b/>
                <w:bCs/>
                <w:sz w:val="18"/>
                <w:szCs w:val="18"/>
                <w:lang w:val="es-419"/>
              </w:rPr>
            </w:pPr>
          </w:p>
          <w:p w14:paraId="375C5A02" w14:textId="77777777" w:rsidR="00F07022" w:rsidRDefault="00F07022" w:rsidP="007424CF">
            <w:pPr>
              <w:pStyle w:val="ListParagraph"/>
              <w:ind w:left="0"/>
              <w:contextualSpacing w:val="0"/>
              <w:jc w:val="center"/>
              <w:rPr>
                <w:rFonts w:ascii="Arial" w:hAnsi="Arial" w:cs="Arial"/>
                <w:b/>
                <w:bCs/>
                <w:sz w:val="18"/>
                <w:szCs w:val="18"/>
                <w:lang w:val="es-419"/>
              </w:rPr>
            </w:pPr>
          </w:p>
          <w:p w14:paraId="2DBBAD46" w14:textId="77777777" w:rsidR="00F07022" w:rsidRDefault="00F07022" w:rsidP="007424CF">
            <w:pPr>
              <w:pStyle w:val="ListParagraph"/>
              <w:ind w:left="0"/>
              <w:contextualSpacing w:val="0"/>
              <w:jc w:val="center"/>
              <w:rPr>
                <w:rFonts w:ascii="Arial" w:hAnsi="Arial" w:cs="Arial"/>
                <w:b/>
                <w:bCs/>
                <w:sz w:val="18"/>
                <w:szCs w:val="18"/>
                <w:lang w:val="es-419"/>
              </w:rPr>
            </w:pPr>
          </w:p>
          <w:p w14:paraId="7020004F" w14:textId="77777777" w:rsidR="00F07022" w:rsidRDefault="00F07022" w:rsidP="007424CF">
            <w:pPr>
              <w:pStyle w:val="ListParagraph"/>
              <w:ind w:left="0"/>
              <w:contextualSpacing w:val="0"/>
              <w:jc w:val="center"/>
              <w:rPr>
                <w:rFonts w:ascii="Arial" w:hAnsi="Arial" w:cs="Arial"/>
                <w:b/>
                <w:bCs/>
                <w:sz w:val="18"/>
                <w:szCs w:val="18"/>
                <w:lang w:val="es-419"/>
              </w:rPr>
            </w:pPr>
          </w:p>
          <w:p w14:paraId="0A582F8B" w14:textId="16B8D182" w:rsidR="00410F44" w:rsidRPr="00296F08" w:rsidRDefault="00B45BA7" w:rsidP="007424CF">
            <w:pPr>
              <w:pStyle w:val="ListParagraph"/>
              <w:ind w:left="0"/>
              <w:contextualSpacing w:val="0"/>
              <w:jc w:val="center"/>
              <w:rPr>
                <w:rFonts w:ascii="Arial" w:hAnsi="Arial" w:cs="Arial"/>
                <w:b/>
                <w:bCs/>
                <w:sz w:val="18"/>
                <w:szCs w:val="18"/>
                <w:lang w:val="es-419"/>
              </w:rPr>
            </w:pPr>
            <w:r>
              <w:rPr>
                <w:rFonts w:ascii="Arial" w:hAnsi="Arial" w:cs="Arial"/>
                <w:b/>
                <w:bCs/>
                <w:sz w:val="18"/>
                <w:szCs w:val="18"/>
                <w:lang w:val="es-419"/>
              </w:rPr>
              <w:t>22%</w:t>
            </w:r>
          </w:p>
        </w:tc>
        <w:tc>
          <w:tcPr>
            <w:tcW w:w="3293" w:type="dxa"/>
            <w:vAlign w:val="center"/>
          </w:tcPr>
          <w:p w14:paraId="13CBDAB1" w14:textId="77777777" w:rsidR="00B45BA7" w:rsidRDefault="00B45BA7" w:rsidP="00B45BA7">
            <w:pPr>
              <w:spacing w:after="0" w:line="240" w:lineRule="auto"/>
              <w:jc w:val="both"/>
              <w:rPr>
                <w:rFonts w:ascii="Arial" w:hAnsi="Arial" w:cs="Arial"/>
                <w:sz w:val="18"/>
                <w:szCs w:val="18"/>
                <w:lang w:val="es-ES"/>
              </w:rPr>
            </w:pPr>
            <w:r>
              <w:rPr>
                <w:rFonts w:ascii="Arial" w:hAnsi="Arial" w:cs="Arial"/>
                <w:sz w:val="18"/>
                <w:szCs w:val="18"/>
                <w:lang w:val="es-ES"/>
              </w:rPr>
              <w:t>En 2019 la MIPYME concentraba el 70% del empleo total en Honduras (Consejo Hondureño de la Empresa Privada, COHEP), mientras que el turismo aportaba el 12,2% del empleo total en Honduras (</w:t>
            </w:r>
            <w:r w:rsidRPr="00EC10D3">
              <w:rPr>
                <w:rFonts w:ascii="Arial" w:hAnsi="Arial" w:cs="Arial"/>
                <w:i/>
                <w:iCs/>
                <w:sz w:val="18"/>
                <w:szCs w:val="18"/>
                <w:lang w:val="es-ES"/>
              </w:rPr>
              <w:t>World Travel &amp; Tourism Council</w:t>
            </w:r>
            <w:r>
              <w:rPr>
                <w:rFonts w:ascii="Arial" w:hAnsi="Arial" w:cs="Arial"/>
                <w:sz w:val="18"/>
                <w:szCs w:val="18"/>
                <w:lang w:val="es-ES"/>
              </w:rPr>
              <w:t>). El 97,11% de las empresas turísticas eran MIPYME, con un empleo promedio de 8 trabajadores. El sector turístico suponía el 22% del empleo de la MIPYME en Honduras.</w:t>
            </w:r>
          </w:p>
          <w:p w14:paraId="0E91822F" w14:textId="77777777" w:rsidR="00B45BA7" w:rsidRDefault="00B45BA7" w:rsidP="00B45BA7">
            <w:pPr>
              <w:spacing w:after="0" w:line="240" w:lineRule="auto"/>
              <w:jc w:val="both"/>
              <w:rPr>
                <w:rFonts w:ascii="Arial" w:hAnsi="Arial" w:cs="Arial"/>
                <w:sz w:val="18"/>
                <w:szCs w:val="18"/>
                <w:lang w:val="es-ES"/>
              </w:rPr>
            </w:pPr>
            <w:r>
              <w:rPr>
                <w:rFonts w:ascii="Arial" w:hAnsi="Arial" w:cs="Arial"/>
                <w:sz w:val="18"/>
                <w:szCs w:val="18"/>
                <w:lang w:val="es-ES"/>
              </w:rPr>
              <w:t>En mayo 2020, l</w:t>
            </w:r>
            <w:r w:rsidRPr="00527610">
              <w:rPr>
                <w:rFonts w:ascii="Arial" w:hAnsi="Arial" w:cs="Arial"/>
                <w:sz w:val="18"/>
                <w:szCs w:val="18"/>
                <w:lang w:val="es-ES"/>
              </w:rPr>
              <w:t xml:space="preserve">a MIPYME registraba </w:t>
            </w:r>
            <w:r>
              <w:rPr>
                <w:rFonts w:ascii="Arial" w:hAnsi="Arial" w:cs="Arial"/>
                <w:sz w:val="18"/>
                <w:szCs w:val="18"/>
                <w:lang w:val="es-ES"/>
              </w:rPr>
              <w:t>una destrucción de empleo promedio del 4.4% en Honduras (COHEP). Por su parte, primeras estimaciones de la destrucción de empleo en turismo apuntaban a 100.000 puestos de trabajo perdidos en el sector, aproximadamente el 40% del empleo directo en el sector (</w:t>
            </w:r>
            <w:r>
              <w:rPr>
                <w:rFonts w:ascii="Arial" w:eastAsia="Times New Roman" w:hAnsi="Arial" w:cs="Arial"/>
                <w:color w:val="000000"/>
                <w:sz w:val="18"/>
                <w:szCs w:val="18"/>
                <w:lang w:val="es-ES_tradnl" w:eastAsia="es-ES"/>
              </w:rPr>
              <w:t>CANATURH)</w:t>
            </w:r>
            <w:r>
              <w:rPr>
                <w:rFonts w:ascii="Arial" w:hAnsi="Arial" w:cs="Arial"/>
                <w:sz w:val="18"/>
                <w:szCs w:val="18"/>
                <w:lang w:val="es-ES"/>
              </w:rPr>
              <w:t>. Siendo el sector más castigado por la crisis del COVID-19, el turismo ha perdido peso sobre el empleo MIPYME, pasando del 22% en 2019 al 14,6% según las primeras estimaciones de destrucción de empleo en el país.</w:t>
            </w:r>
          </w:p>
          <w:p w14:paraId="74249F77" w14:textId="16F652FA" w:rsidR="00410F44" w:rsidRPr="00B45BA7" w:rsidRDefault="00B45BA7" w:rsidP="00B45BA7">
            <w:pPr>
              <w:spacing w:after="0" w:line="240" w:lineRule="auto"/>
              <w:jc w:val="both"/>
              <w:rPr>
                <w:rFonts w:ascii="Arial" w:hAnsi="Arial" w:cs="Arial"/>
                <w:sz w:val="18"/>
                <w:szCs w:val="18"/>
                <w:lang w:val="es-ES"/>
              </w:rPr>
            </w:pPr>
            <w:r>
              <w:rPr>
                <w:rFonts w:ascii="Arial" w:hAnsi="Arial" w:cs="Arial"/>
                <w:sz w:val="18"/>
                <w:szCs w:val="18"/>
                <w:lang w:val="es-ES"/>
              </w:rPr>
              <w:t xml:space="preserve"> </w:t>
            </w:r>
          </w:p>
        </w:tc>
      </w:tr>
    </w:tbl>
    <w:p w14:paraId="5DE98500" w14:textId="77777777" w:rsidR="003D32CD" w:rsidRPr="00410F44" w:rsidRDefault="003D32CD" w:rsidP="003D32CD">
      <w:pPr>
        <w:pStyle w:val="ListParagraph"/>
        <w:spacing w:after="200" w:line="276" w:lineRule="auto"/>
        <w:contextualSpacing w:val="0"/>
        <w:jc w:val="both"/>
        <w:rPr>
          <w:rFonts w:ascii="Arial" w:hAnsi="Arial" w:cs="Arial"/>
          <w:sz w:val="22"/>
          <w:szCs w:val="22"/>
          <w:lang w:val="es-ES"/>
        </w:rPr>
      </w:pPr>
    </w:p>
    <w:p w14:paraId="62A039AC" w14:textId="77777777" w:rsidR="003D32CD" w:rsidRPr="0031785A" w:rsidRDefault="003D32CD" w:rsidP="003D32CD">
      <w:pPr>
        <w:pStyle w:val="Chapter"/>
        <w:tabs>
          <w:tab w:val="clear" w:pos="2088"/>
          <w:tab w:val="num" w:pos="648"/>
        </w:tabs>
        <w:spacing w:before="0"/>
        <w:ind w:left="0"/>
        <w:rPr>
          <w:rFonts w:ascii="Arial" w:hAnsi="Arial" w:cs="Arial"/>
          <w:sz w:val="22"/>
          <w:szCs w:val="22"/>
          <w:lang w:val="es-ES_tradnl"/>
        </w:rPr>
      </w:pPr>
      <w:bookmarkStart w:id="21" w:name="_Toc36386502"/>
      <w:bookmarkStart w:id="22" w:name="_Toc36386503"/>
      <w:bookmarkEnd w:id="21"/>
      <w:r w:rsidRPr="0031785A">
        <w:rPr>
          <w:rFonts w:ascii="Arial" w:hAnsi="Arial" w:cs="Arial"/>
          <w:sz w:val="22"/>
          <w:szCs w:val="22"/>
          <w:lang w:val="es-ES_tradnl"/>
        </w:rPr>
        <w:t>Análisis de Sensibilidad</w:t>
      </w:r>
      <w:bookmarkEnd w:id="22"/>
    </w:p>
    <w:p w14:paraId="7915D108" w14:textId="63F8B684" w:rsidR="003D32CD" w:rsidRPr="00A85F03" w:rsidRDefault="003D32CD" w:rsidP="00A85F03">
      <w:pPr>
        <w:pStyle w:val="ListParagraph"/>
        <w:numPr>
          <w:ilvl w:val="1"/>
          <w:numId w:val="6"/>
        </w:numPr>
        <w:spacing w:before="120" w:after="120"/>
        <w:ind w:hanging="720"/>
        <w:contextualSpacing w:val="0"/>
        <w:jc w:val="both"/>
        <w:rPr>
          <w:rFonts w:ascii="Arial" w:hAnsi="Arial" w:cs="Arial"/>
          <w:sz w:val="22"/>
          <w:szCs w:val="22"/>
          <w:lang w:val="es-MX"/>
        </w:rPr>
      </w:pPr>
      <w:r w:rsidRPr="006A016B">
        <w:rPr>
          <w:rFonts w:ascii="Arial" w:hAnsi="Arial" w:cs="Arial"/>
          <w:sz w:val="22"/>
          <w:szCs w:val="22"/>
          <w:lang w:val="es-MX"/>
        </w:rPr>
        <w:t>El escenario central sobre el que se basa el análisis presentado en la sección anterior se sensibiliza a continuación en múltiples dimensiones y su punto muerto de cada una de ellas, que hace cero los beneficios del programa. A saber, se consideran los siguientes parámetros:</w:t>
      </w:r>
      <w:r w:rsidRPr="006A016B" w:rsidDel="00656426">
        <w:rPr>
          <w:rFonts w:ascii="Arial" w:hAnsi="Arial" w:cs="Arial"/>
          <w:sz w:val="22"/>
          <w:szCs w:val="22"/>
          <w:lang w:val="es-MX"/>
        </w:rPr>
        <w:t xml:space="preserve"> </w:t>
      </w:r>
      <w:r w:rsidR="00A85F03">
        <w:rPr>
          <w:rFonts w:ascii="Arial" w:hAnsi="Arial" w:cs="Arial"/>
          <w:sz w:val="22"/>
          <w:szCs w:val="22"/>
          <w:lang w:val="es-MX"/>
        </w:rPr>
        <w:t xml:space="preserve">probabilidad de supervivencia de las empresas apoyadas con el programa, reducción inicial de las ventas, número de años en el desempleo para los trabajadores que pierden su trabajo durante los primeros tres años de la crisis, empleo promedio de las empresas apoyadas con el programa, salario mensual, y monto promedio de los créditos otorgados con recursos del programa. </w:t>
      </w:r>
    </w:p>
    <w:p w14:paraId="550111F2" w14:textId="5F2F5245" w:rsidR="003D32CD" w:rsidRPr="006A016B" w:rsidRDefault="003D32CD" w:rsidP="00A85F03">
      <w:pPr>
        <w:pStyle w:val="ListParagraph"/>
        <w:numPr>
          <w:ilvl w:val="1"/>
          <w:numId w:val="6"/>
        </w:numPr>
        <w:spacing w:before="120" w:after="120"/>
        <w:ind w:hanging="720"/>
        <w:contextualSpacing w:val="0"/>
        <w:jc w:val="both"/>
        <w:rPr>
          <w:rFonts w:ascii="Arial" w:hAnsi="Arial" w:cs="Arial"/>
          <w:sz w:val="22"/>
          <w:szCs w:val="18"/>
          <w:lang w:val="es-MX"/>
        </w:rPr>
      </w:pPr>
      <w:r w:rsidRPr="0073400B">
        <w:rPr>
          <w:rFonts w:ascii="Arial" w:hAnsi="Arial" w:cs="Arial"/>
          <w:sz w:val="22"/>
        </w:rPr>
        <w:t xml:space="preserve">La Tabla </w:t>
      </w:r>
      <w:r w:rsidR="00AE00CE">
        <w:rPr>
          <w:rFonts w:ascii="Arial" w:hAnsi="Arial" w:cs="Arial"/>
          <w:sz w:val="22"/>
        </w:rPr>
        <w:t>3</w:t>
      </w:r>
      <w:r w:rsidRPr="0073400B">
        <w:rPr>
          <w:rFonts w:ascii="Arial" w:hAnsi="Arial" w:cs="Arial"/>
          <w:sz w:val="22"/>
        </w:rPr>
        <w:t xml:space="preserve"> resume </w:t>
      </w:r>
      <w:r w:rsidRPr="006A016B">
        <w:rPr>
          <w:rFonts w:ascii="Arial" w:hAnsi="Arial" w:cs="Arial"/>
          <w:sz w:val="22"/>
          <w:szCs w:val="22"/>
          <w:lang w:val="es-MX"/>
        </w:rPr>
        <w:t>los</w:t>
      </w:r>
      <w:r w:rsidRPr="0073400B">
        <w:rPr>
          <w:rFonts w:ascii="Arial" w:hAnsi="Arial" w:cs="Arial"/>
          <w:sz w:val="22"/>
        </w:rPr>
        <w:t xml:space="preserve"> resultados de la aplicación de un Análisis de Sensibilidad ante diferentes escenarios. </w:t>
      </w:r>
      <w:r w:rsidR="00A85F03">
        <w:rPr>
          <w:rFonts w:ascii="Arial" w:hAnsi="Arial" w:cs="Arial"/>
          <w:sz w:val="22"/>
        </w:rPr>
        <w:t xml:space="preserve">Como puede observarse en la Tabla 3, el programa </w:t>
      </w:r>
      <w:r w:rsidR="007424CF">
        <w:rPr>
          <w:rFonts w:ascii="Arial" w:hAnsi="Arial" w:cs="Arial"/>
          <w:sz w:val="22"/>
        </w:rPr>
        <w:t>continúa</w:t>
      </w:r>
      <w:r w:rsidR="00A85F03">
        <w:rPr>
          <w:rFonts w:ascii="Arial" w:hAnsi="Arial" w:cs="Arial"/>
          <w:sz w:val="22"/>
        </w:rPr>
        <w:t xml:space="preserve"> arrojando beneficios socioeconómicos en </w:t>
      </w:r>
      <w:r w:rsidR="00A85F03" w:rsidRPr="002917D5">
        <w:rPr>
          <w:rFonts w:ascii="Arial" w:hAnsi="Arial" w:cs="Arial"/>
          <w:sz w:val="22"/>
          <w:szCs w:val="22"/>
        </w:rPr>
        <w:t xml:space="preserve">un conjunto amplio de </w:t>
      </w:r>
      <w:r w:rsidR="00A85F03">
        <w:rPr>
          <w:rFonts w:ascii="Arial" w:hAnsi="Arial" w:cs="Arial"/>
          <w:sz w:val="22"/>
          <w:szCs w:val="22"/>
        </w:rPr>
        <w:t xml:space="preserve">valores de los </w:t>
      </w:r>
      <w:r w:rsidR="00A85F03" w:rsidRPr="002917D5">
        <w:rPr>
          <w:rFonts w:ascii="Arial" w:hAnsi="Arial" w:cs="Arial"/>
          <w:sz w:val="22"/>
          <w:szCs w:val="22"/>
        </w:rPr>
        <w:t>parámetros</w:t>
      </w:r>
      <w:r w:rsidR="00A85F03">
        <w:rPr>
          <w:rFonts w:ascii="Arial" w:hAnsi="Arial" w:cs="Arial"/>
          <w:sz w:val="22"/>
          <w:szCs w:val="22"/>
        </w:rPr>
        <w:t>.</w:t>
      </w:r>
    </w:p>
    <w:p w14:paraId="6BC86837" w14:textId="0EDA59D2" w:rsidR="003D32CD" w:rsidRPr="007424CF" w:rsidRDefault="003D32CD" w:rsidP="003D32CD">
      <w:pPr>
        <w:pStyle w:val="SubSubPar"/>
        <w:numPr>
          <w:ilvl w:val="0"/>
          <w:numId w:val="0"/>
        </w:numPr>
        <w:jc w:val="center"/>
        <w:rPr>
          <w:rFonts w:ascii="Arial" w:hAnsi="Arial" w:cs="Arial"/>
          <w:b/>
          <w:color w:val="000000" w:themeColor="text1"/>
          <w:sz w:val="18"/>
          <w:szCs w:val="18"/>
          <w:lang w:val="es-ES_tradnl"/>
        </w:rPr>
      </w:pPr>
      <w:r w:rsidRPr="007424CF">
        <w:rPr>
          <w:rFonts w:ascii="Arial" w:hAnsi="Arial" w:cs="Arial"/>
          <w:b/>
          <w:color w:val="000000" w:themeColor="text1"/>
          <w:sz w:val="18"/>
          <w:szCs w:val="18"/>
          <w:lang w:val="es-ES_tradnl"/>
        </w:rPr>
        <w:t xml:space="preserve">Tabla </w:t>
      </w:r>
      <w:r w:rsidR="00AE00CE" w:rsidRPr="007424CF">
        <w:rPr>
          <w:rFonts w:ascii="Arial" w:hAnsi="Arial" w:cs="Arial"/>
          <w:b/>
          <w:color w:val="000000" w:themeColor="text1"/>
          <w:sz w:val="18"/>
          <w:szCs w:val="18"/>
          <w:lang w:val="es-ES_tradnl"/>
        </w:rPr>
        <w:t>3</w:t>
      </w:r>
      <w:r w:rsidRPr="007424CF">
        <w:rPr>
          <w:rFonts w:ascii="Arial" w:hAnsi="Arial" w:cs="Arial"/>
          <w:b/>
          <w:color w:val="000000" w:themeColor="text1"/>
          <w:sz w:val="18"/>
          <w:szCs w:val="18"/>
          <w:lang w:val="es-ES_tradnl"/>
        </w:rPr>
        <w:t>. Análisis de Sensibilidad</w:t>
      </w:r>
    </w:p>
    <w:tbl>
      <w:tblPr>
        <w:tblW w:w="5384" w:type="pct"/>
        <w:tblLook w:val="04A0" w:firstRow="1" w:lastRow="0" w:firstColumn="1" w:lastColumn="0" w:noHBand="0" w:noVBand="1"/>
      </w:tblPr>
      <w:tblGrid>
        <w:gridCol w:w="3147"/>
        <w:gridCol w:w="1097"/>
        <w:gridCol w:w="1317"/>
        <w:gridCol w:w="1367"/>
        <w:gridCol w:w="1177"/>
        <w:gridCol w:w="1177"/>
      </w:tblGrid>
      <w:tr w:rsidR="008328B9" w:rsidRPr="001F116C" w14:paraId="479D7880" w14:textId="77777777" w:rsidTr="00BD6B81">
        <w:trPr>
          <w:trHeight w:val="1060"/>
        </w:trPr>
        <w:tc>
          <w:tcPr>
            <w:tcW w:w="1695" w:type="pct"/>
            <w:tcBorders>
              <w:top w:val="single" w:sz="8" w:space="0" w:color="auto"/>
              <w:left w:val="single" w:sz="8" w:space="0" w:color="auto"/>
              <w:bottom w:val="single" w:sz="8" w:space="0" w:color="000000"/>
              <w:right w:val="single" w:sz="8" w:space="0" w:color="auto"/>
            </w:tcBorders>
            <w:shd w:val="clear" w:color="000000" w:fill="C9C9C9"/>
            <w:noWrap/>
            <w:vAlign w:val="center"/>
            <w:hideMark/>
          </w:tcPr>
          <w:p w14:paraId="5702F235" w14:textId="77777777" w:rsidR="008328B9" w:rsidRPr="00B33ED9" w:rsidRDefault="008328B9" w:rsidP="008328B9">
            <w:pPr>
              <w:spacing w:after="0" w:line="240" w:lineRule="auto"/>
              <w:jc w:val="both"/>
              <w:rPr>
                <w:rFonts w:ascii="Arial" w:eastAsia="Times New Roman" w:hAnsi="Arial" w:cs="Arial"/>
                <w:b/>
                <w:bCs/>
                <w:color w:val="000000"/>
                <w:sz w:val="18"/>
                <w:szCs w:val="18"/>
              </w:rPr>
            </w:pPr>
            <w:r w:rsidRPr="00B33ED9">
              <w:rPr>
                <w:rFonts w:ascii="Arial" w:eastAsia="Times New Roman" w:hAnsi="Arial" w:cs="Arial"/>
                <w:b/>
                <w:bCs/>
                <w:color w:val="000000"/>
                <w:sz w:val="18"/>
                <w:szCs w:val="18"/>
              </w:rPr>
              <w:t>Parámetro</w:t>
            </w:r>
          </w:p>
        </w:tc>
        <w:tc>
          <w:tcPr>
            <w:tcW w:w="591" w:type="pct"/>
            <w:tcBorders>
              <w:top w:val="single" w:sz="8" w:space="0" w:color="auto"/>
              <w:left w:val="single" w:sz="8" w:space="0" w:color="auto"/>
              <w:bottom w:val="single" w:sz="8" w:space="0" w:color="000000"/>
              <w:right w:val="single" w:sz="8" w:space="0" w:color="auto"/>
            </w:tcBorders>
            <w:shd w:val="clear" w:color="000000" w:fill="C9C9C9"/>
            <w:vAlign w:val="center"/>
            <w:hideMark/>
          </w:tcPr>
          <w:p w14:paraId="2712CC19" w14:textId="77777777" w:rsidR="008328B9" w:rsidRPr="00B33ED9" w:rsidRDefault="008328B9" w:rsidP="008328B9">
            <w:pPr>
              <w:spacing w:after="0" w:line="240" w:lineRule="auto"/>
              <w:jc w:val="center"/>
              <w:rPr>
                <w:rFonts w:ascii="Arial" w:eastAsia="Times New Roman" w:hAnsi="Arial" w:cs="Arial"/>
                <w:b/>
                <w:bCs/>
                <w:color w:val="000000"/>
                <w:sz w:val="18"/>
                <w:szCs w:val="18"/>
                <w:lang w:val="es-ES"/>
              </w:rPr>
            </w:pPr>
            <w:r w:rsidRPr="00B33ED9">
              <w:rPr>
                <w:rFonts w:ascii="Arial" w:eastAsia="Times New Roman" w:hAnsi="Arial" w:cs="Arial"/>
                <w:b/>
                <w:bCs/>
                <w:color w:val="000000"/>
                <w:sz w:val="18"/>
                <w:szCs w:val="18"/>
                <w:lang w:val="es-ES"/>
              </w:rPr>
              <w:t>Valor del parámetro en el escenario base</w:t>
            </w:r>
          </w:p>
        </w:tc>
        <w:tc>
          <w:tcPr>
            <w:tcW w:w="709" w:type="pct"/>
            <w:tcBorders>
              <w:top w:val="single" w:sz="8" w:space="0" w:color="auto"/>
              <w:left w:val="single" w:sz="8" w:space="0" w:color="auto"/>
              <w:bottom w:val="single" w:sz="8" w:space="0" w:color="000000"/>
              <w:right w:val="single" w:sz="8" w:space="0" w:color="auto"/>
            </w:tcBorders>
            <w:shd w:val="clear" w:color="000000" w:fill="C9C9C9"/>
            <w:vAlign w:val="center"/>
            <w:hideMark/>
          </w:tcPr>
          <w:p w14:paraId="172CA3B1" w14:textId="77777777" w:rsidR="008328B9" w:rsidRPr="00B33ED9" w:rsidRDefault="008328B9" w:rsidP="008328B9">
            <w:pPr>
              <w:spacing w:after="0" w:line="240" w:lineRule="auto"/>
              <w:jc w:val="center"/>
              <w:rPr>
                <w:rFonts w:ascii="Arial" w:eastAsia="Times New Roman" w:hAnsi="Arial" w:cs="Arial"/>
                <w:b/>
                <w:bCs/>
                <w:color w:val="000000"/>
                <w:sz w:val="18"/>
                <w:szCs w:val="18"/>
              </w:rPr>
            </w:pPr>
            <w:r w:rsidRPr="00B33ED9">
              <w:rPr>
                <w:rFonts w:ascii="Arial" w:eastAsia="Times New Roman" w:hAnsi="Arial" w:cs="Arial"/>
                <w:b/>
                <w:bCs/>
                <w:color w:val="000000"/>
                <w:sz w:val="18"/>
                <w:szCs w:val="18"/>
              </w:rPr>
              <w:t>Modificación del parámetro</w:t>
            </w:r>
          </w:p>
        </w:tc>
        <w:tc>
          <w:tcPr>
            <w:tcW w:w="736" w:type="pct"/>
            <w:tcBorders>
              <w:top w:val="single" w:sz="8" w:space="0" w:color="auto"/>
              <w:left w:val="single" w:sz="8" w:space="0" w:color="auto"/>
              <w:bottom w:val="single" w:sz="8" w:space="0" w:color="000000"/>
              <w:right w:val="single" w:sz="8" w:space="0" w:color="auto"/>
            </w:tcBorders>
            <w:shd w:val="clear" w:color="000000" w:fill="C9C9C9"/>
            <w:vAlign w:val="center"/>
            <w:hideMark/>
          </w:tcPr>
          <w:p w14:paraId="26907127" w14:textId="77777777" w:rsidR="008328B9" w:rsidRPr="00B33ED9" w:rsidRDefault="008328B9" w:rsidP="008328B9">
            <w:pPr>
              <w:spacing w:after="0" w:line="240" w:lineRule="auto"/>
              <w:jc w:val="center"/>
              <w:rPr>
                <w:rFonts w:ascii="Arial" w:eastAsia="Times New Roman" w:hAnsi="Arial" w:cs="Arial"/>
                <w:b/>
                <w:bCs/>
                <w:color w:val="000000"/>
                <w:sz w:val="18"/>
                <w:szCs w:val="18"/>
              </w:rPr>
            </w:pPr>
            <w:r w:rsidRPr="00B33ED9">
              <w:rPr>
                <w:rFonts w:ascii="Arial" w:eastAsia="Times New Roman" w:hAnsi="Arial" w:cs="Arial"/>
                <w:b/>
                <w:bCs/>
                <w:color w:val="000000"/>
                <w:sz w:val="18"/>
                <w:szCs w:val="18"/>
              </w:rPr>
              <w:t>VPN Sensibilizado (US$ millones)</w:t>
            </w:r>
          </w:p>
        </w:tc>
        <w:tc>
          <w:tcPr>
            <w:tcW w:w="634" w:type="pct"/>
            <w:tcBorders>
              <w:top w:val="single" w:sz="8" w:space="0" w:color="auto"/>
              <w:left w:val="single" w:sz="8" w:space="0" w:color="auto"/>
              <w:bottom w:val="single" w:sz="8" w:space="0" w:color="auto"/>
              <w:right w:val="single" w:sz="8" w:space="0" w:color="auto"/>
            </w:tcBorders>
            <w:shd w:val="clear" w:color="000000" w:fill="C9C9C9"/>
            <w:vAlign w:val="center"/>
          </w:tcPr>
          <w:p w14:paraId="24376544" w14:textId="637B87B7" w:rsidR="008328B9" w:rsidRPr="00B33ED9" w:rsidRDefault="008328B9" w:rsidP="008328B9">
            <w:pPr>
              <w:spacing w:after="0" w:line="240" w:lineRule="auto"/>
              <w:jc w:val="center"/>
              <w:rPr>
                <w:rFonts w:ascii="Arial" w:eastAsia="Times New Roman" w:hAnsi="Arial" w:cs="Arial"/>
                <w:b/>
                <w:bCs/>
                <w:color w:val="000000"/>
                <w:sz w:val="18"/>
                <w:szCs w:val="18"/>
                <w:lang w:val="es-ES"/>
              </w:rPr>
            </w:pPr>
            <w:r w:rsidRPr="008328B9">
              <w:rPr>
                <w:rFonts w:ascii="Arial" w:eastAsia="Times New Roman" w:hAnsi="Arial" w:cs="Arial"/>
                <w:b/>
                <w:bCs/>
                <w:color w:val="000000"/>
                <w:sz w:val="18"/>
                <w:szCs w:val="18"/>
                <w:lang w:val="es-ES"/>
              </w:rPr>
              <w:t>TIR (%)</w:t>
            </w:r>
          </w:p>
        </w:tc>
        <w:tc>
          <w:tcPr>
            <w:tcW w:w="634" w:type="pct"/>
            <w:tcBorders>
              <w:top w:val="single" w:sz="8" w:space="0" w:color="auto"/>
              <w:left w:val="single" w:sz="8" w:space="0" w:color="auto"/>
              <w:bottom w:val="single" w:sz="8" w:space="0" w:color="000000"/>
              <w:right w:val="single" w:sz="8" w:space="0" w:color="auto"/>
            </w:tcBorders>
            <w:shd w:val="clear" w:color="000000" w:fill="C9C9C9"/>
            <w:vAlign w:val="center"/>
            <w:hideMark/>
          </w:tcPr>
          <w:p w14:paraId="0E51B352" w14:textId="094B2E2F" w:rsidR="008328B9" w:rsidRPr="00B33ED9" w:rsidRDefault="008328B9" w:rsidP="008328B9">
            <w:pPr>
              <w:spacing w:after="0" w:line="240" w:lineRule="auto"/>
              <w:jc w:val="center"/>
              <w:rPr>
                <w:rFonts w:ascii="Arial" w:eastAsia="Times New Roman" w:hAnsi="Arial" w:cs="Arial"/>
                <w:b/>
                <w:bCs/>
                <w:color w:val="000000"/>
                <w:sz w:val="18"/>
                <w:szCs w:val="18"/>
                <w:lang w:val="es-ES"/>
              </w:rPr>
            </w:pPr>
            <w:r w:rsidRPr="00B33ED9">
              <w:rPr>
                <w:rFonts w:ascii="Arial" w:eastAsia="Times New Roman" w:hAnsi="Arial" w:cs="Arial"/>
                <w:b/>
                <w:bCs/>
                <w:color w:val="000000"/>
                <w:sz w:val="18"/>
                <w:szCs w:val="18"/>
                <w:lang w:val="es-ES"/>
              </w:rPr>
              <w:t xml:space="preserve">Valor “break-even” del parámetro </w:t>
            </w:r>
          </w:p>
        </w:tc>
      </w:tr>
      <w:tr w:rsidR="008328B9" w:rsidRPr="00B33ED9" w14:paraId="33D419DE" w14:textId="77777777" w:rsidTr="00BD6B81">
        <w:trPr>
          <w:trHeight w:val="293"/>
        </w:trPr>
        <w:tc>
          <w:tcPr>
            <w:tcW w:w="1695" w:type="pct"/>
            <w:vMerge w:val="restart"/>
            <w:tcBorders>
              <w:top w:val="nil"/>
              <w:left w:val="single" w:sz="8" w:space="0" w:color="auto"/>
              <w:bottom w:val="single" w:sz="8" w:space="0" w:color="000000"/>
              <w:right w:val="single" w:sz="8" w:space="0" w:color="000000"/>
            </w:tcBorders>
            <w:shd w:val="clear" w:color="auto" w:fill="auto"/>
            <w:vAlign w:val="center"/>
            <w:hideMark/>
          </w:tcPr>
          <w:p w14:paraId="36611A3C" w14:textId="51FB4873" w:rsidR="008328B9" w:rsidRPr="00B33ED9" w:rsidRDefault="008328B9" w:rsidP="008328B9">
            <w:pPr>
              <w:spacing w:after="0" w:line="240" w:lineRule="auto"/>
              <w:rPr>
                <w:rFonts w:ascii="Arial" w:eastAsia="Times New Roman" w:hAnsi="Arial" w:cs="Arial"/>
                <w:color w:val="000000"/>
                <w:sz w:val="18"/>
                <w:szCs w:val="18"/>
                <w:lang w:val="es-ES"/>
              </w:rPr>
            </w:pPr>
            <w:r>
              <w:rPr>
                <w:rFonts w:ascii="Arial" w:eastAsia="Times New Roman" w:hAnsi="Arial" w:cs="Arial"/>
                <w:color w:val="000000"/>
                <w:sz w:val="18"/>
                <w:szCs w:val="18"/>
                <w:lang w:val="es-ES"/>
              </w:rPr>
              <w:t xml:space="preserve">Probabilidad de </w:t>
            </w:r>
            <w:r w:rsidR="001D4A72">
              <w:rPr>
                <w:rFonts w:ascii="Arial" w:eastAsia="Times New Roman" w:hAnsi="Arial" w:cs="Arial"/>
                <w:color w:val="000000"/>
                <w:sz w:val="18"/>
                <w:szCs w:val="18"/>
                <w:lang w:val="es-ES"/>
              </w:rPr>
              <w:t>quiebra</w:t>
            </w:r>
            <w:r>
              <w:rPr>
                <w:rFonts w:ascii="Arial" w:eastAsia="Times New Roman" w:hAnsi="Arial" w:cs="Arial"/>
                <w:color w:val="000000"/>
                <w:sz w:val="18"/>
                <w:szCs w:val="18"/>
                <w:lang w:val="es-ES"/>
              </w:rPr>
              <w:t xml:space="preserve"> con programa</w:t>
            </w:r>
          </w:p>
        </w:tc>
        <w:tc>
          <w:tcPr>
            <w:tcW w:w="591"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46385181" w14:textId="77777777" w:rsidR="008328B9" w:rsidRPr="00B33ED9" w:rsidRDefault="008328B9" w:rsidP="008328B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13</w:t>
            </w:r>
          </w:p>
        </w:tc>
        <w:tc>
          <w:tcPr>
            <w:tcW w:w="709" w:type="pct"/>
            <w:tcBorders>
              <w:top w:val="nil"/>
              <w:left w:val="nil"/>
              <w:bottom w:val="single" w:sz="8" w:space="0" w:color="auto"/>
              <w:right w:val="single" w:sz="8" w:space="0" w:color="auto"/>
            </w:tcBorders>
            <w:shd w:val="clear" w:color="auto" w:fill="auto"/>
            <w:vAlign w:val="center"/>
            <w:hideMark/>
          </w:tcPr>
          <w:p w14:paraId="799B964E" w14:textId="1F38F9B3" w:rsidR="008328B9" w:rsidRPr="00314A99" w:rsidRDefault="00314A99" w:rsidP="00314A99">
            <w:pPr>
              <w:spacing w:after="0" w:line="240" w:lineRule="auto"/>
              <w:jc w:val="center"/>
              <w:rPr>
                <w:rFonts w:ascii="Arial" w:eastAsia="Times New Roman" w:hAnsi="Arial" w:cs="Arial"/>
                <w:color w:val="000000"/>
                <w:sz w:val="18"/>
                <w:szCs w:val="18"/>
              </w:rPr>
            </w:pPr>
            <w:r w:rsidRPr="00314A99">
              <w:rPr>
                <w:rFonts w:ascii="Arial" w:eastAsia="Times New Roman" w:hAnsi="Arial" w:cs="Arial"/>
                <w:color w:val="000000"/>
                <w:sz w:val="18"/>
                <w:szCs w:val="18"/>
              </w:rPr>
              <w:t>12</w:t>
            </w:r>
          </w:p>
        </w:tc>
        <w:tc>
          <w:tcPr>
            <w:tcW w:w="736" w:type="pct"/>
            <w:tcBorders>
              <w:top w:val="nil"/>
              <w:left w:val="nil"/>
              <w:bottom w:val="single" w:sz="8" w:space="0" w:color="auto"/>
              <w:right w:val="single" w:sz="8" w:space="0" w:color="auto"/>
            </w:tcBorders>
            <w:shd w:val="clear" w:color="auto" w:fill="auto"/>
            <w:vAlign w:val="center"/>
            <w:hideMark/>
          </w:tcPr>
          <w:p w14:paraId="60E2235F" w14:textId="2AC55EB0" w:rsidR="008328B9" w:rsidRPr="00314A99" w:rsidRDefault="00314A99" w:rsidP="00314A99">
            <w:pPr>
              <w:spacing w:after="0" w:line="240" w:lineRule="auto"/>
              <w:jc w:val="right"/>
              <w:rPr>
                <w:rFonts w:ascii="Arial" w:eastAsia="Times New Roman" w:hAnsi="Arial" w:cs="Arial"/>
                <w:color w:val="000000"/>
                <w:sz w:val="18"/>
                <w:szCs w:val="18"/>
              </w:rPr>
            </w:pPr>
            <w:r w:rsidRPr="00314A99">
              <w:rPr>
                <w:rFonts w:ascii="Arial" w:eastAsia="Times New Roman" w:hAnsi="Arial" w:cs="Arial"/>
                <w:color w:val="000000"/>
                <w:sz w:val="18"/>
                <w:szCs w:val="18"/>
              </w:rPr>
              <w:t>14.191.363</w:t>
            </w:r>
          </w:p>
        </w:tc>
        <w:tc>
          <w:tcPr>
            <w:tcW w:w="634" w:type="pct"/>
            <w:tcBorders>
              <w:top w:val="single" w:sz="8" w:space="0" w:color="auto"/>
              <w:left w:val="single" w:sz="8" w:space="0" w:color="auto"/>
              <w:bottom w:val="single" w:sz="8" w:space="0" w:color="000000"/>
              <w:right w:val="single" w:sz="8" w:space="0" w:color="auto"/>
            </w:tcBorders>
            <w:vAlign w:val="center"/>
          </w:tcPr>
          <w:p w14:paraId="1BF42AB6" w14:textId="1F50E695" w:rsidR="008328B9" w:rsidRPr="00314A99" w:rsidRDefault="00314A99" w:rsidP="00314A99">
            <w:pPr>
              <w:spacing w:after="0" w:line="240" w:lineRule="auto"/>
              <w:jc w:val="center"/>
              <w:rPr>
                <w:rFonts w:ascii="Arial" w:eastAsia="Times New Roman" w:hAnsi="Arial" w:cs="Arial"/>
                <w:color w:val="000000"/>
                <w:sz w:val="18"/>
                <w:szCs w:val="18"/>
              </w:rPr>
            </w:pPr>
            <w:r w:rsidRPr="00314A99">
              <w:rPr>
                <w:rFonts w:ascii="Arial" w:eastAsia="Times New Roman" w:hAnsi="Arial" w:cs="Arial"/>
                <w:color w:val="000000"/>
                <w:sz w:val="18"/>
                <w:szCs w:val="18"/>
              </w:rPr>
              <w:t>34</w:t>
            </w:r>
          </w:p>
        </w:tc>
        <w:tc>
          <w:tcPr>
            <w:tcW w:w="634" w:type="pct"/>
            <w:vMerge w:val="restart"/>
            <w:tcBorders>
              <w:top w:val="nil"/>
              <w:left w:val="single" w:sz="8" w:space="0" w:color="auto"/>
              <w:bottom w:val="single" w:sz="8" w:space="0" w:color="000000"/>
              <w:right w:val="single" w:sz="8" w:space="0" w:color="auto"/>
            </w:tcBorders>
            <w:shd w:val="clear" w:color="auto" w:fill="auto"/>
            <w:vAlign w:val="center"/>
            <w:hideMark/>
          </w:tcPr>
          <w:p w14:paraId="5E73E939" w14:textId="5FE98084" w:rsidR="008328B9" w:rsidRPr="00314A99" w:rsidRDefault="008328B9" w:rsidP="008328B9">
            <w:pPr>
              <w:spacing w:after="0" w:line="240" w:lineRule="auto"/>
              <w:jc w:val="center"/>
              <w:rPr>
                <w:rFonts w:ascii="Arial" w:eastAsia="Times New Roman" w:hAnsi="Arial" w:cs="Arial"/>
                <w:color w:val="000000"/>
                <w:sz w:val="18"/>
                <w:szCs w:val="18"/>
              </w:rPr>
            </w:pPr>
            <w:r w:rsidRPr="00314A99">
              <w:rPr>
                <w:rFonts w:ascii="Arial" w:eastAsia="Times New Roman" w:hAnsi="Arial" w:cs="Arial"/>
                <w:color w:val="000000"/>
                <w:sz w:val="18"/>
                <w:szCs w:val="18"/>
              </w:rPr>
              <w:t>13.4% </w:t>
            </w:r>
          </w:p>
        </w:tc>
      </w:tr>
      <w:tr w:rsidR="008328B9" w:rsidRPr="00B33ED9" w14:paraId="6D87D5C6" w14:textId="77777777" w:rsidTr="00BD6B81">
        <w:trPr>
          <w:trHeight w:val="293"/>
        </w:trPr>
        <w:tc>
          <w:tcPr>
            <w:tcW w:w="1695" w:type="pct"/>
            <w:vMerge/>
            <w:tcBorders>
              <w:top w:val="nil"/>
              <w:left w:val="single" w:sz="8" w:space="0" w:color="auto"/>
              <w:bottom w:val="single" w:sz="8" w:space="0" w:color="000000"/>
              <w:right w:val="single" w:sz="8" w:space="0" w:color="000000"/>
            </w:tcBorders>
            <w:vAlign w:val="center"/>
            <w:hideMark/>
          </w:tcPr>
          <w:p w14:paraId="6AF119C9"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591" w:type="pct"/>
            <w:vMerge/>
            <w:tcBorders>
              <w:top w:val="nil"/>
              <w:left w:val="single" w:sz="8" w:space="0" w:color="000000"/>
              <w:bottom w:val="single" w:sz="8" w:space="0" w:color="000000"/>
              <w:right w:val="single" w:sz="8" w:space="0" w:color="000000"/>
            </w:tcBorders>
            <w:vAlign w:val="center"/>
            <w:hideMark/>
          </w:tcPr>
          <w:p w14:paraId="3E772071"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709" w:type="pct"/>
            <w:tcBorders>
              <w:top w:val="nil"/>
              <w:left w:val="nil"/>
              <w:bottom w:val="single" w:sz="8" w:space="0" w:color="auto"/>
              <w:right w:val="single" w:sz="8" w:space="0" w:color="auto"/>
            </w:tcBorders>
            <w:shd w:val="clear" w:color="auto" w:fill="auto"/>
            <w:vAlign w:val="center"/>
            <w:hideMark/>
          </w:tcPr>
          <w:p w14:paraId="7B246298" w14:textId="67D01DE5" w:rsidR="008328B9" w:rsidRPr="00314A99" w:rsidRDefault="00314A99" w:rsidP="00314A99">
            <w:pPr>
              <w:spacing w:after="0" w:line="240" w:lineRule="auto"/>
              <w:jc w:val="center"/>
              <w:rPr>
                <w:rFonts w:ascii="Arial" w:eastAsia="Times New Roman" w:hAnsi="Arial" w:cs="Arial"/>
                <w:color w:val="000000"/>
                <w:sz w:val="18"/>
                <w:szCs w:val="18"/>
              </w:rPr>
            </w:pPr>
            <w:r w:rsidRPr="00314A99">
              <w:rPr>
                <w:rFonts w:ascii="Arial" w:eastAsia="Times New Roman" w:hAnsi="Arial" w:cs="Arial"/>
                <w:color w:val="000000"/>
                <w:sz w:val="18"/>
                <w:szCs w:val="18"/>
              </w:rPr>
              <w:t>13,25</w:t>
            </w:r>
          </w:p>
        </w:tc>
        <w:tc>
          <w:tcPr>
            <w:tcW w:w="736" w:type="pct"/>
            <w:tcBorders>
              <w:top w:val="nil"/>
              <w:left w:val="nil"/>
              <w:bottom w:val="single" w:sz="8" w:space="0" w:color="auto"/>
              <w:right w:val="single" w:sz="8" w:space="0" w:color="auto"/>
            </w:tcBorders>
            <w:shd w:val="clear" w:color="auto" w:fill="auto"/>
            <w:vAlign w:val="center"/>
            <w:hideMark/>
          </w:tcPr>
          <w:p w14:paraId="3DE74F5D" w14:textId="297FDA4E" w:rsidR="008328B9" w:rsidRPr="00314A99" w:rsidRDefault="008328B9" w:rsidP="00314A99">
            <w:pPr>
              <w:spacing w:after="0" w:line="240" w:lineRule="auto"/>
              <w:jc w:val="right"/>
              <w:rPr>
                <w:rFonts w:ascii="Arial" w:eastAsia="Times New Roman" w:hAnsi="Arial" w:cs="Arial"/>
                <w:color w:val="000000"/>
                <w:sz w:val="18"/>
                <w:szCs w:val="18"/>
              </w:rPr>
            </w:pPr>
            <w:r w:rsidRPr="00314A99">
              <w:rPr>
                <w:rFonts w:ascii="Arial" w:eastAsia="Times New Roman" w:hAnsi="Arial" w:cs="Arial"/>
                <w:color w:val="000000"/>
                <w:sz w:val="18"/>
                <w:szCs w:val="18"/>
              </w:rPr>
              <w:t> </w:t>
            </w:r>
            <w:r w:rsidR="00314A99">
              <w:rPr>
                <w:rFonts w:ascii="Arial" w:eastAsia="Times New Roman" w:hAnsi="Arial" w:cs="Arial"/>
                <w:color w:val="000000"/>
                <w:sz w:val="18"/>
                <w:szCs w:val="18"/>
              </w:rPr>
              <w:t>1.299.484</w:t>
            </w:r>
          </w:p>
        </w:tc>
        <w:tc>
          <w:tcPr>
            <w:tcW w:w="634" w:type="pct"/>
            <w:tcBorders>
              <w:top w:val="nil"/>
              <w:left w:val="single" w:sz="8" w:space="0" w:color="auto"/>
              <w:bottom w:val="single" w:sz="8" w:space="0" w:color="000000"/>
              <w:right w:val="single" w:sz="8" w:space="0" w:color="auto"/>
            </w:tcBorders>
            <w:vAlign w:val="center"/>
          </w:tcPr>
          <w:p w14:paraId="75A62D3F" w14:textId="10CFD9E5" w:rsidR="00314A99" w:rsidRPr="00314A99" w:rsidRDefault="00314A99"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14</w:t>
            </w:r>
          </w:p>
        </w:tc>
        <w:tc>
          <w:tcPr>
            <w:tcW w:w="634" w:type="pct"/>
            <w:vMerge/>
            <w:tcBorders>
              <w:top w:val="nil"/>
              <w:left w:val="single" w:sz="8" w:space="0" w:color="auto"/>
              <w:bottom w:val="single" w:sz="8" w:space="0" w:color="000000"/>
              <w:right w:val="single" w:sz="8" w:space="0" w:color="auto"/>
            </w:tcBorders>
            <w:vAlign w:val="center"/>
            <w:hideMark/>
          </w:tcPr>
          <w:p w14:paraId="6DDC7D39" w14:textId="01174B08" w:rsidR="008328B9" w:rsidRPr="00314A99" w:rsidRDefault="008328B9" w:rsidP="008328B9">
            <w:pPr>
              <w:spacing w:after="0" w:line="240" w:lineRule="auto"/>
              <w:rPr>
                <w:rFonts w:ascii="Arial" w:eastAsia="Times New Roman" w:hAnsi="Arial" w:cs="Arial"/>
                <w:color w:val="000000"/>
                <w:sz w:val="18"/>
                <w:szCs w:val="18"/>
              </w:rPr>
            </w:pPr>
          </w:p>
        </w:tc>
      </w:tr>
      <w:tr w:rsidR="008328B9" w:rsidRPr="00B33ED9" w14:paraId="7C0912AA" w14:textId="77777777" w:rsidTr="00BD6B81">
        <w:trPr>
          <w:trHeight w:val="293"/>
        </w:trPr>
        <w:tc>
          <w:tcPr>
            <w:tcW w:w="1695" w:type="pct"/>
            <w:vMerge/>
            <w:tcBorders>
              <w:top w:val="nil"/>
              <w:left w:val="single" w:sz="8" w:space="0" w:color="auto"/>
              <w:bottom w:val="single" w:sz="8" w:space="0" w:color="000000"/>
              <w:right w:val="single" w:sz="8" w:space="0" w:color="000000"/>
            </w:tcBorders>
            <w:vAlign w:val="center"/>
            <w:hideMark/>
          </w:tcPr>
          <w:p w14:paraId="0F20EC18"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591" w:type="pct"/>
            <w:vMerge/>
            <w:tcBorders>
              <w:top w:val="nil"/>
              <w:left w:val="single" w:sz="8" w:space="0" w:color="000000"/>
              <w:bottom w:val="single" w:sz="8" w:space="0" w:color="000000"/>
              <w:right w:val="single" w:sz="8" w:space="0" w:color="000000"/>
            </w:tcBorders>
            <w:vAlign w:val="center"/>
            <w:hideMark/>
          </w:tcPr>
          <w:p w14:paraId="7D0DFC34"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709" w:type="pct"/>
            <w:tcBorders>
              <w:top w:val="nil"/>
              <w:left w:val="nil"/>
              <w:bottom w:val="single" w:sz="8" w:space="0" w:color="auto"/>
              <w:right w:val="single" w:sz="8" w:space="0" w:color="auto"/>
            </w:tcBorders>
            <w:shd w:val="clear" w:color="auto" w:fill="auto"/>
            <w:vAlign w:val="center"/>
            <w:hideMark/>
          </w:tcPr>
          <w:p w14:paraId="1C914C88" w14:textId="3617BA2D" w:rsidR="008328B9" w:rsidRPr="00314A99" w:rsidRDefault="00314A99"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13,75</w:t>
            </w:r>
          </w:p>
        </w:tc>
        <w:tc>
          <w:tcPr>
            <w:tcW w:w="736" w:type="pct"/>
            <w:tcBorders>
              <w:top w:val="nil"/>
              <w:left w:val="nil"/>
              <w:bottom w:val="single" w:sz="8" w:space="0" w:color="auto"/>
              <w:right w:val="single" w:sz="8" w:space="0" w:color="auto"/>
            </w:tcBorders>
            <w:shd w:val="clear" w:color="auto" w:fill="auto"/>
            <w:vAlign w:val="center"/>
            <w:hideMark/>
          </w:tcPr>
          <w:p w14:paraId="0D31B7C7" w14:textId="674AA3FD" w:rsidR="008328B9" w:rsidRPr="00314A99" w:rsidRDefault="00314A99"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(3.790.901)</w:t>
            </w:r>
            <w:r w:rsidR="008328B9" w:rsidRPr="00314A99">
              <w:rPr>
                <w:rFonts w:ascii="Arial" w:eastAsia="Times New Roman" w:hAnsi="Arial" w:cs="Arial"/>
                <w:color w:val="000000"/>
                <w:sz w:val="18"/>
                <w:szCs w:val="18"/>
              </w:rPr>
              <w:t> </w:t>
            </w:r>
          </w:p>
        </w:tc>
        <w:tc>
          <w:tcPr>
            <w:tcW w:w="634" w:type="pct"/>
            <w:tcBorders>
              <w:top w:val="nil"/>
              <w:left w:val="single" w:sz="8" w:space="0" w:color="auto"/>
              <w:bottom w:val="single" w:sz="8" w:space="0" w:color="000000"/>
              <w:right w:val="single" w:sz="8" w:space="0" w:color="auto"/>
            </w:tcBorders>
            <w:vAlign w:val="center"/>
          </w:tcPr>
          <w:p w14:paraId="67E0BAF3" w14:textId="58C7CF0A" w:rsidR="008328B9" w:rsidRPr="00314A99" w:rsidRDefault="00314A99"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w:t>
            </w:r>
          </w:p>
        </w:tc>
        <w:tc>
          <w:tcPr>
            <w:tcW w:w="634" w:type="pct"/>
            <w:vMerge/>
            <w:tcBorders>
              <w:top w:val="nil"/>
              <w:left w:val="single" w:sz="8" w:space="0" w:color="auto"/>
              <w:bottom w:val="single" w:sz="8" w:space="0" w:color="000000"/>
              <w:right w:val="single" w:sz="8" w:space="0" w:color="auto"/>
            </w:tcBorders>
            <w:vAlign w:val="center"/>
            <w:hideMark/>
          </w:tcPr>
          <w:p w14:paraId="476413E0" w14:textId="0322C4B3" w:rsidR="008328B9" w:rsidRPr="00314A99" w:rsidRDefault="008328B9" w:rsidP="008328B9">
            <w:pPr>
              <w:spacing w:after="0" w:line="240" w:lineRule="auto"/>
              <w:rPr>
                <w:rFonts w:ascii="Arial" w:eastAsia="Times New Roman" w:hAnsi="Arial" w:cs="Arial"/>
                <w:color w:val="000000"/>
                <w:sz w:val="18"/>
                <w:szCs w:val="18"/>
              </w:rPr>
            </w:pPr>
          </w:p>
        </w:tc>
      </w:tr>
      <w:tr w:rsidR="008328B9" w:rsidRPr="00B33ED9" w14:paraId="5879CB40" w14:textId="77777777" w:rsidTr="00BD6B81">
        <w:trPr>
          <w:trHeight w:val="293"/>
        </w:trPr>
        <w:tc>
          <w:tcPr>
            <w:tcW w:w="1695" w:type="pct"/>
            <w:vMerge w:val="restart"/>
            <w:tcBorders>
              <w:top w:val="nil"/>
              <w:left w:val="single" w:sz="8" w:space="0" w:color="auto"/>
              <w:bottom w:val="single" w:sz="8" w:space="0" w:color="000000"/>
              <w:right w:val="single" w:sz="8" w:space="0" w:color="000000"/>
            </w:tcBorders>
            <w:shd w:val="clear" w:color="auto" w:fill="auto"/>
            <w:vAlign w:val="center"/>
            <w:hideMark/>
          </w:tcPr>
          <w:p w14:paraId="031E0B28" w14:textId="77777777" w:rsidR="008328B9" w:rsidRPr="00B33ED9" w:rsidRDefault="008328B9" w:rsidP="008328B9">
            <w:pPr>
              <w:spacing w:after="0" w:line="240" w:lineRule="auto"/>
              <w:rPr>
                <w:rFonts w:ascii="Arial" w:eastAsia="Times New Roman" w:hAnsi="Arial" w:cs="Arial"/>
                <w:color w:val="000000"/>
                <w:sz w:val="18"/>
                <w:szCs w:val="18"/>
                <w:lang w:val="es-ES"/>
              </w:rPr>
            </w:pPr>
            <w:r>
              <w:rPr>
                <w:rFonts w:ascii="Arial" w:eastAsia="Times New Roman" w:hAnsi="Arial" w:cs="Arial"/>
                <w:color w:val="000000"/>
                <w:sz w:val="18"/>
                <w:szCs w:val="18"/>
                <w:lang w:val="es-ES"/>
              </w:rPr>
              <w:lastRenderedPageBreak/>
              <w:t>Reducción inicial de las ventas</w:t>
            </w:r>
          </w:p>
        </w:tc>
        <w:tc>
          <w:tcPr>
            <w:tcW w:w="591"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329EB9B3" w14:textId="77777777" w:rsidR="008328B9" w:rsidRPr="00B33ED9" w:rsidRDefault="008328B9" w:rsidP="008328B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66,7%</w:t>
            </w:r>
          </w:p>
        </w:tc>
        <w:tc>
          <w:tcPr>
            <w:tcW w:w="709" w:type="pct"/>
            <w:tcBorders>
              <w:top w:val="nil"/>
              <w:left w:val="nil"/>
              <w:bottom w:val="single" w:sz="8" w:space="0" w:color="auto"/>
              <w:right w:val="single" w:sz="8" w:space="0" w:color="auto"/>
            </w:tcBorders>
            <w:shd w:val="clear" w:color="auto" w:fill="auto"/>
            <w:vAlign w:val="center"/>
            <w:hideMark/>
          </w:tcPr>
          <w:p w14:paraId="0E46DC67" w14:textId="474E1DF9" w:rsidR="008328B9" w:rsidRPr="00314A99" w:rsidRDefault="00314A99"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45</w:t>
            </w:r>
          </w:p>
        </w:tc>
        <w:tc>
          <w:tcPr>
            <w:tcW w:w="736" w:type="pct"/>
            <w:tcBorders>
              <w:top w:val="nil"/>
              <w:left w:val="nil"/>
              <w:bottom w:val="single" w:sz="8" w:space="0" w:color="auto"/>
              <w:right w:val="single" w:sz="8" w:space="0" w:color="auto"/>
            </w:tcBorders>
            <w:shd w:val="clear" w:color="auto" w:fill="auto"/>
            <w:vAlign w:val="center"/>
            <w:hideMark/>
          </w:tcPr>
          <w:p w14:paraId="4F8213C3" w14:textId="07BAAE8E" w:rsidR="008328B9" w:rsidRPr="00314A99" w:rsidRDefault="00314A99"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6.</w:t>
            </w:r>
            <w:r w:rsidR="00BD6B81">
              <w:rPr>
                <w:rFonts w:ascii="Arial" w:eastAsia="Times New Roman" w:hAnsi="Arial" w:cs="Arial"/>
                <w:color w:val="000000"/>
                <w:sz w:val="18"/>
                <w:szCs w:val="18"/>
              </w:rPr>
              <w:t>346.500</w:t>
            </w:r>
            <w:r w:rsidR="008328B9" w:rsidRPr="00314A99">
              <w:rPr>
                <w:rFonts w:ascii="Arial" w:eastAsia="Times New Roman" w:hAnsi="Arial" w:cs="Arial"/>
                <w:color w:val="000000"/>
                <w:sz w:val="18"/>
                <w:szCs w:val="18"/>
              </w:rPr>
              <w:t> </w:t>
            </w:r>
          </w:p>
        </w:tc>
        <w:tc>
          <w:tcPr>
            <w:tcW w:w="634" w:type="pct"/>
            <w:tcBorders>
              <w:top w:val="nil"/>
              <w:left w:val="single" w:sz="8" w:space="0" w:color="auto"/>
              <w:bottom w:val="single" w:sz="8" w:space="0" w:color="000000"/>
              <w:right w:val="single" w:sz="8" w:space="0" w:color="auto"/>
            </w:tcBorders>
            <w:vAlign w:val="center"/>
          </w:tcPr>
          <w:p w14:paraId="0FDDCB82" w14:textId="3719AB57"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24</w:t>
            </w:r>
          </w:p>
        </w:tc>
        <w:tc>
          <w:tcPr>
            <w:tcW w:w="634" w:type="pct"/>
            <w:vMerge w:val="restart"/>
            <w:tcBorders>
              <w:top w:val="nil"/>
              <w:left w:val="single" w:sz="8" w:space="0" w:color="auto"/>
              <w:bottom w:val="single" w:sz="8" w:space="0" w:color="000000"/>
              <w:right w:val="single" w:sz="8" w:space="0" w:color="auto"/>
            </w:tcBorders>
            <w:shd w:val="clear" w:color="auto" w:fill="auto"/>
            <w:vAlign w:val="center"/>
            <w:hideMark/>
          </w:tcPr>
          <w:p w14:paraId="4C3D1075" w14:textId="3AD369AB" w:rsidR="008328B9" w:rsidRPr="00314A99" w:rsidRDefault="00314A99" w:rsidP="008328B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N/A</w:t>
            </w:r>
          </w:p>
        </w:tc>
      </w:tr>
      <w:tr w:rsidR="008328B9" w:rsidRPr="00B33ED9" w14:paraId="6C205F29" w14:textId="77777777" w:rsidTr="00BD6B81">
        <w:trPr>
          <w:trHeight w:val="293"/>
        </w:trPr>
        <w:tc>
          <w:tcPr>
            <w:tcW w:w="1695" w:type="pct"/>
            <w:vMerge/>
            <w:tcBorders>
              <w:top w:val="nil"/>
              <w:left w:val="single" w:sz="8" w:space="0" w:color="auto"/>
              <w:bottom w:val="single" w:sz="8" w:space="0" w:color="000000"/>
              <w:right w:val="single" w:sz="8" w:space="0" w:color="000000"/>
            </w:tcBorders>
            <w:vAlign w:val="center"/>
            <w:hideMark/>
          </w:tcPr>
          <w:p w14:paraId="537749A4"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591" w:type="pct"/>
            <w:vMerge/>
            <w:tcBorders>
              <w:top w:val="nil"/>
              <w:left w:val="single" w:sz="8" w:space="0" w:color="000000"/>
              <w:bottom w:val="single" w:sz="8" w:space="0" w:color="000000"/>
              <w:right w:val="single" w:sz="8" w:space="0" w:color="000000"/>
            </w:tcBorders>
            <w:vAlign w:val="center"/>
            <w:hideMark/>
          </w:tcPr>
          <w:p w14:paraId="2250E7EE"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709" w:type="pct"/>
            <w:tcBorders>
              <w:top w:val="nil"/>
              <w:left w:val="nil"/>
              <w:bottom w:val="single" w:sz="8" w:space="0" w:color="auto"/>
              <w:right w:val="single" w:sz="8" w:space="0" w:color="auto"/>
            </w:tcBorders>
            <w:shd w:val="clear" w:color="auto" w:fill="auto"/>
            <w:vAlign w:val="center"/>
            <w:hideMark/>
          </w:tcPr>
          <w:p w14:paraId="14DE56A7" w14:textId="1AE0BA31" w:rsidR="008328B9" w:rsidRPr="00314A99" w:rsidRDefault="00314A99"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70</w:t>
            </w:r>
          </w:p>
        </w:tc>
        <w:tc>
          <w:tcPr>
            <w:tcW w:w="736" w:type="pct"/>
            <w:tcBorders>
              <w:top w:val="nil"/>
              <w:left w:val="nil"/>
              <w:bottom w:val="single" w:sz="8" w:space="0" w:color="auto"/>
              <w:right w:val="single" w:sz="8" w:space="0" w:color="auto"/>
            </w:tcBorders>
            <w:shd w:val="clear" w:color="auto" w:fill="auto"/>
            <w:vAlign w:val="center"/>
            <w:hideMark/>
          </w:tcPr>
          <w:p w14:paraId="30AEF932" w14:textId="67163C79" w:rsidR="008328B9" w:rsidRPr="00314A99"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3.476.591</w:t>
            </w:r>
            <w:r w:rsidR="008328B9" w:rsidRPr="00314A99">
              <w:rPr>
                <w:rFonts w:ascii="Arial" w:eastAsia="Times New Roman" w:hAnsi="Arial" w:cs="Arial"/>
                <w:color w:val="000000"/>
                <w:sz w:val="18"/>
                <w:szCs w:val="18"/>
              </w:rPr>
              <w:t> </w:t>
            </w:r>
          </w:p>
        </w:tc>
        <w:tc>
          <w:tcPr>
            <w:tcW w:w="634" w:type="pct"/>
            <w:tcBorders>
              <w:top w:val="nil"/>
              <w:left w:val="single" w:sz="8" w:space="0" w:color="auto"/>
              <w:bottom w:val="single" w:sz="8" w:space="0" w:color="000000"/>
              <w:right w:val="single" w:sz="8" w:space="0" w:color="auto"/>
            </w:tcBorders>
            <w:vAlign w:val="center"/>
          </w:tcPr>
          <w:p w14:paraId="68AC81A9" w14:textId="2E024830"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18</w:t>
            </w:r>
          </w:p>
        </w:tc>
        <w:tc>
          <w:tcPr>
            <w:tcW w:w="634" w:type="pct"/>
            <w:vMerge/>
            <w:tcBorders>
              <w:top w:val="nil"/>
              <w:left w:val="single" w:sz="8" w:space="0" w:color="auto"/>
              <w:bottom w:val="single" w:sz="8" w:space="0" w:color="000000"/>
              <w:right w:val="single" w:sz="8" w:space="0" w:color="auto"/>
            </w:tcBorders>
            <w:vAlign w:val="center"/>
            <w:hideMark/>
          </w:tcPr>
          <w:p w14:paraId="439AB34E" w14:textId="4AD501A2" w:rsidR="008328B9" w:rsidRPr="00314A99" w:rsidRDefault="008328B9" w:rsidP="008328B9">
            <w:pPr>
              <w:spacing w:after="0" w:line="240" w:lineRule="auto"/>
              <w:rPr>
                <w:rFonts w:ascii="Arial" w:eastAsia="Times New Roman" w:hAnsi="Arial" w:cs="Arial"/>
                <w:color w:val="000000"/>
                <w:sz w:val="18"/>
                <w:szCs w:val="18"/>
              </w:rPr>
            </w:pPr>
          </w:p>
        </w:tc>
      </w:tr>
      <w:tr w:rsidR="008328B9" w:rsidRPr="00B33ED9" w14:paraId="201F5202" w14:textId="77777777" w:rsidTr="00BD6B81">
        <w:trPr>
          <w:trHeight w:val="293"/>
        </w:trPr>
        <w:tc>
          <w:tcPr>
            <w:tcW w:w="1695" w:type="pct"/>
            <w:vMerge/>
            <w:tcBorders>
              <w:top w:val="nil"/>
              <w:left w:val="single" w:sz="8" w:space="0" w:color="auto"/>
              <w:bottom w:val="single" w:sz="8" w:space="0" w:color="000000"/>
              <w:right w:val="single" w:sz="8" w:space="0" w:color="000000"/>
            </w:tcBorders>
            <w:vAlign w:val="center"/>
            <w:hideMark/>
          </w:tcPr>
          <w:p w14:paraId="30EF8F12"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591" w:type="pct"/>
            <w:vMerge/>
            <w:tcBorders>
              <w:top w:val="nil"/>
              <w:left w:val="single" w:sz="8" w:space="0" w:color="000000"/>
              <w:bottom w:val="single" w:sz="8" w:space="0" w:color="000000"/>
              <w:right w:val="single" w:sz="8" w:space="0" w:color="000000"/>
            </w:tcBorders>
            <w:vAlign w:val="center"/>
            <w:hideMark/>
          </w:tcPr>
          <w:p w14:paraId="71508405"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709" w:type="pct"/>
            <w:tcBorders>
              <w:top w:val="nil"/>
              <w:left w:val="nil"/>
              <w:bottom w:val="single" w:sz="8" w:space="0" w:color="auto"/>
              <w:right w:val="single" w:sz="8" w:space="0" w:color="auto"/>
            </w:tcBorders>
            <w:shd w:val="clear" w:color="auto" w:fill="auto"/>
            <w:vAlign w:val="center"/>
            <w:hideMark/>
          </w:tcPr>
          <w:p w14:paraId="38E5B5E5" w14:textId="3A53B062" w:rsidR="008328B9" w:rsidRPr="00314A99" w:rsidRDefault="00314A99"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80</w:t>
            </w:r>
          </w:p>
        </w:tc>
        <w:tc>
          <w:tcPr>
            <w:tcW w:w="736" w:type="pct"/>
            <w:tcBorders>
              <w:top w:val="nil"/>
              <w:left w:val="nil"/>
              <w:bottom w:val="single" w:sz="8" w:space="0" w:color="auto"/>
              <w:right w:val="single" w:sz="8" w:space="0" w:color="auto"/>
            </w:tcBorders>
            <w:shd w:val="clear" w:color="auto" w:fill="auto"/>
            <w:vAlign w:val="center"/>
            <w:hideMark/>
          </w:tcPr>
          <w:p w14:paraId="5F7FD241" w14:textId="24D68B54" w:rsidR="008328B9" w:rsidRPr="00314A99"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2.328.627</w:t>
            </w:r>
          </w:p>
        </w:tc>
        <w:tc>
          <w:tcPr>
            <w:tcW w:w="634" w:type="pct"/>
            <w:tcBorders>
              <w:top w:val="nil"/>
              <w:left w:val="single" w:sz="8" w:space="0" w:color="auto"/>
              <w:bottom w:val="single" w:sz="8" w:space="0" w:color="000000"/>
              <w:right w:val="single" w:sz="8" w:space="0" w:color="auto"/>
            </w:tcBorders>
            <w:vAlign w:val="center"/>
          </w:tcPr>
          <w:p w14:paraId="6EB1D60D" w14:textId="3AF14272"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16</w:t>
            </w:r>
          </w:p>
        </w:tc>
        <w:tc>
          <w:tcPr>
            <w:tcW w:w="634" w:type="pct"/>
            <w:vMerge/>
            <w:tcBorders>
              <w:top w:val="nil"/>
              <w:left w:val="single" w:sz="8" w:space="0" w:color="auto"/>
              <w:bottom w:val="single" w:sz="8" w:space="0" w:color="000000"/>
              <w:right w:val="single" w:sz="8" w:space="0" w:color="auto"/>
            </w:tcBorders>
            <w:vAlign w:val="center"/>
            <w:hideMark/>
          </w:tcPr>
          <w:p w14:paraId="45B1ED11" w14:textId="3CF71A1E" w:rsidR="008328B9" w:rsidRPr="00314A99" w:rsidRDefault="008328B9" w:rsidP="008328B9">
            <w:pPr>
              <w:spacing w:after="0" w:line="240" w:lineRule="auto"/>
              <w:rPr>
                <w:rFonts w:ascii="Arial" w:eastAsia="Times New Roman" w:hAnsi="Arial" w:cs="Arial"/>
                <w:color w:val="000000"/>
                <w:sz w:val="18"/>
                <w:szCs w:val="18"/>
              </w:rPr>
            </w:pPr>
          </w:p>
        </w:tc>
      </w:tr>
      <w:tr w:rsidR="008328B9" w:rsidRPr="00B33ED9" w14:paraId="3228C6BF" w14:textId="77777777" w:rsidTr="00BD6B81">
        <w:trPr>
          <w:trHeight w:val="293"/>
        </w:trPr>
        <w:tc>
          <w:tcPr>
            <w:tcW w:w="1695" w:type="pct"/>
            <w:vMerge w:val="restart"/>
            <w:tcBorders>
              <w:top w:val="nil"/>
              <w:left w:val="single" w:sz="8" w:space="0" w:color="auto"/>
              <w:bottom w:val="single" w:sz="8" w:space="0" w:color="000000"/>
              <w:right w:val="single" w:sz="8" w:space="0" w:color="000000"/>
            </w:tcBorders>
            <w:shd w:val="clear" w:color="auto" w:fill="auto"/>
            <w:vAlign w:val="center"/>
            <w:hideMark/>
          </w:tcPr>
          <w:p w14:paraId="6C99D24B" w14:textId="77777777" w:rsidR="008328B9" w:rsidRPr="00B33ED9" w:rsidRDefault="008328B9" w:rsidP="008328B9">
            <w:pPr>
              <w:spacing w:after="0" w:line="240" w:lineRule="auto"/>
              <w:rPr>
                <w:rFonts w:ascii="Arial" w:eastAsia="Times New Roman" w:hAnsi="Arial" w:cs="Arial"/>
                <w:color w:val="000000"/>
                <w:sz w:val="18"/>
                <w:szCs w:val="18"/>
                <w:lang w:val="es-ES"/>
              </w:rPr>
            </w:pPr>
            <w:r>
              <w:rPr>
                <w:rFonts w:ascii="Arial" w:eastAsia="Times New Roman" w:hAnsi="Arial" w:cs="Arial"/>
                <w:color w:val="000000"/>
                <w:sz w:val="18"/>
                <w:szCs w:val="18"/>
                <w:lang w:val="es-ES"/>
              </w:rPr>
              <w:t>Número de años de desempleo durante la crisis</w:t>
            </w:r>
          </w:p>
        </w:tc>
        <w:tc>
          <w:tcPr>
            <w:tcW w:w="591"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64257098" w14:textId="77777777" w:rsidR="008328B9" w:rsidRPr="00B33ED9" w:rsidRDefault="008328B9" w:rsidP="008328B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w:t>
            </w:r>
          </w:p>
        </w:tc>
        <w:tc>
          <w:tcPr>
            <w:tcW w:w="709" w:type="pct"/>
            <w:tcBorders>
              <w:top w:val="nil"/>
              <w:left w:val="nil"/>
              <w:bottom w:val="single" w:sz="8" w:space="0" w:color="auto"/>
              <w:right w:val="single" w:sz="8" w:space="0" w:color="auto"/>
            </w:tcBorders>
            <w:shd w:val="clear" w:color="auto" w:fill="auto"/>
            <w:vAlign w:val="center"/>
            <w:hideMark/>
          </w:tcPr>
          <w:p w14:paraId="0B5D600C" w14:textId="38AA10D3"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0,275</w:t>
            </w:r>
          </w:p>
        </w:tc>
        <w:tc>
          <w:tcPr>
            <w:tcW w:w="736" w:type="pct"/>
            <w:tcBorders>
              <w:top w:val="nil"/>
              <w:left w:val="nil"/>
              <w:bottom w:val="single" w:sz="8" w:space="0" w:color="auto"/>
              <w:right w:val="single" w:sz="8" w:space="0" w:color="auto"/>
            </w:tcBorders>
            <w:shd w:val="clear" w:color="auto" w:fill="auto"/>
            <w:vAlign w:val="center"/>
            <w:hideMark/>
          </w:tcPr>
          <w:p w14:paraId="183A6442" w14:textId="3143A731" w:rsidR="008328B9" w:rsidRPr="00314A99"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3.077.424</w:t>
            </w:r>
            <w:r w:rsidR="008328B9" w:rsidRPr="00314A99">
              <w:rPr>
                <w:rFonts w:ascii="Arial" w:eastAsia="Times New Roman" w:hAnsi="Arial" w:cs="Arial"/>
                <w:color w:val="000000"/>
                <w:sz w:val="18"/>
                <w:szCs w:val="18"/>
              </w:rPr>
              <w:t> </w:t>
            </w:r>
          </w:p>
        </w:tc>
        <w:tc>
          <w:tcPr>
            <w:tcW w:w="634" w:type="pct"/>
            <w:tcBorders>
              <w:top w:val="nil"/>
              <w:left w:val="single" w:sz="8" w:space="0" w:color="auto"/>
              <w:bottom w:val="single" w:sz="8" w:space="0" w:color="000000"/>
              <w:right w:val="single" w:sz="8" w:space="0" w:color="auto"/>
            </w:tcBorders>
            <w:vAlign w:val="center"/>
          </w:tcPr>
          <w:p w14:paraId="01A5B9D6" w14:textId="298F183C"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17</w:t>
            </w:r>
          </w:p>
        </w:tc>
        <w:tc>
          <w:tcPr>
            <w:tcW w:w="634" w:type="pct"/>
            <w:vMerge w:val="restart"/>
            <w:tcBorders>
              <w:top w:val="nil"/>
              <w:left w:val="single" w:sz="8" w:space="0" w:color="auto"/>
              <w:bottom w:val="single" w:sz="8" w:space="0" w:color="000000"/>
              <w:right w:val="single" w:sz="8" w:space="0" w:color="auto"/>
            </w:tcBorders>
            <w:shd w:val="clear" w:color="auto" w:fill="auto"/>
            <w:vAlign w:val="center"/>
            <w:hideMark/>
          </w:tcPr>
          <w:p w14:paraId="1324FEC9" w14:textId="376D92CE" w:rsidR="008328B9" w:rsidRPr="00314A99" w:rsidRDefault="008328B9" w:rsidP="008328B9">
            <w:pPr>
              <w:spacing w:after="0" w:line="240" w:lineRule="auto"/>
              <w:jc w:val="center"/>
              <w:rPr>
                <w:rFonts w:ascii="Arial" w:eastAsia="Times New Roman" w:hAnsi="Arial" w:cs="Arial"/>
                <w:color w:val="000000"/>
                <w:sz w:val="18"/>
                <w:szCs w:val="18"/>
              </w:rPr>
            </w:pPr>
            <w:r w:rsidRPr="00314A99">
              <w:rPr>
                <w:rFonts w:ascii="Arial" w:eastAsia="Times New Roman" w:hAnsi="Arial" w:cs="Arial"/>
                <w:color w:val="000000"/>
                <w:sz w:val="18"/>
                <w:szCs w:val="18"/>
              </w:rPr>
              <w:t>N/A </w:t>
            </w:r>
          </w:p>
        </w:tc>
      </w:tr>
      <w:tr w:rsidR="008328B9" w:rsidRPr="00B33ED9" w14:paraId="1F723EFA" w14:textId="77777777" w:rsidTr="00BD6B81">
        <w:trPr>
          <w:trHeight w:val="293"/>
        </w:trPr>
        <w:tc>
          <w:tcPr>
            <w:tcW w:w="1695" w:type="pct"/>
            <w:vMerge/>
            <w:tcBorders>
              <w:top w:val="nil"/>
              <w:left w:val="single" w:sz="8" w:space="0" w:color="auto"/>
              <w:bottom w:val="single" w:sz="8" w:space="0" w:color="000000"/>
              <w:right w:val="single" w:sz="8" w:space="0" w:color="000000"/>
            </w:tcBorders>
            <w:vAlign w:val="center"/>
            <w:hideMark/>
          </w:tcPr>
          <w:p w14:paraId="615D492E"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591" w:type="pct"/>
            <w:vMerge/>
            <w:tcBorders>
              <w:top w:val="nil"/>
              <w:left w:val="single" w:sz="8" w:space="0" w:color="000000"/>
              <w:bottom w:val="single" w:sz="8" w:space="0" w:color="000000"/>
              <w:right w:val="single" w:sz="8" w:space="0" w:color="000000"/>
            </w:tcBorders>
            <w:vAlign w:val="center"/>
            <w:hideMark/>
          </w:tcPr>
          <w:p w14:paraId="52CD419A"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709" w:type="pct"/>
            <w:tcBorders>
              <w:top w:val="nil"/>
              <w:left w:val="nil"/>
              <w:bottom w:val="single" w:sz="8" w:space="0" w:color="auto"/>
              <w:right w:val="single" w:sz="8" w:space="0" w:color="auto"/>
            </w:tcBorders>
            <w:shd w:val="clear" w:color="auto" w:fill="auto"/>
            <w:vAlign w:val="center"/>
            <w:hideMark/>
          </w:tcPr>
          <w:p w14:paraId="275A8D42" w14:textId="7EBDE967"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0,5</w:t>
            </w:r>
          </w:p>
        </w:tc>
        <w:tc>
          <w:tcPr>
            <w:tcW w:w="736" w:type="pct"/>
            <w:tcBorders>
              <w:top w:val="nil"/>
              <w:left w:val="nil"/>
              <w:bottom w:val="single" w:sz="8" w:space="0" w:color="auto"/>
              <w:right w:val="single" w:sz="8" w:space="0" w:color="auto"/>
            </w:tcBorders>
            <w:shd w:val="clear" w:color="auto" w:fill="auto"/>
            <w:vAlign w:val="center"/>
            <w:hideMark/>
          </w:tcPr>
          <w:p w14:paraId="57E9EE6C" w14:textId="07D067B0" w:rsidR="008328B9" w:rsidRPr="00314A99"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3.319.939</w:t>
            </w:r>
            <w:r w:rsidR="008328B9" w:rsidRPr="00314A99">
              <w:rPr>
                <w:rFonts w:ascii="Arial" w:eastAsia="Times New Roman" w:hAnsi="Arial" w:cs="Arial"/>
                <w:color w:val="000000"/>
                <w:sz w:val="18"/>
                <w:szCs w:val="18"/>
              </w:rPr>
              <w:t> </w:t>
            </w:r>
          </w:p>
        </w:tc>
        <w:tc>
          <w:tcPr>
            <w:tcW w:w="634" w:type="pct"/>
            <w:tcBorders>
              <w:top w:val="nil"/>
              <w:left w:val="single" w:sz="8" w:space="0" w:color="auto"/>
              <w:bottom w:val="single" w:sz="8" w:space="0" w:color="000000"/>
              <w:right w:val="single" w:sz="8" w:space="0" w:color="auto"/>
            </w:tcBorders>
            <w:vAlign w:val="center"/>
          </w:tcPr>
          <w:p w14:paraId="4D52509C" w14:textId="1EA3E4F9"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17</w:t>
            </w:r>
          </w:p>
        </w:tc>
        <w:tc>
          <w:tcPr>
            <w:tcW w:w="634" w:type="pct"/>
            <w:vMerge/>
            <w:tcBorders>
              <w:top w:val="nil"/>
              <w:left w:val="single" w:sz="8" w:space="0" w:color="auto"/>
              <w:bottom w:val="single" w:sz="8" w:space="0" w:color="000000"/>
              <w:right w:val="single" w:sz="8" w:space="0" w:color="auto"/>
            </w:tcBorders>
            <w:vAlign w:val="center"/>
            <w:hideMark/>
          </w:tcPr>
          <w:p w14:paraId="446C9015" w14:textId="4DD707C8" w:rsidR="008328B9" w:rsidRPr="00314A99" w:rsidRDefault="008328B9" w:rsidP="008328B9">
            <w:pPr>
              <w:spacing w:after="0" w:line="240" w:lineRule="auto"/>
              <w:rPr>
                <w:rFonts w:ascii="Arial" w:eastAsia="Times New Roman" w:hAnsi="Arial" w:cs="Arial"/>
                <w:color w:val="000000"/>
                <w:sz w:val="18"/>
                <w:szCs w:val="18"/>
              </w:rPr>
            </w:pPr>
          </w:p>
        </w:tc>
      </w:tr>
      <w:tr w:rsidR="008328B9" w:rsidRPr="00B33ED9" w14:paraId="5AC4A79C" w14:textId="77777777" w:rsidTr="00BD6B81">
        <w:trPr>
          <w:trHeight w:val="293"/>
        </w:trPr>
        <w:tc>
          <w:tcPr>
            <w:tcW w:w="1695" w:type="pct"/>
            <w:vMerge/>
            <w:tcBorders>
              <w:top w:val="nil"/>
              <w:left w:val="single" w:sz="8" w:space="0" w:color="auto"/>
              <w:bottom w:val="single" w:sz="8" w:space="0" w:color="000000"/>
              <w:right w:val="single" w:sz="8" w:space="0" w:color="000000"/>
            </w:tcBorders>
            <w:vAlign w:val="center"/>
            <w:hideMark/>
          </w:tcPr>
          <w:p w14:paraId="7CE6ACFF"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591" w:type="pct"/>
            <w:vMerge/>
            <w:tcBorders>
              <w:top w:val="nil"/>
              <w:left w:val="single" w:sz="8" w:space="0" w:color="000000"/>
              <w:bottom w:val="single" w:sz="8" w:space="0" w:color="000000"/>
              <w:right w:val="single" w:sz="8" w:space="0" w:color="000000"/>
            </w:tcBorders>
            <w:vAlign w:val="center"/>
            <w:hideMark/>
          </w:tcPr>
          <w:p w14:paraId="3887AAF9"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709" w:type="pct"/>
            <w:tcBorders>
              <w:top w:val="nil"/>
              <w:left w:val="nil"/>
              <w:bottom w:val="single" w:sz="8" w:space="0" w:color="auto"/>
              <w:right w:val="single" w:sz="8" w:space="0" w:color="auto"/>
            </w:tcBorders>
            <w:shd w:val="clear" w:color="auto" w:fill="auto"/>
            <w:vAlign w:val="center"/>
            <w:hideMark/>
          </w:tcPr>
          <w:p w14:paraId="47B6E182" w14:textId="28A1FED0"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1,5</w:t>
            </w:r>
          </w:p>
        </w:tc>
        <w:tc>
          <w:tcPr>
            <w:tcW w:w="736" w:type="pct"/>
            <w:tcBorders>
              <w:top w:val="nil"/>
              <w:left w:val="nil"/>
              <w:bottom w:val="single" w:sz="8" w:space="0" w:color="auto"/>
              <w:right w:val="single" w:sz="8" w:space="0" w:color="auto"/>
            </w:tcBorders>
            <w:shd w:val="clear" w:color="auto" w:fill="auto"/>
            <w:vAlign w:val="center"/>
            <w:hideMark/>
          </w:tcPr>
          <w:p w14:paraId="4DF603E7" w14:textId="3C17C998" w:rsidR="008328B9" w:rsidRPr="00314A99"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4.397.786</w:t>
            </w:r>
            <w:r w:rsidR="008328B9" w:rsidRPr="00314A99">
              <w:rPr>
                <w:rFonts w:ascii="Arial" w:eastAsia="Times New Roman" w:hAnsi="Arial" w:cs="Arial"/>
                <w:color w:val="000000"/>
                <w:sz w:val="18"/>
                <w:szCs w:val="18"/>
              </w:rPr>
              <w:t> </w:t>
            </w:r>
          </w:p>
        </w:tc>
        <w:tc>
          <w:tcPr>
            <w:tcW w:w="634" w:type="pct"/>
            <w:tcBorders>
              <w:top w:val="nil"/>
              <w:left w:val="single" w:sz="8" w:space="0" w:color="auto"/>
              <w:bottom w:val="single" w:sz="8" w:space="0" w:color="000000"/>
              <w:right w:val="single" w:sz="8" w:space="0" w:color="auto"/>
            </w:tcBorders>
            <w:vAlign w:val="center"/>
          </w:tcPr>
          <w:p w14:paraId="01B05F9D" w14:textId="77F80819"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19</w:t>
            </w:r>
          </w:p>
        </w:tc>
        <w:tc>
          <w:tcPr>
            <w:tcW w:w="634" w:type="pct"/>
            <w:vMerge/>
            <w:tcBorders>
              <w:top w:val="nil"/>
              <w:left w:val="single" w:sz="8" w:space="0" w:color="auto"/>
              <w:bottom w:val="single" w:sz="8" w:space="0" w:color="000000"/>
              <w:right w:val="single" w:sz="8" w:space="0" w:color="auto"/>
            </w:tcBorders>
            <w:vAlign w:val="center"/>
            <w:hideMark/>
          </w:tcPr>
          <w:p w14:paraId="7200A04A" w14:textId="69EB4484" w:rsidR="008328B9" w:rsidRPr="00314A99" w:rsidRDefault="008328B9" w:rsidP="008328B9">
            <w:pPr>
              <w:spacing w:after="0" w:line="240" w:lineRule="auto"/>
              <w:rPr>
                <w:rFonts w:ascii="Arial" w:eastAsia="Times New Roman" w:hAnsi="Arial" w:cs="Arial"/>
                <w:color w:val="000000"/>
                <w:sz w:val="18"/>
                <w:szCs w:val="18"/>
              </w:rPr>
            </w:pPr>
          </w:p>
        </w:tc>
      </w:tr>
      <w:tr w:rsidR="008328B9" w:rsidRPr="00B33ED9" w14:paraId="38181997" w14:textId="77777777" w:rsidTr="00BD6B81">
        <w:trPr>
          <w:trHeight w:val="293"/>
        </w:trPr>
        <w:tc>
          <w:tcPr>
            <w:tcW w:w="1695" w:type="pct"/>
            <w:vMerge w:val="restart"/>
            <w:tcBorders>
              <w:top w:val="nil"/>
              <w:left w:val="single" w:sz="8" w:space="0" w:color="auto"/>
              <w:bottom w:val="single" w:sz="8" w:space="0" w:color="000000"/>
              <w:right w:val="single" w:sz="8" w:space="0" w:color="000000"/>
            </w:tcBorders>
            <w:shd w:val="clear" w:color="auto" w:fill="auto"/>
            <w:vAlign w:val="center"/>
            <w:hideMark/>
          </w:tcPr>
          <w:p w14:paraId="54805D7F" w14:textId="77777777" w:rsidR="008328B9" w:rsidRPr="00B33ED9" w:rsidRDefault="008328B9" w:rsidP="008328B9">
            <w:pPr>
              <w:spacing w:after="0" w:line="240" w:lineRule="auto"/>
              <w:rPr>
                <w:rFonts w:ascii="Arial" w:eastAsia="Times New Roman" w:hAnsi="Arial" w:cs="Arial"/>
                <w:color w:val="000000"/>
                <w:sz w:val="18"/>
                <w:szCs w:val="18"/>
                <w:lang w:val="es-ES"/>
              </w:rPr>
            </w:pPr>
            <w:r>
              <w:rPr>
                <w:rFonts w:ascii="Arial" w:eastAsia="Times New Roman" w:hAnsi="Arial" w:cs="Arial"/>
                <w:color w:val="000000"/>
                <w:sz w:val="18"/>
                <w:szCs w:val="18"/>
                <w:lang w:val="es-ES"/>
              </w:rPr>
              <w:t>Empleados promedio</w:t>
            </w:r>
          </w:p>
        </w:tc>
        <w:tc>
          <w:tcPr>
            <w:tcW w:w="591"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5B8FA475" w14:textId="77777777" w:rsidR="008328B9" w:rsidRPr="00B33ED9" w:rsidRDefault="008328B9" w:rsidP="008328B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8</w:t>
            </w:r>
          </w:p>
        </w:tc>
        <w:tc>
          <w:tcPr>
            <w:tcW w:w="709" w:type="pct"/>
            <w:tcBorders>
              <w:top w:val="nil"/>
              <w:left w:val="nil"/>
              <w:bottom w:val="single" w:sz="8" w:space="0" w:color="auto"/>
              <w:right w:val="single" w:sz="8" w:space="0" w:color="auto"/>
            </w:tcBorders>
            <w:shd w:val="clear" w:color="auto" w:fill="auto"/>
            <w:vAlign w:val="center"/>
            <w:hideMark/>
          </w:tcPr>
          <w:p w14:paraId="30A4F5BF" w14:textId="6353311C"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4</w:t>
            </w:r>
          </w:p>
        </w:tc>
        <w:tc>
          <w:tcPr>
            <w:tcW w:w="736" w:type="pct"/>
            <w:tcBorders>
              <w:top w:val="nil"/>
              <w:left w:val="nil"/>
              <w:bottom w:val="single" w:sz="8" w:space="0" w:color="auto"/>
              <w:right w:val="single" w:sz="8" w:space="0" w:color="auto"/>
            </w:tcBorders>
            <w:shd w:val="clear" w:color="auto" w:fill="auto"/>
            <w:vAlign w:val="center"/>
            <w:hideMark/>
          </w:tcPr>
          <w:p w14:paraId="437460AD" w14:textId="39030B88" w:rsidR="008328B9" w:rsidRPr="00314A99"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2.967.403</w:t>
            </w:r>
            <w:r w:rsidR="008328B9" w:rsidRPr="00314A99">
              <w:rPr>
                <w:rFonts w:ascii="Arial" w:eastAsia="Times New Roman" w:hAnsi="Arial" w:cs="Arial"/>
                <w:color w:val="000000"/>
                <w:sz w:val="18"/>
                <w:szCs w:val="18"/>
              </w:rPr>
              <w:t> </w:t>
            </w:r>
          </w:p>
        </w:tc>
        <w:tc>
          <w:tcPr>
            <w:tcW w:w="634" w:type="pct"/>
            <w:tcBorders>
              <w:top w:val="nil"/>
              <w:left w:val="single" w:sz="8" w:space="0" w:color="auto"/>
              <w:bottom w:val="single" w:sz="8" w:space="0" w:color="000000"/>
              <w:right w:val="single" w:sz="8" w:space="0" w:color="auto"/>
            </w:tcBorders>
            <w:vAlign w:val="center"/>
          </w:tcPr>
          <w:p w14:paraId="7C854D2E" w14:textId="5B003A89"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17</w:t>
            </w:r>
          </w:p>
        </w:tc>
        <w:tc>
          <w:tcPr>
            <w:tcW w:w="634" w:type="pct"/>
            <w:vMerge w:val="restart"/>
            <w:tcBorders>
              <w:top w:val="nil"/>
              <w:left w:val="single" w:sz="8" w:space="0" w:color="auto"/>
              <w:bottom w:val="single" w:sz="8" w:space="0" w:color="000000"/>
              <w:right w:val="single" w:sz="8" w:space="0" w:color="auto"/>
            </w:tcBorders>
            <w:shd w:val="clear" w:color="auto" w:fill="auto"/>
            <w:vAlign w:val="center"/>
            <w:hideMark/>
          </w:tcPr>
          <w:p w14:paraId="62ADA0D7" w14:textId="2C48B645" w:rsidR="008328B9" w:rsidRPr="00314A99" w:rsidRDefault="008328B9" w:rsidP="008328B9">
            <w:pPr>
              <w:spacing w:after="0" w:line="240" w:lineRule="auto"/>
              <w:jc w:val="center"/>
              <w:rPr>
                <w:rFonts w:ascii="Arial" w:eastAsia="Times New Roman" w:hAnsi="Arial" w:cs="Arial"/>
                <w:color w:val="000000"/>
                <w:sz w:val="18"/>
                <w:szCs w:val="18"/>
              </w:rPr>
            </w:pPr>
            <w:r w:rsidRPr="00314A99">
              <w:rPr>
                <w:rFonts w:ascii="Arial" w:eastAsia="Times New Roman" w:hAnsi="Arial" w:cs="Arial"/>
                <w:color w:val="000000"/>
                <w:sz w:val="18"/>
                <w:szCs w:val="18"/>
              </w:rPr>
              <w:t> N/A </w:t>
            </w:r>
          </w:p>
        </w:tc>
      </w:tr>
      <w:tr w:rsidR="008328B9" w:rsidRPr="00B33ED9" w14:paraId="6878EB87" w14:textId="77777777" w:rsidTr="00BD6B81">
        <w:trPr>
          <w:trHeight w:val="293"/>
        </w:trPr>
        <w:tc>
          <w:tcPr>
            <w:tcW w:w="1695" w:type="pct"/>
            <w:vMerge/>
            <w:tcBorders>
              <w:top w:val="nil"/>
              <w:left w:val="single" w:sz="8" w:space="0" w:color="auto"/>
              <w:bottom w:val="single" w:sz="8" w:space="0" w:color="000000"/>
              <w:right w:val="single" w:sz="8" w:space="0" w:color="000000"/>
            </w:tcBorders>
            <w:vAlign w:val="center"/>
            <w:hideMark/>
          </w:tcPr>
          <w:p w14:paraId="0F9A8D3A"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591" w:type="pct"/>
            <w:vMerge/>
            <w:tcBorders>
              <w:top w:val="nil"/>
              <w:left w:val="single" w:sz="8" w:space="0" w:color="000000"/>
              <w:bottom w:val="single" w:sz="8" w:space="0" w:color="000000"/>
              <w:right w:val="single" w:sz="8" w:space="0" w:color="000000"/>
            </w:tcBorders>
            <w:vAlign w:val="center"/>
            <w:hideMark/>
          </w:tcPr>
          <w:p w14:paraId="3728959B"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709" w:type="pct"/>
            <w:tcBorders>
              <w:top w:val="nil"/>
              <w:left w:val="nil"/>
              <w:bottom w:val="single" w:sz="8" w:space="0" w:color="auto"/>
              <w:right w:val="single" w:sz="8" w:space="0" w:color="auto"/>
            </w:tcBorders>
            <w:shd w:val="clear" w:color="auto" w:fill="auto"/>
            <w:vAlign w:val="center"/>
            <w:hideMark/>
          </w:tcPr>
          <w:p w14:paraId="2B00233E" w14:textId="098FE215"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6</w:t>
            </w:r>
          </w:p>
        </w:tc>
        <w:tc>
          <w:tcPr>
            <w:tcW w:w="736" w:type="pct"/>
            <w:tcBorders>
              <w:top w:val="nil"/>
              <w:left w:val="nil"/>
              <w:bottom w:val="single" w:sz="8" w:space="0" w:color="auto"/>
              <w:right w:val="single" w:sz="8" w:space="0" w:color="auto"/>
            </w:tcBorders>
            <w:shd w:val="clear" w:color="auto" w:fill="auto"/>
            <w:vAlign w:val="center"/>
            <w:hideMark/>
          </w:tcPr>
          <w:p w14:paraId="3F54C363" w14:textId="596DC83E" w:rsidR="008328B9" w:rsidRPr="00314A99"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3.413.133</w:t>
            </w:r>
            <w:r w:rsidR="008328B9" w:rsidRPr="00314A99">
              <w:rPr>
                <w:rFonts w:ascii="Arial" w:eastAsia="Times New Roman" w:hAnsi="Arial" w:cs="Arial"/>
                <w:color w:val="000000"/>
                <w:sz w:val="18"/>
                <w:szCs w:val="18"/>
              </w:rPr>
              <w:t> </w:t>
            </w:r>
          </w:p>
        </w:tc>
        <w:tc>
          <w:tcPr>
            <w:tcW w:w="634" w:type="pct"/>
            <w:tcBorders>
              <w:top w:val="nil"/>
              <w:left w:val="single" w:sz="8" w:space="0" w:color="auto"/>
              <w:bottom w:val="single" w:sz="8" w:space="0" w:color="000000"/>
              <w:right w:val="single" w:sz="8" w:space="0" w:color="auto"/>
            </w:tcBorders>
            <w:vAlign w:val="center"/>
          </w:tcPr>
          <w:p w14:paraId="048545A0" w14:textId="36B124F5"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18</w:t>
            </w:r>
          </w:p>
        </w:tc>
        <w:tc>
          <w:tcPr>
            <w:tcW w:w="634" w:type="pct"/>
            <w:vMerge/>
            <w:tcBorders>
              <w:top w:val="nil"/>
              <w:left w:val="single" w:sz="8" w:space="0" w:color="auto"/>
              <w:bottom w:val="single" w:sz="8" w:space="0" w:color="000000"/>
              <w:right w:val="single" w:sz="8" w:space="0" w:color="auto"/>
            </w:tcBorders>
            <w:vAlign w:val="center"/>
            <w:hideMark/>
          </w:tcPr>
          <w:p w14:paraId="31D879D8" w14:textId="20EECEEE" w:rsidR="008328B9" w:rsidRPr="00314A99" w:rsidRDefault="008328B9" w:rsidP="008328B9">
            <w:pPr>
              <w:spacing w:after="0" w:line="240" w:lineRule="auto"/>
              <w:rPr>
                <w:rFonts w:ascii="Arial" w:eastAsia="Times New Roman" w:hAnsi="Arial" w:cs="Arial"/>
                <w:color w:val="000000"/>
                <w:sz w:val="18"/>
                <w:szCs w:val="18"/>
              </w:rPr>
            </w:pPr>
          </w:p>
        </w:tc>
      </w:tr>
      <w:tr w:rsidR="008328B9" w:rsidRPr="00B33ED9" w14:paraId="40D1292B" w14:textId="77777777" w:rsidTr="00BD6B81">
        <w:trPr>
          <w:trHeight w:val="293"/>
        </w:trPr>
        <w:tc>
          <w:tcPr>
            <w:tcW w:w="1695" w:type="pct"/>
            <w:vMerge/>
            <w:tcBorders>
              <w:top w:val="nil"/>
              <w:left w:val="single" w:sz="8" w:space="0" w:color="auto"/>
              <w:bottom w:val="single" w:sz="8" w:space="0" w:color="000000"/>
              <w:right w:val="single" w:sz="8" w:space="0" w:color="000000"/>
            </w:tcBorders>
            <w:vAlign w:val="center"/>
            <w:hideMark/>
          </w:tcPr>
          <w:p w14:paraId="01F09A8D"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591" w:type="pct"/>
            <w:vMerge/>
            <w:tcBorders>
              <w:top w:val="nil"/>
              <w:left w:val="single" w:sz="8" w:space="0" w:color="000000"/>
              <w:bottom w:val="single" w:sz="8" w:space="0" w:color="000000"/>
              <w:right w:val="single" w:sz="8" w:space="0" w:color="000000"/>
            </w:tcBorders>
            <w:vAlign w:val="center"/>
            <w:hideMark/>
          </w:tcPr>
          <w:p w14:paraId="0665B40C"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709" w:type="pct"/>
            <w:tcBorders>
              <w:top w:val="nil"/>
              <w:left w:val="nil"/>
              <w:bottom w:val="single" w:sz="8" w:space="0" w:color="auto"/>
              <w:right w:val="single" w:sz="8" w:space="0" w:color="auto"/>
            </w:tcBorders>
            <w:shd w:val="clear" w:color="auto" w:fill="auto"/>
            <w:vAlign w:val="center"/>
            <w:hideMark/>
          </w:tcPr>
          <w:p w14:paraId="06B8D2E8" w14:textId="22823400"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10</w:t>
            </w:r>
          </w:p>
        </w:tc>
        <w:tc>
          <w:tcPr>
            <w:tcW w:w="736" w:type="pct"/>
            <w:tcBorders>
              <w:top w:val="nil"/>
              <w:left w:val="nil"/>
              <w:bottom w:val="single" w:sz="8" w:space="0" w:color="auto"/>
              <w:right w:val="single" w:sz="8" w:space="0" w:color="auto"/>
            </w:tcBorders>
            <w:shd w:val="clear" w:color="auto" w:fill="auto"/>
            <w:vAlign w:val="center"/>
            <w:hideMark/>
          </w:tcPr>
          <w:p w14:paraId="7B7FCEA2" w14:textId="465BA42E" w:rsidR="008328B9" w:rsidRPr="00314A99"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4.304.593</w:t>
            </w:r>
            <w:r w:rsidR="008328B9" w:rsidRPr="00314A99">
              <w:rPr>
                <w:rFonts w:ascii="Arial" w:eastAsia="Times New Roman" w:hAnsi="Arial" w:cs="Arial"/>
                <w:color w:val="000000"/>
                <w:sz w:val="18"/>
                <w:szCs w:val="18"/>
              </w:rPr>
              <w:t> </w:t>
            </w:r>
          </w:p>
        </w:tc>
        <w:tc>
          <w:tcPr>
            <w:tcW w:w="634" w:type="pct"/>
            <w:tcBorders>
              <w:top w:val="nil"/>
              <w:left w:val="single" w:sz="8" w:space="0" w:color="auto"/>
              <w:bottom w:val="single" w:sz="8" w:space="0" w:color="000000"/>
              <w:right w:val="single" w:sz="8" w:space="0" w:color="auto"/>
            </w:tcBorders>
            <w:vAlign w:val="center"/>
          </w:tcPr>
          <w:p w14:paraId="52BC2282" w14:textId="1F02F9FF"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19</w:t>
            </w:r>
          </w:p>
        </w:tc>
        <w:tc>
          <w:tcPr>
            <w:tcW w:w="634" w:type="pct"/>
            <w:vMerge/>
            <w:tcBorders>
              <w:top w:val="nil"/>
              <w:left w:val="single" w:sz="8" w:space="0" w:color="auto"/>
              <w:bottom w:val="single" w:sz="8" w:space="0" w:color="000000"/>
              <w:right w:val="single" w:sz="8" w:space="0" w:color="auto"/>
            </w:tcBorders>
            <w:vAlign w:val="center"/>
            <w:hideMark/>
          </w:tcPr>
          <w:p w14:paraId="71270EEB" w14:textId="07CCB158" w:rsidR="008328B9" w:rsidRPr="00314A99" w:rsidRDefault="008328B9" w:rsidP="008328B9">
            <w:pPr>
              <w:spacing w:after="0" w:line="240" w:lineRule="auto"/>
              <w:rPr>
                <w:rFonts w:ascii="Arial" w:eastAsia="Times New Roman" w:hAnsi="Arial" w:cs="Arial"/>
                <w:color w:val="000000"/>
                <w:sz w:val="18"/>
                <w:szCs w:val="18"/>
              </w:rPr>
            </w:pPr>
          </w:p>
        </w:tc>
      </w:tr>
      <w:tr w:rsidR="008328B9" w:rsidRPr="00B33ED9" w14:paraId="0CD8B711" w14:textId="77777777" w:rsidTr="00BD6B81">
        <w:trPr>
          <w:trHeight w:val="293"/>
        </w:trPr>
        <w:tc>
          <w:tcPr>
            <w:tcW w:w="1695" w:type="pct"/>
            <w:vMerge w:val="restart"/>
            <w:tcBorders>
              <w:top w:val="nil"/>
              <w:left w:val="single" w:sz="8" w:space="0" w:color="auto"/>
              <w:bottom w:val="single" w:sz="8" w:space="0" w:color="000000"/>
              <w:right w:val="single" w:sz="8" w:space="0" w:color="000000"/>
            </w:tcBorders>
            <w:shd w:val="clear" w:color="auto" w:fill="auto"/>
            <w:vAlign w:val="center"/>
            <w:hideMark/>
          </w:tcPr>
          <w:p w14:paraId="33253BA1" w14:textId="77777777" w:rsidR="008328B9" w:rsidRPr="00B33ED9" w:rsidRDefault="008328B9" w:rsidP="008328B9">
            <w:pPr>
              <w:spacing w:after="0" w:line="240" w:lineRule="auto"/>
              <w:rPr>
                <w:rFonts w:ascii="Arial" w:eastAsia="Times New Roman" w:hAnsi="Arial" w:cs="Arial"/>
                <w:color w:val="000000"/>
                <w:sz w:val="18"/>
                <w:szCs w:val="18"/>
                <w:lang w:val="es-ES"/>
              </w:rPr>
            </w:pPr>
            <w:r>
              <w:rPr>
                <w:rFonts w:ascii="Arial" w:eastAsia="Times New Roman" w:hAnsi="Arial" w:cs="Arial"/>
                <w:color w:val="000000"/>
                <w:sz w:val="18"/>
                <w:szCs w:val="18"/>
                <w:lang w:val="es-ES"/>
              </w:rPr>
              <w:t>Salario mensual</w:t>
            </w:r>
          </w:p>
        </w:tc>
        <w:tc>
          <w:tcPr>
            <w:tcW w:w="591"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366D5446" w14:textId="77777777" w:rsidR="008328B9" w:rsidRPr="00B33ED9" w:rsidRDefault="008328B9" w:rsidP="008328B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359</w:t>
            </w:r>
          </w:p>
        </w:tc>
        <w:tc>
          <w:tcPr>
            <w:tcW w:w="709" w:type="pct"/>
            <w:tcBorders>
              <w:top w:val="nil"/>
              <w:left w:val="nil"/>
              <w:bottom w:val="single" w:sz="8" w:space="0" w:color="auto"/>
              <w:right w:val="single" w:sz="8" w:space="0" w:color="auto"/>
            </w:tcBorders>
            <w:shd w:val="clear" w:color="auto" w:fill="auto"/>
            <w:vAlign w:val="center"/>
            <w:hideMark/>
          </w:tcPr>
          <w:p w14:paraId="1B46D188" w14:textId="4C29A6E1"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200</w:t>
            </w:r>
          </w:p>
        </w:tc>
        <w:tc>
          <w:tcPr>
            <w:tcW w:w="736" w:type="pct"/>
            <w:tcBorders>
              <w:top w:val="nil"/>
              <w:left w:val="nil"/>
              <w:bottom w:val="single" w:sz="8" w:space="0" w:color="auto"/>
              <w:right w:val="single" w:sz="8" w:space="0" w:color="auto"/>
            </w:tcBorders>
            <w:shd w:val="clear" w:color="auto" w:fill="auto"/>
            <w:vAlign w:val="center"/>
            <w:hideMark/>
          </w:tcPr>
          <w:p w14:paraId="06E1088E" w14:textId="12227454" w:rsidR="008328B9" w:rsidRPr="00314A99"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3.069.213</w:t>
            </w:r>
          </w:p>
        </w:tc>
        <w:tc>
          <w:tcPr>
            <w:tcW w:w="634" w:type="pct"/>
            <w:tcBorders>
              <w:top w:val="nil"/>
              <w:left w:val="single" w:sz="8" w:space="0" w:color="auto"/>
              <w:bottom w:val="single" w:sz="8" w:space="0" w:color="000000"/>
              <w:right w:val="single" w:sz="8" w:space="0" w:color="auto"/>
            </w:tcBorders>
            <w:vAlign w:val="center"/>
          </w:tcPr>
          <w:p w14:paraId="7B3FD0B7" w14:textId="6BC44822"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17</w:t>
            </w:r>
          </w:p>
        </w:tc>
        <w:tc>
          <w:tcPr>
            <w:tcW w:w="634" w:type="pct"/>
            <w:vMerge w:val="restart"/>
            <w:tcBorders>
              <w:top w:val="nil"/>
              <w:left w:val="single" w:sz="8" w:space="0" w:color="auto"/>
              <w:bottom w:val="single" w:sz="8" w:space="0" w:color="000000"/>
              <w:right w:val="single" w:sz="8" w:space="0" w:color="auto"/>
            </w:tcBorders>
            <w:shd w:val="clear" w:color="auto" w:fill="auto"/>
            <w:vAlign w:val="center"/>
            <w:hideMark/>
          </w:tcPr>
          <w:p w14:paraId="0211E144" w14:textId="1684AF25" w:rsidR="008328B9" w:rsidRPr="00314A99" w:rsidRDefault="008328B9" w:rsidP="008328B9">
            <w:pPr>
              <w:spacing w:after="0" w:line="240" w:lineRule="auto"/>
              <w:jc w:val="center"/>
              <w:rPr>
                <w:rFonts w:ascii="Arial" w:eastAsia="Times New Roman" w:hAnsi="Arial" w:cs="Arial"/>
                <w:color w:val="000000"/>
                <w:sz w:val="18"/>
                <w:szCs w:val="18"/>
              </w:rPr>
            </w:pPr>
            <w:r w:rsidRPr="00314A99">
              <w:rPr>
                <w:rFonts w:ascii="Arial" w:eastAsia="Times New Roman" w:hAnsi="Arial" w:cs="Arial"/>
                <w:color w:val="000000"/>
                <w:sz w:val="18"/>
                <w:szCs w:val="18"/>
              </w:rPr>
              <w:t>N/A </w:t>
            </w:r>
          </w:p>
        </w:tc>
      </w:tr>
      <w:tr w:rsidR="008328B9" w:rsidRPr="00B33ED9" w14:paraId="1C70B133" w14:textId="77777777" w:rsidTr="00BD6B81">
        <w:trPr>
          <w:trHeight w:val="293"/>
        </w:trPr>
        <w:tc>
          <w:tcPr>
            <w:tcW w:w="1695" w:type="pct"/>
            <w:vMerge/>
            <w:tcBorders>
              <w:top w:val="nil"/>
              <w:left w:val="single" w:sz="8" w:space="0" w:color="auto"/>
              <w:bottom w:val="single" w:sz="8" w:space="0" w:color="000000"/>
              <w:right w:val="single" w:sz="8" w:space="0" w:color="000000"/>
            </w:tcBorders>
            <w:vAlign w:val="center"/>
            <w:hideMark/>
          </w:tcPr>
          <w:p w14:paraId="70F3BD0B"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591" w:type="pct"/>
            <w:vMerge/>
            <w:tcBorders>
              <w:top w:val="nil"/>
              <w:left w:val="single" w:sz="8" w:space="0" w:color="000000"/>
              <w:bottom w:val="single" w:sz="8" w:space="0" w:color="000000"/>
              <w:right w:val="single" w:sz="8" w:space="0" w:color="000000"/>
            </w:tcBorders>
            <w:vAlign w:val="center"/>
            <w:hideMark/>
          </w:tcPr>
          <w:p w14:paraId="51A83837"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709" w:type="pct"/>
            <w:tcBorders>
              <w:top w:val="nil"/>
              <w:left w:val="nil"/>
              <w:bottom w:val="single" w:sz="8" w:space="0" w:color="auto"/>
              <w:right w:val="single" w:sz="8" w:space="0" w:color="auto"/>
            </w:tcBorders>
            <w:shd w:val="clear" w:color="auto" w:fill="auto"/>
            <w:vAlign w:val="center"/>
            <w:hideMark/>
          </w:tcPr>
          <w:p w14:paraId="3D8168ED" w14:textId="46815D4C"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300</w:t>
            </w:r>
          </w:p>
        </w:tc>
        <w:tc>
          <w:tcPr>
            <w:tcW w:w="736" w:type="pct"/>
            <w:tcBorders>
              <w:top w:val="nil"/>
              <w:left w:val="nil"/>
              <w:bottom w:val="single" w:sz="8" w:space="0" w:color="auto"/>
              <w:right w:val="single" w:sz="8" w:space="0" w:color="auto"/>
            </w:tcBorders>
            <w:shd w:val="clear" w:color="auto" w:fill="auto"/>
            <w:vAlign w:val="center"/>
            <w:hideMark/>
          </w:tcPr>
          <w:p w14:paraId="28A328DC" w14:textId="52DBADA8" w:rsidR="008328B9" w:rsidRPr="00314A99"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3.565.848</w:t>
            </w:r>
          </w:p>
        </w:tc>
        <w:tc>
          <w:tcPr>
            <w:tcW w:w="634" w:type="pct"/>
            <w:tcBorders>
              <w:top w:val="nil"/>
              <w:left w:val="single" w:sz="8" w:space="0" w:color="auto"/>
              <w:bottom w:val="single" w:sz="8" w:space="0" w:color="000000"/>
              <w:right w:val="single" w:sz="8" w:space="0" w:color="auto"/>
            </w:tcBorders>
            <w:vAlign w:val="center"/>
          </w:tcPr>
          <w:p w14:paraId="09D93F4A" w14:textId="6EF36A37"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18</w:t>
            </w:r>
          </w:p>
        </w:tc>
        <w:tc>
          <w:tcPr>
            <w:tcW w:w="634" w:type="pct"/>
            <w:vMerge/>
            <w:tcBorders>
              <w:top w:val="nil"/>
              <w:left w:val="single" w:sz="8" w:space="0" w:color="auto"/>
              <w:bottom w:val="single" w:sz="8" w:space="0" w:color="000000"/>
              <w:right w:val="single" w:sz="8" w:space="0" w:color="auto"/>
            </w:tcBorders>
            <w:vAlign w:val="center"/>
            <w:hideMark/>
          </w:tcPr>
          <w:p w14:paraId="166354D2" w14:textId="5A36F81C" w:rsidR="008328B9" w:rsidRPr="00314A99" w:rsidRDefault="008328B9" w:rsidP="008328B9">
            <w:pPr>
              <w:spacing w:after="0" w:line="240" w:lineRule="auto"/>
              <w:rPr>
                <w:rFonts w:ascii="Arial" w:eastAsia="Times New Roman" w:hAnsi="Arial" w:cs="Arial"/>
                <w:color w:val="000000"/>
                <w:sz w:val="18"/>
                <w:szCs w:val="18"/>
              </w:rPr>
            </w:pPr>
          </w:p>
        </w:tc>
      </w:tr>
      <w:tr w:rsidR="008328B9" w:rsidRPr="00B33ED9" w14:paraId="6EF7F9AA" w14:textId="77777777" w:rsidTr="00BD6B81">
        <w:trPr>
          <w:trHeight w:val="293"/>
        </w:trPr>
        <w:tc>
          <w:tcPr>
            <w:tcW w:w="1695" w:type="pct"/>
            <w:vMerge/>
            <w:tcBorders>
              <w:top w:val="nil"/>
              <w:left w:val="single" w:sz="8" w:space="0" w:color="auto"/>
              <w:bottom w:val="single" w:sz="8" w:space="0" w:color="000000"/>
              <w:right w:val="single" w:sz="8" w:space="0" w:color="000000"/>
            </w:tcBorders>
            <w:vAlign w:val="center"/>
            <w:hideMark/>
          </w:tcPr>
          <w:p w14:paraId="2A4AA71A"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591" w:type="pct"/>
            <w:vMerge/>
            <w:tcBorders>
              <w:top w:val="nil"/>
              <w:left w:val="single" w:sz="8" w:space="0" w:color="000000"/>
              <w:bottom w:val="single" w:sz="8" w:space="0" w:color="000000"/>
              <w:right w:val="single" w:sz="8" w:space="0" w:color="000000"/>
            </w:tcBorders>
            <w:vAlign w:val="center"/>
            <w:hideMark/>
          </w:tcPr>
          <w:p w14:paraId="0CF9656B"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709" w:type="pct"/>
            <w:tcBorders>
              <w:top w:val="nil"/>
              <w:left w:val="nil"/>
              <w:bottom w:val="single" w:sz="8" w:space="0" w:color="auto"/>
              <w:right w:val="single" w:sz="8" w:space="0" w:color="auto"/>
            </w:tcBorders>
            <w:shd w:val="clear" w:color="auto" w:fill="auto"/>
            <w:vAlign w:val="center"/>
            <w:hideMark/>
          </w:tcPr>
          <w:p w14:paraId="56B46C99" w14:textId="112724CA"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500</w:t>
            </w:r>
          </w:p>
        </w:tc>
        <w:tc>
          <w:tcPr>
            <w:tcW w:w="736" w:type="pct"/>
            <w:tcBorders>
              <w:top w:val="nil"/>
              <w:left w:val="nil"/>
              <w:bottom w:val="single" w:sz="8" w:space="0" w:color="auto"/>
              <w:right w:val="single" w:sz="8" w:space="0" w:color="auto"/>
            </w:tcBorders>
            <w:shd w:val="clear" w:color="auto" w:fill="auto"/>
            <w:vAlign w:val="center"/>
            <w:hideMark/>
          </w:tcPr>
          <w:p w14:paraId="62B7024C" w14:textId="15A1A0D0" w:rsidR="008328B9" w:rsidRPr="00314A99"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4.559.118</w:t>
            </w:r>
            <w:r w:rsidR="008328B9" w:rsidRPr="00314A99">
              <w:rPr>
                <w:rFonts w:ascii="Arial" w:eastAsia="Times New Roman" w:hAnsi="Arial" w:cs="Arial"/>
                <w:color w:val="000000"/>
                <w:sz w:val="18"/>
                <w:szCs w:val="18"/>
              </w:rPr>
              <w:t> </w:t>
            </w:r>
          </w:p>
        </w:tc>
        <w:tc>
          <w:tcPr>
            <w:tcW w:w="634" w:type="pct"/>
            <w:tcBorders>
              <w:top w:val="nil"/>
              <w:left w:val="single" w:sz="8" w:space="0" w:color="auto"/>
              <w:bottom w:val="single" w:sz="8" w:space="0" w:color="000000"/>
              <w:right w:val="single" w:sz="8" w:space="0" w:color="auto"/>
            </w:tcBorders>
            <w:vAlign w:val="center"/>
          </w:tcPr>
          <w:p w14:paraId="1A439A6F" w14:textId="16B7C544" w:rsidR="008328B9" w:rsidRPr="00314A99"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20</w:t>
            </w:r>
          </w:p>
        </w:tc>
        <w:tc>
          <w:tcPr>
            <w:tcW w:w="634" w:type="pct"/>
            <w:vMerge/>
            <w:tcBorders>
              <w:top w:val="nil"/>
              <w:left w:val="single" w:sz="8" w:space="0" w:color="auto"/>
              <w:bottom w:val="single" w:sz="8" w:space="0" w:color="000000"/>
              <w:right w:val="single" w:sz="8" w:space="0" w:color="auto"/>
            </w:tcBorders>
            <w:vAlign w:val="center"/>
            <w:hideMark/>
          </w:tcPr>
          <w:p w14:paraId="21DFF9D9" w14:textId="6E5DA9AF" w:rsidR="008328B9" w:rsidRPr="00314A99" w:rsidRDefault="008328B9" w:rsidP="008328B9">
            <w:pPr>
              <w:spacing w:after="0" w:line="240" w:lineRule="auto"/>
              <w:rPr>
                <w:rFonts w:ascii="Arial" w:eastAsia="Times New Roman" w:hAnsi="Arial" w:cs="Arial"/>
                <w:color w:val="000000"/>
                <w:sz w:val="18"/>
                <w:szCs w:val="18"/>
              </w:rPr>
            </w:pPr>
          </w:p>
        </w:tc>
      </w:tr>
      <w:tr w:rsidR="008328B9" w:rsidRPr="00B33ED9" w14:paraId="0210FF0C" w14:textId="77777777" w:rsidTr="00BD6B81">
        <w:trPr>
          <w:trHeight w:val="293"/>
        </w:trPr>
        <w:tc>
          <w:tcPr>
            <w:tcW w:w="1695" w:type="pct"/>
            <w:vMerge w:val="restart"/>
            <w:tcBorders>
              <w:top w:val="nil"/>
              <w:left w:val="single" w:sz="8" w:space="0" w:color="auto"/>
              <w:bottom w:val="single" w:sz="8" w:space="0" w:color="000000"/>
              <w:right w:val="single" w:sz="8" w:space="0" w:color="000000"/>
            </w:tcBorders>
            <w:shd w:val="clear" w:color="auto" w:fill="auto"/>
            <w:vAlign w:val="center"/>
            <w:hideMark/>
          </w:tcPr>
          <w:p w14:paraId="3A31EF56" w14:textId="77777777" w:rsidR="008328B9" w:rsidRPr="00B33ED9" w:rsidRDefault="008328B9" w:rsidP="008328B9">
            <w:pPr>
              <w:spacing w:after="0" w:line="240" w:lineRule="auto"/>
              <w:rPr>
                <w:rFonts w:ascii="Arial" w:eastAsia="Times New Roman" w:hAnsi="Arial" w:cs="Arial"/>
                <w:color w:val="000000"/>
                <w:sz w:val="18"/>
                <w:szCs w:val="18"/>
                <w:lang w:val="es-ES"/>
              </w:rPr>
            </w:pPr>
            <w:r>
              <w:rPr>
                <w:rFonts w:ascii="Arial" w:eastAsia="Times New Roman" w:hAnsi="Arial" w:cs="Arial"/>
                <w:color w:val="000000"/>
                <w:sz w:val="18"/>
                <w:szCs w:val="18"/>
                <w:lang w:val="es-ES"/>
              </w:rPr>
              <w:t>Monto promedio</w:t>
            </w:r>
          </w:p>
        </w:tc>
        <w:tc>
          <w:tcPr>
            <w:tcW w:w="591"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28B78465" w14:textId="77777777" w:rsidR="008328B9" w:rsidRPr="00B33ED9" w:rsidRDefault="008328B9" w:rsidP="008328B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16.479</w:t>
            </w:r>
          </w:p>
        </w:tc>
        <w:tc>
          <w:tcPr>
            <w:tcW w:w="709" w:type="pct"/>
            <w:tcBorders>
              <w:top w:val="nil"/>
              <w:left w:val="nil"/>
              <w:bottom w:val="single" w:sz="8" w:space="0" w:color="auto"/>
              <w:right w:val="single" w:sz="8" w:space="0" w:color="auto"/>
            </w:tcBorders>
            <w:shd w:val="clear" w:color="auto" w:fill="auto"/>
            <w:vAlign w:val="center"/>
            <w:hideMark/>
          </w:tcPr>
          <w:p w14:paraId="235EDB7A" w14:textId="3321B3D7" w:rsidR="008328B9" w:rsidRPr="00BD6B81"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10.000</w:t>
            </w:r>
          </w:p>
        </w:tc>
        <w:tc>
          <w:tcPr>
            <w:tcW w:w="736" w:type="pct"/>
            <w:tcBorders>
              <w:top w:val="nil"/>
              <w:left w:val="nil"/>
              <w:bottom w:val="single" w:sz="8" w:space="0" w:color="auto"/>
              <w:right w:val="single" w:sz="8" w:space="0" w:color="auto"/>
            </w:tcBorders>
            <w:shd w:val="clear" w:color="auto" w:fill="auto"/>
            <w:vAlign w:val="center"/>
            <w:hideMark/>
          </w:tcPr>
          <w:p w14:paraId="0916A76C" w14:textId="1F82D62A" w:rsidR="008328B9" w:rsidRPr="00BD6B81"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7.614.373</w:t>
            </w:r>
          </w:p>
        </w:tc>
        <w:tc>
          <w:tcPr>
            <w:tcW w:w="634" w:type="pct"/>
            <w:tcBorders>
              <w:top w:val="nil"/>
              <w:left w:val="single" w:sz="8" w:space="0" w:color="auto"/>
              <w:bottom w:val="single" w:sz="8" w:space="0" w:color="000000"/>
              <w:right w:val="single" w:sz="8" w:space="0" w:color="auto"/>
            </w:tcBorders>
            <w:vAlign w:val="center"/>
          </w:tcPr>
          <w:p w14:paraId="3EAD0455" w14:textId="4577E791" w:rsidR="008328B9" w:rsidRPr="00BD6B81"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24</w:t>
            </w:r>
          </w:p>
        </w:tc>
        <w:tc>
          <w:tcPr>
            <w:tcW w:w="634" w:type="pct"/>
            <w:vMerge w:val="restart"/>
            <w:tcBorders>
              <w:top w:val="nil"/>
              <w:left w:val="single" w:sz="8" w:space="0" w:color="auto"/>
              <w:bottom w:val="single" w:sz="8" w:space="0" w:color="000000"/>
              <w:right w:val="single" w:sz="8" w:space="0" w:color="auto"/>
            </w:tcBorders>
            <w:shd w:val="clear" w:color="auto" w:fill="auto"/>
            <w:vAlign w:val="center"/>
            <w:hideMark/>
          </w:tcPr>
          <w:p w14:paraId="45219461" w14:textId="2E88518B" w:rsidR="008328B9" w:rsidRPr="00314A99" w:rsidRDefault="008328B9" w:rsidP="008328B9">
            <w:pPr>
              <w:spacing w:after="0" w:line="240" w:lineRule="auto"/>
              <w:jc w:val="center"/>
              <w:rPr>
                <w:rFonts w:ascii="Arial" w:eastAsia="Times New Roman" w:hAnsi="Arial" w:cs="Arial"/>
                <w:color w:val="000000"/>
                <w:sz w:val="18"/>
                <w:szCs w:val="18"/>
              </w:rPr>
            </w:pPr>
            <w:r w:rsidRPr="00314A99">
              <w:rPr>
                <w:rFonts w:ascii="Arial" w:eastAsia="Times New Roman" w:hAnsi="Arial" w:cs="Arial"/>
                <w:color w:val="000000"/>
                <w:sz w:val="18"/>
                <w:szCs w:val="18"/>
              </w:rPr>
              <w:t>19.609 </w:t>
            </w:r>
          </w:p>
        </w:tc>
      </w:tr>
      <w:tr w:rsidR="008328B9" w:rsidRPr="00B33ED9" w14:paraId="60125E24" w14:textId="77777777" w:rsidTr="00BD6B81">
        <w:trPr>
          <w:trHeight w:val="293"/>
        </w:trPr>
        <w:tc>
          <w:tcPr>
            <w:tcW w:w="1695" w:type="pct"/>
            <w:vMerge/>
            <w:tcBorders>
              <w:top w:val="nil"/>
              <w:left w:val="single" w:sz="8" w:space="0" w:color="auto"/>
              <w:bottom w:val="single" w:sz="8" w:space="0" w:color="000000"/>
              <w:right w:val="single" w:sz="8" w:space="0" w:color="000000"/>
            </w:tcBorders>
            <w:vAlign w:val="center"/>
            <w:hideMark/>
          </w:tcPr>
          <w:p w14:paraId="61151233"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591" w:type="pct"/>
            <w:vMerge/>
            <w:tcBorders>
              <w:top w:val="nil"/>
              <w:left w:val="single" w:sz="8" w:space="0" w:color="000000"/>
              <w:bottom w:val="single" w:sz="8" w:space="0" w:color="000000"/>
              <w:right w:val="single" w:sz="8" w:space="0" w:color="000000"/>
            </w:tcBorders>
            <w:vAlign w:val="center"/>
            <w:hideMark/>
          </w:tcPr>
          <w:p w14:paraId="00681A22"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709" w:type="pct"/>
            <w:tcBorders>
              <w:top w:val="nil"/>
              <w:left w:val="nil"/>
              <w:bottom w:val="single" w:sz="8" w:space="0" w:color="auto"/>
              <w:right w:val="single" w:sz="8" w:space="0" w:color="auto"/>
            </w:tcBorders>
            <w:shd w:val="clear" w:color="auto" w:fill="auto"/>
            <w:vAlign w:val="center"/>
            <w:hideMark/>
          </w:tcPr>
          <w:p w14:paraId="34BF282D" w14:textId="3E42B2A1" w:rsidR="008328B9" w:rsidRPr="00BD6B81"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15.000</w:t>
            </w:r>
          </w:p>
        </w:tc>
        <w:tc>
          <w:tcPr>
            <w:tcW w:w="736" w:type="pct"/>
            <w:tcBorders>
              <w:top w:val="nil"/>
              <w:left w:val="nil"/>
              <w:bottom w:val="single" w:sz="8" w:space="0" w:color="auto"/>
              <w:right w:val="single" w:sz="8" w:space="0" w:color="auto"/>
            </w:tcBorders>
            <w:shd w:val="clear" w:color="auto" w:fill="auto"/>
            <w:vAlign w:val="center"/>
            <w:hideMark/>
          </w:tcPr>
          <w:p w14:paraId="24750511" w14:textId="1FA826B9" w:rsidR="008328B9" w:rsidRPr="00BD6B81"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5.950.286</w:t>
            </w:r>
          </w:p>
        </w:tc>
        <w:tc>
          <w:tcPr>
            <w:tcW w:w="634" w:type="pct"/>
            <w:tcBorders>
              <w:top w:val="nil"/>
              <w:left w:val="single" w:sz="8" w:space="0" w:color="auto"/>
              <w:bottom w:val="single" w:sz="8" w:space="0" w:color="000000"/>
              <w:right w:val="single" w:sz="8" w:space="0" w:color="auto"/>
            </w:tcBorders>
            <w:vAlign w:val="center"/>
          </w:tcPr>
          <w:p w14:paraId="2DA684F7" w14:textId="20315575" w:rsidR="008328B9" w:rsidRPr="00BD6B81"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22</w:t>
            </w:r>
          </w:p>
        </w:tc>
        <w:tc>
          <w:tcPr>
            <w:tcW w:w="634" w:type="pct"/>
            <w:vMerge/>
            <w:tcBorders>
              <w:top w:val="nil"/>
              <w:left w:val="single" w:sz="8" w:space="0" w:color="auto"/>
              <w:bottom w:val="single" w:sz="8" w:space="0" w:color="000000"/>
              <w:right w:val="single" w:sz="8" w:space="0" w:color="auto"/>
            </w:tcBorders>
            <w:vAlign w:val="center"/>
            <w:hideMark/>
          </w:tcPr>
          <w:p w14:paraId="38502050" w14:textId="0E8C0B9F" w:rsidR="008328B9" w:rsidRPr="00B33ED9" w:rsidRDefault="008328B9" w:rsidP="008328B9">
            <w:pPr>
              <w:spacing w:after="0" w:line="240" w:lineRule="auto"/>
              <w:rPr>
                <w:rFonts w:ascii="Arial" w:eastAsia="Times New Roman" w:hAnsi="Arial" w:cs="Arial"/>
                <w:b/>
                <w:bCs/>
                <w:color w:val="000000"/>
                <w:sz w:val="18"/>
                <w:szCs w:val="18"/>
              </w:rPr>
            </w:pPr>
          </w:p>
        </w:tc>
      </w:tr>
      <w:tr w:rsidR="008328B9" w:rsidRPr="00B33ED9" w14:paraId="5724EDC2" w14:textId="77777777" w:rsidTr="00BD6B81">
        <w:trPr>
          <w:trHeight w:val="293"/>
        </w:trPr>
        <w:tc>
          <w:tcPr>
            <w:tcW w:w="1695" w:type="pct"/>
            <w:vMerge/>
            <w:tcBorders>
              <w:top w:val="nil"/>
              <w:left w:val="single" w:sz="8" w:space="0" w:color="auto"/>
              <w:bottom w:val="single" w:sz="8" w:space="0" w:color="auto"/>
              <w:right w:val="single" w:sz="8" w:space="0" w:color="000000"/>
            </w:tcBorders>
            <w:vAlign w:val="center"/>
            <w:hideMark/>
          </w:tcPr>
          <w:p w14:paraId="3BB28164"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591" w:type="pct"/>
            <w:vMerge/>
            <w:tcBorders>
              <w:top w:val="nil"/>
              <w:left w:val="single" w:sz="8" w:space="0" w:color="000000"/>
              <w:bottom w:val="single" w:sz="8" w:space="0" w:color="auto"/>
              <w:right w:val="single" w:sz="8" w:space="0" w:color="000000"/>
            </w:tcBorders>
            <w:vAlign w:val="center"/>
            <w:hideMark/>
          </w:tcPr>
          <w:p w14:paraId="4A1AABE6" w14:textId="77777777" w:rsidR="008328B9" w:rsidRPr="00B33ED9" w:rsidRDefault="008328B9" w:rsidP="008328B9">
            <w:pPr>
              <w:spacing w:after="0" w:line="240" w:lineRule="auto"/>
              <w:rPr>
                <w:rFonts w:ascii="Arial" w:eastAsia="Times New Roman" w:hAnsi="Arial" w:cs="Arial"/>
                <w:color w:val="000000"/>
                <w:sz w:val="18"/>
                <w:szCs w:val="18"/>
              </w:rPr>
            </w:pPr>
          </w:p>
        </w:tc>
        <w:tc>
          <w:tcPr>
            <w:tcW w:w="709" w:type="pct"/>
            <w:tcBorders>
              <w:top w:val="nil"/>
              <w:left w:val="nil"/>
              <w:bottom w:val="single" w:sz="8" w:space="0" w:color="auto"/>
              <w:right w:val="single" w:sz="8" w:space="0" w:color="auto"/>
            </w:tcBorders>
            <w:shd w:val="clear" w:color="auto" w:fill="auto"/>
            <w:vAlign w:val="center"/>
            <w:hideMark/>
          </w:tcPr>
          <w:p w14:paraId="7C4176D6" w14:textId="21252816" w:rsidR="008328B9" w:rsidRPr="00BD6B81" w:rsidRDefault="00BD6B81" w:rsidP="00314A99">
            <w:pPr>
              <w:spacing w:after="0" w:line="240" w:lineRule="auto"/>
              <w:jc w:val="center"/>
              <w:rPr>
                <w:rFonts w:ascii="Arial" w:eastAsia="Times New Roman" w:hAnsi="Arial" w:cs="Arial"/>
                <w:color w:val="000000"/>
                <w:sz w:val="18"/>
                <w:szCs w:val="18"/>
              </w:rPr>
            </w:pPr>
            <w:r w:rsidRPr="00BD6B81">
              <w:rPr>
                <w:rFonts w:ascii="Arial" w:eastAsia="Times New Roman" w:hAnsi="Arial" w:cs="Arial"/>
                <w:color w:val="000000"/>
                <w:sz w:val="18"/>
                <w:szCs w:val="18"/>
              </w:rPr>
              <w:t>19.000</w:t>
            </w:r>
          </w:p>
        </w:tc>
        <w:tc>
          <w:tcPr>
            <w:tcW w:w="736" w:type="pct"/>
            <w:tcBorders>
              <w:top w:val="nil"/>
              <w:left w:val="nil"/>
              <w:bottom w:val="single" w:sz="8" w:space="0" w:color="auto"/>
              <w:right w:val="single" w:sz="8" w:space="0" w:color="auto"/>
            </w:tcBorders>
            <w:shd w:val="clear" w:color="auto" w:fill="auto"/>
            <w:vAlign w:val="center"/>
            <w:hideMark/>
          </w:tcPr>
          <w:p w14:paraId="7678D93D" w14:textId="093A686D" w:rsidR="008328B9" w:rsidRPr="00BD6B81" w:rsidRDefault="00BD6B81" w:rsidP="00314A99">
            <w:pPr>
              <w:spacing w:after="0" w:line="240" w:lineRule="auto"/>
              <w:jc w:val="right"/>
              <w:rPr>
                <w:rFonts w:ascii="Arial" w:eastAsia="Times New Roman" w:hAnsi="Arial" w:cs="Arial"/>
                <w:color w:val="000000"/>
                <w:sz w:val="18"/>
                <w:szCs w:val="18"/>
              </w:rPr>
            </w:pPr>
            <w:r>
              <w:rPr>
                <w:rFonts w:ascii="Arial" w:eastAsia="Times New Roman" w:hAnsi="Arial" w:cs="Arial"/>
                <w:color w:val="000000"/>
                <w:sz w:val="18"/>
                <w:szCs w:val="18"/>
              </w:rPr>
              <w:t>1.045.607</w:t>
            </w:r>
          </w:p>
        </w:tc>
        <w:tc>
          <w:tcPr>
            <w:tcW w:w="634" w:type="pct"/>
            <w:tcBorders>
              <w:top w:val="nil"/>
              <w:left w:val="single" w:sz="8" w:space="0" w:color="auto"/>
              <w:bottom w:val="single" w:sz="8" w:space="0" w:color="auto"/>
              <w:right w:val="single" w:sz="8" w:space="0" w:color="auto"/>
            </w:tcBorders>
            <w:vAlign w:val="center"/>
          </w:tcPr>
          <w:p w14:paraId="2484F3A1" w14:textId="62C06047" w:rsidR="008328B9" w:rsidRPr="00BD6B81" w:rsidRDefault="00BD6B81" w:rsidP="00314A9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14</w:t>
            </w:r>
          </w:p>
        </w:tc>
        <w:tc>
          <w:tcPr>
            <w:tcW w:w="634" w:type="pct"/>
            <w:vMerge/>
            <w:tcBorders>
              <w:top w:val="nil"/>
              <w:left w:val="single" w:sz="8" w:space="0" w:color="auto"/>
              <w:bottom w:val="single" w:sz="8" w:space="0" w:color="auto"/>
              <w:right w:val="single" w:sz="8" w:space="0" w:color="auto"/>
            </w:tcBorders>
            <w:vAlign w:val="center"/>
            <w:hideMark/>
          </w:tcPr>
          <w:p w14:paraId="1532EFC6" w14:textId="6847C607" w:rsidR="008328B9" w:rsidRPr="00B33ED9" w:rsidRDefault="008328B9" w:rsidP="008328B9">
            <w:pPr>
              <w:spacing w:after="0" w:line="240" w:lineRule="auto"/>
              <w:rPr>
                <w:rFonts w:ascii="Arial" w:eastAsia="Times New Roman" w:hAnsi="Arial" w:cs="Arial"/>
                <w:b/>
                <w:bCs/>
                <w:color w:val="000000"/>
                <w:sz w:val="18"/>
                <w:szCs w:val="18"/>
              </w:rPr>
            </w:pPr>
          </w:p>
        </w:tc>
      </w:tr>
    </w:tbl>
    <w:p w14:paraId="0B406485" w14:textId="77777777" w:rsidR="003D32CD" w:rsidRPr="006A77B8" w:rsidRDefault="003D32CD" w:rsidP="00871C1E">
      <w:pPr>
        <w:pStyle w:val="Chapter"/>
        <w:tabs>
          <w:tab w:val="clear" w:pos="2088"/>
          <w:tab w:val="num" w:pos="648"/>
        </w:tabs>
        <w:ind w:left="0"/>
        <w:rPr>
          <w:rFonts w:ascii="Arial" w:hAnsi="Arial" w:cs="Arial"/>
          <w:sz w:val="22"/>
          <w:szCs w:val="22"/>
          <w:lang w:val="es-ES_tradnl"/>
        </w:rPr>
      </w:pPr>
      <w:bookmarkStart w:id="23" w:name="_Toc36386504"/>
      <w:r>
        <w:rPr>
          <w:rFonts w:ascii="Arial" w:hAnsi="Arial" w:cs="Arial"/>
          <w:sz w:val="22"/>
          <w:szCs w:val="22"/>
          <w:lang w:val="es-ES_tradnl"/>
        </w:rPr>
        <w:t>Conclusiones</w:t>
      </w:r>
      <w:bookmarkEnd w:id="23"/>
    </w:p>
    <w:p w14:paraId="405CFE7C" w14:textId="1B20A048" w:rsidR="003D32CD" w:rsidRPr="006A016B" w:rsidRDefault="003D32CD" w:rsidP="003D32CD">
      <w:pPr>
        <w:pStyle w:val="ListParagraph"/>
        <w:numPr>
          <w:ilvl w:val="1"/>
          <w:numId w:val="7"/>
        </w:numPr>
        <w:ind w:hanging="720"/>
        <w:jc w:val="both"/>
        <w:rPr>
          <w:rFonts w:ascii="Arial" w:hAnsi="Arial" w:cs="Arial"/>
          <w:sz w:val="22"/>
          <w:szCs w:val="22"/>
          <w:lang w:val="es-MX"/>
        </w:rPr>
      </w:pPr>
      <w:r w:rsidRPr="006A016B">
        <w:rPr>
          <w:rFonts w:ascii="Arial" w:hAnsi="Arial" w:cs="Arial"/>
          <w:sz w:val="22"/>
          <w:szCs w:val="22"/>
          <w:lang w:val="es-NI"/>
        </w:rPr>
        <w:t>Del presente análisis se espera que el programa genere un beneficio neto agregado de US$</w:t>
      </w:r>
      <w:r w:rsidR="00B5471B">
        <w:rPr>
          <w:rFonts w:ascii="Arial" w:hAnsi="Arial" w:cs="Arial"/>
          <w:sz w:val="22"/>
          <w:szCs w:val="22"/>
          <w:lang w:val="es-NI"/>
        </w:rPr>
        <w:t>3.858.863</w:t>
      </w:r>
      <w:r w:rsidRPr="006A016B">
        <w:rPr>
          <w:rFonts w:ascii="Arial" w:hAnsi="Arial" w:cs="Arial"/>
          <w:sz w:val="22"/>
          <w:szCs w:val="22"/>
          <w:lang w:val="es-NI"/>
        </w:rPr>
        <w:t>, con una</w:t>
      </w:r>
      <w:r w:rsidR="00D43FDF">
        <w:rPr>
          <w:rFonts w:ascii="Arial" w:hAnsi="Arial" w:cs="Arial"/>
          <w:sz w:val="22"/>
          <w:szCs w:val="22"/>
          <w:lang w:val="es-NI"/>
        </w:rPr>
        <w:t xml:space="preserve"> </w:t>
      </w:r>
      <w:r w:rsidRPr="006A016B">
        <w:rPr>
          <w:rFonts w:ascii="Arial" w:hAnsi="Arial" w:cs="Arial"/>
          <w:sz w:val="22"/>
          <w:szCs w:val="22"/>
          <w:lang w:val="es-NI"/>
        </w:rPr>
        <w:t xml:space="preserve">TIR del </w:t>
      </w:r>
      <w:r w:rsidR="00D43FDF">
        <w:rPr>
          <w:rFonts w:ascii="Arial" w:hAnsi="Arial" w:cs="Arial"/>
          <w:sz w:val="22"/>
          <w:szCs w:val="22"/>
          <w:lang w:val="es-NI"/>
        </w:rPr>
        <w:t>18</w:t>
      </w:r>
      <w:r w:rsidRPr="002917D5">
        <w:rPr>
          <w:rFonts w:ascii="Arial" w:hAnsi="Arial" w:cs="Arial"/>
          <w:sz w:val="22"/>
          <w:szCs w:val="22"/>
          <w:lang w:val="es-NI"/>
        </w:rPr>
        <w:t xml:space="preserve">%. </w:t>
      </w:r>
      <w:r w:rsidRPr="002917D5">
        <w:rPr>
          <w:rFonts w:ascii="Arial" w:hAnsi="Arial" w:cs="Arial"/>
          <w:sz w:val="22"/>
          <w:szCs w:val="22"/>
        </w:rPr>
        <w:t xml:space="preserve">El VPN total se mantiene positivo para un conjunto amplio de </w:t>
      </w:r>
      <w:r w:rsidR="00A85F03">
        <w:rPr>
          <w:rFonts w:ascii="Arial" w:hAnsi="Arial" w:cs="Arial"/>
          <w:sz w:val="22"/>
          <w:szCs w:val="22"/>
        </w:rPr>
        <w:t xml:space="preserve">valores de los </w:t>
      </w:r>
      <w:r w:rsidRPr="002917D5">
        <w:rPr>
          <w:rFonts w:ascii="Arial" w:hAnsi="Arial" w:cs="Arial"/>
          <w:sz w:val="22"/>
          <w:szCs w:val="22"/>
        </w:rPr>
        <w:t>parámetros según las sensibilizaciones detalladas en la sección</w:t>
      </w:r>
      <w:r w:rsidR="002917D5">
        <w:rPr>
          <w:rFonts w:ascii="Arial" w:hAnsi="Arial" w:cs="Arial"/>
          <w:sz w:val="22"/>
          <w:szCs w:val="22"/>
        </w:rPr>
        <w:t xml:space="preserve"> anterior</w:t>
      </w:r>
      <w:r w:rsidRPr="002917D5">
        <w:rPr>
          <w:rFonts w:ascii="Arial" w:hAnsi="Arial" w:cs="Arial"/>
          <w:sz w:val="22"/>
          <w:szCs w:val="22"/>
        </w:rPr>
        <w:t>. Se recomienda por tanto la realización del programa.</w:t>
      </w:r>
    </w:p>
    <w:p w14:paraId="4A9BAF6A" w14:textId="77777777" w:rsidR="003D32CD" w:rsidRDefault="003D32CD" w:rsidP="003D32CD">
      <w:pPr>
        <w:jc w:val="both"/>
        <w:rPr>
          <w:rFonts w:ascii="Arial" w:hAnsi="Arial" w:cs="Arial"/>
          <w:szCs w:val="18"/>
          <w:lang w:val="es-MX"/>
        </w:rPr>
      </w:pPr>
    </w:p>
    <w:p w14:paraId="34DBF8F6" w14:textId="77777777" w:rsidR="00871C1E" w:rsidRDefault="00871C1E" w:rsidP="003D32CD">
      <w:pPr>
        <w:jc w:val="center"/>
        <w:rPr>
          <w:rFonts w:ascii="Arial" w:hAnsi="Arial" w:cs="Arial"/>
          <w:b/>
          <w:bCs/>
          <w:szCs w:val="18"/>
          <w:lang w:val="es-MX"/>
        </w:rPr>
        <w:sectPr w:rsidR="00871C1E" w:rsidSect="00871C1E">
          <w:headerReference w:type="default" r:id="rId24"/>
          <w:headerReference w:type="first" r:id="rId25"/>
          <w:footerReference w:type="first" r:id="rId26"/>
          <w:pgSz w:w="12240" w:h="15840"/>
          <w:pgMar w:top="1440" w:right="1800" w:bottom="1440" w:left="1800" w:header="720" w:footer="720" w:gutter="0"/>
          <w:cols w:space="720"/>
          <w:docGrid w:linePitch="360"/>
        </w:sectPr>
      </w:pPr>
    </w:p>
    <w:p w14:paraId="51A56394" w14:textId="1193877B" w:rsidR="003D32CD" w:rsidRDefault="003D32CD" w:rsidP="00B5471B">
      <w:pPr>
        <w:rPr>
          <w:rFonts w:ascii="Arial" w:hAnsi="Arial" w:cs="Arial"/>
          <w:b/>
          <w:bCs/>
          <w:szCs w:val="18"/>
          <w:lang w:val="es-MX"/>
        </w:rPr>
      </w:pPr>
      <w:r w:rsidRPr="006A77B8">
        <w:rPr>
          <w:rFonts w:ascii="Arial" w:hAnsi="Arial" w:cs="Arial"/>
          <w:b/>
          <w:bCs/>
          <w:szCs w:val="18"/>
          <w:lang w:val="es-MX"/>
        </w:rPr>
        <w:lastRenderedPageBreak/>
        <w:t>T</w:t>
      </w:r>
      <w:r w:rsidR="00B5471B">
        <w:rPr>
          <w:rFonts w:ascii="Arial" w:hAnsi="Arial" w:cs="Arial"/>
          <w:b/>
          <w:bCs/>
          <w:szCs w:val="18"/>
          <w:lang w:val="es-MX"/>
        </w:rPr>
        <w:t xml:space="preserve">abla </w:t>
      </w:r>
      <w:r w:rsidR="00410F44">
        <w:rPr>
          <w:rFonts w:ascii="Arial" w:hAnsi="Arial" w:cs="Arial"/>
          <w:b/>
          <w:bCs/>
          <w:szCs w:val="18"/>
          <w:lang w:val="es-MX"/>
        </w:rPr>
        <w:t>4</w:t>
      </w:r>
      <w:r w:rsidR="00B5471B">
        <w:rPr>
          <w:rFonts w:ascii="Arial" w:hAnsi="Arial" w:cs="Arial"/>
          <w:b/>
          <w:bCs/>
          <w:szCs w:val="18"/>
          <w:lang w:val="es-MX"/>
        </w:rPr>
        <w:t>. R</w:t>
      </w:r>
      <w:r w:rsidR="00B5471B" w:rsidRPr="006A77B8">
        <w:rPr>
          <w:rFonts w:ascii="Arial" w:hAnsi="Arial" w:cs="Arial"/>
          <w:b/>
          <w:bCs/>
          <w:szCs w:val="18"/>
          <w:lang w:val="es-MX"/>
        </w:rPr>
        <w:t xml:space="preserve">esultados de cálculos de flujos de beneficios netos, </w:t>
      </w:r>
      <w:r w:rsidR="00B5471B">
        <w:rPr>
          <w:rFonts w:ascii="Arial" w:hAnsi="Arial" w:cs="Arial"/>
          <w:b/>
          <w:bCs/>
          <w:szCs w:val="18"/>
          <w:lang w:val="es-MX"/>
        </w:rPr>
        <w:t>VPN</w:t>
      </w:r>
      <w:r w:rsidR="00B5471B" w:rsidRPr="006A77B8">
        <w:rPr>
          <w:rFonts w:ascii="Arial" w:hAnsi="Arial" w:cs="Arial"/>
          <w:b/>
          <w:bCs/>
          <w:szCs w:val="18"/>
          <w:lang w:val="es-MX"/>
        </w:rPr>
        <w:t xml:space="preserve"> y </w:t>
      </w:r>
      <w:r w:rsidR="00B5471B">
        <w:rPr>
          <w:rFonts w:ascii="Arial" w:hAnsi="Arial" w:cs="Arial"/>
          <w:b/>
          <w:bCs/>
          <w:szCs w:val="18"/>
          <w:lang w:val="es-MX"/>
        </w:rPr>
        <w:t>TIR</w:t>
      </w:r>
    </w:p>
    <w:p w14:paraId="486A4079" w14:textId="3D4AAE02" w:rsidR="00871C1E" w:rsidRPr="006A77B8" w:rsidRDefault="00B5471B" w:rsidP="003D32CD">
      <w:pPr>
        <w:jc w:val="center"/>
        <w:rPr>
          <w:rFonts w:ascii="Arial" w:hAnsi="Arial" w:cs="Arial"/>
          <w:b/>
          <w:bCs/>
          <w:szCs w:val="18"/>
          <w:lang w:val="es-MX"/>
        </w:rPr>
      </w:pPr>
      <w:r w:rsidRPr="00B5471B">
        <w:rPr>
          <w:noProof/>
        </w:rPr>
        <w:drawing>
          <wp:inline distT="0" distB="0" distL="0" distR="0" wp14:anchorId="6A3EB32A" wp14:editId="3CE940BC">
            <wp:extent cx="8229600" cy="1782445"/>
            <wp:effectExtent l="19050" t="19050" r="19050" b="273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29600" cy="1782445"/>
                    </a:xfrm>
                    <a:prstGeom prst="rect">
                      <a:avLst/>
                    </a:prstGeom>
                    <a:noFill/>
                    <a:ln>
                      <a:solidFill>
                        <a:schemeClr val="accent1"/>
                      </a:solidFill>
                    </a:ln>
                  </pic:spPr>
                </pic:pic>
              </a:graphicData>
            </a:graphic>
          </wp:inline>
        </w:drawing>
      </w:r>
    </w:p>
    <w:p w14:paraId="50E9F816" w14:textId="77777777" w:rsidR="003D32CD" w:rsidRPr="006A77B8" w:rsidRDefault="003D32CD" w:rsidP="003D32CD">
      <w:pPr>
        <w:rPr>
          <w:sz w:val="20"/>
          <w:szCs w:val="20"/>
          <w:lang w:val="es-ES_tradnl"/>
        </w:rPr>
      </w:pPr>
    </w:p>
    <w:p w14:paraId="0D26938D" w14:textId="77777777" w:rsidR="00871C1E" w:rsidRPr="003D32CD" w:rsidRDefault="00871C1E">
      <w:pPr>
        <w:rPr>
          <w:lang w:val="es-ES_tradnl"/>
        </w:rPr>
      </w:pPr>
    </w:p>
    <w:sectPr w:rsidR="00871C1E" w:rsidRPr="003D32CD" w:rsidSect="00871C1E">
      <w:headerReference w:type="default" r:id="rId28"/>
      <w:headerReference w:type="first" r:id="rId29"/>
      <w:footerReference w:type="first" r:id="rId30"/>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4026BD" w14:textId="77777777" w:rsidR="00536129" w:rsidRDefault="00536129" w:rsidP="003D32CD">
      <w:pPr>
        <w:spacing w:after="0" w:line="240" w:lineRule="auto"/>
      </w:pPr>
      <w:r>
        <w:separator/>
      </w:r>
    </w:p>
  </w:endnote>
  <w:endnote w:type="continuationSeparator" w:id="0">
    <w:p w14:paraId="055B2984" w14:textId="77777777" w:rsidR="00536129" w:rsidRDefault="00536129" w:rsidP="003D32CD">
      <w:pPr>
        <w:spacing w:after="0" w:line="240" w:lineRule="auto"/>
      </w:pPr>
      <w:r>
        <w:continuationSeparator/>
      </w:r>
    </w:p>
  </w:endnote>
  <w:endnote w:type="continuationNotice" w:id="1">
    <w:p w14:paraId="6049560A" w14:textId="77777777" w:rsidR="00536129" w:rsidRDefault="005361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281859"/>
      <w:docPartObj>
        <w:docPartGallery w:val="Page Numbers (Bottom of Page)"/>
        <w:docPartUnique/>
      </w:docPartObj>
    </w:sdtPr>
    <w:sdtEndPr>
      <w:rPr>
        <w:rFonts w:ascii="Times New Roman" w:hAnsi="Times New Roman" w:cs="Times New Roman"/>
        <w:noProof/>
      </w:rPr>
    </w:sdtEndPr>
    <w:sdtContent>
      <w:p w14:paraId="1EBADFE8" w14:textId="77777777" w:rsidR="007424CF" w:rsidRPr="00352714" w:rsidRDefault="007424CF">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022C8148" w14:textId="77777777" w:rsidR="007424CF" w:rsidRDefault="007424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7059657"/>
      <w:docPartObj>
        <w:docPartGallery w:val="Page Numbers (Bottom of Page)"/>
        <w:docPartUnique/>
      </w:docPartObj>
    </w:sdtPr>
    <w:sdtEndPr>
      <w:rPr>
        <w:noProof/>
        <w:sz w:val="18"/>
      </w:rPr>
    </w:sdtEndPr>
    <w:sdtContent>
      <w:p w14:paraId="3C0E25AF" w14:textId="77777777" w:rsidR="007424CF" w:rsidRPr="00EA2920" w:rsidRDefault="007424CF">
        <w:pPr>
          <w:pStyle w:val="Footer"/>
          <w:jc w:val="center"/>
          <w:rPr>
            <w:rFonts w:ascii="Arial" w:hAnsi="Arial" w:cs="Arial"/>
            <w:sz w:val="18"/>
          </w:rPr>
        </w:pPr>
        <w:r w:rsidRPr="00EA2920">
          <w:rPr>
            <w:rFonts w:ascii="Arial" w:hAnsi="Arial" w:cs="Arial"/>
            <w:sz w:val="18"/>
          </w:rPr>
          <w:t>-</w:t>
        </w:r>
        <w:r w:rsidRPr="00EA2920">
          <w:rPr>
            <w:rFonts w:ascii="Arial" w:hAnsi="Arial" w:cs="Arial"/>
            <w:sz w:val="18"/>
          </w:rPr>
          <w:fldChar w:fldCharType="begin"/>
        </w:r>
        <w:r w:rsidRPr="00EA2920">
          <w:rPr>
            <w:rFonts w:ascii="Arial" w:hAnsi="Arial" w:cs="Arial"/>
            <w:sz w:val="18"/>
          </w:rPr>
          <w:instrText xml:space="preserve"> PAGE   \* MERGEFORMAT </w:instrText>
        </w:r>
        <w:r w:rsidRPr="00EA2920">
          <w:rPr>
            <w:rFonts w:ascii="Arial" w:hAnsi="Arial" w:cs="Arial"/>
            <w:sz w:val="18"/>
          </w:rPr>
          <w:fldChar w:fldCharType="separate"/>
        </w:r>
        <w:r w:rsidRPr="00EA2920">
          <w:rPr>
            <w:rFonts w:ascii="Arial" w:hAnsi="Arial" w:cs="Arial"/>
            <w:noProof/>
            <w:sz w:val="18"/>
          </w:rPr>
          <w:t>10</w:t>
        </w:r>
        <w:r w:rsidRPr="00EA2920">
          <w:rPr>
            <w:rFonts w:ascii="Arial" w:hAnsi="Arial" w:cs="Arial"/>
            <w:noProof/>
            <w:sz w:val="18"/>
          </w:rPr>
          <w:fldChar w:fldCharType="end"/>
        </w:r>
        <w:r w:rsidRPr="00EA2920">
          <w:rPr>
            <w:rFonts w:ascii="Arial" w:hAnsi="Arial" w:cs="Arial"/>
            <w:noProof/>
            <w:sz w:val="18"/>
          </w:rPr>
          <w:t>-</w:t>
        </w:r>
      </w:p>
    </w:sdtContent>
  </w:sdt>
  <w:p w14:paraId="05C88A08" w14:textId="77777777" w:rsidR="007424CF" w:rsidRDefault="007424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9884B" w14:textId="77777777" w:rsidR="00987ABF" w:rsidRDefault="00987A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77A69" w14:textId="77777777" w:rsidR="00987ABF" w:rsidRDefault="00987AB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8540D" w14:textId="77777777" w:rsidR="00987ABF" w:rsidRDefault="00987A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8B81B2" w14:textId="77777777" w:rsidR="00536129" w:rsidRDefault="00536129" w:rsidP="003D32CD">
      <w:pPr>
        <w:spacing w:after="0" w:line="240" w:lineRule="auto"/>
      </w:pPr>
      <w:r>
        <w:separator/>
      </w:r>
    </w:p>
  </w:footnote>
  <w:footnote w:type="continuationSeparator" w:id="0">
    <w:p w14:paraId="1FFCDF59" w14:textId="77777777" w:rsidR="00536129" w:rsidRDefault="00536129" w:rsidP="003D32CD">
      <w:pPr>
        <w:spacing w:after="0" w:line="240" w:lineRule="auto"/>
      </w:pPr>
      <w:r>
        <w:continuationSeparator/>
      </w:r>
    </w:p>
  </w:footnote>
  <w:footnote w:type="continuationNotice" w:id="1">
    <w:p w14:paraId="02F99249" w14:textId="77777777" w:rsidR="00536129" w:rsidRDefault="00536129">
      <w:pPr>
        <w:spacing w:after="0" w:line="240" w:lineRule="auto"/>
      </w:pPr>
    </w:p>
  </w:footnote>
  <w:footnote w:id="2">
    <w:p w14:paraId="055833E3" w14:textId="082655E4" w:rsidR="007424CF" w:rsidRPr="00C00AC5" w:rsidRDefault="007424CF" w:rsidP="00F26972">
      <w:pPr>
        <w:pStyle w:val="FootnoteText"/>
        <w:spacing w:after="0"/>
        <w:rPr>
          <w:rFonts w:ascii="Arial" w:hAnsi="Arial" w:cs="Arial"/>
          <w:sz w:val="18"/>
          <w:szCs w:val="18"/>
        </w:rPr>
      </w:pPr>
      <w:r w:rsidRPr="00E00595">
        <w:rPr>
          <w:rStyle w:val="FootnoteReference"/>
          <w:rFonts w:ascii="Arial" w:hAnsi="Arial" w:cs="Arial"/>
          <w:sz w:val="18"/>
          <w:szCs w:val="18"/>
          <w:lang w:val="es-ES"/>
        </w:rPr>
        <w:footnoteRef/>
      </w:r>
      <w:r w:rsidRPr="00C00AC5">
        <w:rPr>
          <w:rFonts w:ascii="Arial" w:hAnsi="Arial" w:cs="Arial"/>
          <w:sz w:val="18"/>
          <w:szCs w:val="18"/>
        </w:rPr>
        <w:t xml:space="preserve"> </w:t>
      </w:r>
      <w:r w:rsidRPr="00C00AC5">
        <w:rPr>
          <w:rFonts w:ascii="Arial" w:hAnsi="Arial" w:cs="Arial"/>
          <w:sz w:val="18"/>
          <w:szCs w:val="18"/>
        </w:rPr>
        <w:tab/>
        <w:t>Ver</w:t>
      </w:r>
      <w:r w:rsidR="00E34E7B">
        <w:rPr>
          <w:rFonts w:ascii="Arial" w:hAnsi="Arial" w:cs="Arial"/>
          <w:sz w:val="18"/>
          <w:szCs w:val="18"/>
        </w:rPr>
        <w:t>:</w:t>
      </w:r>
      <w:r w:rsidRPr="00C00AC5">
        <w:rPr>
          <w:rFonts w:ascii="Arial" w:hAnsi="Arial" w:cs="Arial"/>
          <w:sz w:val="18"/>
          <w:szCs w:val="18"/>
        </w:rPr>
        <w:t xml:space="preserve"> WHO COVID-19 </w:t>
      </w:r>
      <w:r w:rsidRPr="00496C30">
        <w:rPr>
          <w:rFonts w:ascii="Arial" w:hAnsi="Arial" w:cs="Arial"/>
          <w:i/>
          <w:iCs/>
          <w:sz w:val="18"/>
          <w:szCs w:val="18"/>
        </w:rPr>
        <w:t>Situation Dashboard</w:t>
      </w:r>
      <w:r w:rsidRPr="00C00AC5">
        <w:rPr>
          <w:rFonts w:ascii="Arial" w:hAnsi="Arial" w:cs="Arial"/>
          <w:sz w:val="18"/>
          <w:szCs w:val="18"/>
        </w:rPr>
        <w:t xml:space="preserve"> </w:t>
      </w:r>
      <w:r w:rsidRPr="009035ED">
        <w:rPr>
          <w:rFonts w:ascii="Arial" w:hAnsi="Arial" w:cs="Arial"/>
          <w:sz w:val="18"/>
          <w:szCs w:val="18"/>
        </w:rPr>
        <w:t xml:space="preserve">en </w:t>
      </w:r>
      <w:hyperlink r:id="rId1" w:history="1">
        <w:r w:rsidRPr="008616B0">
          <w:rPr>
            <w:rStyle w:val="Hyperlink"/>
            <w:rFonts w:ascii="Arial" w:hAnsi="Arial" w:cs="Arial"/>
            <w:sz w:val="18"/>
            <w:szCs w:val="18"/>
          </w:rPr>
          <w:t>Covid19.who.int</w:t>
        </w:r>
      </w:hyperlink>
      <w:r w:rsidRPr="008616B0">
        <w:rPr>
          <w:rFonts w:ascii="Arial" w:hAnsi="Arial" w:cs="Arial"/>
          <w:sz w:val="18"/>
          <w:szCs w:val="18"/>
        </w:rPr>
        <w:t xml:space="preserve"> (</w:t>
      </w:r>
      <w:r w:rsidRPr="001A660C">
        <w:rPr>
          <w:rFonts w:ascii="Arial" w:hAnsi="Arial" w:cs="Arial"/>
          <w:sz w:val="18"/>
          <w:szCs w:val="18"/>
        </w:rPr>
        <w:t>14 de junio, 2020</w:t>
      </w:r>
      <w:r w:rsidRPr="008616B0">
        <w:rPr>
          <w:rFonts w:ascii="Arial" w:hAnsi="Arial" w:cs="Arial"/>
          <w:sz w:val="18"/>
          <w:szCs w:val="18"/>
        </w:rPr>
        <w:t>).</w:t>
      </w:r>
    </w:p>
  </w:footnote>
  <w:footnote w:id="3">
    <w:p w14:paraId="23CB3EF1" w14:textId="77777777" w:rsidR="007424CF" w:rsidRPr="002F16B5" w:rsidRDefault="007424CF" w:rsidP="00F26972">
      <w:pPr>
        <w:pStyle w:val="FootnoteText"/>
        <w:spacing w:after="0"/>
        <w:rPr>
          <w:rFonts w:ascii="Arial" w:hAnsi="Arial" w:cs="Arial"/>
          <w:sz w:val="18"/>
          <w:szCs w:val="18"/>
          <w:lang w:val="es-ES"/>
        </w:rPr>
      </w:pPr>
      <w:r w:rsidRPr="002F16B5">
        <w:rPr>
          <w:rStyle w:val="FootnoteReference"/>
          <w:rFonts w:ascii="Arial" w:hAnsi="Arial" w:cs="Arial"/>
          <w:sz w:val="18"/>
          <w:szCs w:val="18"/>
          <w:lang w:val="es-ES"/>
        </w:rPr>
        <w:footnoteRef/>
      </w:r>
      <w:r w:rsidRPr="002F16B5">
        <w:rPr>
          <w:rFonts w:ascii="Arial" w:hAnsi="Arial" w:cs="Arial"/>
          <w:sz w:val="18"/>
          <w:szCs w:val="18"/>
          <w:lang w:val="es-ES"/>
        </w:rPr>
        <w:t xml:space="preserve"> </w:t>
      </w:r>
      <w:r w:rsidRPr="002F16B5">
        <w:rPr>
          <w:rFonts w:ascii="Arial" w:hAnsi="Arial" w:cs="Arial"/>
          <w:sz w:val="18"/>
          <w:szCs w:val="18"/>
          <w:lang w:val="es-ES"/>
        </w:rPr>
        <w:tab/>
        <w:t>A la fecha todos los países de ALC cuentan con casos confirmados de COVID-19 (14 de junio, 2020).</w:t>
      </w:r>
    </w:p>
  </w:footnote>
  <w:footnote w:id="4">
    <w:p w14:paraId="473A7539" w14:textId="77777777" w:rsidR="007424CF" w:rsidRPr="001F116C" w:rsidRDefault="007424CF" w:rsidP="00F26972">
      <w:pPr>
        <w:pStyle w:val="FootnoteText"/>
        <w:spacing w:after="0"/>
        <w:rPr>
          <w:rFonts w:ascii="Arial" w:hAnsi="Arial" w:cs="Arial"/>
          <w:sz w:val="18"/>
          <w:szCs w:val="18"/>
        </w:rPr>
      </w:pPr>
      <w:r w:rsidRPr="002F16B5">
        <w:rPr>
          <w:rStyle w:val="FootnoteReference"/>
          <w:rFonts w:ascii="Arial" w:hAnsi="Arial" w:cs="Arial"/>
          <w:sz w:val="18"/>
          <w:szCs w:val="18"/>
          <w:lang w:val="es-ES"/>
        </w:rPr>
        <w:footnoteRef/>
      </w:r>
      <w:r w:rsidRPr="001F116C">
        <w:rPr>
          <w:rFonts w:ascii="Arial" w:hAnsi="Arial" w:cs="Arial"/>
          <w:sz w:val="18"/>
          <w:szCs w:val="18"/>
        </w:rPr>
        <w:t xml:space="preserve"> </w:t>
      </w:r>
      <w:r w:rsidRPr="001F116C">
        <w:rPr>
          <w:rFonts w:ascii="Arial" w:hAnsi="Arial" w:cs="Arial"/>
          <w:sz w:val="18"/>
          <w:szCs w:val="18"/>
        </w:rPr>
        <w:tab/>
        <w:t xml:space="preserve">Ver: </w:t>
      </w:r>
      <w:hyperlink r:id="rId2" w:history="1">
        <w:r w:rsidRPr="001F116C">
          <w:rPr>
            <w:rStyle w:val="Hyperlink"/>
            <w:rFonts w:ascii="Arial" w:hAnsi="Arial" w:cs="Arial"/>
            <w:sz w:val="18"/>
            <w:szCs w:val="18"/>
          </w:rPr>
          <w:t>Reporte de PAHO</w:t>
        </w:r>
      </w:hyperlink>
      <w:r w:rsidRPr="001F116C">
        <w:rPr>
          <w:rFonts w:ascii="Arial" w:hAnsi="Arial" w:cs="Arial"/>
          <w:sz w:val="18"/>
          <w:szCs w:val="18"/>
        </w:rPr>
        <w:t xml:space="preserve"> (27 de marzo, 2020).</w:t>
      </w:r>
    </w:p>
  </w:footnote>
  <w:footnote w:id="5">
    <w:p w14:paraId="28AFE519" w14:textId="528CA75C" w:rsidR="007424CF" w:rsidRPr="002F16B5" w:rsidRDefault="007424CF" w:rsidP="00F26972">
      <w:pPr>
        <w:pStyle w:val="FootnoteText"/>
        <w:spacing w:after="0"/>
        <w:rPr>
          <w:rFonts w:ascii="Arial" w:hAnsi="Arial" w:cs="Arial"/>
          <w:sz w:val="18"/>
          <w:szCs w:val="18"/>
        </w:rPr>
      </w:pPr>
      <w:r w:rsidRPr="002F16B5">
        <w:rPr>
          <w:rStyle w:val="FootnoteReference"/>
          <w:rFonts w:ascii="Arial" w:hAnsi="Arial" w:cs="Arial"/>
          <w:sz w:val="18"/>
          <w:szCs w:val="18"/>
        </w:rPr>
        <w:footnoteRef/>
      </w:r>
      <w:r w:rsidRPr="002F16B5">
        <w:rPr>
          <w:rFonts w:ascii="Arial" w:hAnsi="Arial" w:cs="Arial"/>
          <w:sz w:val="18"/>
          <w:szCs w:val="18"/>
        </w:rPr>
        <w:t xml:space="preserve"> </w:t>
      </w:r>
      <w:r w:rsidRPr="002F16B5">
        <w:rPr>
          <w:rFonts w:ascii="Arial" w:hAnsi="Arial" w:cs="Arial"/>
          <w:sz w:val="18"/>
          <w:szCs w:val="18"/>
        </w:rPr>
        <w:tab/>
        <w:t xml:space="preserve">Según </w:t>
      </w:r>
      <w:hyperlink r:id="rId3" w:history="1">
        <w:r w:rsidRPr="00496C30">
          <w:rPr>
            <w:rStyle w:val="Hyperlink"/>
            <w:rFonts w:ascii="Arial" w:hAnsi="Arial" w:cs="Arial"/>
            <w:i/>
            <w:iCs/>
            <w:sz w:val="18"/>
            <w:szCs w:val="18"/>
          </w:rPr>
          <w:t>WHO COVID-19 Country Preparedness and Response Status for COVID-19</w:t>
        </w:r>
      </w:hyperlink>
      <w:r w:rsidRPr="002F16B5">
        <w:rPr>
          <w:rFonts w:ascii="Arial" w:hAnsi="Arial" w:cs="Arial"/>
          <w:sz w:val="18"/>
          <w:szCs w:val="18"/>
        </w:rPr>
        <w:t xml:space="preserve"> (20 de abril, 2020)</w:t>
      </w:r>
      <w:r>
        <w:rPr>
          <w:rFonts w:ascii="Arial" w:hAnsi="Arial" w:cs="Arial"/>
          <w:sz w:val="18"/>
          <w:szCs w:val="18"/>
        </w:rPr>
        <w:t>.</w:t>
      </w:r>
    </w:p>
  </w:footnote>
  <w:footnote w:id="6">
    <w:p w14:paraId="7EF4BE4E" w14:textId="77777777" w:rsidR="007424CF" w:rsidRPr="002F16B5" w:rsidRDefault="007424CF" w:rsidP="00F26972">
      <w:pPr>
        <w:pStyle w:val="FootnoteText"/>
        <w:spacing w:after="0"/>
        <w:rPr>
          <w:rFonts w:ascii="Arial" w:hAnsi="Arial" w:cs="Arial"/>
          <w:sz w:val="18"/>
          <w:szCs w:val="18"/>
          <w:lang w:val="es-PA"/>
        </w:rPr>
      </w:pPr>
      <w:r w:rsidRPr="002F16B5">
        <w:rPr>
          <w:rStyle w:val="FootnoteReference"/>
          <w:rFonts w:ascii="Arial" w:hAnsi="Arial" w:cs="Arial"/>
          <w:sz w:val="18"/>
          <w:szCs w:val="18"/>
          <w:lang w:val="es-PA"/>
        </w:rPr>
        <w:footnoteRef/>
      </w:r>
      <w:r w:rsidRPr="002F16B5">
        <w:rPr>
          <w:rFonts w:ascii="Arial" w:hAnsi="Arial" w:cs="Arial"/>
          <w:sz w:val="18"/>
          <w:szCs w:val="18"/>
          <w:lang w:val="es-PA"/>
        </w:rPr>
        <w:t xml:space="preserve"> </w:t>
      </w:r>
      <w:r w:rsidRPr="002F16B5">
        <w:rPr>
          <w:rFonts w:ascii="Arial" w:hAnsi="Arial" w:cs="Arial"/>
          <w:sz w:val="18"/>
          <w:szCs w:val="18"/>
          <w:lang w:val="es-PA"/>
        </w:rPr>
        <w:tab/>
        <w:t>El índice de preparación operativa para respuesta a COVID-19 tiene 5 niveles siendo el nivel 5 el de mejor preparación. La evaluación del índice en cada país se actualiza periódicamente según la evolución de la situación del COVID-19.</w:t>
      </w:r>
    </w:p>
  </w:footnote>
  <w:footnote w:id="7">
    <w:p w14:paraId="5E0870BE" w14:textId="77777777" w:rsidR="007424CF" w:rsidRPr="00BC7CD9" w:rsidRDefault="007424CF" w:rsidP="00F26972">
      <w:pPr>
        <w:pStyle w:val="FootnoteText"/>
        <w:spacing w:after="0"/>
        <w:rPr>
          <w:rFonts w:ascii="Arial" w:hAnsi="Arial" w:cs="Arial"/>
          <w:sz w:val="18"/>
          <w:szCs w:val="18"/>
          <w:lang w:val="es-ES"/>
        </w:rPr>
      </w:pPr>
      <w:r w:rsidRPr="00905E86">
        <w:rPr>
          <w:rStyle w:val="FootnoteReference"/>
          <w:rFonts w:ascii="Arial" w:hAnsi="Arial" w:cs="Arial"/>
          <w:sz w:val="18"/>
          <w:szCs w:val="18"/>
        </w:rPr>
        <w:footnoteRef/>
      </w:r>
      <w:r w:rsidRPr="00BC7CD9">
        <w:rPr>
          <w:rFonts w:ascii="Arial" w:hAnsi="Arial" w:cs="Arial"/>
          <w:sz w:val="18"/>
          <w:szCs w:val="18"/>
          <w:lang w:val="es-ES"/>
        </w:rPr>
        <w:t xml:space="preserve"> </w:t>
      </w:r>
      <w:r w:rsidRPr="00BC7CD9">
        <w:rPr>
          <w:rFonts w:ascii="Arial" w:hAnsi="Arial" w:cs="Arial"/>
          <w:sz w:val="18"/>
          <w:szCs w:val="18"/>
          <w:lang w:val="es-ES"/>
        </w:rPr>
        <w:tab/>
        <w:t>Fondo Monetario Internacional. Julio, 2019. “</w:t>
      </w:r>
      <w:hyperlink r:id="rId4" w:history="1">
        <w:r w:rsidRPr="00BC7CD9">
          <w:rPr>
            <w:rStyle w:val="Hyperlink"/>
            <w:rFonts w:ascii="Arial" w:hAnsi="Arial" w:cs="Arial"/>
            <w:i/>
            <w:iCs/>
            <w:sz w:val="18"/>
            <w:szCs w:val="18"/>
            <w:lang w:val="es-ES"/>
          </w:rPr>
          <w:t>Honduras: Article IV Consultation</w:t>
        </w:r>
      </w:hyperlink>
      <w:r w:rsidRPr="00BC7CD9">
        <w:rPr>
          <w:rFonts w:ascii="Arial" w:hAnsi="Arial" w:cs="Arial"/>
          <w:sz w:val="18"/>
          <w:szCs w:val="18"/>
          <w:lang w:val="es-ES"/>
        </w:rPr>
        <w:t>”.</w:t>
      </w:r>
    </w:p>
  </w:footnote>
  <w:footnote w:id="8">
    <w:p w14:paraId="3CAB0B44" w14:textId="77777777" w:rsidR="000107D1" w:rsidRPr="001F116C" w:rsidRDefault="000107D1" w:rsidP="000107D1">
      <w:pPr>
        <w:pStyle w:val="FootnoteText"/>
        <w:spacing w:after="40"/>
        <w:rPr>
          <w:rFonts w:ascii="Arial" w:hAnsi="Arial" w:cs="Arial"/>
          <w:sz w:val="18"/>
          <w:szCs w:val="18"/>
          <w:lang w:val="es-ES_tradnl"/>
        </w:rPr>
      </w:pPr>
      <w:r w:rsidRPr="00FA280C">
        <w:rPr>
          <w:rStyle w:val="FootnoteReference"/>
          <w:rFonts w:ascii="Arial" w:hAnsi="Arial" w:cs="Arial"/>
          <w:sz w:val="18"/>
          <w:szCs w:val="18"/>
        </w:rPr>
        <w:footnoteRef/>
      </w:r>
      <w:r w:rsidRPr="001F116C">
        <w:rPr>
          <w:rFonts w:ascii="Arial" w:hAnsi="Arial" w:cs="Arial"/>
          <w:sz w:val="18"/>
          <w:szCs w:val="18"/>
          <w:lang w:val="es-ES_tradnl"/>
        </w:rPr>
        <w:t xml:space="preserve"> </w:t>
      </w:r>
      <w:r w:rsidRPr="001F116C">
        <w:rPr>
          <w:rFonts w:ascii="Arial" w:hAnsi="Arial" w:cs="Arial"/>
          <w:sz w:val="18"/>
          <w:szCs w:val="18"/>
          <w:lang w:val="es-ES_tradnl"/>
        </w:rPr>
        <w:tab/>
        <w:t xml:space="preserve">Se estima que la participación de las remesas como porcentaje del PIB disminuirá de un 21,6% en 2019 a un 18,8% en 2020.  </w:t>
      </w:r>
    </w:p>
  </w:footnote>
  <w:footnote w:id="9">
    <w:p w14:paraId="5BAF443F" w14:textId="77777777" w:rsidR="00F65054" w:rsidRPr="001F116C" w:rsidRDefault="00F65054" w:rsidP="00F65054">
      <w:pPr>
        <w:pStyle w:val="FootnoteText"/>
        <w:spacing w:after="40"/>
        <w:rPr>
          <w:rFonts w:ascii="Arial" w:hAnsi="Arial" w:cs="Arial"/>
          <w:sz w:val="18"/>
          <w:szCs w:val="18"/>
        </w:rPr>
      </w:pPr>
      <w:r w:rsidRPr="00905E86">
        <w:rPr>
          <w:rStyle w:val="FootnoteReference"/>
          <w:rFonts w:ascii="Arial" w:hAnsi="Arial" w:cs="Arial"/>
          <w:sz w:val="18"/>
          <w:szCs w:val="18"/>
        </w:rPr>
        <w:footnoteRef/>
      </w:r>
      <w:r w:rsidRPr="001F116C">
        <w:rPr>
          <w:rFonts w:ascii="Arial" w:hAnsi="Arial" w:cs="Arial"/>
          <w:sz w:val="18"/>
          <w:szCs w:val="18"/>
        </w:rPr>
        <w:t xml:space="preserve"> </w:t>
      </w:r>
      <w:r w:rsidRPr="001F116C">
        <w:rPr>
          <w:rFonts w:ascii="Arial" w:hAnsi="Arial" w:cs="Arial"/>
          <w:sz w:val="18"/>
          <w:szCs w:val="18"/>
        </w:rPr>
        <w:tab/>
        <w:t>FMI. Abril, 2020. “</w:t>
      </w:r>
      <w:hyperlink r:id="rId5" w:history="1">
        <w:r w:rsidRPr="001F116C">
          <w:rPr>
            <w:rStyle w:val="Hyperlink"/>
            <w:rFonts w:ascii="Arial" w:hAnsi="Arial" w:cs="Arial"/>
            <w:i/>
            <w:iCs/>
            <w:sz w:val="18"/>
            <w:szCs w:val="18"/>
          </w:rPr>
          <w:t>World Economic Outlook</w:t>
        </w:r>
      </w:hyperlink>
      <w:r w:rsidRPr="001F116C">
        <w:rPr>
          <w:rFonts w:ascii="Arial" w:hAnsi="Arial" w:cs="Arial"/>
          <w:sz w:val="18"/>
          <w:szCs w:val="18"/>
        </w:rPr>
        <w:t xml:space="preserve">”. </w:t>
      </w:r>
    </w:p>
  </w:footnote>
  <w:footnote w:id="10">
    <w:p w14:paraId="280487F2" w14:textId="46C547F9" w:rsidR="007424CF" w:rsidRPr="00514234" w:rsidRDefault="007424CF" w:rsidP="003D32CD">
      <w:pPr>
        <w:pStyle w:val="FootnoteText"/>
        <w:spacing w:after="0"/>
        <w:rPr>
          <w:lang w:val="es-ES"/>
        </w:rPr>
      </w:pPr>
      <w:r w:rsidRPr="00514234">
        <w:rPr>
          <w:rStyle w:val="FootnoteReference"/>
          <w:rFonts w:ascii="Arial" w:hAnsi="Arial" w:cs="Arial"/>
          <w:sz w:val="18"/>
          <w:szCs w:val="18"/>
        </w:rPr>
        <w:footnoteRef/>
      </w:r>
      <w:r w:rsidRPr="00514234">
        <w:rPr>
          <w:rFonts w:ascii="Arial" w:hAnsi="Arial" w:cs="Arial"/>
          <w:sz w:val="18"/>
          <w:szCs w:val="18"/>
          <w:lang w:val="es-ES"/>
        </w:rPr>
        <w:t xml:space="preserve"> </w:t>
      </w:r>
      <w:r w:rsidRPr="00514234">
        <w:rPr>
          <w:rFonts w:ascii="Arial" w:hAnsi="Arial" w:cs="Arial"/>
          <w:sz w:val="18"/>
          <w:szCs w:val="18"/>
          <w:lang w:val="es-ES"/>
        </w:rPr>
        <w:tab/>
        <w:t xml:space="preserve">Ver: </w:t>
      </w:r>
      <w:hyperlink r:id="rId6" w:history="1">
        <w:r w:rsidRPr="00514234">
          <w:rPr>
            <w:rStyle w:val="Hyperlink"/>
            <w:rFonts w:ascii="Arial" w:hAnsi="Arial" w:cs="Arial"/>
            <w:sz w:val="18"/>
            <w:szCs w:val="18"/>
            <w:lang w:val="es-ES"/>
          </w:rPr>
          <w:t>Comunicado de CEPAL</w:t>
        </w:r>
      </w:hyperlink>
      <w:r w:rsidRPr="00514234">
        <w:rPr>
          <w:rFonts w:ascii="Arial" w:hAnsi="Arial" w:cs="Arial"/>
          <w:sz w:val="18"/>
          <w:szCs w:val="18"/>
          <w:lang w:val="es-ES"/>
        </w:rPr>
        <w:t xml:space="preserve"> (19 de marzo, 2020)</w:t>
      </w:r>
      <w:r>
        <w:rPr>
          <w:rFonts w:ascii="Arial" w:hAnsi="Arial" w:cs="Arial"/>
          <w:sz w:val="18"/>
          <w:szCs w:val="18"/>
          <w:lang w:val="es-ES"/>
        </w:rPr>
        <w:t>.</w:t>
      </w:r>
    </w:p>
  </w:footnote>
  <w:footnote w:id="11">
    <w:p w14:paraId="50E020CF" w14:textId="77777777" w:rsidR="007424CF" w:rsidRPr="003D1AD6" w:rsidRDefault="007424CF" w:rsidP="003D32CD">
      <w:pPr>
        <w:pStyle w:val="FootnoteText"/>
        <w:spacing w:after="40"/>
        <w:rPr>
          <w:rFonts w:ascii="Arial" w:hAnsi="Arial" w:cs="Arial"/>
          <w:sz w:val="18"/>
          <w:szCs w:val="18"/>
          <w:lang w:val="es-ES"/>
        </w:rPr>
      </w:pPr>
      <w:r w:rsidRPr="00AF2E22">
        <w:rPr>
          <w:rStyle w:val="FootnoteReference"/>
          <w:rFonts w:ascii="Arial" w:hAnsi="Arial" w:cs="Arial"/>
          <w:sz w:val="18"/>
          <w:szCs w:val="18"/>
        </w:rPr>
        <w:footnoteRef/>
      </w:r>
      <w:r w:rsidRPr="00514234">
        <w:rPr>
          <w:rFonts w:ascii="Arial" w:hAnsi="Arial" w:cs="Arial"/>
          <w:sz w:val="18"/>
          <w:szCs w:val="18"/>
          <w:lang w:val="es-ES"/>
        </w:rPr>
        <w:t xml:space="preserve"> </w:t>
      </w:r>
      <w:r w:rsidRPr="003D1AD6">
        <w:rPr>
          <w:rFonts w:ascii="Arial" w:hAnsi="Arial" w:cs="Arial"/>
          <w:sz w:val="18"/>
          <w:szCs w:val="18"/>
          <w:lang w:val="es-ES"/>
        </w:rPr>
        <w:t xml:space="preserve"> </w:t>
      </w:r>
      <w:r w:rsidRPr="003D1AD6">
        <w:rPr>
          <w:rFonts w:ascii="Arial" w:hAnsi="Arial" w:cs="Arial"/>
          <w:sz w:val="18"/>
          <w:szCs w:val="18"/>
          <w:lang w:val="es-ES"/>
        </w:rPr>
        <w:tab/>
      </w:r>
      <w:r w:rsidRPr="00AF2E22">
        <w:rPr>
          <w:rFonts w:ascii="Arial" w:hAnsi="Arial" w:cs="Arial"/>
          <w:sz w:val="18"/>
          <w:szCs w:val="18"/>
          <w:lang w:val="es-PA"/>
        </w:rPr>
        <w:t>Existe evidencia cuantitativa y cualitativa de estos efectos durante la cr</w:t>
      </w:r>
      <w:r w:rsidRPr="00C40BD4">
        <w:rPr>
          <w:rFonts w:ascii="Arial" w:hAnsi="Arial" w:cs="Arial"/>
          <w:sz w:val="18"/>
          <w:szCs w:val="18"/>
          <w:lang w:val="es-PA"/>
        </w:rPr>
        <w:t>isis global de 2008. Por ejemplo, para países miembros de la Organización para la Cooperación y el Desarrollo Económico (OCDE)</w:t>
      </w:r>
      <w:r w:rsidRPr="00C40BD4">
        <w:rPr>
          <w:rFonts w:ascii="Arial" w:hAnsi="Arial" w:cs="Arial"/>
          <w:sz w:val="18"/>
          <w:szCs w:val="18"/>
          <w:lang w:val="es-ES"/>
        </w:rPr>
        <w:t>, ver</w:t>
      </w:r>
      <w:r w:rsidRPr="003D1AD6">
        <w:rPr>
          <w:rFonts w:ascii="Arial" w:hAnsi="Arial" w:cs="Arial"/>
          <w:sz w:val="18"/>
          <w:szCs w:val="18"/>
          <w:lang w:val="es-ES"/>
        </w:rPr>
        <w:t>: “</w:t>
      </w:r>
      <w:r w:rsidRPr="00514234">
        <w:rPr>
          <w:rFonts w:ascii="Arial" w:hAnsi="Arial" w:cs="Arial"/>
          <w:i/>
          <w:iCs/>
          <w:sz w:val="18"/>
          <w:szCs w:val="18"/>
          <w:lang w:val="es-ES"/>
        </w:rPr>
        <w:t>The Impact of the Global Crisis on SME and Entrepreneurship Financing and Policy Responses</w:t>
      </w:r>
      <w:r w:rsidRPr="00514234">
        <w:rPr>
          <w:rFonts w:ascii="Arial" w:hAnsi="Arial" w:cs="Arial"/>
          <w:sz w:val="18"/>
          <w:szCs w:val="18"/>
          <w:lang w:val="es-ES"/>
        </w:rPr>
        <w:t>”, OCDE, 2009.</w:t>
      </w:r>
    </w:p>
  </w:footnote>
  <w:footnote w:id="12">
    <w:p w14:paraId="4157937E" w14:textId="77777777" w:rsidR="007424CF" w:rsidRPr="00BD3F39" w:rsidRDefault="007424CF" w:rsidP="00E01FFD">
      <w:pPr>
        <w:pStyle w:val="FootnoteText"/>
        <w:spacing w:after="0"/>
        <w:rPr>
          <w:rFonts w:ascii="Arial" w:hAnsi="Arial" w:cs="Arial"/>
          <w:sz w:val="18"/>
          <w:szCs w:val="18"/>
          <w:lang w:val="es-ES"/>
        </w:rPr>
      </w:pPr>
      <w:r w:rsidRPr="00AF2E22">
        <w:rPr>
          <w:rStyle w:val="FootnoteReference"/>
          <w:rFonts w:ascii="Arial" w:hAnsi="Arial" w:cs="Arial"/>
          <w:sz w:val="18"/>
          <w:szCs w:val="18"/>
        </w:rPr>
        <w:footnoteRef/>
      </w:r>
      <w:r w:rsidRPr="00514234">
        <w:rPr>
          <w:rFonts w:ascii="Arial" w:hAnsi="Arial" w:cs="Arial"/>
          <w:sz w:val="18"/>
          <w:szCs w:val="18"/>
          <w:lang w:val="es-ES"/>
        </w:rPr>
        <w:t xml:space="preserve"> </w:t>
      </w:r>
      <w:r w:rsidRPr="00514234">
        <w:rPr>
          <w:rFonts w:ascii="Arial" w:hAnsi="Arial" w:cs="Arial"/>
          <w:sz w:val="18"/>
          <w:szCs w:val="18"/>
          <w:lang w:val="es-ES"/>
        </w:rPr>
        <w:tab/>
        <w:t xml:space="preserve">El principal factor de la reducción de la oferta es el aumento de la percepción de riesgo de crédito. </w:t>
      </w:r>
      <w:r>
        <w:rPr>
          <w:rFonts w:ascii="Arial" w:hAnsi="Arial" w:cs="Arial"/>
          <w:sz w:val="18"/>
          <w:szCs w:val="18"/>
          <w:lang w:val="es-ES"/>
        </w:rPr>
        <w:t>E</w:t>
      </w:r>
      <w:r w:rsidRPr="00514234">
        <w:rPr>
          <w:rFonts w:ascii="Arial" w:hAnsi="Arial" w:cs="Arial"/>
          <w:sz w:val="18"/>
          <w:szCs w:val="18"/>
          <w:lang w:val="es-ES"/>
        </w:rPr>
        <w:t xml:space="preserve">xiste evidencia de como durante épocas de crisis económica el número de solicitudes de préstamo rechazos a MIPYMES aumenta. </w:t>
      </w:r>
      <w:r w:rsidRPr="00BD3F39">
        <w:rPr>
          <w:rFonts w:ascii="Arial" w:hAnsi="Arial" w:cs="Arial"/>
          <w:sz w:val="18"/>
          <w:szCs w:val="18"/>
          <w:lang w:val="es-ES"/>
        </w:rPr>
        <w:t>Por ejemplo, ver “</w:t>
      </w:r>
      <w:r w:rsidRPr="00BD3F39">
        <w:rPr>
          <w:rFonts w:ascii="Arial" w:hAnsi="Arial" w:cs="Arial"/>
          <w:i/>
          <w:iCs/>
          <w:sz w:val="18"/>
          <w:szCs w:val="18"/>
          <w:lang w:val="es-ES"/>
        </w:rPr>
        <w:t>The impact of the Financial Crisis on Bank Lending to SMEs in UK</w:t>
      </w:r>
      <w:r w:rsidRPr="00BD3F39">
        <w:rPr>
          <w:rFonts w:ascii="Arial" w:hAnsi="Arial" w:cs="Arial"/>
          <w:sz w:val="18"/>
          <w:szCs w:val="18"/>
          <w:lang w:val="es-ES"/>
        </w:rPr>
        <w:t>”, Department of Business, Innovation and Skills, 2012.</w:t>
      </w:r>
    </w:p>
  </w:footnote>
  <w:footnote w:id="13">
    <w:p w14:paraId="57C230FF" w14:textId="77777777" w:rsidR="007424CF" w:rsidRPr="00C40BD4" w:rsidRDefault="007424CF" w:rsidP="00E01FFD">
      <w:pPr>
        <w:pStyle w:val="FootnoteText"/>
        <w:spacing w:after="0"/>
        <w:rPr>
          <w:rFonts w:ascii="Arial" w:hAnsi="Arial" w:cs="Arial"/>
          <w:sz w:val="18"/>
          <w:szCs w:val="18"/>
        </w:rPr>
      </w:pPr>
      <w:r w:rsidRPr="00AF2E22">
        <w:rPr>
          <w:rStyle w:val="FootnoteReference"/>
          <w:rFonts w:ascii="Arial" w:hAnsi="Arial" w:cs="Arial"/>
          <w:sz w:val="18"/>
          <w:szCs w:val="18"/>
        </w:rPr>
        <w:footnoteRef/>
      </w:r>
      <w:r w:rsidRPr="003D1AD6">
        <w:rPr>
          <w:rFonts w:ascii="Arial" w:hAnsi="Arial" w:cs="Arial"/>
          <w:sz w:val="18"/>
          <w:szCs w:val="18"/>
        </w:rPr>
        <w:t xml:space="preserve"> </w:t>
      </w:r>
      <w:r w:rsidRPr="003D1AD6">
        <w:rPr>
          <w:rFonts w:ascii="Arial" w:hAnsi="Arial" w:cs="Arial"/>
          <w:sz w:val="18"/>
          <w:szCs w:val="18"/>
        </w:rPr>
        <w:tab/>
        <w:t>“Small and Medium Size Enterprises, Credit Supply Shocks, and Economic Recovery in Europe”</w:t>
      </w:r>
      <w:r w:rsidRPr="00AF2E22">
        <w:rPr>
          <w:rFonts w:ascii="Arial" w:hAnsi="Arial" w:cs="Arial"/>
          <w:sz w:val="18"/>
          <w:szCs w:val="18"/>
        </w:rPr>
        <w:t>, FMI, 2014</w:t>
      </w:r>
      <w:r w:rsidRPr="00C40BD4">
        <w:rPr>
          <w:rFonts w:ascii="Arial" w:hAnsi="Arial" w:cs="Arial"/>
          <w:sz w:val="18"/>
          <w:szCs w:val="18"/>
        </w:rPr>
        <w:t>.</w:t>
      </w:r>
    </w:p>
  </w:footnote>
  <w:footnote w:id="14">
    <w:p w14:paraId="4FDE99E0" w14:textId="77777777" w:rsidR="007424CF" w:rsidRPr="00C40BD4" w:rsidRDefault="007424CF" w:rsidP="00E01FFD">
      <w:pPr>
        <w:pStyle w:val="FootnoteText"/>
        <w:spacing w:after="0"/>
        <w:rPr>
          <w:rFonts w:ascii="Arial" w:hAnsi="Arial" w:cs="Arial"/>
          <w:sz w:val="18"/>
          <w:szCs w:val="18"/>
        </w:rPr>
      </w:pPr>
      <w:r w:rsidRPr="00AF2E22">
        <w:rPr>
          <w:rStyle w:val="FootnoteReference"/>
          <w:rFonts w:ascii="Arial" w:hAnsi="Arial" w:cs="Arial"/>
          <w:sz w:val="18"/>
          <w:szCs w:val="18"/>
        </w:rPr>
        <w:footnoteRef/>
      </w:r>
      <w:r w:rsidRPr="00514234">
        <w:rPr>
          <w:rFonts w:ascii="Arial" w:hAnsi="Arial" w:cs="Arial"/>
          <w:sz w:val="18"/>
          <w:szCs w:val="18"/>
          <w:lang w:val="es-ES"/>
        </w:rPr>
        <w:t xml:space="preserve"> </w:t>
      </w:r>
      <w:r w:rsidRPr="00514234">
        <w:rPr>
          <w:rFonts w:ascii="Arial" w:hAnsi="Arial" w:cs="Arial"/>
          <w:sz w:val="18"/>
          <w:szCs w:val="18"/>
          <w:lang w:val="es-ES"/>
        </w:rPr>
        <w:tab/>
        <w:t xml:space="preserve">Estudio realizado por el Fondo Monetario Internacional (FMI) en la zona euro encuentra que la oferta de crédito esta correlacionada con el tamaño de empresa, y que el crédito se redujo en mayor proporción en las MIPYMES. </w:t>
      </w:r>
      <w:r w:rsidRPr="003D1AD6">
        <w:rPr>
          <w:rFonts w:ascii="Arial" w:hAnsi="Arial" w:cs="Arial"/>
          <w:sz w:val="18"/>
          <w:szCs w:val="18"/>
        </w:rPr>
        <w:t>“</w:t>
      </w:r>
      <w:r w:rsidRPr="00C40BD4">
        <w:rPr>
          <w:rFonts w:ascii="Arial" w:hAnsi="Arial" w:cs="Arial"/>
          <w:i/>
          <w:iCs/>
          <w:sz w:val="18"/>
          <w:szCs w:val="18"/>
        </w:rPr>
        <w:t xml:space="preserve">Access to Finance by SMEs in the Euro Area—What Helps or </w:t>
      </w:r>
      <w:proofErr w:type="gramStart"/>
      <w:r w:rsidRPr="00C40BD4">
        <w:rPr>
          <w:rFonts w:ascii="Arial" w:hAnsi="Arial" w:cs="Arial"/>
          <w:i/>
          <w:iCs/>
          <w:sz w:val="18"/>
          <w:szCs w:val="18"/>
        </w:rPr>
        <w:t>Hampers?</w:t>
      </w:r>
      <w:r w:rsidRPr="00C40BD4">
        <w:rPr>
          <w:rFonts w:ascii="Arial" w:hAnsi="Arial" w:cs="Arial"/>
          <w:sz w:val="18"/>
          <w:szCs w:val="18"/>
        </w:rPr>
        <w:t>,</w:t>
      </w:r>
      <w:proofErr w:type="gramEnd"/>
      <w:r w:rsidRPr="00C40BD4">
        <w:rPr>
          <w:rFonts w:ascii="Arial" w:hAnsi="Arial" w:cs="Arial"/>
          <w:sz w:val="18"/>
          <w:szCs w:val="18"/>
        </w:rPr>
        <w:t xml:space="preserve"> FMI, 2013.</w:t>
      </w:r>
    </w:p>
  </w:footnote>
  <w:footnote w:id="15">
    <w:p w14:paraId="29C20E27" w14:textId="5EA0ABF9" w:rsidR="007424CF" w:rsidRPr="00AF2E22" w:rsidRDefault="007424CF" w:rsidP="00E01FFD">
      <w:pPr>
        <w:pStyle w:val="FootnoteText"/>
        <w:spacing w:after="0"/>
      </w:pPr>
      <w:r w:rsidRPr="00AF2E22">
        <w:rPr>
          <w:rStyle w:val="FootnoteReference"/>
          <w:rFonts w:ascii="Arial" w:hAnsi="Arial" w:cs="Arial"/>
          <w:sz w:val="18"/>
          <w:szCs w:val="18"/>
        </w:rPr>
        <w:footnoteRef/>
      </w:r>
      <w:r w:rsidRPr="003D1AD6">
        <w:rPr>
          <w:rFonts w:ascii="Arial" w:hAnsi="Arial" w:cs="Arial"/>
          <w:sz w:val="18"/>
          <w:szCs w:val="18"/>
        </w:rPr>
        <w:t xml:space="preserve"> </w:t>
      </w:r>
      <w:r w:rsidRPr="003D1AD6">
        <w:rPr>
          <w:rFonts w:ascii="Arial" w:hAnsi="Arial" w:cs="Arial"/>
          <w:sz w:val="18"/>
          <w:szCs w:val="18"/>
        </w:rPr>
        <w:tab/>
        <w:t>Por ejemplo, ver evidencia para Estados Unidos en “</w:t>
      </w:r>
      <w:r w:rsidRPr="003D1AD6">
        <w:rPr>
          <w:rFonts w:ascii="Arial" w:hAnsi="Arial" w:cs="Arial"/>
          <w:i/>
          <w:iCs/>
          <w:sz w:val="18"/>
          <w:szCs w:val="18"/>
        </w:rPr>
        <w:t>Small Businesses and Small Business Finance during the Financial Crisis and the Great Recession - New Evidence from the Survey of Consumer Finances</w:t>
      </w:r>
      <w:r w:rsidRPr="003D1AD6">
        <w:rPr>
          <w:rFonts w:ascii="Arial" w:hAnsi="Arial" w:cs="Arial"/>
          <w:sz w:val="18"/>
          <w:szCs w:val="18"/>
        </w:rPr>
        <w:t>”, National Bureau of Economic Research, 2017.</w:t>
      </w:r>
    </w:p>
  </w:footnote>
  <w:footnote w:id="16">
    <w:p w14:paraId="14A5B79A" w14:textId="77777777" w:rsidR="007424CF" w:rsidRPr="003D1AD6" w:rsidRDefault="007424CF" w:rsidP="00E01FFD">
      <w:pPr>
        <w:pStyle w:val="FootnoteText"/>
        <w:spacing w:after="0"/>
        <w:rPr>
          <w:rFonts w:ascii="Arial" w:hAnsi="Arial" w:cs="Arial"/>
          <w:sz w:val="18"/>
          <w:szCs w:val="18"/>
          <w:lang w:val="es-ES"/>
        </w:rPr>
      </w:pPr>
      <w:r w:rsidRPr="00000951">
        <w:rPr>
          <w:rStyle w:val="FootnoteReference"/>
          <w:rFonts w:ascii="Arial" w:hAnsi="Arial" w:cs="Arial"/>
          <w:sz w:val="18"/>
          <w:szCs w:val="18"/>
        </w:rPr>
        <w:footnoteRef/>
      </w:r>
      <w:r w:rsidRPr="00514234">
        <w:rPr>
          <w:rFonts w:ascii="Arial" w:hAnsi="Arial" w:cs="Arial"/>
          <w:sz w:val="18"/>
          <w:szCs w:val="18"/>
          <w:lang w:val="es-ES"/>
        </w:rPr>
        <w:t xml:space="preserve"> </w:t>
      </w:r>
      <w:r w:rsidRPr="003D1AD6">
        <w:rPr>
          <w:rFonts w:ascii="Arial" w:hAnsi="Arial" w:cs="Arial"/>
          <w:sz w:val="18"/>
          <w:szCs w:val="18"/>
          <w:lang w:val="es-ES"/>
        </w:rPr>
        <w:tab/>
        <w:t>Un di</w:t>
      </w:r>
      <w:r w:rsidRPr="00514234">
        <w:rPr>
          <w:rFonts w:ascii="Arial" w:hAnsi="Arial" w:cs="Arial"/>
          <w:sz w:val="18"/>
          <w:szCs w:val="18"/>
          <w:lang w:val="es-ES"/>
        </w:rPr>
        <w:t>agnóstico detallado sobre los problemas de acceso a financiamiento de las MIPYME de la región, pueden encontrarse en Documento de Marco Sectorial de Respaldo para PYME y Acceso y Supervisión Financieros (GN-2768-7).</w:t>
      </w:r>
    </w:p>
  </w:footnote>
  <w:footnote w:id="17">
    <w:p w14:paraId="348142B9" w14:textId="77777777" w:rsidR="007424CF" w:rsidRPr="00B24A49" w:rsidRDefault="007424CF" w:rsidP="00E01FFD">
      <w:pPr>
        <w:pStyle w:val="FootnoteText"/>
        <w:spacing w:after="0"/>
        <w:rPr>
          <w:rFonts w:ascii="Arial" w:hAnsi="Arial" w:cs="Arial"/>
          <w:sz w:val="18"/>
          <w:szCs w:val="18"/>
          <w:lang w:val="es-ES"/>
        </w:rPr>
      </w:pPr>
      <w:r w:rsidRPr="00B24A49">
        <w:rPr>
          <w:rStyle w:val="FootnoteReference"/>
          <w:rFonts w:ascii="Arial" w:hAnsi="Arial" w:cs="Arial"/>
          <w:sz w:val="18"/>
          <w:szCs w:val="18"/>
        </w:rPr>
        <w:footnoteRef/>
      </w:r>
      <w:r w:rsidRPr="00B24A49">
        <w:rPr>
          <w:rFonts w:ascii="Arial" w:hAnsi="Arial" w:cs="Arial"/>
          <w:sz w:val="18"/>
          <w:szCs w:val="18"/>
          <w:lang w:val="es-ES"/>
        </w:rPr>
        <w:t xml:space="preserve"> </w:t>
      </w:r>
      <w:r>
        <w:rPr>
          <w:rFonts w:ascii="Arial" w:hAnsi="Arial" w:cs="Arial"/>
          <w:sz w:val="18"/>
          <w:szCs w:val="18"/>
          <w:lang w:val="es-ES"/>
        </w:rPr>
        <w:tab/>
        <w:t xml:space="preserve">El segmento MIPYME presenta </w:t>
      </w:r>
      <w:r w:rsidRPr="00B24A49">
        <w:rPr>
          <w:rFonts w:ascii="Arial" w:hAnsi="Arial" w:cs="Arial"/>
          <w:sz w:val="18"/>
          <w:szCs w:val="18"/>
          <w:lang w:val="es-ES_tradnl"/>
        </w:rPr>
        <w:t>obstáculos específicos para el acceso al financiamiento respecto a empresas de mayor tamaño como son: (i) ciclos comerciales más cortos con mayores necesidades de liquidez a corto plazo; (ii) carencia de instrumentos para la gestión del riesgo asociado a su ciclo de proyectos; (iii) mayores limitaciones de colateral disponible y su ejecución, debido a la falta de capital existente; (iv) altos costos de operación para prestar a escalas pequeñas; y (v) menor rentabilidad que otros segmentos empresariales.</w:t>
      </w:r>
    </w:p>
  </w:footnote>
  <w:footnote w:id="18">
    <w:p w14:paraId="666D2CE9" w14:textId="77777777" w:rsidR="007424CF" w:rsidRPr="00BC7CD9" w:rsidRDefault="007424CF" w:rsidP="00BC7CD9">
      <w:pPr>
        <w:pStyle w:val="FootnoteText"/>
        <w:rPr>
          <w:rFonts w:ascii="Arial" w:hAnsi="Arial" w:cs="Arial"/>
          <w:sz w:val="18"/>
          <w:szCs w:val="18"/>
          <w:lang w:val="es-ES"/>
        </w:rPr>
      </w:pPr>
      <w:r w:rsidRPr="0027421B">
        <w:rPr>
          <w:rStyle w:val="FootnoteReference"/>
          <w:rFonts w:ascii="Arial" w:hAnsi="Arial" w:cs="Arial"/>
          <w:sz w:val="18"/>
          <w:szCs w:val="18"/>
        </w:rPr>
        <w:footnoteRef/>
      </w:r>
      <w:r w:rsidRPr="00BC7CD9">
        <w:rPr>
          <w:rFonts w:ascii="Arial" w:hAnsi="Arial" w:cs="Arial"/>
          <w:sz w:val="18"/>
          <w:szCs w:val="18"/>
          <w:lang w:val="es-ES"/>
        </w:rPr>
        <w:t xml:space="preserve"> </w:t>
      </w:r>
      <w:r w:rsidRPr="00BC7CD9">
        <w:rPr>
          <w:rFonts w:ascii="Arial" w:hAnsi="Arial" w:cs="Arial"/>
          <w:sz w:val="18"/>
          <w:szCs w:val="18"/>
          <w:lang w:val="es-ES"/>
        </w:rPr>
        <w:tab/>
        <w:t>Estudio en colaboración con la Cámara Nacional de Turismo (CANATURH), la Federación de Cámaras de Comercio e Industria de Honduras (FEDECAMARAS) junto con 15 cámaras de comercio regionales, el Consejo Hondureño de la Empresa Privada (COHEP) y el Proyecto Transformando Sistemas de Mercado financiado por la Agencia de los Estados Unidos para el Desarrollo Internacional (USAID).</w:t>
      </w:r>
    </w:p>
  </w:footnote>
  <w:footnote w:id="19">
    <w:p w14:paraId="7DE3CFEF" w14:textId="74C16896" w:rsidR="007424CF" w:rsidRPr="00F26972" w:rsidRDefault="007424CF" w:rsidP="00F26972">
      <w:pPr>
        <w:pStyle w:val="FootnoteText"/>
        <w:spacing w:after="0"/>
        <w:rPr>
          <w:rFonts w:ascii="Arial" w:hAnsi="Arial" w:cs="Arial"/>
          <w:sz w:val="18"/>
          <w:szCs w:val="18"/>
          <w:lang w:val="es-ES"/>
        </w:rPr>
      </w:pPr>
      <w:r w:rsidRPr="00CA3FF2">
        <w:rPr>
          <w:rStyle w:val="FootnoteReference"/>
          <w:rFonts w:ascii="Arial" w:hAnsi="Arial" w:cs="Arial"/>
          <w:sz w:val="18"/>
          <w:szCs w:val="18"/>
        </w:rPr>
        <w:footnoteRef/>
      </w:r>
      <w:r w:rsidRPr="00F26972">
        <w:rPr>
          <w:rFonts w:ascii="Arial" w:hAnsi="Arial" w:cs="Arial"/>
          <w:sz w:val="18"/>
          <w:szCs w:val="18"/>
          <w:lang w:val="es-ES"/>
        </w:rPr>
        <w:t xml:space="preserve"> </w:t>
      </w:r>
      <w:r w:rsidRPr="00F26972">
        <w:rPr>
          <w:rFonts w:ascii="Arial" w:hAnsi="Arial" w:cs="Arial"/>
          <w:sz w:val="18"/>
          <w:szCs w:val="18"/>
          <w:lang w:val="es-ES"/>
        </w:rPr>
        <w:tab/>
        <w:t xml:space="preserve">El programa tiene un enfoque amplio de apoyo al sector turismo en el que se incluyen todos los subsectores turísticos como hospedaje, organizadores de eventos, guías turísticos, agencias de viajes, y también </w:t>
      </w:r>
      <w:r w:rsidR="00722AEE">
        <w:rPr>
          <w:rFonts w:ascii="Arial" w:hAnsi="Arial" w:cs="Arial"/>
          <w:sz w:val="18"/>
          <w:szCs w:val="18"/>
          <w:lang w:val="es-ES"/>
        </w:rPr>
        <w:t xml:space="preserve">subsectores de </w:t>
      </w:r>
      <w:r w:rsidRPr="00F26972">
        <w:rPr>
          <w:rFonts w:ascii="Arial" w:hAnsi="Arial" w:cs="Arial"/>
          <w:sz w:val="18"/>
          <w:szCs w:val="18"/>
          <w:lang w:val="es-ES"/>
        </w:rPr>
        <w:t>servicios asociados al turismo como por ejemplo gastronomía y comercio minorista que tenga</w:t>
      </w:r>
      <w:r w:rsidR="00722AEE">
        <w:rPr>
          <w:rFonts w:ascii="Arial" w:hAnsi="Arial" w:cs="Arial"/>
          <w:sz w:val="18"/>
          <w:szCs w:val="18"/>
          <w:lang w:val="es-ES"/>
        </w:rPr>
        <w:t>n</w:t>
      </w:r>
      <w:r w:rsidRPr="00F26972">
        <w:rPr>
          <w:rFonts w:ascii="Arial" w:hAnsi="Arial" w:cs="Arial"/>
          <w:sz w:val="18"/>
          <w:szCs w:val="18"/>
          <w:lang w:val="es-ES"/>
        </w:rPr>
        <w:t xml:space="preserve"> su actividad en las principales zonas turísticas del país y/o que la generación de sus ingresos </w:t>
      </w:r>
      <w:r w:rsidR="00722AEE">
        <w:rPr>
          <w:rFonts w:ascii="Arial" w:hAnsi="Arial" w:cs="Arial"/>
          <w:sz w:val="18"/>
          <w:szCs w:val="18"/>
          <w:lang w:val="es-ES"/>
        </w:rPr>
        <w:t xml:space="preserve">por ventas </w:t>
      </w:r>
      <w:r w:rsidRPr="00F26972">
        <w:rPr>
          <w:rFonts w:ascii="Arial" w:hAnsi="Arial" w:cs="Arial"/>
          <w:sz w:val="18"/>
          <w:szCs w:val="18"/>
          <w:lang w:val="es-ES"/>
        </w:rPr>
        <w:t>dependa directa o indirectamente de la actividad turística.</w:t>
      </w:r>
    </w:p>
  </w:footnote>
  <w:footnote w:id="20">
    <w:p w14:paraId="27AD0C33" w14:textId="77777777" w:rsidR="007424CF" w:rsidRPr="00F26972" w:rsidRDefault="007424CF" w:rsidP="00F26972">
      <w:pPr>
        <w:pStyle w:val="FootnoteText"/>
        <w:spacing w:after="0"/>
        <w:rPr>
          <w:rFonts w:ascii="Arial" w:hAnsi="Arial" w:cs="Arial"/>
          <w:sz w:val="18"/>
          <w:szCs w:val="18"/>
          <w:lang w:val="es-ES"/>
        </w:rPr>
      </w:pPr>
      <w:r w:rsidRPr="00384CDE">
        <w:rPr>
          <w:rStyle w:val="FootnoteReference"/>
          <w:rFonts w:ascii="Arial" w:hAnsi="Arial" w:cs="Arial"/>
          <w:sz w:val="18"/>
          <w:szCs w:val="18"/>
        </w:rPr>
        <w:footnoteRef/>
      </w:r>
      <w:r w:rsidRPr="00F26972">
        <w:rPr>
          <w:rFonts w:ascii="Arial" w:hAnsi="Arial" w:cs="Arial"/>
          <w:sz w:val="18"/>
          <w:szCs w:val="18"/>
          <w:lang w:val="es-ES"/>
        </w:rPr>
        <w:t xml:space="preserve"> </w:t>
      </w:r>
      <w:r w:rsidRPr="00F26972">
        <w:rPr>
          <w:rFonts w:ascii="Arial" w:hAnsi="Arial" w:cs="Arial"/>
          <w:sz w:val="18"/>
          <w:szCs w:val="18"/>
          <w:lang w:val="es-ES"/>
        </w:rPr>
        <w:tab/>
        <w:t xml:space="preserve">Este análisis toma en consideración los sectores que presentan una mayor probabilidad de verse afectados en términos de pérdidas de empleo en función de la posible materialización de los siguientes riesgos identificados ante la crisis del COVID-19: (i) factores de contracción de la oferta; (ii) factores de contracción de la demanda; (iii) factores financieros y patrimoniales; y (iv) otros riesgos sistémicos y del entorno regulatorio. Para interpretar los resultados del análisis, deben tenerse en cuenta dos consideraciones: (i) se estima que la muestra ya se encuentra afectada por el impacto del COVID-19 en la actividad económica, por lo que una calificación de baja vulnerabilidad no representa una situación de normalidad; y (ii) el índice global no debe tomarse como una medida de priorización de necesidades de financiamiento.  </w:t>
      </w:r>
    </w:p>
  </w:footnote>
  <w:footnote w:id="21">
    <w:p w14:paraId="5F115557" w14:textId="1D9B92B1" w:rsidR="007424CF" w:rsidRPr="001A660C" w:rsidRDefault="007424CF" w:rsidP="00F26972">
      <w:pPr>
        <w:pStyle w:val="FootnoteText"/>
        <w:spacing w:after="0"/>
        <w:rPr>
          <w:rFonts w:ascii="Arial" w:hAnsi="Arial" w:cs="Arial"/>
          <w:sz w:val="18"/>
          <w:szCs w:val="18"/>
          <w:lang w:val="es-ES"/>
        </w:rPr>
      </w:pPr>
      <w:r w:rsidRPr="0034565C">
        <w:rPr>
          <w:rStyle w:val="FootnoteReference"/>
          <w:rFonts w:ascii="Arial" w:hAnsi="Arial" w:cs="Arial"/>
          <w:sz w:val="18"/>
          <w:szCs w:val="18"/>
        </w:rPr>
        <w:footnoteRef/>
      </w:r>
      <w:r w:rsidRPr="00F26972">
        <w:rPr>
          <w:rFonts w:ascii="Arial" w:hAnsi="Arial" w:cs="Arial"/>
          <w:sz w:val="18"/>
          <w:szCs w:val="18"/>
          <w:lang w:val="es-ES"/>
        </w:rPr>
        <w:t xml:space="preserve"> </w:t>
      </w:r>
      <w:r w:rsidRPr="00F26972">
        <w:rPr>
          <w:rFonts w:ascii="Arial" w:hAnsi="Arial" w:cs="Arial"/>
          <w:sz w:val="18"/>
          <w:szCs w:val="18"/>
          <w:lang w:val="es-ES"/>
        </w:rPr>
        <w:tab/>
        <w:t xml:space="preserve">Información según el </w:t>
      </w:r>
      <w:r w:rsidRPr="00F26972">
        <w:rPr>
          <w:rFonts w:ascii="Arial" w:hAnsi="Arial" w:cs="Arial"/>
          <w:i/>
          <w:iCs/>
          <w:sz w:val="18"/>
          <w:szCs w:val="18"/>
          <w:lang w:val="es-ES"/>
        </w:rPr>
        <w:t>World Travel &amp; Tourism Council</w:t>
      </w:r>
      <w:r w:rsidRPr="00F26972">
        <w:rPr>
          <w:rFonts w:ascii="Arial" w:hAnsi="Arial" w:cs="Arial"/>
          <w:sz w:val="18"/>
          <w:szCs w:val="18"/>
          <w:lang w:val="es-ES"/>
        </w:rPr>
        <w:t xml:space="preserve">. El dato de PIB incluye efectos directos, indirectos e inducidos y el dato de empleo incluye los efectos directos e indirectos. </w:t>
      </w:r>
    </w:p>
  </w:footnote>
  <w:footnote w:id="22">
    <w:p w14:paraId="3703C4BF" w14:textId="77777777" w:rsidR="007424CF" w:rsidRPr="001A660C" w:rsidRDefault="007424CF" w:rsidP="00F26972">
      <w:pPr>
        <w:pStyle w:val="FootnoteText"/>
        <w:spacing w:after="0"/>
        <w:rPr>
          <w:rFonts w:ascii="Arial" w:hAnsi="Arial" w:cs="Arial"/>
          <w:sz w:val="18"/>
          <w:szCs w:val="18"/>
          <w:lang w:val="es-ES"/>
        </w:rPr>
      </w:pPr>
      <w:r w:rsidRPr="00730E2C">
        <w:rPr>
          <w:rStyle w:val="FootnoteReference"/>
          <w:rFonts w:ascii="Arial" w:hAnsi="Arial" w:cs="Arial"/>
          <w:sz w:val="18"/>
          <w:szCs w:val="18"/>
        </w:rPr>
        <w:footnoteRef/>
      </w:r>
      <w:r w:rsidRPr="00F26972">
        <w:rPr>
          <w:rFonts w:ascii="Arial" w:hAnsi="Arial" w:cs="Arial"/>
          <w:sz w:val="18"/>
          <w:szCs w:val="18"/>
          <w:lang w:val="es-ES"/>
        </w:rPr>
        <w:t xml:space="preserve"> </w:t>
      </w:r>
      <w:r w:rsidRPr="00F26972">
        <w:rPr>
          <w:rFonts w:ascii="Arial" w:hAnsi="Arial" w:cs="Arial"/>
          <w:sz w:val="18"/>
          <w:szCs w:val="18"/>
          <w:lang w:val="es-ES"/>
        </w:rPr>
        <w:tab/>
        <w:t xml:space="preserve">Según Directorio de Establecimientos Turístico de Honduras (2020). </w:t>
      </w:r>
    </w:p>
  </w:footnote>
  <w:footnote w:id="23">
    <w:p w14:paraId="5DE97A63" w14:textId="112EB08B" w:rsidR="007424CF" w:rsidRPr="006A77B8" w:rsidRDefault="007424CF" w:rsidP="00F26972">
      <w:pPr>
        <w:pStyle w:val="FootnoteText"/>
        <w:spacing w:after="0"/>
        <w:rPr>
          <w:rFonts w:ascii="Arial" w:hAnsi="Arial" w:cs="Arial"/>
          <w:sz w:val="18"/>
          <w:szCs w:val="18"/>
          <w:lang w:val="es-ES"/>
        </w:rPr>
      </w:pPr>
      <w:r w:rsidRPr="0020266D">
        <w:rPr>
          <w:rStyle w:val="FootnoteReference"/>
          <w:rFonts w:ascii="Arial" w:hAnsi="Arial" w:cs="Arial"/>
          <w:sz w:val="18"/>
          <w:szCs w:val="18"/>
          <w:lang w:val="es-ES"/>
        </w:rPr>
        <w:footnoteRef/>
      </w:r>
      <w:r w:rsidRPr="0020266D">
        <w:rPr>
          <w:rFonts w:ascii="Arial" w:hAnsi="Arial" w:cs="Arial"/>
          <w:sz w:val="18"/>
          <w:szCs w:val="18"/>
          <w:lang w:val="es-ES"/>
        </w:rPr>
        <w:t xml:space="preserve"> </w:t>
      </w:r>
      <w:r>
        <w:rPr>
          <w:rFonts w:ascii="Arial" w:hAnsi="Arial" w:cs="Arial"/>
          <w:sz w:val="18"/>
          <w:szCs w:val="18"/>
          <w:lang w:val="es-ES"/>
        </w:rPr>
        <w:tab/>
      </w:r>
      <w:r w:rsidRPr="0020266D">
        <w:rPr>
          <w:rFonts w:ascii="Arial" w:hAnsi="Arial" w:cs="Arial"/>
          <w:sz w:val="18"/>
          <w:szCs w:val="18"/>
          <w:lang w:val="es-ES"/>
        </w:rPr>
        <w:t xml:space="preserve">Ver: </w:t>
      </w:r>
      <w:hyperlink r:id="rId7" w:history="1">
        <w:r w:rsidRPr="0020266D">
          <w:rPr>
            <w:rStyle w:val="Hyperlink"/>
            <w:rFonts w:ascii="Arial" w:hAnsi="Arial" w:cs="Arial"/>
            <w:sz w:val="18"/>
            <w:szCs w:val="18"/>
            <w:lang w:val="es-ES"/>
          </w:rPr>
          <w:t>Comunicado de CEPAL</w:t>
        </w:r>
      </w:hyperlink>
      <w:r w:rsidRPr="0020266D">
        <w:rPr>
          <w:rFonts w:ascii="Arial" w:hAnsi="Arial" w:cs="Arial"/>
          <w:sz w:val="18"/>
          <w:szCs w:val="18"/>
          <w:lang w:val="es-ES"/>
        </w:rPr>
        <w:t xml:space="preserve"> (19 de marzo, 2020)</w:t>
      </w:r>
      <w:r>
        <w:rPr>
          <w:rFonts w:ascii="Arial" w:hAnsi="Arial" w:cs="Arial"/>
          <w:sz w:val="18"/>
          <w:szCs w:val="18"/>
          <w:lang w:val="es-ES"/>
        </w:rPr>
        <w:t>.</w:t>
      </w:r>
    </w:p>
  </w:footnote>
  <w:footnote w:id="24">
    <w:p w14:paraId="6109173B" w14:textId="77777777" w:rsidR="007424CF" w:rsidRPr="006A77B8" w:rsidRDefault="007424CF" w:rsidP="00F26972">
      <w:pPr>
        <w:pStyle w:val="FootnoteText"/>
        <w:spacing w:after="0"/>
        <w:rPr>
          <w:rFonts w:ascii="Arial" w:hAnsi="Arial" w:cs="Arial"/>
          <w:sz w:val="18"/>
          <w:szCs w:val="18"/>
          <w:lang w:val="es-PE"/>
        </w:rPr>
      </w:pPr>
      <w:r w:rsidRPr="006A77B8">
        <w:rPr>
          <w:rStyle w:val="FootnoteReference"/>
          <w:rFonts w:ascii="Arial" w:hAnsi="Arial" w:cs="Arial"/>
          <w:sz w:val="18"/>
          <w:szCs w:val="18"/>
          <w:lang w:val="es-PE"/>
        </w:rPr>
        <w:footnoteRef/>
      </w:r>
      <w:r w:rsidRPr="006A77B8">
        <w:rPr>
          <w:rFonts w:ascii="Arial" w:hAnsi="Arial" w:cs="Arial"/>
          <w:sz w:val="18"/>
          <w:szCs w:val="18"/>
          <w:lang w:val="es-PE"/>
        </w:rPr>
        <w:t xml:space="preserve"> </w:t>
      </w:r>
      <w:r>
        <w:rPr>
          <w:rFonts w:ascii="Arial" w:hAnsi="Arial" w:cs="Arial"/>
          <w:sz w:val="18"/>
          <w:szCs w:val="18"/>
          <w:lang w:val="es-PE"/>
        </w:rPr>
        <w:tab/>
      </w:r>
      <w:r w:rsidRPr="006A77B8">
        <w:rPr>
          <w:rFonts w:ascii="Arial" w:hAnsi="Arial" w:cs="Arial"/>
          <w:sz w:val="18"/>
          <w:szCs w:val="18"/>
          <w:lang w:val="es-PE"/>
        </w:rPr>
        <w:t>Podría entenderse como una desaparición temporal de los respectivos mercados, en los cuales los productores se encuentran de pronto sin una demanda para su producción.</w:t>
      </w:r>
    </w:p>
  </w:footnote>
  <w:footnote w:id="25">
    <w:p w14:paraId="34CD2886" w14:textId="77777777" w:rsidR="007424CF" w:rsidRPr="006A77B8" w:rsidRDefault="007424CF" w:rsidP="00F26972">
      <w:pPr>
        <w:pStyle w:val="FootnoteText"/>
        <w:spacing w:after="0"/>
        <w:rPr>
          <w:rFonts w:ascii="Arial" w:hAnsi="Arial" w:cs="Arial"/>
          <w:sz w:val="18"/>
          <w:szCs w:val="18"/>
          <w:lang w:val="es-PE"/>
        </w:rPr>
      </w:pPr>
      <w:r w:rsidRPr="006A77B8">
        <w:rPr>
          <w:rStyle w:val="FootnoteReference"/>
          <w:rFonts w:ascii="Arial" w:hAnsi="Arial" w:cs="Arial"/>
          <w:sz w:val="18"/>
          <w:szCs w:val="18"/>
          <w:lang w:val="es-PE"/>
        </w:rPr>
        <w:footnoteRef/>
      </w:r>
      <w:r w:rsidRPr="006A77B8">
        <w:rPr>
          <w:rFonts w:ascii="Arial" w:hAnsi="Arial" w:cs="Arial"/>
          <w:sz w:val="18"/>
          <w:szCs w:val="18"/>
          <w:lang w:val="es-PE"/>
        </w:rPr>
        <w:t xml:space="preserve"> </w:t>
      </w:r>
      <w:r>
        <w:rPr>
          <w:rFonts w:ascii="Arial" w:hAnsi="Arial" w:cs="Arial"/>
          <w:sz w:val="18"/>
          <w:szCs w:val="18"/>
          <w:lang w:val="es-PE"/>
        </w:rPr>
        <w:tab/>
      </w:r>
      <w:r w:rsidRPr="006A77B8">
        <w:rPr>
          <w:rFonts w:ascii="Arial" w:hAnsi="Arial" w:cs="Arial"/>
          <w:sz w:val="18"/>
          <w:szCs w:val="18"/>
          <w:lang w:val="es-PE"/>
        </w:rPr>
        <w:t>En el caso de beneficiarios en los eslabones intermedios de cadenas productivas, el efecto corresponde a la reducción de los ingresos de las empresas consumidoras de los bienes o servicios producidos.</w:t>
      </w:r>
    </w:p>
  </w:footnote>
  <w:footnote w:id="26">
    <w:p w14:paraId="3D985A59" w14:textId="77777777" w:rsidR="007424CF" w:rsidRPr="006A77B8" w:rsidRDefault="007424CF" w:rsidP="00F26972">
      <w:pPr>
        <w:pStyle w:val="FootnoteText"/>
        <w:spacing w:after="0"/>
        <w:rPr>
          <w:rFonts w:ascii="Arial" w:hAnsi="Arial" w:cs="Arial"/>
          <w:sz w:val="18"/>
          <w:szCs w:val="18"/>
          <w:lang w:val="es-ES"/>
        </w:rPr>
      </w:pPr>
      <w:r w:rsidRPr="006A77B8">
        <w:rPr>
          <w:rStyle w:val="FootnoteReference"/>
          <w:rFonts w:ascii="Arial" w:hAnsi="Arial" w:cs="Arial"/>
          <w:sz w:val="18"/>
          <w:szCs w:val="18"/>
        </w:rPr>
        <w:footnoteRef/>
      </w:r>
      <w:r w:rsidRPr="006A77B8">
        <w:rPr>
          <w:rFonts w:ascii="Arial" w:hAnsi="Arial" w:cs="Arial"/>
          <w:sz w:val="18"/>
          <w:szCs w:val="18"/>
          <w:lang w:val="es-ES"/>
        </w:rPr>
        <w:t xml:space="preserve"> </w:t>
      </w:r>
      <w:r>
        <w:rPr>
          <w:rFonts w:ascii="Arial" w:hAnsi="Arial" w:cs="Arial"/>
          <w:sz w:val="18"/>
          <w:szCs w:val="18"/>
          <w:lang w:val="es-ES"/>
        </w:rPr>
        <w:tab/>
      </w:r>
      <w:r w:rsidRPr="006A77B8">
        <w:rPr>
          <w:rFonts w:ascii="Arial" w:hAnsi="Arial" w:cs="Arial"/>
          <w:sz w:val="18"/>
          <w:szCs w:val="18"/>
          <w:lang w:val="es-ES"/>
        </w:rPr>
        <w:t xml:space="preserve">Estos efectos también aplican a la demanda internacional de los bienes o servicios producidos (para los </w:t>
      </w:r>
      <w:r w:rsidRPr="0020266D">
        <w:rPr>
          <w:rFonts w:ascii="Arial" w:hAnsi="Arial" w:cs="Arial"/>
          <w:sz w:val="18"/>
          <w:szCs w:val="18"/>
          <w:lang w:val="es-ES"/>
        </w:rPr>
        <w:t>beneficiarios</w:t>
      </w:r>
      <w:r w:rsidRPr="006A77B8">
        <w:rPr>
          <w:rFonts w:ascii="Arial" w:hAnsi="Arial" w:cs="Arial"/>
          <w:sz w:val="18"/>
          <w:szCs w:val="18"/>
          <w:lang w:val="es-ES"/>
        </w:rPr>
        <w:t xml:space="preserve"> exportadores) dada la naturaleza global de la crisis.</w:t>
      </w:r>
    </w:p>
  </w:footnote>
  <w:footnote w:id="27">
    <w:p w14:paraId="18CECE9E" w14:textId="77777777" w:rsidR="007424CF" w:rsidRPr="00175AAF" w:rsidRDefault="007424CF" w:rsidP="00E01FFD">
      <w:pPr>
        <w:pStyle w:val="FootnoteText"/>
        <w:spacing w:after="0"/>
        <w:rPr>
          <w:rFonts w:ascii="Arial" w:hAnsi="Arial" w:cs="Arial"/>
          <w:sz w:val="18"/>
          <w:szCs w:val="18"/>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Para un análisis de equilibrio general de los efectos del COVID-19, revisar el trabajo en marcha de Bosca, et al (2019): </w:t>
      </w:r>
      <w:hyperlink r:id="rId8" w:history="1">
        <w:r w:rsidRPr="00175AAF">
          <w:rPr>
            <w:rStyle w:val="Hyperlink"/>
            <w:rFonts w:ascii="Arial" w:hAnsi="Arial" w:cs="Arial"/>
            <w:sz w:val="18"/>
            <w:szCs w:val="18"/>
            <w:lang w:val="es-ES_tradnl"/>
          </w:rPr>
          <w:t>Enlace.</w:t>
        </w:r>
      </w:hyperlink>
    </w:p>
  </w:footnote>
  <w:footnote w:id="28">
    <w:p w14:paraId="50D94569" w14:textId="30C27F6D" w:rsidR="007424CF" w:rsidRPr="00175AAF" w:rsidRDefault="007424CF" w:rsidP="00E01FFD">
      <w:pPr>
        <w:pStyle w:val="FootnoteText"/>
        <w:spacing w:after="0"/>
        <w:rPr>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Dentro del marco de los efectos económicos y la escala de la problemática, hay que considerar el concepto de intervención como uno que ubica a la presente operación dentro de un amplio programa de políticas económicas que incluye el apoyo de otros organismos multilaterales y del gobierno de </w:t>
      </w:r>
      <w:r>
        <w:rPr>
          <w:rFonts w:ascii="Arial" w:hAnsi="Arial" w:cs="Arial"/>
          <w:sz w:val="18"/>
          <w:szCs w:val="18"/>
          <w:lang w:val="es-ES_tradnl"/>
        </w:rPr>
        <w:t>Honduras</w:t>
      </w:r>
      <w:r w:rsidRPr="00175AAF">
        <w:rPr>
          <w:rFonts w:ascii="Arial" w:hAnsi="Arial" w:cs="Arial"/>
          <w:sz w:val="18"/>
          <w:szCs w:val="18"/>
          <w:lang w:val="es-ES_tradnl"/>
        </w:rPr>
        <w:t xml:space="preserve"> en sí.</w:t>
      </w:r>
    </w:p>
  </w:footnote>
  <w:footnote w:id="29">
    <w:p w14:paraId="3A48A7F5" w14:textId="77777777" w:rsidR="007424CF" w:rsidRPr="00175AAF" w:rsidRDefault="007424CF" w:rsidP="00E01FFD">
      <w:pPr>
        <w:pStyle w:val="FootnoteText"/>
        <w:spacing w:after="0"/>
        <w:rPr>
          <w:rFonts w:ascii="Arial" w:hAnsi="Arial" w:cs="Arial"/>
          <w:sz w:val="18"/>
          <w:szCs w:val="18"/>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Existe evidencia cuantitativa y cualitativa de estos efectos durante la crisis global de 2008. Por ejemplo, para países miembros de la Organización para la Cooperación y el Desarrollo Económico (OCDE), ver: “</w:t>
      </w:r>
      <w:r w:rsidRPr="00175AAF">
        <w:rPr>
          <w:rFonts w:ascii="Arial" w:hAnsi="Arial" w:cs="Arial"/>
          <w:i/>
          <w:iCs/>
          <w:sz w:val="18"/>
          <w:szCs w:val="18"/>
          <w:lang w:val="es-ES_tradnl"/>
        </w:rPr>
        <w:t>The Impact of the Global Crisis on SME and Entrepreneurship Financing and Policy Responses</w:t>
      </w:r>
      <w:r w:rsidRPr="00175AAF">
        <w:rPr>
          <w:rFonts w:ascii="Arial" w:hAnsi="Arial" w:cs="Arial"/>
          <w:sz w:val="18"/>
          <w:szCs w:val="18"/>
          <w:lang w:val="es-ES_tradnl"/>
        </w:rPr>
        <w:t>”, OCDE, 2009.</w:t>
      </w:r>
    </w:p>
  </w:footnote>
  <w:footnote w:id="30">
    <w:p w14:paraId="1060418A" w14:textId="77777777" w:rsidR="007424CF" w:rsidRPr="00BD3F39" w:rsidRDefault="007424CF" w:rsidP="00E01FFD">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El principal factor de la reducción de la oferta es el aumento de la percepción de riesgo de crédito. Por ejemplo, existe evidencia de como durante épocas de crisis económica el número de solicitudes de préstamo rechazos a MIPYMES aumenta. </w:t>
      </w:r>
      <w:r w:rsidRPr="00BD3F39">
        <w:rPr>
          <w:rFonts w:ascii="Arial" w:hAnsi="Arial" w:cs="Arial"/>
          <w:sz w:val="18"/>
          <w:szCs w:val="18"/>
        </w:rPr>
        <w:t>Por ejemplo, ver “</w:t>
      </w:r>
      <w:r w:rsidRPr="00BD3F39">
        <w:rPr>
          <w:rFonts w:ascii="Arial" w:hAnsi="Arial" w:cs="Arial"/>
          <w:i/>
          <w:iCs/>
          <w:sz w:val="18"/>
          <w:szCs w:val="18"/>
        </w:rPr>
        <w:t>The impact of the Financial Crisis on Bank Lending to SMEs in UK</w:t>
      </w:r>
      <w:r w:rsidRPr="00BD3F39">
        <w:rPr>
          <w:rFonts w:ascii="Arial" w:hAnsi="Arial" w:cs="Arial"/>
          <w:sz w:val="18"/>
          <w:szCs w:val="18"/>
        </w:rPr>
        <w:t>”, Department of Business, Innovation and Skills, 2012.</w:t>
      </w:r>
    </w:p>
  </w:footnote>
  <w:footnote w:id="31">
    <w:p w14:paraId="57BF1550" w14:textId="77777777" w:rsidR="007424CF" w:rsidRPr="00BD3F39" w:rsidRDefault="007424CF" w:rsidP="003D32CD">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BD3F39">
        <w:rPr>
          <w:rFonts w:ascii="Arial" w:hAnsi="Arial" w:cs="Arial"/>
          <w:sz w:val="18"/>
          <w:szCs w:val="18"/>
        </w:rPr>
        <w:t xml:space="preserve"> </w:t>
      </w:r>
      <w:r w:rsidRPr="00BD3F39">
        <w:rPr>
          <w:rFonts w:ascii="Arial" w:hAnsi="Arial" w:cs="Arial"/>
          <w:sz w:val="18"/>
          <w:szCs w:val="18"/>
        </w:rPr>
        <w:tab/>
        <w:t>“Small and Medium Size Enterprises, Credit Supply Shocks, and Economic Recovery in Europe”, FMI, 2014.</w:t>
      </w:r>
    </w:p>
  </w:footnote>
  <w:footnote w:id="32">
    <w:p w14:paraId="58A17128" w14:textId="77777777" w:rsidR="007424CF" w:rsidRPr="00BD3F39" w:rsidRDefault="007424CF" w:rsidP="003D32CD">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Estudio realizado por el Fondo Monetario Internacional (FMI) en la zona euro encuentra que la oferta de crédito esta correlacionada con el tamaño de empresa, y que el crédito se redujo en mayor proporción en las MIPYMES. </w:t>
      </w:r>
      <w:r w:rsidRPr="00BD3F39">
        <w:rPr>
          <w:rFonts w:ascii="Arial" w:hAnsi="Arial" w:cs="Arial"/>
          <w:sz w:val="18"/>
          <w:szCs w:val="18"/>
        </w:rPr>
        <w:t>“</w:t>
      </w:r>
      <w:r w:rsidRPr="00BD3F39">
        <w:rPr>
          <w:rFonts w:ascii="Arial" w:hAnsi="Arial" w:cs="Arial"/>
          <w:i/>
          <w:iCs/>
          <w:sz w:val="18"/>
          <w:szCs w:val="18"/>
        </w:rPr>
        <w:t xml:space="preserve">Access to Finance by SMEs in the Euro Area—What Helps or </w:t>
      </w:r>
      <w:proofErr w:type="gramStart"/>
      <w:r w:rsidRPr="00BD3F39">
        <w:rPr>
          <w:rFonts w:ascii="Arial" w:hAnsi="Arial" w:cs="Arial"/>
          <w:i/>
          <w:iCs/>
          <w:sz w:val="18"/>
          <w:szCs w:val="18"/>
        </w:rPr>
        <w:t>Hampers?</w:t>
      </w:r>
      <w:r w:rsidRPr="00BD3F39">
        <w:rPr>
          <w:rFonts w:ascii="Arial" w:hAnsi="Arial" w:cs="Arial"/>
          <w:sz w:val="18"/>
          <w:szCs w:val="18"/>
        </w:rPr>
        <w:t>,</w:t>
      </w:r>
      <w:proofErr w:type="gramEnd"/>
      <w:r w:rsidRPr="00BD3F39">
        <w:rPr>
          <w:rFonts w:ascii="Arial" w:hAnsi="Arial" w:cs="Arial"/>
          <w:sz w:val="18"/>
          <w:szCs w:val="18"/>
        </w:rPr>
        <w:t xml:space="preserve"> FMI, 2013.</w:t>
      </w:r>
    </w:p>
  </w:footnote>
  <w:footnote w:id="33">
    <w:p w14:paraId="447EF63B" w14:textId="77777777" w:rsidR="007424CF" w:rsidRPr="00BD3F39" w:rsidRDefault="007424CF" w:rsidP="003D32CD">
      <w:pPr>
        <w:pStyle w:val="FootnoteText"/>
        <w:spacing w:after="0"/>
      </w:pPr>
      <w:r w:rsidRPr="00175AAF">
        <w:rPr>
          <w:rStyle w:val="FootnoteReference"/>
          <w:rFonts w:ascii="Arial" w:hAnsi="Arial" w:cs="Arial"/>
          <w:sz w:val="18"/>
          <w:szCs w:val="18"/>
          <w:lang w:val="es-ES_tradnl"/>
        </w:rPr>
        <w:footnoteRef/>
      </w:r>
      <w:r w:rsidRPr="00BD3F39">
        <w:rPr>
          <w:rFonts w:ascii="Arial" w:hAnsi="Arial" w:cs="Arial"/>
          <w:sz w:val="18"/>
          <w:szCs w:val="18"/>
        </w:rPr>
        <w:t xml:space="preserve"> </w:t>
      </w:r>
      <w:r w:rsidRPr="00BD3F39">
        <w:rPr>
          <w:rFonts w:ascii="Arial" w:hAnsi="Arial" w:cs="Arial"/>
          <w:sz w:val="18"/>
          <w:szCs w:val="18"/>
        </w:rPr>
        <w:tab/>
        <w:t>Por ejemplo, ver evidencia para Estados Unidos en “</w:t>
      </w:r>
      <w:r w:rsidRPr="00BD3F39">
        <w:rPr>
          <w:rFonts w:ascii="Arial" w:hAnsi="Arial" w:cs="Arial"/>
          <w:i/>
          <w:iCs/>
          <w:sz w:val="18"/>
          <w:szCs w:val="18"/>
        </w:rPr>
        <w:t>Small Businesses and Small Business Finance during the Financial Crisis and the Great Recession - New Evidence from the Survey of Consumer Finances</w:t>
      </w:r>
      <w:r w:rsidRPr="00BD3F39">
        <w:rPr>
          <w:rFonts w:ascii="Arial" w:hAnsi="Arial" w:cs="Arial"/>
          <w:sz w:val="18"/>
          <w:szCs w:val="18"/>
        </w:rPr>
        <w:t>”, National Bureau of Economic Research, 2017.</w:t>
      </w:r>
    </w:p>
  </w:footnote>
  <w:footnote w:id="34">
    <w:p w14:paraId="55B90216" w14:textId="77777777" w:rsidR="007424CF" w:rsidRPr="006A77B8" w:rsidRDefault="007424CF" w:rsidP="003D32CD">
      <w:pPr>
        <w:pStyle w:val="FootnoteText"/>
        <w:spacing w:after="40"/>
        <w:rPr>
          <w:rFonts w:ascii="Arial" w:hAnsi="Arial" w:cs="Arial"/>
          <w:sz w:val="18"/>
          <w:szCs w:val="18"/>
          <w:lang w:val="es-ES"/>
        </w:rPr>
      </w:pPr>
      <w:r w:rsidRPr="00000951">
        <w:rPr>
          <w:rStyle w:val="FootnoteReference"/>
          <w:rFonts w:ascii="Arial" w:hAnsi="Arial" w:cs="Arial"/>
          <w:sz w:val="18"/>
          <w:szCs w:val="18"/>
        </w:rPr>
        <w:footnoteRef/>
      </w:r>
      <w:r w:rsidRPr="006A77B8">
        <w:rPr>
          <w:rFonts w:ascii="Arial" w:hAnsi="Arial" w:cs="Arial"/>
          <w:sz w:val="18"/>
          <w:szCs w:val="18"/>
          <w:lang w:val="es-ES"/>
        </w:rPr>
        <w:t xml:space="preserve"> </w:t>
      </w:r>
      <w:r w:rsidRPr="006A77B8">
        <w:rPr>
          <w:rFonts w:ascii="Arial" w:hAnsi="Arial" w:cs="Arial"/>
          <w:sz w:val="18"/>
          <w:szCs w:val="18"/>
          <w:lang w:val="es-ES"/>
        </w:rPr>
        <w:tab/>
        <w:t>Un diagnóstico detallado sobre los problemas de acceso a financiamiento de las MIPYME de la región, pueden encontrarse en Documento de Marco Sectorial de Respaldo para PYME y Acceso y Supervisión Financieros (GN</w:t>
      </w:r>
      <w:r>
        <w:rPr>
          <w:rFonts w:ascii="Arial" w:hAnsi="Arial" w:cs="Arial"/>
          <w:sz w:val="18"/>
          <w:szCs w:val="18"/>
          <w:lang w:val="es-ES"/>
        </w:rPr>
        <w:noBreakHyphen/>
      </w:r>
      <w:r w:rsidRPr="006A77B8">
        <w:rPr>
          <w:rFonts w:ascii="Arial" w:hAnsi="Arial" w:cs="Arial"/>
          <w:sz w:val="18"/>
          <w:szCs w:val="18"/>
          <w:lang w:val="es-ES"/>
        </w:rPr>
        <w:t>2768</w:t>
      </w:r>
      <w:r>
        <w:rPr>
          <w:rFonts w:ascii="Arial" w:hAnsi="Arial" w:cs="Arial"/>
          <w:sz w:val="18"/>
          <w:szCs w:val="18"/>
          <w:lang w:val="es-ES"/>
        </w:rPr>
        <w:noBreakHyphen/>
      </w:r>
      <w:r w:rsidRPr="006A77B8">
        <w:rPr>
          <w:rFonts w:ascii="Arial" w:hAnsi="Arial" w:cs="Arial"/>
          <w:sz w:val="18"/>
          <w:szCs w:val="18"/>
          <w:lang w:val="es-ES"/>
        </w:rPr>
        <w:t>7).</w:t>
      </w:r>
    </w:p>
  </w:footnote>
  <w:footnote w:id="35">
    <w:p w14:paraId="3591D8DD" w14:textId="77777777" w:rsidR="007424CF" w:rsidRPr="00DD74A9" w:rsidRDefault="007424CF" w:rsidP="003D32CD">
      <w:pPr>
        <w:pStyle w:val="FootnoteText"/>
        <w:spacing w:after="40"/>
        <w:rPr>
          <w:rFonts w:ascii="Arial" w:hAnsi="Arial" w:cs="Arial"/>
          <w:sz w:val="18"/>
          <w:szCs w:val="18"/>
        </w:rPr>
      </w:pPr>
      <w:r w:rsidRPr="00AF2E22">
        <w:rPr>
          <w:rStyle w:val="FootnoteReference"/>
          <w:rFonts w:ascii="Arial" w:hAnsi="Arial" w:cs="Arial"/>
          <w:sz w:val="18"/>
          <w:szCs w:val="18"/>
        </w:rPr>
        <w:footnoteRef/>
      </w:r>
      <w:r w:rsidRPr="00316758">
        <w:rPr>
          <w:rFonts w:ascii="Arial" w:hAnsi="Arial" w:cs="Arial"/>
          <w:sz w:val="18"/>
          <w:szCs w:val="18"/>
        </w:rPr>
        <w:t xml:space="preserve"> </w:t>
      </w:r>
      <w:r w:rsidRPr="00AF2E22">
        <w:rPr>
          <w:rFonts w:ascii="Arial" w:hAnsi="Arial" w:cs="Arial"/>
          <w:sz w:val="18"/>
          <w:szCs w:val="18"/>
        </w:rPr>
        <w:tab/>
        <w:t>Tan and See 1997, Gregory et al. 2002, Narjoko and Hill 2007.</w:t>
      </w:r>
    </w:p>
  </w:footnote>
  <w:footnote w:id="36">
    <w:p w14:paraId="37396C14" w14:textId="0B8ABEC8" w:rsidR="007424CF" w:rsidRPr="006A77B8" w:rsidRDefault="007424CF" w:rsidP="00E01FFD">
      <w:pPr>
        <w:pStyle w:val="FootnoteText"/>
        <w:spacing w:after="0"/>
        <w:rPr>
          <w:rFonts w:ascii="Arial" w:hAnsi="Arial" w:cs="Arial"/>
          <w:sz w:val="18"/>
          <w:szCs w:val="18"/>
          <w:lang w:val="es-PE"/>
        </w:rPr>
      </w:pPr>
      <w:r w:rsidRPr="006A77B8">
        <w:rPr>
          <w:rStyle w:val="FootnoteReference"/>
          <w:rFonts w:ascii="Arial" w:hAnsi="Arial" w:cs="Arial"/>
          <w:sz w:val="18"/>
          <w:szCs w:val="18"/>
          <w:lang w:val="es-PE"/>
        </w:rPr>
        <w:footnoteRef/>
      </w:r>
      <w:r w:rsidRPr="006A77B8">
        <w:rPr>
          <w:rFonts w:ascii="Arial" w:hAnsi="Arial" w:cs="Arial"/>
          <w:sz w:val="18"/>
          <w:szCs w:val="18"/>
          <w:lang w:val="es-PE"/>
        </w:rPr>
        <w:t xml:space="preserve"> </w:t>
      </w:r>
      <w:r>
        <w:rPr>
          <w:rFonts w:ascii="Arial" w:hAnsi="Arial" w:cs="Arial"/>
          <w:sz w:val="18"/>
          <w:szCs w:val="18"/>
          <w:lang w:val="es-PE"/>
        </w:rPr>
        <w:tab/>
      </w:r>
      <w:r w:rsidRPr="006A77B8">
        <w:rPr>
          <w:rFonts w:ascii="Arial" w:hAnsi="Arial" w:cs="Arial"/>
          <w:sz w:val="18"/>
          <w:szCs w:val="18"/>
          <w:lang w:val="es-PE"/>
        </w:rPr>
        <w:t>El valor económico de una firma se mide como el valor presente de los flujos de utilidades y activos esperados durante la vida de la firma.</w:t>
      </w:r>
    </w:p>
  </w:footnote>
  <w:footnote w:id="37">
    <w:p w14:paraId="30F41448" w14:textId="64C5C889" w:rsidR="007424CF" w:rsidRPr="003E3EFE" w:rsidRDefault="007424CF" w:rsidP="00E01FFD">
      <w:pPr>
        <w:pStyle w:val="FootnoteText"/>
        <w:spacing w:after="0"/>
        <w:rPr>
          <w:lang w:val="es-ES"/>
        </w:rPr>
      </w:pPr>
      <w:r w:rsidRPr="006A77B8">
        <w:rPr>
          <w:rStyle w:val="FootnoteReference"/>
          <w:rFonts w:ascii="Arial" w:hAnsi="Arial" w:cs="Arial"/>
          <w:sz w:val="18"/>
          <w:szCs w:val="18"/>
          <w:lang w:val="es-PE"/>
        </w:rPr>
        <w:footnoteRef/>
      </w:r>
      <w:r w:rsidRPr="006A77B8">
        <w:rPr>
          <w:rFonts w:ascii="Arial" w:hAnsi="Arial" w:cs="Arial"/>
          <w:sz w:val="18"/>
          <w:szCs w:val="18"/>
          <w:lang w:val="es-PE"/>
        </w:rPr>
        <w:t xml:space="preserve"> </w:t>
      </w:r>
      <w:r>
        <w:rPr>
          <w:rFonts w:ascii="Arial" w:hAnsi="Arial" w:cs="Arial"/>
          <w:sz w:val="18"/>
          <w:szCs w:val="18"/>
          <w:lang w:val="es-PE"/>
        </w:rPr>
        <w:tab/>
      </w:r>
      <w:r w:rsidRPr="006A77B8">
        <w:rPr>
          <w:rFonts w:ascii="Arial" w:hAnsi="Arial" w:cs="Arial"/>
          <w:sz w:val="18"/>
          <w:szCs w:val="18"/>
          <w:lang w:val="es-PE"/>
        </w:rPr>
        <w:t>Dada la naturaleza del shock económico y las características de la intervención, es difícil justificar un escenario adicional en el cual una firma que hubiera sobrevivido al shock inicial desaparezca como consecuencia de la intervención. Por tal motivo, no se consideró dicho escenario dentro del análisis.</w:t>
      </w:r>
    </w:p>
  </w:footnote>
  <w:footnote w:id="38">
    <w:p w14:paraId="53F1CAFE" w14:textId="2CCEEDD3" w:rsidR="007424CF" w:rsidRPr="00F701BC" w:rsidRDefault="007424CF" w:rsidP="00A6452F">
      <w:pPr>
        <w:pStyle w:val="FootnoteText"/>
        <w:spacing w:after="0"/>
        <w:rPr>
          <w:rFonts w:ascii="Arial" w:hAnsi="Arial" w:cs="Arial"/>
          <w:sz w:val="18"/>
          <w:szCs w:val="18"/>
          <w:lang w:val="es-ES"/>
        </w:rPr>
      </w:pPr>
      <w:r w:rsidRPr="00F701BC">
        <w:rPr>
          <w:rStyle w:val="FootnoteReference"/>
          <w:rFonts w:ascii="Arial" w:hAnsi="Arial" w:cs="Arial"/>
          <w:sz w:val="18"/>
          <w:szCs w:val="18"/>
        </w:rPr>
        <w:footnoteRef/>
      </w:r>
      <w:r w:rsidRPr="00F701BC">
        <w:rPr>
          <w:rFonts w:ascii="Arial" w:hAnsi="Arial" w:cs="Arial"/>
          <w:sz w:val="18"/>
          <w:szCs w:val="18"/>
          <w:lang w:val="es-ES"/>
        </w:rPr>
        <w:t xml:space="preserve"> </w:t>
      </w:r>
      <w:r w:rsidRPr="00F701BC">
        <w:rPr>
          <w:rFonts w:ascii="Arial" w:hAnsi="Arial" w:cs="Arial"/>
          <w:sz w:val="18"/>
          <w:szCs w:val="18"/>
          <w:lang w:val="es-ES"/>
        </w:rPr>
        <w:tab/>
        <w:t>La medida de alivio para los trabajadores contemplaba un pago de 6.000 lempiras</w:t>
      </w:r>
      <w:r>
        <w:rPr>
          <w:rFonts w:ascii="Arial" w:hAnsi="Arial" w:cs="Arial"/>
          <w:sz w:val="18"/>
          <w:szCs w:val="18"/>
          <w:lang w:val="es-ES"/>
        </w:rPr>
        <w:t xml:space="preserve"> (aproximadamente US$270)</w:t>
      </w:r>
      <w:r w:rsidRPr="00F701BC">
        <w:rPr>
          <w:rFonts w:ascii="Arial" w:hAnsi="Arial" w:cs="Arial"/>
          <w:sz w:val="18"/>
          <w:szCs w:val="18"/>
          <w:lang w:val="es-ES"/>
        </w:rPr>
        <w:t xml:space="preserve"> al mes por tres meses como máximo. </w:t>
      </w:r>
      <w:r>
        <w:rPr>
          <w:rFonts w:ascii="Arial" w:hAnsi="Arial" w:cs="Arial"/>
          <w:sz w:val="18"/>
          <w:szCs w:val="18"/>
          <w:lang w:val="es-ES"/>
        </w:rPr>
        <w:t>(</w:t>
      </w:r>
      <w:hyperlink r:id="rId9" w:history="1">
        <w:r w:rsidRPr="00F701BC">
          <w:rPr>
            <w:rStyle w:val="Hyperlink"/>
            <w:rFonts w:ascii="Arial" w:hAnsi="Arial" w:cs="Arial"/>
            <w:sz w:val="18"/>
            <w:szCs w:val="18"/>
            <w:lang w:val="es-ES"/>
          </w:rPr>
          <w:t>Decreto 33-2020</w:t>
        </w:r>
      </w:hyperlink>
      <w:r>
        <w:rPr>
          <w:rFonts w:ascii="Arial" w:hAnsi="Arial" w:cs="Arial"/>
          <w:sz w:val="18"/>
          <w:szCs w:val="18"/>
          <w:lang w:val="es-ES"/>
        </w:rPr>
        <w:t>).</w:t>
      </w:r>
    </w:p>
  </w:footnote>
  <w:footnote w:id="39">
    <w:p w14:paraId="3F9F9DF3" w14:textId="7F6FF869" w:rsidR="007424CF" w:rsidRPr="00A6452F" w:rsidRDefault="007424CF" w:rsidP="00A6452F">
      <w:pPr>
        <w:pStyle w:val="FootnoteText"/>
        <w:spacing w:after="0"/>
        <w:rPr>
          <w:rFonts w:ascii="Arial" w:hAnsi="Arial" w:cs="Arial"/>
          <w:sz w:val="18"/>
          <w:szCs w:val="18"/>
          <w:lang w:val="es-ES"/>
        </w:rPr>
      </w:pPr>
      <w:r w:rsidRPr="00A6452F">
        <w:rPr>
          <w:rStyle w:val="FootnoteReference"/>
          <w:rFonts w:ascii="Arial" w:hAnsi="Arial" w:cs="Arial"/>
          <w:sz w:val="18"/>
          <w:szCs w:val="18"/>
        </w:rPr>
        <w:footnoteRef/>
      </w:r>
      <w:r w:rsidRPr="00A6452F">
        <w:rPr>
          <w:rFonts w:ascii="Arial" w:hAnsi="Arial" w:cs="Arial"/>
          <w:sz w:val="18"/>
          <w:szCs w:val="18"/>
          <w:lang w:val="es-ES"/>
        </w:rPr>
        <w:t xml:space="preserve"> </w:t>
      </w:r>
      <w:r w:rsidRPr="00A6452F">
        <w:rPr>
          <w:rFonts w:ascii="Arial" w:hAnsi="Arial" w:cs="Arial"/>
          <w:sz w:val="18"/>
          <w:szCs w:val="18"/>
          <w:lang w:val="es-ES"/>
        </w:rPr>
        <w:tab/>
        <w:t>Las primeras estimaciones apuntan a una contracción de la economía del 3,3% (World Economic Outlook), y de una contracción de la aportación del turismo al PIB que pasaría del 11,7% en 2019 (WTTC) al 3,9% (CANATURH).</w:t>
      </w:r>
    </w:p>
  </w:footnote>
  <w:footnote w:id="40">
    <w:p w14:paraId="74111496" w14:textId="1200CAA9" w:rsidR="007424CF" w:rsidRPr="005B02FD" w:rsidRDefault="007424CF" w:rsidP="005B02FD">
      <w:pPr>
        <w:pStyle w:val="FootnoteText"/>
        <w:rPr>
          <w:rFonts w:ascii="Arial" w:hAnsi="Arial" w:cs="Arial"/>
          <w:sz w:val="18"/>
          <w:szCs w:val="18"/>
          <w:lang w:val="es-ES"/>
        </w:rPr>
      </w:pPr>
      <w:r w:rsidRPr="005B02FD">
        <w:rPr>
          <w:rStyle w:val="FootnoteReference"/>
          <w:rFonts w:ascii="Arial" w:hAnsi="Arial" w:cs="Arial"/>
          <w:sz w:val="18"/>
          <w:szCs w:val="18"/>
        </w:rPr>
        <w:footnoteRef/>
      </w:r>
      <w:r w:rsidRPr="005B02FD">
        <w:rPr>
          <w:rFonts w:ascii="Arial" w:hAnsi="Arial" w:cs="Arial"/>
          <w:sz w:val="18"/>
          <w:szCs w:val="18"/>
          <w:lang w:val="es-ES"/>
        </w:rPr>
        <w:t xml:space="preserve"> </w:t>
      </w:r>
      <w:r w:rsidRPr="005B02FD">
        <w:rPr>
          <w:rFonts w:ascii="Arial" w:hAnsi="Arial" w:cs="Arial"/>
          <w:sz w:val="18"/>
          <w:szCs w:val="18"/>
          <w:lang w:val="es-ES"/>
        </w:rPr>
        <w:tab/>
        <w:t xml:space="preserve">Secretaría de Trabajo. </w:t>
      </w:r>
      <w:hyperlink r:id="rId10" w:history="1">
        <w:r w:rsidRPr="00722AEE">
          <w:rPr>
            <w:rStyle w:val="Hyperlink"/>
            <w:rFonts w:ascii="Arial" w:hAnsi="Arial" w:cs="Arial"/>
            <w:sz w:val="18"/>
            <w:szCs w:val="18"/>
            <w:lang w:val="es-ES"/>
          </w:rPr>
          <w:t>http://www.trabajo.gob.hn/inicio/organizacion/secretaria-de-estado/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3D517" w14:textId="77777777" w:rsidR="00987ABF" w:rsidRDefault="00987A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C8F2A" w14:textId="77777777" w:rsidR="00987ABF" w:rsidRDefault="00987A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4EC8F" w14:textId="77777777" w:rsidR="00987ABF" w:rsidRDefault="00987A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099C0" w14:textId="77777777" w:rsidR="00987ABF" w:rsidRDefault="00987AB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C1FC5" w14:textId="77777777" w:rsidR="00987ABF" w:rsidRDefault="00987AB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B1071" w14:textId="77777777" w:rsidR="00987ABF" w:rsidRDefault="00987AB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FF871" w14:textId="77777777" w:rsidR="00987ABF" w:rsidRDefault="00987A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67040"/>
    <w:multiLevelType w:val="multilevel"/>
    <w:tmpl w:val="89F86D7E"/>
    <w:lvl w:ilvl="0">
      <w:start w:val="1"/>
      <w:numFmt w:val="decimal"/>
      <w:lvlText w:val="%1"/>
      <w:lvlJc w:val="left"/>
      <w:pPr>
        <w:ind w:left="360" w:hanging="360"/>
      </w:pPr>
      <w:rPr>
        <w:rFonts w:hint="default"/>
      </w:rPr>
    </w:lvl>
    <w:lvl w:ilvl="1">
      <w:start w:val="1"/>
      <w:numFmt w:val="decimal"/>
      <w:lvlText w:val="%1.%2"/>
      <w:lvlJc w:val="left"/>
      <w:pPr>
        <w:ind w:left="1800" w:hanging="360"/>
      </w:pPr>
      <w:rPr>
        <w:rFonts w:ascii="Arial" w:hAnsi="Arial" w:cs="Arial"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0F8F0A6D"/>
    <w:multiLevelType w:val="multilevel"/>
    <w:tmpl w:val="DFB6D24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403C72F3"/>
    <w:multiLevelType w:val="multilevel"/>
    <w:tmpl w:val="C262BEF8"/>
    <w:lvl w:ilvl="0">
      <w:start w:val="2"/>
      <w:numFmt w:val="upperRoman"/>
      <w:lvlText w:val="%1."/>
      <w:lvlJc w:val="left"/>
      <w:pPr>
        <w:ind w:left="360" w:hanging="360"/>
      </w:pPr>
      <w:rPr>
        <w:rFonts w:hint="default"/>
      </w:rPr>
    </w:lvl>
    <w:lvl w:ilvl="1">
      <w:start w:val="1"/>
      <w:numFmt w:val="decimal"/>
      <w:lvlText w:val="%1.%2"/>
      <w:lvlJc w:val="left"/>
      <w:pPr>
        <w:ind w:left="720" w:hanging="360"/>
      </w:pPr>
      <w:rPr>
        <w:b w:val="0"/>
      </w:rPr>
    </w:lvl>
    <w:lvl w:ilvl="2">
      <w:start w:val="1"/>
      <w:numFmt w:val="bullet"/>
      <w:lvlText w:val=""/>
      <w:lvlJc w:val="left"/>
      <w:pPr>
        <w:ind w:left="1440" w:hanging="720"/>
      </w:pPr>
      <w:rPr>
        <w:rFonts w:ascii="Symbol" w:hAnsi="Symbol" w:hint="default"/>
      </w:rPr>
    </w:lvl>
    <w:lvl w:ilvl="3">
      <w:start w:val="1"/>
      <w:numFmt w:val="lowerLetter"/>
      <w:lvlText w:val="%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44594911"/>
    <w:multiLevelType w:val="multilevel"/>
    <w:tmpl w:val="26EC7048"/>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b w:val="0"/>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C9412CE"/>
    <w:multiLevelType w:val="multilevel"/>
    <w:tmpl w:val="17989A9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E92024D"/>
    <w:multiLevelType w:val="hybridMultilevel"/>
    <w:tmpl w:val="E2F0AA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013315"/>
    <w:multiLevelType w:val="multilevel"/>
    <w:tmpl w:val="B606B01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0"/>
  </w:num>
  <w:num w:numId="3">
    <w:abstractNumId w:val="3"/>
  </w:num>
  <w:num w:numId="4">
    <w:abstractNumId w:val="6"/>
  </w:num>
  <w:num w:numId="5">
    <w:abstractNumId w:val="1"/>
  </w:num>
  <w:num w:numId="6">
    <w:abstractNumId w:val="5"/>
  </w:num>
  <w:num w:numId="7">
    <w:abstractNumId w:val="7"/>
  </w:num>
  <w:num w:numId="8">
    <w:abstractNumId w:val="4"/>
  </w:num>
  <w:num w:numId="9">
    <w:abstractNumId w:val="2"/>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2CD"/>
    <w:rsid w:val="000107D1"/>
    <w:rsid w:val="00016F99"/>
    <w:rsid w:val="00031E22"/>
    <w:rsid w:val="00092E88"/>
    <w:rsid w:val="000A38A2"/>
    <w:rsid w:val="000C1C0E"/>
    <w:rsid w:val="000F50C5"/>
    <w:rsid w:val="00103FB0"/>
    <w:rsid w:val="00151507"/>
    <w:rsid w:val="00172FBB"/>
    <w:rsid w:val="0017774E"/>
    <w:rsid w:val="001922DD"/>
    <w:rsid w:val="001D4A72"/>
    <w:rsid w:val="001F116C"/>
    <w:rsid w:val="001F6E2E"/>
    <w:rsid w:val="00220AC3"/>
    <w:rsid w:val="00270204"/>
    <w:rsid w:val="002917D5"/>
    <w:rsid w:val="002B38EA"/>
    <w:rsid w:val="003070F3"/>
    <w:rsid w:val="00314A99"/>
    <w:rsid w:val="00326F48"/>
    <w:rsid w:val="00345DD7"/>
    <w:rsid w:val="00366667"/>
    <w:rsid w:val="00387FD7"/>
    <w:rsid w:val="003D32CD"/>
    <w:rsid w:val="00410F44"/>
    <w:rsid w:val="00413B4D"/>
    <w:rsid w:val="0049015F"/>
    <w:rsid w:val="00496C30"/>
    <w:rsid w:val="004E1452"/>
    <w:rsid w:val="005138D4"/>
    <w:rsid w:val="00535D0A"/>
    <w:rsid w:val="00536129"/>
    <w:rsid w:val="00550631"/>
    <w:rsid w:val="0055230E"/>
    <w:rsid w:val="005B02FD"/>
    <w:rsid w:val="005F071A"/>
    <w:rsid w:val="00601960"/>
    <w:rsid w:val="00614669"/>
    <w:rsid w:val="00650004"/>
    <w:rsid w:val="006569E2"/>
    <w:rsid w:val="006A38AF"/>
    <w:rsid w:val="006B102A"/>
    <w:rsid w:val="006C3563"/>
    <w:rsid w:val="006E0A54"/>
    <w:rsid w:val="006E5CB0"/>
    <w:rsid w:val="00722AEE"/>
    <w:rsid w:val="007239AC"/>
    <w:rsid w:val="007424CF"/>
    <w:rsid w:val="007C298D"/>
    <w:rsid w:val="008069D2"/>
    <w:rsid w:val="00812579"/>
    <w:rsid w:val="00827082"/>
    <w:rsid w:val="008328B9"/>
    <w:rsid w:val="008608B7"/>
    <w:rsid w:val="008629B7"/>
    <w:rsid w:val="008702D3"/>
    <w:rsid w:val="00871C1E"/>
    <w:rsid w:val="00877C02"/>
    <w:rsid w:val="008B545F"/>
    <w:rsid w:val="008B75D8"/>
    <w:rsid w:val="009006A4"/>
    <w:rsid w:val="009102A7"/>
    <w:rsid w:val="00947AF8"/>
    <w:rsid w:val="00960004"/>
    <w:rsid w:val="00984433"/>
    <w:rsid w:val="00987ABF"/>
    <w:rsid w:val="00995478"/>
    <w:rsid w:val="009F463E"/>
    <w:rsid w:val="00A03E6F"/>
    <w:rsid w:val="00A25A8F"/>
    <w:rsid w:val="00A6452F"/>
    <w:rsid w:val="00A85F03"/>
    <w:rsid w:val="00AD3AC4"/>
    <w:rsid w:val="00AD71D6"/>
    <w:rsid w:val="00AE00CE"/>
    <w:rsid w:val="00AF73D9"/>
    <w:rsid w:val="00AF77BF"/>
    <w:rsid w:val="00B034A6"/>
    <w:rsid w:val="00B343E6"/>
    <w:rsid w:val="00B45BA7"/>
    <w:rsid w:val="00B5471B"/>
    <w:rsid w:val="00B60765"/>
    <w:rsid w:val="00BA4813"/>
    <w:rsid w:val="00BC6520"/>
    <w:rsid w:val="00BC7CD9"/>
    <w:rsid w:val="00BD1F62"/>
    <w:rsid w:val="00BD6B81"/>
    <w:rsid w:val="00C3376A"/>
    <w:rsid w:val="00C624AD"/>
    <w:rsid w:val="00CF06B0"/>
    <w:rsid w:val="00D07786"/>
    <w:rsid w:val="00D103E8"/>
    <w:rsid w:val="00D260FB"/>
    <w:rsid w:val="00D43FDF"/>
    <w:rsid w:val="00D663DC"/>
    <w:rsid w:val="00D66829"/>
    <w:rsid w:val="00D841D0"/>
    <w:rsid w:val="00DC53E4"/>
    <w:rsid w:val="00DC5EDB"/>
    <w:rsid w:val="00DF0CC7"/>
    <w:rsid w:val="00E00D14"/>
    <w:rsid w:val="00E01FFD"/>
    <w:rsid w:val="00E2532A"/>
    <w:rsid w:val="00E34E7B"/>
    <w:rsid w:val="00E64E3A"/>
    <w:rsid w:val="00E961A2"/>
    <w:rsid w:val="00EE264F"/>
    <w:rsid w:val="00F07022"/>
    <w:rsid w:val="00F26972"/>
    <w:rsid w:val="00F46D04"/>
    <w:rsid w:val="00F65054"/>
    <w:rsid w:val="00F701BC"/>
    <w:rsid w:val="00F8059E"/>
    <w:rsid w:val="00FA638F"/>
    <w:rsid w:val="00FE4CA2"/>
    <w:rsid w:val="64EE6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08BE1"/>
  <w15:chartTrackingRefBased/>
  <w15:docId w15:val="{1FA952F3-5070-4F5A-8484-33F30C641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2CD"/>
    <w:pPr>
      <w:spacing w:after="200" w:line="276"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3D32C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3D32C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3D32CD"/>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aliases w:val="p Char,PARAGRAPH Char,PG Char,pa Char,at Char,paragraph Char"/>
    <w:link w:val="Paragraph"/>
    <w:rsid w:val="003D32CD"/>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3D32C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3D32CD"/>
    <w:rPr>
      <w:rFonts w:ascii="Times New Roman" w:eastAsiaTheme="minorEastAsia" w:hAnsi="Times New Roman" w:cs="Times New Roman"/>
      <w:spacing w:val="-3"/>
      <w:sz w:val="20"/>
      <w:szCs w:val="20"/>
      <w:lang w:eastAsia="en-GB"/>
    </w:rPr>
  </w:style>
  <w:style w:type="paragraph" w:customStyle="1" w:styleId="Chapter">
    <w:name w:val="Chapter"/>
    <w:basedOn w:val="Normal"/>
    <w:next w:val="Normal"/>
    <w:qFormat/>
    <w:rsid w:val="003D32CD"/>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rsid w:val="003D32CD"/>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link w:val="SubSubParChar"/>
    <w:uiPriority w:val="99"/>
    <w:rsid w:val="003D32CD"/>
    <w:pPr>
      <w:numPr>
        <w:ilvl w:val="3"/>
      </w:numPr>
      <w:tabs>
        <w:tab w:val="clear" w:pos="3024"/>
        <w:tab w:val="left" w:pos="0"/>
        <w:tab w:val="num" w:pos="1296"/>
      </w:tabs>
      <w:ind w:left="1296"/>
    </w:pPr>
  </w:style>
  <w:style w:type="character" w:customStyle="1" w:styleId="SubSubParChar">
    <w:name w:val="SubSubPar Char"/>
    <w:basedOn w:val="DefaultParagraphFont"/>
    <w:link w:val="SubSubPar"/>
    <w:uiPriority w:val="99"/>
    <w:rsid w:val="003D32CD"/>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3D32CD"/>
    <w:rPr>
      <w:b/>
      <w:bCs/>
      <w:smallCaps/>
      <w:spacing w:val="5"/>
    </w:rPr>
  </w:style>
  <w:style w:type="paragraph" w:styleId="Footer">
    <w:name w:val="footer"/>
    <w:basedOn w:val="Normal"/>
    <w:link w:val="FooterChar"/>
    <w:uiPriority w:val="99"/>
    <w:unhideWhenUsed/>
    <w:rsid w:val="003D32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32CD"/>
    <w:rPr>
      <w:rFonts w:eastAsiaTheme="minorEastAsia"/>
      <w:lang w:val="en-GB" w:eastAsia="en-GB"/>
    </w:rPr>
  </w:style>
  <w:style w:type="paragraph" w:customStyle="1" w:styleId="Newpage">
    <w:name w:val="Newpage"/>
    <w:basedOn w:val="Chapter"/>
    <w:rsid w:val="003D32CD"/>
    <w:pPr>
      <w:numPr>
        <w:numId w:val="0"/>
      </w:numPr>
      <w:tabs>
        <w:tab w:val="clear" w:pos="1440"/>
        <w:tab w:val="left" w:pos="3060"/>
      </w:tabs>
      <w:spacing w:after="0"/>
    </w:pPr>
    <w:rPr>
      <w:lang w:val="es-ES" w:eastAsia="en-US"/>
    </w:rPr>
  </w:style>
  <w:style w:type="paragraph" w:styleId="ListParagraph">
    <w:name w:val="List Paragraph"/>
    <w:basedOn w:val="Normal"/>
    <w:uiPriority w:val="34"/>
    <w:qFormat/>
    <w:rsid w:val="003D32CD"/>
    <w:pPr>
      <w:spacing w:after="0" w:line="240" w:lineRule="auto"/>
      <w:ind w:left="720"/>
      <w:contextualSpacing/>
    </w:pPr>
    <w:rPr>
      <w:rFonts w:ascii="Times New Roman" w:eastAsia="Times New Roman" w:hAnsi="Times New Roman" w:cs="Times New Roman"/>
      <w:sz w:val="24"/>
      <w:szCs w:val="20"/>
      <w:lang w:val="es-ES_tradnl" w:eastAsia="en-US"/>
    </w:rPr>
  </w:style>
  <w:style w:type="character" w:styleId="Hyperlink">
    <w:name w:val="Hyperlink"/>
    <w:basedOn w:val="DefaultParagraphFont"/>
    <w:uiPriority w:val="99"/>
    <w:rsid w:val="003D32CD"/>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3D32CD"/>
    <w:rPr>
      <w:vertAlign w:val="superscript"/>
    </w:rPr>
  </w:style>
  <w:style w:type="paragraph" w:customStyle="1" w:styleId="Char2">
    <w:name w:val="Char2"/>
    <w:basedOn w:val="Normal"/>
    <w:link w:val="FootnoteReference"/>
    <w:uiPriority w:val="99"/>
    <w:rsid w:val="003D32CD"/>
    <w:pPr>
      <w:spacing w:after="160" w:line="240" w:lineRule="exact"/>
    </w:pPr>
    <w:rPr>
      <w:rFonts w:eastAsiaTheme="minorHAnsi"/>
      <w:vertAlign w:val="superscript"/>
      <w:lang w:val="en-US" w:eastAsia="en-US"/>
    </w:rPr>
  </w:style>
  <w:style w:type="paragraph" w:styleId="BodyTextIndent">
    <w:name w:val="Body Text Indent"/>
    <w:basedOn w:val="Normal"/>
    <w:link w:val="BodyTextIndentChar"/>
    <w:uiPriority w:val="99"/>
    <w:semiHidden/>
    <w:unhideWhenUsed/>
    <w:rsid w:val="003D32CD"/>
    <w:pPr>
      <w:spacing w:after="120"/>
      <w:ind w:left="360"/>
    </w:pPr>
  </w:style>
  <w:style w:type="character" w:customStyle="1" w:styleId="BodyTextIndentChar">
    <w:name w:val="Body Text Indent Char"/>
    <w:basedOn w:val="DefaultParagraphFont"/>
    <w:link w:val="BodyTextIndent"/>
    <w:uiPriority w:val="99"/>
    <w:semiHidden/>
    <w:rsid w:val="003D32CD"/>
    <w:rPr>
      <w:rFonts w:eastAsiaTheme="minorEastAsia"/>
      <w:lang w:val="en-GB" w:eastAsia="en-GB"/>
    </w:rPr>
  </w:style>
  <w:style w:type="paragraph" w:styleId="BodyTextIndent3">
    <w:name w:val="Body Text Indent 3"/>
    <w:basedOn w:val="Normal"/>
    <w:link w:val="BodyTextIndent3Char"/>
    <w:uiPriority w:val="99"/>
    <w:semiHidden/>
    <w:unhideWhenUsed/>
    <w:rsid w:val="003D32C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D32CD"/>
    <w:rPr>
      <w:rFonts w:eastAsiaTheme="minorEastAsia"/>
      <w:sz w:val="16"/>
      <w:szCs w:val="16"/>
      <w:lang w:val="en-GB" w:eastAsia="en-GB"/>
    </w:rPr>
  </w:style>
  <w:style w:type="paragraph" w:styleId="BodyText">
    <w:name w:val="Body Text"/>
    <w:basedOn w:val="Normal"/>
    <w:link w:val="BodyTextChar"/>
    <w:uiPriority w:val="99"/>
    <w:unhideWhenUsed/>
    <w:rsid w:val="003D32CD"/>
    <w:pPr>
      <w:spacing w:after="120" w:line="240" w:lineRule="auto"/>
    </w:pPr>
    <w:rPr>
      <w:rFonts w:ascii="Cambria" w:eastAsia="MS Mincho" w:hAnsi="Cambria" w:cs="Times New Roman"/>
      <w:sz w:val="24"/>
      <w:szCs w:val="24"/>
      <w:lang w:val="en-US" w:eastAsia="ja-JP"/>
    </w:rPr>
  </w:style>
  <w:style w:type="character" w:customStyle="1" w:styleId="BodyTextChar">
    <w:name w:val="Body Text Char"/>
    <w:basedOn w:val="DefaultParagraphFont"/>
    <w:link w:val="BodyText"/>
    <w:uiPriority w:val="99"/>
    <w:rsid w:val="003D32CD"/>
    <w:rPr>
      <w:rFonts w:ascii="Cambria" w:eastAsia="MS Mincho" w:hAnsi="Cambria" w:cs="Times New Roman"/>
      <w:sz w:val="24"/>
      <w:szCs w:val="24"/>
      <w:lang w:eastAsia="ja-JP"/>
    </w:rPr>
  </w:style>
  <w:style w:type="paragraph" w:styleId="Title">
    <w:name w:val="Title"/>
    <w:basedOn w:val="Normal"/>
    <w:link w:val="TitleChar"/>
    <w:qFormat/>
    <w:rsid w:val="003D32CD"/>
    <w:pPr>
      <w:tabs>
        <w:tab w:val="left" w:pos="1440"/>
        <w:tab w:val="left" w:pos="3060"/>
      </w:tabs>
      <w:spacing w:after="0" w:line="240" w:lineRule="auto"/>
      <w:jc w:val="center"/>
      <w:outlineLvl w:val="0"/>
    </w:pPr>
    <w:rPr>
      <w:rFonts w:ascii="Times New Roman" w:eastAsia="Times New Roman" w:hAnsi="Times New Roman" w:cs="Times New Roman"/>
      <w:sz w:val="24"/>
      <w:szCs w:val="20"/>
      <w:lang w:val="en-US" w:eastAsia="en-US"/>
    </w:rPr>
  </w:style>
  <w:style w:type="character" w:customStyle="1" w:styleId="TitleChar">
    <w:name w:val="Title Char"/>
    <w:basedOn w:val="DefaultParagraphFont"/>
    <w:link w:val="Title"/>
    <w:rsid w:val="003D32CD"/>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3D32CD"/>
    <w:rPr>
      <w:color w:val="808080"/>
    </w:rPr>
  </w:style>
  <w:style w:type="paragraph" w:styleId="BalloonText">
    <w:name w:val="Balloon Text"/>
    <w:basedOn w:val="Normal"/>
    <w:link w:val="BalloonTextChar"/>
    <w:uiPriority w:val="99"/>
    <w:semiHidden/>
    <w:unhideWhenUsed/>
    <w:rsid w:val="003D32CD"/>
    <w:pPr>
      <w:spacing w:after="0" w:line="240" w:lineRule="auto"/>
    </w:pPr>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3D32CD"/>
    <w:rPr>
      <w:rFonts w:ascii="Tahoma" w:hAnsi="Tahoma" w:cs="Tahoma"/>
      <w:sz w:val="16"/>
      <w:szCs w:val="16"/>
    </w:rPr>
  </w:style>
  <w:style w:type="character" w:styleId="FollowedHyperlink">
    <w:name w:val="FollowedHyperlink"/>
    <w:basedOn w:val="DefaultParagraphFont"/>
    <w:uiPriority w:val="99"/>
    <w:semiHidden/>
    <w:unhideWhenUsed/>
    <w:rsid w:val="003D32CD"/>
    <w:rPr>
      <w:color w:val="954F72" w:themeColor="followedHyperlink"/>
      <w:u w:val="single"/>
    </w:rPr>
  </w:style>
  <w:style w:type="character" w:styleId="CommentReference">
    <w:name w:val="annotation reference"/>
    <w:basedOn w:val="DefaultParagraphFont"/>
    <w:unhideWhenUsed/>
    <w:rsid w:val="003D32CD"/>
    <w:rPr>
      <w:sz w:val="16"/>
      <w:szCs w:val="16"/>
    </w:rPr>
  </w:style>
  <w:style w:type="paragraph" w:styleId="CommentText">
    <w:name w:val="annotation text"/>
    <w:basedOn w:val="Normal"/>
    <w:link w:val="CommentTextChar"/>
    <w:unhideWhenUsed/>
    <w:rsid w:val="003D32CD"/>
    <w:pPr>
      <w:spacing w:line="240" w:lineRule="auto"/>
    </w:pPr>
    <w:rPr>
      <w:rFonts w:eastAsiaTheme="minorHAnsi"/>
      <w:sz w:val="20"/>
      <w:szCs w:val="20"/>
      <w:lang w:val="en-US" w:eastAsia="en-US"/>
    </w:rPr>
  </w:style>
  <w:style w:type="character" w:customStyle="1" w:styleId="CommentTextChar">
    <w:name w:val="Comment Text Char"/>
    <w:basedOn w:val="DefaultParagraphFont"/>
    <w:link w:val="CommentText"/>
    <w:rsid w:val="003D32CD"/>
    <w:rPr>
      <w:sz w:val="20"/>
      <w:szCs w:val="20"/>
    </w:rPr>
  </w:style>
  <w:style w:type="paragraph" w:styleId="CommentSubject">
    <w:name w:val="annotation subject"/>
    <w:basedOn w:val="CommentText"/>
    <w:next w:val="CommentText"/>
    <w:link w:val="CommentSubjectChar"/>
    <w:uiPriority w:val="99"/>
    <w:semiHidden/>
    <w:unhideWhenUsed/>
    <w:rsid w:val="003D32CD"/>
    <w:rPr>
      <w:b/>
      <w:bCs/>
    </w:rPr>
  </w:style>
  <w:style w:type="character" w:customStyle="1" w:styleId="CommentSubjectChar">
    <w:name w:val="Comment Subject Char"/>
    <w:basedOn w:val="CommentTextChar"/>
    <w:link w:val="CommentSubject"/>
    <w:uiPriority w:val="99"/>
    <w:semiHidden/>
    <w:rsid w:val="003D32CD"/>
    <w:rPr>
      <w:b/>
      <w:bCs/>
      <w:sz w:val="20"/>
      <w:szCs w:val="20"/>
    </w:rPr>
  </w:style>
  <w:style w:type="character" w:styleId="UnresolvedMention">
    <w:name w:val="Unresolved Mention"/>
    <w:basedOn w:val="DefaultParagraphFont"/>
    <w:uiPriority w:val="99"/>
    <w:semiHidden/>
    <w:unhideWhenUsed/>
    <w:rsid w:val="003D32CD"/>
    <w:rPr>
      <w:color w:val="808080"/>
      <w:shd w:val="clear" w:color="auto" w:fill="E6E6E6"/>
    </w:rPr>
  </w:style>
  <w:style w:type="paragraph" w:styleId="Caption">
    <w:name w:val="caption"/>
    <w:basedOn w:val="Normal"/>
    <w:next w:val="Normal"/>
    <w:uiPriority w:val="35"/>
    <w:unhideWhenUsed/>
    <w:qFormat/>
    <w:rsid w:val="003D32CD"/>
    <w:pPr>
      <w:spacing w:line="240" w:lineRule="auto"/>
    </w:pPr>
    <w:rPr>
      <w:rFonts w:eastAsiaTheme="minorHAnsi"/>
      <w:i/>
      <w:iCs/>
      <w:color w:val="44546A" w:themeColor="text2"/>
      <w:sz w:val="18"/>
      <w:szCs w:val="18"/>
      <w:lang w:val="en-US" w:eastAsia="en-US"/>
    </w:rPr>
  </w:style>
  <w:style w:type="paragraph" w:customStyle="1" w:styleId="AbbrDesc">
    <w:name w:val="AbbrDesc"/>
    <w:basedOn w:val="Normal"/>
    <w:rsid w:val="003D32CD"/>
    <w:pPr>
      <w:tabs>
        <w:tab w:val="left" w:pos="3060"/>
      </w:tabs>
      <w:spacing w:after="0" w:line="240" w:lineRule="auto"/>
      <w:jc w:val="both"/>
    </w:pPr>
    <w:rPr>
      <w:rFonts w:ascii="Times New Roman" w:eastAsia="Times New Roman" w:hAnsi="Times New Roman" w:cs="Times New Roman"/>
      <w:sz w:val="24"/>
      <w:szCs w:val="20"/>
      <w:lang w:val="es-ES_tradnl" w:eastAsia="en-US"/>
    </w:rPr>
  </w:style>
  <w:style w:type="paragraph" w:styleId="Header">
    <w:name w:val="header"/>
    <w:basedOn w:val="Normal"/>
    <w:link w:val="HeaderChar"/>
    <w:uiPriority w:val="99"/>
    <w:unhideWhenUsed/>
    <w:rsid w:val="003D32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2CD"/>
    <w:rPr>
      <w:rFonts w:eastAsiaTheme="minorEastAsia"/>
      <w:lang w:val="en-GB" w:eastAsia="en-GB"/>
    </w:rPr>
  </w:style>
  <w:style w:type="paragraph" w:styleId="Revision">
    <w:name w:val="Revision"/>
    <w:hidden/>
    <w:uiPriority w:val="99"/>
    <w:semiHidden/>
    <w:rsid w:val="003D32CD"/>
    <w:pPr>
      <w:spacing w:after="0" w:line="240" w:lineRule="auto"/>
    </w:pPr>
    <w:rPr>
      <w:rFonts w:eastAsiaTheme="minorEastAsia"/>
      <w:lang w:val="en-GB" w:eastAsia="en-GB"/>
    </w:rPr>
  </w:style>
  <w:style w:type="character" w:customStyle="1" w:styleId="normaltextrun">
    <w:name w:val="normaltextrun"/>
    <w:basedOn w:val="DefaultParagraphFont"/>
    <w:rsid w:val="00031E22"/>
  </w:style>
  <w:style w:type="table" w:styleId="TableGrid">
    <w:name w:val="Table Grid"/>
    <w:basedOn w:val="TableNormal"/>
    <w:uiPriority w:val="39"/>
    <w:rsid w:val="00BC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3936742">
      <w:bodyDiv w:val="1"/>
      <w:marLeft w:val="0"/>
      <w:marRight w:val="0"/>
      <w:marTop w:val="0"/>
      <w:marBottom w:val="0"/>
      <w:divBdr>
        <w:top w:val="none" w:sz="0" w:space="0" w:color="auto"/>
        <w:left w:val="none" w:sz="0" w:space="0" w:color="auto"/>
        <w:bottom w:val="none" w:sz="0" w:space="0" w:color="auto"/>
        <w:right w:val="none" w:sz="0" w:space="0" w:color="auto"/>
      </w:divBdr>
    </w:div>
    <w:div w:id="133792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canaturh.org/analisis-de-resiliencia-empresarial-covid-19-canaturh-tms/"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idbdocs.iadb.org/wsdocs/getDocument.aspx?DOCNUM=EZSHARE-436740228-2"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ecrstore.ihsmarkit.com/products/interim-global-economic-forecast-27-march-2020" TargetMode="External"/><Relationship Id="rId28"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hyperlink" Target="http://www.ccichonduras.org/es/descargas/LEYES/LEYES_MERCANTILES/DECRETO_NO_135_2008.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canaturh.org/analisis-de-resiliencia-empresarial-covid-19-canaturh-tms/" TargetMode="External"/><Relationship Id="rId27" Type="http://schemas.openxmlformats.org/officeDocument/2006/relationships/image" Target="media/image1.emf"/><Relationship Id="rId30" Type="http://schemas.openxmlformats.org/officeDocument/2006/relationships/footer" Target="footer5.xml"/><Relationship Id="rId8"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s://nadaesgratis.es/admin/el-impacto-macroeconomico-del-coronavirus" TargetMode="External"/><Relationship Id="rId3" Type="http://schemas.openxmlformats.org/officeDocument/2006/relationships/hyperlink" Target="https://www.who.int/publications/m/item/updated-country-preparedness-and-response-status-for-covid-19-as-of-20-april-2020" TargetMode="External"/><Relationship Id="rId7" Type="http://schemas.openxmlformats.org/officeDocument/2006/relationships/hyperlink" Target="https://www.cepal.org/es/comunicados/covid-19-tendra-graves-efectos-la-economia-mundial-impactara-paises-america-latina" TargetMode="External"/><Relationship Id="rId2" Type="http://schemas.openxmlformats.org/officeDocument/2006/relationships/hyperlink" Target="https://www.paho.org/en/topics/coronavirus-infections/coronavirus-disease-covid-19" TargetMode="External"/><Relationship Id="rId1" Type="http://schemas.openxmlformats.org/officeDocument/2006/relationships/hyperlink" Target="https://covid19.who.int/" TargetMode="External"/><Relationship Id="rId6" Type="http://schemas.openxmlformats.org/officeDocument/2006/relationships/hyperlink" Target="https://www.cepal.org/es/comunicados/covid-19-tendra-graves-efectos-la-economia-mundial-impactara-paises-america-latina" TargetMode="External"/><Relationship Id="rId5" Type="http://schemas.openxmlformats.org/officeDocument/2006/relationships/hyperlink" Target="https://www.imf.org/en/Publications/WEO/Issues/2020/04/14/weo-april-2020" TargetMode="External"/><Relationship Id="rId10" Type="http://schemas.openxmlformats.org/officeDocument/2006/relationships/hyperlink" Target="http://www.trabajo.gob.hn/inicio/organizacion/secretaria-de-estado/" TargetMode="External"/><Relationship Id="rId4" Type="http://schemas.openxmlformats.org/officeDocument/2006/relationships/hyperlink" Target="https://www.imf.org/en/Publications/CR/Issues/2019/07/18/Honduras-Staff-Report-for-the-2019-Article-IV-Consultation-and-Request-for-a-Stand-By-48509" TargetMode="External"/><Relationship Id="rId9" Type="http://schemas.openxmlformats.org/officeDocument/2006/relationships/hyperlink" Target="https://www.tsc.gob.hn/web/leyes/Decreto-33-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Lozano Miranda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117</Value>
      <Value>26</Value>
      <Value>109</Value>
      <Value>321</Value>
      <Value>342</Value>
      <Value>1</Value>
    </TaxCatchAll>
    <Operation_x0020_Type xmlns="cdc7663a-08f0-4737-9e8c-148ce897a09c" xsi:nil="true"/>
    <Package_x0020_Code xmlns="cdc7663a-08f0-4737-9e8c-148ce897a09c" xsi:nil="true"/>
    <Identifier xmlns="cdc7663a-08f0-4737-9e8c-148ce897a09c">EEO</Identifier>
    <Project_x0020_Number xmlns="cdc7663a-08f0-4737-9e8c-148ce897a09c">HO-L1216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EZSHARE-436740228-11</_dlc_DocId>
    <_dlc_DocIdUrl xmlns="cdc7663a-08f0-4737-9e8c-148ce897a09c">
      <Url>https://idbg.sharepoint.com/teams/EZ-HO-LON/HO-L1216/_layouts/15/DocIdRedir.aspx?ID=EZSHARE-436740228-11</Url>
      <Description>EZSHARE-436740228-11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D7ACB815652D94FA5FFB5B80CD3E726" ma:contentTypeVersion="0" ma:contentTypeDescription="A content type to manage public (operations) IDB documents" ma:contentTypeScope="" ma:versionID="dfb65fe478de91a25f7ce9cd223a2a37">
  <xsd:schema xmlns:xsd="http://www.w3.org/2001/XMLSchema" xmlns:xs="http://www.w3.org/2001/XMLSchema" xmlns:p="http://schemas.microsoft.com/office/2006/metadata/properties" xmlns:ns2="cdc7663a-08f0-4737-9e8c-148ce897a09c" targetNamespace="http://schemas.microsoft.com/office/2006/metadata/properties" ma:root="true" ma:fieldsID="6a983b71924713453b637dc837f9d7c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21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A906B5-88FE-4AE8-8973-7297067C4104}"/>
</file>

<file path=customXml/itemProps2.xml><?xml version="1.0" encoding="utf-8"?>
<ds:datastoreItem xmlns:ds="http://schemas.openxmlformats.org/officeDocument/2006/customXml" ds:itemID="{9F941751-FD24-4125-87C8-890834BCA8A4}">
  <ds:schemaRefs>
    <ds:schemaRef ds:uri="http://schemas.openxmlformats.org/officeDocument/2006/bibliography"/>
  </ds:schemaRefs>
</ds:datastoreItem>
</file>

<file path=customXml/itemProps3.xml><?xml version="1.0" encoding="utf-8"?>
<ds:datastoreItem xmlns:ds="http://schemas.openxmlformats.org/officeDocument/2006/customXml" ds:itemID="{52D96ED5-D789-4343-A28A-CCA622A1E41C}">
  <ds:schemaRefs>
    <ds:schemaRef ds:uri="http://schemas.microsoft.com/sharepoint/v3/contenttype/forms"/>
  </ds:schemaRefs>
</ds:datastoreItem>
</file>

<file path=customXml/itemProps4.xml><?xml version="1.0" encoding="utf-8"?>
<ds:datastoreItem xmlns:ds="http://schemas.openxmlformats.org/officeDocument/2006/customXml" ds:itemID="{ED2B25B7-5F5C-49EF-911F-C0A1E7C54C34}">
  <ds:schemaRefs>
    <ds:schemaRef ds:uri="http://schemas.microsoft.com/sharepoint/events"/>
  </ds:schemaRefs>
</ds:datastoreItem>
</file>

<file path=customXml/itemProps5.xml><?xml version="1.0" encoding="utf-8"?>
<ds:datastoreItem xmlns:ds="http://schemas.openxmlformats.org/officeDocument/2006/customXml" ds:itemID="{D9210F7E-7D5C-402F-8D52-F6E3FC424CB2}">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E2C083B0-0D0F-46F6-9ECE-70BCD7CDBBB2}"/>
</file>

<file path=customXml/itemProps7.xml><?xml version="1.0" encoding="utf-8"?>
<ds:datastoreItem xmlns:ds="http://schemas.openxmlformats.org/officeDocument/2006/customXml" ds:itemID="{1145EDA1-43DE-4682-935F-C19F55FC19EF}"/>
</file>

<file path=docProps/app.xml><?xml version="1.0" encoding="utf-8"?>
<Properties xmlns="http://schemas.openxmlformats.org/officeDocument/2006/extended-properties" xmlns:vt="http://schemas.openxmlformats.org/officeDocument/2006/docPropsVTypes">
  <Template>Normal</Template>
  <TotalTime>1</TotalTime>
  <Pages>18</Pages>
  <Words>6249</Words>
  <Characters>35625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Escalante, Maria</dc:creator>
  <cp:keywords>Para DIR</cp:keywords>
  <dc:description/>
  <cp:lastModifiedBy>Lozano Miranda, Ana Lucia</cp:lastModifiedBy>
  <cp:revision>3</cp:revision>
  <dcterms:created xsi:type="dcterms:W3CDTF">2020-07-09T01:10:00Z</dcterms:created>
  <dcterms:modified xsi:type="dcterms:W3CDTF">2020-07-09T01:11:00Z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342;#Para DIR|7b047d7e-33c0-4de8-be6b-a35c7df914f1</vt:lpwstr>
  </property>
  <property fmtid="{D5CDD505-2E9C-101B-9397-08002B2CF9AE}" pid="4" name="TaxKeywordTaxHTField">
    <vt:lpwstr>Para DIR|7b047d7e-33c0-4de8-be6b-a35c7df914f1</vt:lpwstr>
  </property>
  <property fmtid="{D5CDD505-2E9C-101B-9397-08002B2CF9AE}" pid="5" name="Series Operations IDB">
    <vt:lpwstr/>
  </property>
  <property fmtid="{D5CDD505-2E9C-101B-9397-08002B2CF9AE}" pid="6" name="Sub-Sector">
    <vt:lpwstr>321;#BANKING MARKET DEVELOPMENT|5f08329b-f2bb-4342-ba75-eb4216b403d4</vt:lpwstr>
  </property>
  <property fmtid="{D5CDD505-2E9C-101B-9397-08002B2CF9AE}" pid="7" name="Fund IDB">
    <vt:lpwstr>117;#ORC|c028a4b2-ad8b-4cf4-9cac-a2ae6a778e23</vt:lpwstr>
  </property>
  <property fmtid="{D5CDD505-2E9C-101B-9397-08002B2CF9AE}" pid="8" name="Country">
    <vt:lpwstr>26;#Honduras|0dd9f989-602d-4742-8212-5c1b8b0b74d5</vt:lpwstr>
  </property>
  <property fmtid="{D5CDD505-2E9C-101B-9397-08002B2CF9AE}" pid="9" name="Sector IDB">
    <vt:lpwstr>109;#FINANCIAL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608b8ce2-41a0-41f4-91cc-fb57044218f4</vt:lpwstr>
  </property>
  <property fmtid="{D5CDD505-2E9C-101B-9397-08002B2CF9AE}" pid="12" name="ContentTypeId">
    <vt:lpwstr>0x0101001A458A224826124E8B45B1D613300CFC005D7ACB815652D94FA5FFB5B80CD3E726</vt:lpwstr>
  </property>
</Properties>
</file>