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2.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D20A44" w14:textId="77777777" w:rsidR="008F1F10" w:rsidRPr="001F731F" w:rsidRDefault="008F1F10" w:rsidP="008F1F10">
      <w:pPr>
        <w:pStyle w:val="SubSubPar"/>
        <w:numPr>
          <w:ilvl w:val="0"/>
          <w:numId w:val="0"/>
        </w:numPr>
        <w:spacing w:after="0"/>
        <w:jc w:val="center"/>
        <w:rPr>
          <w:rFonts w:ascii="Arial" w:hAnsi="Arial" w:cs="Arial"/>
          <w:smallCaps/>
          <w:sz w:val="22"/>
          <w:szCs w:val="22"/>
        </w:rPr>
      </w:pPr>
      <w:bookmarkStart w:id="0" w:name="_Toc388249744"/>
      <w:r w:rsidRPr="001F731F">
        <w:rPr>
          <w:rFonts w:ascii="Arial" w:hAnsi="Arial" w:cs="Arial"/>
          <w:smallCaps/>
          <w:sz w:val="22"/>
          <w:szCs w:val="22"/>
        </w:rPr>
        <w:t>Documento del Banco Interamericano De Desarrollo</w:t>
      </w:r>
      <w:bookmarkEnd w:id="0"/>
    </w:p>
    <w:p w14:paraId="67E0B768" w14:textId="77777777" w:rsidR="008F1F10" w:rsidRPr="001F731F" w:rsidRDefault="008F1F10" w:rsidP="008F1F10">
      <w:pPr>
        <w:spacing w:before="120" w:after="120"/>
        <w:jc w:val="center"/>
        <w:rPr>
          <w:rFonts w:ascii="Arial" w:hAnsi="Arial" w:cs="Arial"/>
          <w:lang w:val="es-ES_tradnl"/>
        </w:rPr>
      </w:pPr>
    </w:p>
    <w:p w14:paraId="32E8EF6B" w14:textId="77777777" w:rsidR="008F1F10" w:rsidRPr="001F731F" w:rsidRDefault="008F1F10" w:rsidP="008F1F10">
      <w:pPr>
        <w:spacing w:before="120" w:after="120"/>
        <w:jc w:val="center"/>
        <w:rPr>
          <w:rFonts w:ascii="Arial" w:hAnsi="Arial" w:cs="Arial"/>
          <w:lang w:val="es-ES_tradnl"/>
        </w:rPr>
      </w:pPr>
    </w:p>
    <w:p w14:paraId="2D359F28" w14:textId="77777777" w:rsidR="008F1F10" w:rsidRPr="001F731F" w:rsidRDefault="008F1F10" w:rsidP="008F1F10">
      <w:pPr>
        <w:spacing w:before="120" w:after="120"/>
        <w:jc w:val="center"/>
        <w:rPr>
          <w:rFonts w:ascii="Arial" w:hAnsi="Arial" w:cs="Arial"/>
          <w:lang w:val="es-ES_tradnl"/>
        </w:rPr>
      </w:pPr>
    </w:p>
    <w:p w14:paraId="7D279FB6" w14:textId="77777777" w:rsidR="008F1F10" w:rsidRPr="001F731F" w:rsidRDefault="008F1F10" w:rsidP="008F1F10">
      <w:pPr>
        <w:spacing w:before="120" w:after="120"/>
        <w:jc w:val="center"/>
        <w:rPr>
          <w:rFonts w:ascii="Arial" w:hAnsi="Arial" w:cs="Arial"/>
          <w:lang w:val="es-ES_tradnl"/>
        </w:rPr>
      </w:pPr>
    </w:p>
    <w:p w14:paraId="742715AE" w14:textId="77777777" w:rsidR="008F1F10" w:rsidRPr="001F731F" w:rsidRDefault="008F1F10" w:rsidP="008F1F10">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Honduras</w:t>
      </w:r>
    </w:p>
    <w:p w14:paraId="1A77AB20" w14:textId="77777777" w:rsidR="008F1F10" w:rsidRPr="001F731F" w:rsidRDefault="008F1F10" w:rsidP="008F1F10">
      <w:pPr>
        <w:tabs>
          <w:tab w:val="left" w:pos="1440"/>
          <w:tab w:val="left" w:pos="3060"/>
        </w:tabs>
        <w:jc w:val="center"/>
        <w:rPr>
          <w:rFonts w:ascii="Arial" w:hAnsi="Arial" w:cs="Arial"/>
          <w:smallCaps/>
          <w:lang w:val="es-ES_tradnl"/>
        </w:rPr>
      </w:pPr>
    </w:p>
    <w:p w14:paraId="7BECA84A" w14:textId="77777777" w:rsidR="008F1F10" w:rsidRPr="001F731F" w:rsidRDefault="008F1F10" w:rsidP="008F1F10">
      <w:pPr>
        <w:tabs>
          <w:tab w:val="left" w:pos="1440"/>
          <w:tab w:val="left" w:pos="3060"/>
        </w:tabs>
        <w:jc w:val="center"/>
        <w:rPr>
          <w:rFonts w:ascii="Arial" w:hAnsi="Arial" w:cs="Arial"/>
          <w:smallCaps/>
          <w:lang w:val="es-ES_tradnl"/>
        </w:rPr>
      </w:pPr>
    </w:p>
    <w:p w14:paraId="41010B87" w14:textId="77777777" w:rsidR="008F1F10" w:rsidRPr="001F731F" w:rsidRDefault="008F1F10" w:rsidP="008F1F10">
      <w:pPr>
        <w:tabs>
          <w:tab w:val="left" w:pos="1440"/>
          <w:tab w:val="left" w:pos="3060"/>
        </w:tabs>
        <w:jc w:val="center"/>
        <w:rPr>
          <w:rFonts w:ascii="Arial" w:hAnsi="Arial" w:cs="Arial"/>
          <w:smallCaps/>
          <w:lang w:val="es-ES_tradnl"/>
        </w:rPr>
      </w:pPr>
    </w:p>
    <w:p w14:paraId="60242291" w14:textId="77777777" w:rsidR="008F1F10" w:rsidRPr="001F731F" w:rsidRDefault="008F1F10" w:rsidP="008F1F10">
      <w:pPr>
        <w:tabs>
          <w:tab w:val="left" w:pos="1440"/>
          <w:tab w:val="left" w:pos="3060"/>
        </w:tabs>
        <w:jc w:val="center"/>
        <w:rPr>
          <w:rFonts w:ascii="Arial" w:hAnsi="Arial" w:cs="Arial"/>
          <w:smallCaps/>
          <w:lang w:val="es-ES_tradnl"/>
        </w:rPr>
      </w:pPr>
    </w:p>
    <w:p w14:paraId="654EFD6C" w14:textId="77777777" w:rsidR="008F1F10" w:rsidRPr="001F731F" w:rsidRDefault="008F1F10" w:rsidP="008F1F10">
      <w:pPr>
        <w:tabs>
          <w:tab w:val="left" w:pos="1440"/>
          <w:tab w:val="left" w:pos="3060"/>
        </w:tabs>
        <w:jc w:val="center"/>
        <w:rPr>
          <w:rFonts w:ascii="Arial" w:hAnsi="Arial" w:cs="Arial"/>
          <w:smallCaps/>
          <w:lang w:val="es-ES_tradnl"/>
        </w:rPr>
      </w:pPr>
    </w:p>
    <w:p w14:paraId="225D15E4" w14:textId="77777777" w:rsidR="008F1F10" w:rsidRPr="001F731F" w:rsidRDefault="008F1F10" w:rsidP="008F1F10">
      <w:pPr>
        <w:tabs>
          <w:tab w:val="left" w:pos="1440"/>
          <w:tab w:val="left" w:pos="3060"/>
        </w:tabs>
        <w:jc w:val="center"/>
        <w:rPr>
          <w:rFonts w:ascii="Arial" w:hAnsi="Arial" w:cs="Arial"/>
          <w:smallCaps/>
          <w:lang w:val="es-ES_tradnl"/>
        </w:rPr>
      </w:pPr>
    </w:p>
    <w:p w14:paraId="681D96C1" w14:textId="4A9A2FAD" w:rsidR="008F1F10" w:rsidRPr="001F731F" w:rsidRDefault="008F1F10" w:rsidP="008F1F10">
      <w:pPr>
        <w:pStyle w:val="Newpage"/>
        <w:rPr>
          <w:rFonts w:ascii="Arial" w:hAnsi="Arial" w:cs="Arial"/>
          <w:sz w:val="28"/>
          <w:szCs w:val="28"/>
        </w:rPr>
      </w:pPr>
      <w:r w:rsidRPr="001F731F">
        <w:rPr>
          <w:rFonts w:ascii="Arial" w:hAnsi="Arial" w:cs="Arial"/>
          <w:sz w:val="28"/>
          <w:szCs w:val="28"/>
        </w:rPr>
        <w:t xml:space="preserve">Programa </w:t>
      </w:r>
      <w:r>
        <w:rPr>
          <w:rFonts w:ascii="Arial" w:hAnsi="Arial" w:cs="Arial"/>
          <w:sz w:val="28"/>
          <w:szCs w:val="28"/>
        </w:rPr>
        <w:t xml:space="preserve">Global de Crédito para la Defensa del Tejido Productivo y el Empleo </w:t>
      </w:r>
    </w:p>
    <w:p w14:paraId="522D5C87" w14:textId="77777777" w:rsidR="008F1F10" w:rsidRPr="001F731F" w:rsidRDefault="008F1F10" w:rsidP="008F1F10">
      <w:pPr>
        <w:pStyle w:val="Newpage"/>
        <w:rPr>
          <w:rFonts w:ascii="Arial" w:hAnsi="Arial" w:cs="Arial"/>
          <w:b w:val="0"/>
          <w:caps/>
          <w:smallCaps w:val="0"/>
          <w:sz w:val="22"/>
          <w:szCs w:val="22"/>
        </w:rPr>
      </w:pPr>
    </w:p>
    <w:p w14:paraId="31438EE5" w14:textId="77777777" w:rsidR="008F1F10" w:rsidRPr="001F731F" w:rsidRDefault="008F1F10" w:rsidP="008F1F10">
      <w:pPr>
        <w:pStyle w:val="Newpage"/>
        <w:rPr>
          <w:rFonts w:ascii="Arial" w:hAnsi="Arial" w:cs="Arial"/>
          <w:b w:val="0"/>
          <w:caps/>
          <w:smallCaps w:val="0"/>
          <w:sz w:val="22"/>
          <w:szCs w:val="22"/>
        </w:rPr>
      </w:pPr>
    </w:p>
    <w:p w14:paraId="07CDB798" w14:textId="77777777" w:rsidR="008F1F10" w:rsidRPr="001F731F" w:rsidRDefault="008F1F10" w:rsidP="008F1F10">
      <w:pPr>
        <w:tabs>
          <w:tab w:val="left" w:pos="1440"/>
          <w:tab w:val="left" w:pos="3060"/>
        </w:tabs>
        <w:jc w:val="center"/>
        <w:rPr>
          <w:rFonts w:ascii="Arial" w:hAnsi="Arial" w:cs="Arial"/>
          <w:b/>
          <w:smallCaps/>
          <w:lang w:val="es-ES_tradnl"/>
        </w:rPr>
      </w:pPr>
      <w:r w:rsidRPr="00345E10">
        <w:rPr>
          <w:rFonts w:ascii="Arial" w:hAnsi="Arial" w:cs="Arial"/>
          <w:b/>
          <w:smallCaps/>
          <w:lang w:val="es-ES_tradnl"/>
        </w:rPr>
        <w:t>(HO-L1216)</w:t>
      </w:r>
    </w:p>
    <w:p w14:paraId="67965880" w14:textId="77777777" w:rsidR="008E4CF9" w:rsidRPr="00ED5EDD" w:rsidRDefault="008E4CF9" w:rsidP="008E4CF9">
      <w:pPr>
        <w:spacing w:before="120"/>
        <w:jc w:val="center"/>
        <w:rPr>
          <w:rFonts w:ascii="Arial" w:hAnsi="Arial" w:cs="Arial"/>
          <w:b/>
          <w:smallCaps/>
          <w:sz w:val="22"/>
          <w:szCs w:val="22"/>
          <w:lang w:val="es-ES"/>
        </w:rPr>
      </w:pPr>
      <w:r w:rsidRPr="00ED5EDD">
        <w:rPr>
          <w:rFonts w:ascii="Arial" w:hAnsi="Arial" w:cs="Arial"/>
          <w:b/>
          <w:smallCaps/>
          <w:sz w:val="22"/>
          <w:szCs w:val="22"/>
          <w:lang w:val="es-ES"/>
        </w:rPr>
        <w:t xml:space="preserve"> </w:t>
      </w:r>
    </w:p>
    <w:p w14:paraId="0DCE0F7A" w14:textId="1B292FE5" w:rsidR="008E4CF9" w:rsidRDefault="008E4CF9" w:rsidP="008E4CF9">
      <w:pPr>
        <w:spacing w:before="120"/>
        <w:jc w:val="center"/>
        <w:rPr>
          <w:rFonts w:ascii="Arial" w:hAnsi="Arial" w:cs="Arial"/>
          <w:b/>
          <w:smallCaps/>
          <w:sz w:val="22"/>
          <w:szCs w:val="22"/>
          <w:lang w:val="es-ES"/>
        </w:rPr>
      </w:pPr>
    </w:p>
    <w:p w14:paraId="161F2AA0" w14:textId="77777777" w:rsidR="008F1F10" w:rsidRPr="00ED5EDD" w:rsidRDefault="008F1F10" w:rsidP="008E4CF9">
      <w:pPr>
        <w:spacing w:before="120"/>
        <w:jc w:val="center"/>
        <w:rPr>
          <w:rFonts w:ascii="Arial" w:hAnsi="Arial" w:cs="Arial"/>
          <w:b/>
          <w:smallCaps/>
          <w:sz w:val="22"/>
          <w:szCs w:val="22"/>
          <w:lang w:val="es-ES"/>
        </w:rPr>
      </w:pPr>
    </w:p>
    <w:p w14:paraId="75A39EA9" w14:textId="77777777" w:rsidR="008E4CF9" w:rsidRPr="00ED5EDD" w:rsidRDefault="008E4CF9" w:rsidP="008E4CF9">
      <w:pPr>
        <w:spacing w:before="120"/>
        <w:jc w:val="center"/>
        <w:rPr>
          <w:rFonts w:ascii="Arial" w:hAnsi="Arial" w:cs="Arial"/>
          <w:b/>
          <w:smallCaps/>
          <w:sz w:val="22"/>
          <w:szCs w:val="22"/>
          <w:lang w:val="es-ES"/>
        </w:rPr>
      </w:pPr>
    </w:p>
    <w:p w14:paraId="0844A27A" w14:textId="67F46C4D" w:rsidR="001D47B2" w:rsidRPr="00ED5EDD" w:rsidRDefault="008E4CF9" w:rsidP="008E4CF9">
      <w:pPr>
        <w:spacing w:before="120"/>
        <w:jc w:val="center"/>
        <w:rPr>
          <w:rFonts w:ascii="Arial" w:hAnsi="Arial" w:cs="Arial"/>
          <w:b/>
          <w:smallCaps/>
          <w:sz w:val="22"/>
          <w:szCs w:val="22"/>
          <w:lang w:val="es-ES"/>
        </w:rPr>
      </w:pPr>
      <w:r w:rsidRPr="00ED5EDD">
        <w:rPr>
          <w:rFonts w:ascii="Arial" w:hAnsi="Arial" w:cs="Arial"/>
          <w:b/>
          <w:smallCaps/>
          <w:sz w:val="22"/>
          <w:szCs w:val="22"/>
          <w:lang w:val="es-ES"/>
        </w:rPr>
        <w:t xml:space="preserve"> </w:t>
      </w:r>
      <w:r w:rsidR="00F12BB9" w:rsidRPr="00ED5EDD">
        <w:rPr>
          <w:rFonts w:ascii="Arial" w:hAnsi="Arial" w:cs="Arial"/>
          <w:b/>
          <w:smallCaps/>
          <w:sz w:val="22"/>
          <w:szCs w:val="22"/>
          <w:lang w:val="es-ES"/>
        </w:rPr>
        <w:t xml:space="preserve">Reglamento </w:t>
      </w:r>
      <w:r w:rsidR="009B1CBD" w:rsidRPr="00ED5EDD">
        <w:rPr>
          <w:rFonts w:ascii="Arial" w:hAnsi="Arial" w:cs="Arial"/>
          <w:b/>
          <w:smallCaps/>
          <w:sz w:val="22"/>
          <w:szCs w:val="22"/>
          <w:lang w:val="es-ES"/>
        </w:rPr>
        <w:t>de Crédito</w:t>
      </w:r>
    </w:p>
    <w:p w14:paraId="4C19C815" w14:textId="37FB0517" w:rsidR="001D47B2" w:rsidRDefault="001D47B2" w:rsidP="001D47B2">
      <w:pPr>
        <w:spacing w:before="120"/>
        <w:jc w:val="center"/>
        <w:rPr>
          <w:rFonts w:ascii="Arial" w:hAnsi="Arial" w:cs="Arial"/>
          <w:b/>
          <w:smallCaps/>
          <w:sz w:val="22"/>
          <w:szCs w:val="22"/>
          <w:lang w:val="es-ES"/>
        </w:rPr>
      </w:pPr>
    </w:p>
    <w:p w14:paraId="33FF1EC5" w14:textId="5D4C361E" w:rsidR="008F1F10" w:rsidRDefault="008F1F10" w:rsidP="001D47B2">
      <w:pPr>
        <w:spacing w:before="120"/>
        <w:jc w:val="center"/>
        <w:rPr>
          <w:rFonts w:ascii="Arial" w:hAnsi="Arial" w:cs="Arial"/>
          <w:b/>
          <w:smallCaps/>
          <w:sz w:val="22"/>
          <w:szCs w:val="22"/>
          <w:lang w:val="es-ES"/>
        </w:rPr>
      </w:pPr>
    </w:p>
    <w:p w14:paraId="4FC512D6" w14:textId="567071D5" w:rsidR="008F1F10" w:rsidRDefault="008F1F10" w:rsidP="001D47B2">
      <w:pPr>
        <w:spacing w:before="120"/>
        <w:jc w:val="center"/>
        <w:rPr>
          <w:rFonts w:ascii="Arial" w:hAnsi="Arial" w:cs="Arial"/>
          <w:b/>
          <w:smallCaps/>
          <w:sz w:val="22"/>
          <w:szCs w:val="22"/>
          <w:lang w:val="es-ES"/>
        </w:rPr>
      </w:pPr>
    </w:p>
    <w:p w14:paraId="32CBED45" w14:textId="545A3154" w:rsidR="008F1F10" w:rsidRDefault="008F1F10" w:rsidP="001D47B2">
      <w:pPr>
        <w:spacing w:before="120"/>
        <w:jc w:val="center"/>
        <w:rPr>
          <w:rFonts w:ascii="Arial" w:hAnsi="Arial" w:cs="Arial"/>
          <w:b/>
          <w:smallCaps/>
          <w:sz w:val="22"/>
          <w:szCs w:val="22"/>
          <w:lang w:val="es-ES"/>
        </w:rPr>
      </w:pPr>
    </w:p>
    <w:p w14:paraId="23234560" w14:textId="77777777" w:rsidR="008F1F10" w:rsidRPr="00ED5EDD" w:rsidRDefault="008F1F10" w:rsidP="001D47B2">
      <w:pPr>
        <w:spacing w:before="120"/>
        <w:jc w:val="center"/>
        <w:rPr>
          <w:rFonts w:ascii="Arial" w:hAnsi="Arial" w:cs="Arial"/>
          <w:b/>
          <w:smallCaps/>
          <w:sz w:val="22"/>
          <w:szCs w:val="22"/>
          <w:lang w:val="es-ES"/>
        </w:rPr>
      </w:pPr>
    </w:p>
    <w:p w14:paraId="141DBC73" w14:textId="49BE82DC" w:rsidR="001D47B2" w:rsidRPr="00ED5EDD" w:rsidRDefault="004116C5" w:rsidP="7B15385C">
      <w:pPr>
        <w:spacing w:before="120"/>
        <w:jc w:val="center"/>
        <w:rPr>
          <w:rFonts w:ascii="Arial" w:hAnsi="Arial" w:cs="Arial"/>
          <w:b/>
          <w:bCs/>
          <w:smallCaps/>
          <w:sz w:val="22"/>
          <w:szCs w:val="22"/>
          <w:lang w:val="es-ES"/>
        </w:rPr>
      </w:pPr>
      <w:r w:rsidRPr="00ED5EDD">
        <w:rPr>
          <w:rFonts w:ascii="Arial" w:hAnsi="Arial" w:cs="Arial"/>
          <w:b/>
          <w:bCs/>
          <w:smallCaps/>
          <w:sz w:val="22"/>
          <w:szCs w:val="22"/>
          <w:lang w:val="es-ES"/>
        </w:rPr>
        <w:t>Ju</w:t>
      </w:r>
      <w:r w:rsidR="00336C18">
        <w:rPr>
          <w:rFonts w:ascii="Arial" w:hAnsi="Arial" w:cs="Arial"/>
          <w:b/>
          <w:bCs/>
          <w:smallCaps/>
          <w:sz w:val="22"/>
          <w:szCs w:val="22"/>
          <w:lang w:val="es-ES"/>
        </w:rPr>
        <w:t>lio</w:t>
      </w:r>
      <w:r w:rsidR="00947D9D" w:rsidRPr="00ED5EDD">
        <w:rPr>
          <w:rFonts w:ascii="Arial" w:hAnsi="Arial" w:cs="Arial"/>
          <w:b/>
          <w:bCs/>
          <w:smallCaps/>
          <w:sz w:val="22"/>
          <w:szCs w:val="22"/>
          <w:lang w:val="es-ES"/>
        </w:rPr>
        <w:t xml:space="preserve"> de </w:t>
      </w:r>
      <w:r w:rsidR="1851DB34" w:rsidRPr="00ED5EDD">
        <w:rPr>
          <w:rFonts w:ascii="Arial" w:hAnsi="Arial" w:cs="Arial"/>
          <w:b/>
          <w:bCs/>
          <w:smallCaps/>
          <w:sz w:val="22"/>
          <w:szCs w:val="22"/>
          <w:lang w:val="es-ES"/>
        </w:rPr>
        <w:t>2020</w:t>
      </w:r>
    </w:p>
    <w:p w14:paraId="53D3540E" w14:textId="77777777" w:rsidR="00F9249F" w:rsidRPr="00ED5EDD" w:rsidRDefault="00F9249F" w:rsidP="001D47B2">
      <w:pPr>
        <w:spacing w:before="120"/>
        <w:jc w:val="center"/>
        <w:rPr>
          <w:rFonts w:ascii="Arial" w:hAnsi="Arial" w:cs="Arial"/>
          <w:sz w:val="22"/>
          <w:szCs w:val="22"/>
          <w:lang w:val="es-ES"/>
        </w:rPr>
      </w:pPr>
    </w:p>
    <w:p w14:paraId="6D4C737A" w14:textId="77777777" w:rsidR="00F9249F" w:rsidRPr="00ED5EDD" w:rsidRDefault="00F9249F" w:rsidP="001D47B2">
      <w:pPr>
        <w:spacing w:before="120"/>
        <w:jc w:val="center"/>
        <w:rPr>
          <w:rFonts w:ascii="Arial" w:hAnsi="Arial" w:cs="Arial"/>
          <w:sz w:val="22"/>
          <w:szCs w:val="22"/>
          <w:lang w:val="es-ES"/>
        </w:rPr>
      </w:pPr>
    </w:p>
    <w:p w14:paraId="28F6F9B8" w14:textId="77777777" w:rsidR="00F9249F" w:rsidRPr="00ED5EDD" w:rsidRDefault="00F9249F" w:rsidP="001D47B2">
      <w:pPr>
        <w:spacing w:before="120"/>
        <w:jc w:val="center"/>
        <w:rPr>
          <w:rFonts w:ascii="Arial" w:hAnsi="Arial" w:cs="Arial"/>
          <w:sz w:val="22"/>
          <w:szCs w:val="22"/>
          <w:lang w:val="es-ES"/>
        </w:rPr>
      </w:pPr>
    </w:p>
    <w:p w14:paraId="25D6DEFD" w14:textId="77777777" w:rsidR="001D47B2" w:rsidRPr="00ED5EDD" w:rsidRDefault="001D47B2" w:rsidP="001D47B2">
      <w:pPr>
        <w:spacing w:before="120"/>
        <w:jc w:val="center"/>
        <w:rPr>
          <w:rFonts w:ascii="Arial" w:hAnsi="Arial" w:cs="Arial"/>
          <w:sz w:val="22"/>
          <w:szCs w:val="22"/>
          <w:lang w:val="es-ES"/>
        </w:rPr>
      </w:pPr>
    </w:p>
    <w:p w14:paraId="343214B8" w14:textId="77777777" w:rsidR="001D47B2" w:rsidRPr="00ED5EDD" w:rsidRDefault="001D47B2" w:rsidP="00CE6907">
      <w:pPr>
        <w:spacing w:before="120"/>
        <w:jc w:val="center"/>
        <w:rPr>
          <w:rFonts w:ascii="Arial" w:hAnsi="Arial" w:cs="Arial"/>
          <w:sz w:val="22"/>
          <w:szCs w:val="22"/>
          <w:lang w:val="es-ES"/>
        </w:rPr>
      </w:pPr>
    </w:p>
    <w:p w14:paraId="37F51DCA" w14:textId="77777777" w:rsidR="00D410AB" w:rsidRPr="00ED5EDD" w:rsidRDefault="00D410AB" w:rsidP="00CE6907">
      <w:pPr>
        <w:spacing w:before="120"/>
        <w:jc w:val="center"/>
        <w:rPr>
          <w:rFonts w:ascii="Arial" w:hAnsi="Arial" w:cs="Arial"/>
          <w:sz w:val="22"/>
          <w:szCs w:val="22"/>
          <w:lang w:val="es-ES"/>
        </w:rPr>
        <w:sectPr w:rsidR="00D410AB" w:rsidRPr="00ED5EDD" w:rsidSect="00D410AB">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titlePg/>
          <w:docGrid w:linePitch="272"/>
        </w:sectPr>
      </w:pPr>
    </w:p>
    <w:p w14:paraId="14168ED3" w14:textId="69289DE5" w:rsidR="00FA548F" w:rsidRPr="00ED5EDD" w:rsidRDefault="008F1F10" w:rsidP="008F1F10">
      <w:pPr>
        <w:jc w:val="center"/>
        <w:rPr>
          <w:rFonts w:ascii="Arial" w:hAnsi="Arial" w:cs="Arial"/>
          <w:lang w:val="es-ES_tradnl"/>
        </w:rPr>
      </w:pPr>
      <w:r>
        <w:rPr>
          <w:rFonts w:ascii="Arial" w:hAnsi="Arial" w:cs="Arial"/>
          <w:b/>
          <w:sz w:val="22"/>
          <w:szCs w:val="22"/>
          <w:lang w:val="es-ES_tradnl"/>
        </w:rPr>
        <w:lastRenderedPageBreak/>
        <w:t>Contenido</w:t>
      </w:r>
    </w:p>
    <w:p w14:paraId="7932565F" w14:textId="3472B926" w:rsidR="00ED5EDD" w:rsidRPr="0065146C" w:rsidRDefault="00FA548F"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sz w:val="20"/>
          <w:lang w:val="es-ES_tradnl"/>
        </w:rPr>
        <w:fldChar w:fldCharType="begin"/>
      </w:r>
      <w:r w:rsidRPr="0065146C">
        <w:rPr>
          <w:rFonts w:ascii="Arial" w:hAnsi="Arial" w:cs="Arial"/>
          <w:sz w:val="20"/>
          <w:lang w:val="es-ES_tradnl"/>
        </w:rPr>
        <w:instrText xml:space="preserve"> TOC \f \t "Chapter,1,FirstHeading,2,SecHeading,3" </w:instrText>
      </w:r>
      <w:r w:rsidRPr="0065146C">
        <w:rPr>
          <w:rFonts w:ascii="Arial" w:hAnsi="Arial" w:cs="Arial"/>
          <w:sz w:val="20"/>
          <w:lang w:val="es-ES_tradnl"/>
        </w:rPr>
        <w:fldChar w:fldCharType="separate"/>
      </w:r>
      <w:r w:rsidR="00ED5EDD" w:rsidRPr="0065146C">
        <w:rPr>
          <w:rFonts w:ascii="Arial" w:hAnsi="Arial" w:cs="Arial"/>
        </w:rPr>
        <w:t>I.</w:t>
      </w:r>
      <w:r w:rsidR="00ED5EDD" w:rsidRPr="0065146C">
        <w:rPr>
          <w:rFonts w:ascii="Arial" w:eastAsiaTheme="minorEastAsia" w:hAnsi="Arial" w:cs="Arial"/>
          <w:smallCaps w:val="0"/>
          <w:sz w:val="22"/>
          <w:szCs w:val="22"/>
          <w:lang w:val="es-419" w:eastAsia="es-419"/>
        </w:rPr>
        <w:tab/>
      </w:r>
      <w:r w:rsidR="00ED5EDD" w:rsidRPr="0065146C">
        <w:rPr>
          <w:rFonts w:ascii="Arial" w:hAnsi="Arial" w:cs="Arial"/>
        </w:rPr>
        <w:t>Introducción</w:t>
      </w:r>
      <w:r w:rsidR="00ED5EDD" w:rsidRPr="0065146C">
        <w:rPr>
          <w:rFonts w:ascii="Arial" w:hAnsi="Arial" w:cs="Arial"/>
        </w:rPr>
        <w:tab/>
      </w:r>
      <w:r w:rsidR="00ED5EDD" w:rsidRPr="0065146C">
        <w:rPr>
          <w:rFonts w:ascii="Arial" w:hAnsi="Arial" w:cs="Arial"/>
        </w:rPr>
        <w:fldChar w:fldCharType="begin"/>
      </w:r>
      <w:r w:rsidR="00ED5EDD" w:rsidRPr="0065146C">
        <w:rPr>
          <w:rFonts w:ascii="Arial" w:hAnsi="Arial" w:cs="Arial"/>
        </w:rPr>
        <w:instrText xml:space="preserve"> PAGEREF _Toc42960874 \h </w:instrText>
      </w:r>
      <w:r w:rsidR="00ED5EDD" w:rsidRPr="0065146C">
        <w:rPr>
          <w:rFonts w:ascii="Arial" w:hAnsi="Arial" w:cs="Arial"/>
        </w:rPr>
      </w:r>
      <w:r w:rsidR="00ED5EDD" w:rsidRPr="0065146C">
        <w:rPr>
          <w:rFonts w:ascii="Arial" w:hAnsi="Arial" w:cs="Arial"/>
        </w:rPr>
        <w:fldChar w:fldCharType="separate"/>
      </w:r>
      <w:r w:rsidR="007F6330">
        <w:rPr>
          <w:rFonts w:ascii="Arial" w:hAnsi="Arial" w:cs="Arial"/>
        </w:rPr>
        <w:t>3</w:t>
      </w:r>
      <w:r w:rsidR="00ED5EDD" w:rsidRPr="0065146C">
        <w:rPr>
          <w:rFonts w:ascii="Arial" w:hAnsi="Arial" w:cs="Arial"/>
        </w:rPr>
        <w:fldChar w:fldCharType="end"/>
      </w:r>
    </w:p>
    <w:p w14:paraId="1B287BD7" w14:textId="1A659D85"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II.</w:t>
      </w:r>
      <w:r w:rsidRPr="0065146C">
        <w:rPr>
          <w:rFonts w:ascii="Arial" w:eastAsiaTheme="minorEastAsia" w:hAnsi="Arial" w:cs="Arial"/>
          <w:smallCaps w:val="0"/>
          <w:sz w:val="22"/>
          <w:szCs w:val="22"/>
          <w:lang w:val="es-419" w:eastAsia="es-419"/>
        </w:rPr>
        <w:tab/>
      </w:r>
      <w:r w:rsidRPr="0065146C">
        <w:rPr>
          <w:rFonts w:ascii="Arial" w:hAnsi="Arial" w:cs="Arial"/>
        </w:rPr>
        <w:t>Definiciones</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_Toc42960875 \h </w:instrText>
      </w:r>
      <w:r w:rsidRPr="0065146C">
        <w:rPr>
          <w:rFonts w:ascii="Arial" w:hAnsi="Arial" w:cs="Arial"/>
        </w:rPr>
      </w:r>
      <w:r w:rsidRPr="0065146C">
        <w:rPr>
          <w:rFonts w:ascii="Arial" w:hAnsi="Arial" w:cs="Arial"/>
        </w:rPr>
        <w:fldChar w:fldCharType="separate"/>
      </w:r>
      <w:r w:rsidR="007F6330">
        <w:rPr>
          <w:rFonts w:ascii="Arial" w:hAnsi="Arial" w:cs="Arial"/>
        </w:rPr>
        <w:t>3</w:t>
      </w:r>
      <w:r w:rsidRPr="0065146C">
        <w:rPr>
          <w:rFonts w:ascii="Arial" w:hAnsi="Arial" w:cs="Arial"/>
        </w:rPr>
        <w:fldChar w:fldCharType="end"/>
      </w:r>
    </w:p>
    <w:p w14:paraId="7B23AE5C" w14:textId="31380CED"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III.</w:t>
      </w:r>
      <w:r w:rsidRPr="0065146C">
        <w:rPr>
          <w:rFonts w:ascii="Arial" w:eastAsiaTheme="minorEastAsia" w:hAnsi="Arial" w:cs="Arial"/>
          <w:smallCaps w:val="0"/>
          <w:sz w:val="22"/>
          <w:szCs w:val="22"/>
          <w:lang w:val="es-419" w:eastAsia="es-419"/>
        </w:rPr>
        <w:tab/>
      </w:r>
      <w:r w:rsidRPr="0065146C">
        <w:rPr>
          <w:rFonts w:ascii="Arial" w:hAnsi="Arial" w:cs="Arial"/>
        </w:rPr>
        <w:t>Responsabilidad de Coordinación del Programa</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_Toc42960876 \h </w:instrText>
      </w:r>
      <w:r w:rsidRPr="0065146C">
        <w:rPr>
          <w:rFonts w:ascii="Arial" w:hAnsi="Arial" w:cs="Arial"/>
        </w:rPr>
      </w:r>
      <w:r w:rsidRPr="0065146C">
        <w:rPr>
          <w:rFonts w:ascii="Arial" w:hAnsi="Arial" w:cs="Arial"/>
        </w:rPr>
        <w:fldChar w:fldCharType="separate"/>
      </w:r>
      <w:r w:rsidR="007F6330">
        <w:rPr>
          <w:rFonts w:ascii="Arial" w:hAnsi="Arial" w:cs="Arial"/>
        </w:rPr>
        <w:t>4</w:t>
      </w:r>
      <w:r w:rsidRPr="0065146C">
        <w:rPr>
          <w:rFonts w:ascii="Arial" w:hAnsi="Arial" w:cs="Arial"/>
        </w:rPr>
        <w:fldChar w:fldCharType="end"/>
      </w:r>
    </w:p>
    <w:p w14:paraId="22E4F5A9" w14:textId="2148F690"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IV.</w:t>
      </w:r>
      <w:r w:rsidRPr="0065146C">
        <w:rPr>
          <w:rFonts w:ascii="Arial" w:eastAsiaTheme="minorEastAsia" w:hAnsi="Arial" w:cs="Arial"/>
          <w:smallCaps w:val="0"/>
          <w:sz w:val="22"/>
          <w:szCs w:val="22"/>
          <w:lang w:val="es-419" w:eastAsia="es-419"/>
        </w:rPr>
        <w:tab/>
      </w:r>
      <w:r w:rsidRPr="0065146C">
        <w:rPr>
          <w:rFonts w:ascii="Arial" w:hAnsi="Arial" w:cs="Arial"/>
        </w:rPr>
        <w:t>Descripción General del Programa</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_Toc42960877 \h </w:instrText>
      </w:r>
      <w:r w:rsidRPr="0065146C">
        <w:rPr>
          <w:rFonts w:ascii="Arial" w:hAnsi="Arial" w:cs="Arial"/>
        </w:rPr>
      </w:r>
      <w:r w:rsidRPr="0065146C">
        <w:rPr>
          <w:rFonts w:ascii="Arial" w:hAnsi="Arial" w:cs="Arial"/>
        </w:rPr>
        <w:fldChar w:fldCharType="separate"/>
      </w:r>
      <w:r w:rsidR="007F6330">
        <w:rPr>
          <w:rFonts w:ascii="Arial" w:hAnsi="Arial" w:cs="Arial"/>
        </w:rPr>
        <w:t>4</w:t>
      </w:r>
      <w:r w:rsidRPr="0065146C">
        <w:rPr>
          <w:rFonts w:ascii="Arial" w:hAnsi="Arial" w:cs="Arial"/>
        </w:rPr>
        <w:fldChar w:fldCharType="end"/>
      </w:r>
    </w:p>
    <w:p w14:paraId="44B12026" w14:textId="19F88690"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V.</w:t>
      </w:r>
      <w:r w:rsidRPr="0065146C">
        <w:rPr>
          <w:rFonts w:ascii="Arial" w:eastAsiaTheme="minorEastAsia" w:hAnsi="Arial" w:cs="Arial"/>
          <w:smallCaps w:val="0"/>
          <w:sz w:val="22"/>
          <w:szCs w:val="22"/>
          <w:lang w:val="es-419" w:eastAsia="es-419"/>
        </w:rPr>
        <w:tab/>
      </w:r>
      <w:r w:rsidRPr="0065146C">
        <w:rPr>
          <w:rFonts w:ascii="Arial" w:hAnsi="Arial" w:cs="Arial"/>
        </w:rPr>
        <w:t>Características Específicas de los Subpréstamos y las Garantías Sujetos a Financiación del Programa</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_Toc42960878 \h </w:instrText>
      </w:r>
      <w:r w:rsidRPr="0065146C">
        <w:rPr>
          <w:rFonts w:ascii="Arial" w:hAnsi="Arial" w:cs="Arial"/>
        </w:rPr>
      </w:r>
      <w:r w:rsidRPr="0065146C">
        <w:rPr>
          <w:rFonts w:ascii="Arial" w:hAnsi="Arial" w:cs="Arial"/>
        </w:rPr>
        <w:fldChar w:fldCharType="separate"/>
      </w:r>
      <w:r w:rsidR="007F6330">
        <w:rPr>
          <w:rFonts w:ascii="Arial" w:hAnsi="Arial" w:cs="Arial"/>
        </w:rPr>
        <w:t>4</w:t>
      </w:r>
      <w:r w:rsidRPr="0065146C">
        <w:rPr>
          <w:rFonts w:ascii="Arial" w:hAnsi="Arial" w:cs="Arial"/>
        </w:rPr>
        <w:fldChar w:fldCharType="end"/>
      </w:r>
    </w:p>
    <w:p w14:paraId="5A2B1DC8" w14:textId="672C6D0F"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VI.</w:t>
      </w:r>
      <w:r w:rsidRPr="0065146C">
        <w:rPr>
          <w:rFonts w:ascii="Arial" w:eastAsiaTheme="minorEastAsia" w:hAnsi="Arial" w:cs="Arial"/>
          <w:smallCaps w:val="0"/>
          <w:sz w:val="22"/>
          <w:szCs w:val="22"/>
          <w:lang w:val="es-419" w:eastAsia="es-419"/>
        </w:rPr>
        <w:tab/>
      </w:r>
      <w:r w:rsidRPr="0065146C">
        <w:rPr>
          <w:rFonts w:ascii="Arial" w:hAnsi="Arial" w:cs="Arial"/>
        </w:rPr>
        <w:t>Operatoria para el Otorgamiento y Gestión de Crédito de Segundo Piso</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_Toc42960879 \h </w:instrText>
      </w:r>
      <w:r w:rsidRPr="0065146C">
        <w:rPr>
          <w:rFonts w:ascii="Arial" w:hAnsi="Arial" w:cs="Arial"/>
        </w:rPr>
      </w:r>
      <w:r w:rsidRPr="0065146C">
        <w:rPr>
          <w:rFonts w:ascii="Arial" w:hAnsi="Arial" w:cs="Arial"/>
        </w:rPr>
        <w:fldChar w:fldCharType="separate"/>
      </w:r>
      <w:r w:rsidR="007F6330">
        <w:rPr>
          <w:rFonts w:ascii="Arial" w:hAnsi="Arial" w:cs="Arial"/>
        </w:rPr>
        <w:t>6</w:t>
      </w:r>
      <w:r w:rsidRPr="0065146C">
        <w:rPr>
          <w:rFonts w:ascii="Arial" w:hAnsi="Arial" w:cs="Arial"/>
        </w:rPr>
        <w:fldChar w:fldCharType="end"/>
      </w:r>
    </w:p>
    <w:p w14:paraId="4322628A" w14:textId="539559A7"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VII.</w:t>
      </w:r>
      <w:r w:rsidRPr="0065146C">
        <w:rPr>
          <w:rFonts w:ascii="Arial" w:eastAsiaTheme="minorEastAsia" w:hAnsi="Arial" w:cs="Arial"/>
          <w:smallCaps w:val="0"/>
          <w:sz w:val="22"/>
          <w:szCs w:val="22"/>
          <w:lang w:val="es-419" w:eastAsia="es-419"/>
        </w:rPr>
        <w:tab/>
      </w:r>
      <w:r w:rsidRPr="0065146C">
        <w:rPr>
          <w:rFonts w:ascii="Arial" w:hAnsi="Arial" w:cs="Arial"/>
        </w:rPr>
        <w:t>Operatoria para el otorgamiento y gestión de Garantías</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_Toc42960880 \h </w:instrText>
      </w:r>
      <w:r w:rsidRPr="0065146C">
        <w:rPr>
          <w:rFonts w:ascii="Arial" w:hAnsi="Arial" w:cs="Arial"/>
        </w:rPr>
      </w:r>
      <w:r w:rsidRPr="0065146C">
        <w:rPr>
          <w:rFonts w:ascii="Arial" w:hAnsi="Arial" w:cs="Arial"/>
        </w:rPr>
        <w:fldChar w:fldCharType="separate"/>
      </w:r>
      <w:r w:rsidR="007F6330">
        <w:rPr>
          <w:rFonts w:ascii="Arial" w:hAnsi="Arial" w:cs="Arial"/>
        </w:rPr>
        <w:t>7</w:t>
      </w:r>
      <w:r w:rsidRPr="0065146C">
        <w:rPr>
          <w:rFonts w:ascii="Arial" w:hAnsi="Arial" w:cs="Arial"/>
        </w:rPr>
        <w:fldChar w:fldCharType="end"/>
      </w:r>
    </w:p>
    <w:p w14:paraId="192B1CA8" w14:textId="5F826043"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VIII.</w:t>
      </w:r>
      <w:r w:rsidRPr="0065146C">
        <w:rPr>
          <w:rFonts w:ascii="Arial" w:eastAsiaTheme="minorEastAsia" w:hAnsi="Arial" w:cs="Arial"/>
          <w:smallCaps w:val="0"/>
          <w:sz w:val="22"/>
          <w:szCs w:val="22"/>
          <w:lang w:val="es-419" w:eastAsia="es-419"/>
        </w:rPr>
        <w:tab/>
      </w:r>
      <w:r w:rsidRPr="0065146C">
        <w:rPr>
          <w:rFonts w:ascii="Arial" w:hAnsi="Arial" w:cs="Arial"/>
        </w:rPr>
        <w:t>Requerimientos Ambientales y Sociales (‘Saras del Programa’)</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_Toc42960881 \h </w:instrText>
      </w:r>
      <w:r w:rsidRPr="0065146C">
        <w:rPr>
          <w:rFonts w:ascii="Arial" w:hAnsi="Arial" w:cs="Arial"/>
        </w:rPr>
      </w:r>
      <w:r w:rsidRPr="0065146C">
        <w:rPr>
          <w:rFonts w:ascii="Arial" w:hAnsi="Arial" w:cs="Arial"/>
        </w:rPr>
        <w:fldChar w:fldCharType="separate"/>
      </w:r>
      <w:r w:rsidR="007F6330">
        <w:rPr>
          <w:rFonts w:ascii="Arial" w:hAnsi="Arial" w:cs="Arial"/>
        </w:rPr>
        <w:t>8</w:t>
      </w:r>
      <w:r w:rsidRPr="0065146C">
        <w:rPr>
          <w:rFonts w:ascii="Arial" w:hAnsi="Arial" w:cs="Arial"/>
        </w:rPr>
        <w:fldChar w:fldCharType="end"/>
      </w:r>
    </w:p>
    <w:p w14:paraId="25F70850" w14:textId="37DE5A59"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IX.</w:t>
      </w:r>
      <w:r w:rsidRPr="0065146C">
        <w:rPr>
          <w:rFonts w:ascii="Arial" w:eastAsiaTheme="minorEastAsia" w:hAnsi="Arial" w:cs="Arial"/>
          <w:smallCaps w:val="0"/>
          <w:sz w:val="22"/>
          <w:szCs w:val="22"/>
          <w:lang w:val="es-419" w:eastAsia="es-419"/>
        </w:rPr>
        <w:tab/>
      </w:r>
      <w:r w:rsidRPr="0065146C">
        <w:rPr>
          <w:rFonts w:ascii="Arial" w:hAnsi="Arial" w:cs="Arial"/>
        </w:rPr>
        <w:t xml:space="preserve">Otras Condiciones de los Subpréstamos y </w:t>
      </w:r>
      <w:r w:rsidR="005B687A" w:rsidRPr="0065146C">
        <w:rPr>
          <w:rFonts w:ascii="Arial" w:hAnsi="Arial" w:cs="Arial"/>
        </w:rPr>
        <w:t xml:space="preserve">las </w:t>
      </w:r>
      <w:r w:rsidRPr="0065146C">
        <w:rPr>
          <w:rFonts w:ascii="Arial" w:hAnsi="Arial" w:cs="Arial"/>
        </w:rPr>
        <w:t>Garantías con Financiación del Programa</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_Toc42960882 \h </w:instrText>
      </w:r>
      <w:r w:rsidRPr="0065146C">
        <w:rPr>
          <w:rFonts w:ascii="Arial" w:hAnsi="Arial" w:cs="Arial"/>
        </w:rPr>
      </w:r>
      <w:r w:rsidRPr="0065146C">
        <w:rPr>
          <w:rFonts w:ascii="Arial" w:hAnsi="Arial" w:cs="Arial"/>
        </w:rPr>
        <w:fldChar w:fldCharType="separate"/>
      </w:r>
      <w:r w:rsidR="007F6330">
        <w:rPr>
          <w:rFonts w:ascii="Arial" w:hAnsi="Arial" w:cs="Arial"/>
        </w:rPr>
        <w:t>8</w:t>
      </w:r>
      <w:r w:rsidRPr="0065146C">
        <w:rPr>
          <w:rFonts w:ascii="Arial" w:hAnsi="Arial" w:cs="Arial"/>
        </w:rPr>
        <w:fldChar w:fldCharType="end"/>
      </w:r>
    </w:p>
    <w:p w14:paraId="1106B025" w14:textId="00D4D9A5"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X.</w:t>
      </w:r>
      <w:r w:rsidRPr="0065146C">
        <w:rPr>
          <w:rFonts w:ascii="Arial" w:eastAsiaTheme="minorEastAsia" w:hAnsi="Arial" w:cs="Arial"/>
          <w:smallCaps w:val="0"/>
          <w:sz w:val="22"/>
          <w:szCs w:val="22"/>
          <w:lang w:val="es-419" w:eastAsia="es-419"/>
        </w:rPr>
        <w:tab/>
      </w:r>
      <w:r w:rsidRPr="0065146C">
        <w:rPr>
          <w:rFonts w:ascii="Arial" w:hAnsi="Arial" w:cs="Arial"/>
        </w:rPr>
        <w:t>Indicadores de Resultados del Programa</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_Toc42960883 \h </w:instrText>
      </w:r>
      <w:r w:rsidRPr="0065146C">
        <w:rPr>
          <w:rFonts w:ascii="Arial" w:hAnsi="Arial" w:cs="Arial"/>
        </w:rPr>
      </w:r>
      <w:r w:rsidRPr="0065146C">
        <w:rPr>
          <w:rFonts w:ascii="Arial" w:hAnsi="Arial" w:cs="Arial"/>
        </w:rPr>
        <w:fldChar w:fldCharType="separate"/>
      </w:r>
      <w:r w:rsidR="007F6330">
        <w:rPr>
          <w:rFonts w:ascii="Arial" w:hAnsi="Arial" w:cs="Arial"/>
        </w:rPr>
        <w:t>9</w:t>
      </w:r>
      <w:r w:rsidRPr="0065146C">
        <w:rPr>
          <w:rFonts w:ascii="Arial" w:hAnsi="Arial" w:cs="Arial"/>
        </w:rPr>
        <w:fldChar w:fldCharType="end"/>
      </w:r>
    </w:p>
    <w:p w14:paraId="48A02F11" w14:textId="39A6C3FE"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XI.</w:t>
      </w:r>
      <w:r w:rsidRPr="0065146C">
        <w:rPr>
          <w:rFonts w:ascii="Arial" w:eastAsiaTheme="minorEastAsia" w:hAnsi="Arial" w:cs="Arial"/>
          <w:smallCaps w:val="0"/>
          <w:sz w:val="22"/>
          <w:szCs w:val="22"/>
          <w:lang w:val="es-419" w:eastAsia="es-419"/>
        </w:rPr>
        <w:tab/>
      </w:r>
      <w:r w:rsidRPr="0065146C">
        <w:rPr>
          <w:rFonts w:ascii="Arial" w:hAnsi="Arial" w:cs="Arial"/>
        </w:rPr>
        <w:t>Reporte y Monitoreo del Programa</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_Toc42960884 \h </w:instrText>
      </w:r>
      <w:r w:rsidRPr="0065146C">
        <w:rPr>
          <w:rFonts w:ascii="Arial" w:hAnsi="Arial" w:cs="Arial"/>
        </w:rPr>
      </w:r>
      <w:r w:rsidRPr="0065146C">
        <w:rPr>
          <w:rFonts w:ascii="Arial" w:hAnsi="Arial" w:cs="Arial"/>
        </w:rPr>
        <w:fldChar w:fldCharType="separate"/>
      </w:r>
      <w:r w:rsidR="007F6330">
        <w:rPr>
          <w:rFonts w:ascii="Arial" w:hAnsi="Arial" w:cs="Arial"/>
        </w:rPr>
        <w:t>10</w:t>
      </w:r>
      <w:r w:rsidRPr="0065146C">
        <w:rPr>
          <w:rFonts w:ascii="Arial" w:hAnsi="Arial" w:cs="Arial"/>
        </w:rPr>
        <w:fldChar w:fldCharType="end"/>
      </w:r>
    </w:p>
    <w:p w14:paraId="443A7EC9" w14:textId="678A5ED3"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XII.</w:t>
      </w:r>
      <w:r w:rsidRPr="0065146C">
        <w:rPr>
          <w:rFonts w:ascii="Arial" w:eastAsiaTheme="minorEastAsia" w:hAnsi="Arial" w:cs="Arial"/>
          <w:smallCaps w:val="0"/>
          <w:sz w:val="22"/>
          <w:szCs w:val="22"/>
          <w:lang w:val="es-419" w:eastAsia="es-419"/>
        </w:rPr>
        <w:tab/>
      </w:r>
      <w:r w:rsidRPr="0065146C">
        <w:rPr>
          <w:rFonts w:ascii="Arial" w:hAnsi="Arial" w:cs="Arial"/>
        </w:rPr>
        <w:t>Acuerdos Para La Gestión Financiera del Programa</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_Toc42960885 \h </w:instrText>
      </w:r>
      <w:r w:rsidRPr="0065146C">
        <w:rPr>
          <w:rFonts w:ascii="Arial" w:hAnsi="Arial" w:cs="Arial"/>
        </w:rPr>
      </w:r>
      <w:r w:rsidRPr="0065146C">
        <w:rPr>
          <w:rFonts w:ascii="Arial" w:hAnsi="Arial" w:cs="Arial"/>
        </w:rPr>
        <w:fldChar w:fldCharType="separate"/>
      </w:r>
      <w:r w:rsidR="007F6330">
        <w:rPr>
          <w:rFonts w:ascii="Arial" w:hAnsi="Arial" w:cs="Arial"/>
        </w:rPr>
        <w:t>11</w:t>
      </w:r>
      <w:r w:rsidRPr="0065146C">
        <w:rPr>
          <w:rFonts w:ascii="Arial" w:hAnsi="Arial" w:cs="Arial"/>
        </w:rPr>
        <w:fldChar w:fldCharType="end"/>
      </w:r>
    </w:p>
    <w:p w14:paraId="131EB62C" w14:textId="2D45C9BA"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XIII.</w:t>
      </w:r>
      <w:r w:rsidRPr="0065146C">
        <w:rPr>
          <w:rFonts w:ascii="Arial" w:eastAsiaTheme="minorEastAsia" w:hAnsi="Arial" w:cs="Arial"/>
          <w:smallCaps w:val="0"/>
          <w:sz w:val="22"/>
          <w:szCs w:val="22"/>
          <w:lang w:val="es-419" w:eastAsia="es-419"/>
        </w:rPr>
        <w:tab/>
      </w:r>
      <w:r w:rsidRPr="0065146C">
        <w:rPr>
          <w:rFonts w:ascii="Arial" w:hAnsi="Arial" w:cs="Arial"/>
        </w:rPr>
        <w:t>Modificación de Disposiciones Legales y de este Reglamento</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_Toc42960886 \h </w:instrText>
      </w:r>
      <w:r w:rsidRPr="0065146C">
        <w:rPr>
          <w:rFonts w:ascii="Arial" w:hAnsi="Arial" w:cs="Arial"/>
        </w:rPr>
      </w:r>
      <w:r w:rsidRPr="0065146C">
        <w:rPr>
          <w:rFonts w:ascii="Arial" w:hAnsi="Arial" w:cs="Arial"/>
        </w:rPr>
        <w:fldChar w:fldCharType="separate"/>
      </w:r>
      <w:r w:rsidR="007F6330">
        <w:rPr>
          <w:rFonts w:ascii="Arial" w:hAnsi="Arial" w:cs="Arial"/>
        </w:rPr>
        <w:t>13</w:t>
      </w:r>
      <w:r w:rsidRPr="0065146C">
        <w:rPr>
          <w:rFonts w:ascii="Arial" w:hAnsi="Arial" w:cs="Arial"/>
        </w:rPr>
        <w:fldChar w:fldCharType="end"/>
      </w:r>
    </w:p>
    <w:p w14:paraId="1C3F5E99" w14:textId="4938DF14"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rPr>
        <w:t>Anexo 1: Lista de exclusión</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_Toc42960887 \h </w:instrText>
      </w:r>
      <w:r w:rsidRPr="0065146C">
        <w:rPr>
          <w:rFonts w:ascii="Arial" w:hAnsi="Arial" w:cs="Arial"/>
        </w:rPr>
      </w:r>
      <w:r w:rsidRPr="0065146C">
        <w:rPr>
          <w:rFonts w:ascii="Arial" w:hAnsi="Arial" w:cs="Arial"/>
        </w:rPr>
        <w:fldChar w:fldCharType="separate"/>
      </w:r>
      <w:r w:rsidR="007F6330">
        <w:rPr>
          <w:rFonts w:ascii="Arial" w:hAnsi="Arial" w:cs="Arial"/>
        </w:rPr>
        <w:t>15</w:t>
      </w:r>
      <w:r w:rsidRPr="0065146C">
        <w:rPr>
          <w:rFonts w:ascii="Arial" w:hAnsi="Arial" w:cs="Arial"/>
        </w:rPr>
        <w:fldChar w:fldCharType="end"/>
      </w:r>
    </w:p>
    <w:p w14:paraId="461CD84B" w14:textId="20A1239B" w:rsidR="00ED5EDD" w:rsidRPr="0065146C" w:rsidRDefault="00ED5EDD" w:rsidP="005B687A">
      <w:pPr>
        <w:pStyle w:val="TOC1"/>
        <w:spacing w:before="120" w:after="120"/>
        <w:rPr>
          <w:rFonts w:ascii="Arial" w:eastAsiaTheme="minorEastAsia" w:hAnsi="Arial" w:cs="Arial"/>
          <w:smallCaps w:val="0"/>
          <w:sz w:val="22"/>
          <w:szCs w:val="22"/>
          <w:lang w:val="es-419" w:eastAsia="es-419"/>
        </w:rPr>
      </w:pPr>
      <w:r w:rsidRPr="0065146C">
        <w:rPr>
          <w:rFonts w:ascii="Arial" w:hAnsi="Arial" w:cs="Arial"/>
          <w:lang w:val="pt-BR"/>
        </w:rPr>
        <w:t>Anexo 2: Reporte de desempeño socioambiental semestral</w:t>
      </w:r>
      <w:r w:rsidRPr="0065146C">
        <w:rPr>
          <w:rFonts w:ascii="Arial" w:hAnsi="Arial" w:cs="Arial"/>
        </w:rPr>
        <w:tab/>
      </w:r>
      <w:r w:rsidRPr="0065146C">
        <w:rPr>
          <w:rFonts w:ascii="Arial" w:hAnsi="Arial" w:cs="Arial"/>
        </w:rPr>
        <w:fldChar w:fldCharType="begin"/>
      </w:r>
      <w:r w:rsidRPr="0065146C">
        <w:rPr>
          <w:rFonts w:ascii="Arial" w:hAnsi="Arial" w:cs="Arial"/>
        </w:rPr>
        <w:instrText xml:space="preserve"> PAGEREF _Toc42960888 \h </w:instrText>
      </w:r>
      <w:r w:rsidRPr="0065146C">
        <w:rPr>
          <w:rFonts w:ascii="Arial" w:hAnsi="Arial" w:cs="Arial"/>
        </w:rPr>
      </w:r>
      <w:r w:rsidRPr="0065146C">
        <w:rPr>
          <w:rFonts w:ascii="Arial" w:hAnsi="Arial" w:cs="Arial"/>
        </w:rPr>
        <w:fldChar w:fldCharType="separate"/>
      </w:r>
      <w:r w:rsidR="007F6330">
        <w:rPr>
          <w:rFonts w:ascii="Arial" w:hAnsi="Arial" w:cs="Arial"/>
        </w:rPr>
        <w:t>17</w:t>
      </w:r>
      <w:r w:rsidRPr="0065146C">
        <w:rPr>
          <w:rFonts w:ascii="Arial" w:hAnsi="Arial" w:cs="Arial"/>
        </w:rPr>
        <w:fldChar w:fldCharType="end"/>
      </w:r>
    </w:p>
    <w:p w14:paraId="2C3EFC2B" w14:textId="5BA27E60" w:rsidR="00FA548F" w:rsidRPr="00ED5EDD" w:rsidRDefault="00FA548F" w:rsidP="00C53C25">
      <w:pPr>
        <w:pStyle w:val="TOC1"/>
        <w:spacing w:before="60" w:after="60"/>
        <w:rPr>
          <w:rFonts w:ascii="Arial" w:hAnsi="Arial" w:cs="Arial"/>
          <w:sz w:val="20"/>
          <w:lang w:val="pt-BR"/>
        </w:rPr>
      </w:pPr>
      <w:r w:rsidRPr="0065146C">
        <w:rPr>
          <w:rFonts w:ascii="Arial" w:hAnsi="Arial" w:cs="Arial"/>
          <w:sz w:val="20"/>
          <w:lang w:val="es-ES_tradnl"/>
        </w:rPr>
        <w:fldChar w:fldCharType="end"/>
      </w:r>
    </w:p>
    <w:p w14:paraId="075CD511" w14:textId="77777777" w:rsidR="00CA31AE" w:rsidRPr="00ED5EDD" w:rsidRDefault="00CA31AE" w:rsidP="00CA31AE">
      <w:pPr>
        <w:rPr>
          <w:rFonts w:ascii="Arial" w:hAnsi="Arial" w:cs="Arial"/>
          <w:sz w:val="22"/>
          <w:szCs w:val="22"/>
          <w:lang w:val="pt-BR"/>
        </w:rPr>
        <w:sectPr w:rsidR="00CA31AE" w:rsidRPr="00ED5EDD" w:rsidSect="00D410AB">
          <w:headerReference w:type="default" r:id="rId17"/>
          <w:headerReference w:type="first" r:id="rId18"/>
          <w:footerReference w:type="first" r:id="rId19"/>
          <w:pgSz w:w="12240" w:h="15840"/>
          <w:pgMar w:top="1440" w:right="1800" w:bottom="1440" w:left="1800" w:header="720" w:footer="720" w:gutter="0"/>
          <w:cols w:space="720"/>
          <w:titlePg/>
          <w:docGrid w:linePitch="272"/>
        </w:sectPr>
      </w:pPr>
    </w:p>
    <w:p w14:paraId="27686331" w14:textId="77777777" w:rsidR="0080491E" w:rsidRPr="00ED5EDD" w:rsidRDefault="0080491E">
      <w:pPr>
        <w:rPr>
          <w:rFonts w:ascii="Arial" w:hAnsi="Arial" w:cs="Arial"/>
          <w:b/>
          <w:smallCaps/>
          <w:sz w:val="24"/>
          <w:szCs w:val="24"/>
          <w:lang w:val="pt-BR"/>
        </w:rPr>
      </w:pPr>
      <w:r w:rsidRPr="00ED5EDD">
        <w:rPr>
          <w:rFonts w:ascii="Arial" w:hAnsi="Arial" w:cs="Arial"/>
          <w:szCs w:val="24"/>
          <w:lang w:val="pt-BR"/>
        </w:rPr>
        <w:br w:type="page"/>
      </w:r>
    </w:p>
    <w:p w14:paraId="0F669FAE" w14:textId="5C5B1C1F" w:rsidR="00FA548F" w:rsidRPr="00ED5EDD" w:rsidRDefault="000649C4" w:rsidP="00EC49B7">
      <w:pPr>
        <w:pStyle w:val="Chapter"/>
        <w:tabs>
          <w:tab w:val="clear" w:pos="1440"/>
        </w:tabs>
        <w:spacing w:before="0"/>
        <w:ind w:left="288" w:hanging="288"/>
        <w:rPr>
          <w:rFonts w:ascii="Arial" w:hAnsi="Arial" w:cs="Arial"/>
          <w:szCs w:val="24"/>
        </w:rPr>
      </w:pPr>
      <w:bookmarkStart w:id="1" w:name="_Toc42960874"/>
      <w:r w:rsidRPr="00ED5EDD">
        <w:rPr>
          <w:rFonts w:ascii="Arial" w:hAnsi="Arial" w:cs="Arial"/>
          <w:szCs w:val="24"/>
        </w:rPr>
        <w:lastRenderedPageBreak/>
        <w:t>I</w:t>
      </w:r>
      <w:r w:rsidR="001D47B2" w:rsidRPr="00ED5EDD">
        <w:rPr>
          <w:rFonts w:ascii="Arial" w:hAnsi="Arial" w:cs="Arial"/>
          <w:szCs w:val="24"/>
        </w:rPr>
        <w:t>ntroducción</w:t>
      </w:r>
      <w:bookmarkEnd w:id="1"/>
    </w:p>
    <w:p w14:paraId="6F089A05" w14:textId="11464D45" w:rsidR="0099496A" w:rsidRPr="00ED5EDD" w:rsidRDefault="009C35E9" w:rsidP="00124928">
      <w:pPr>
        <w:pStyle w:val="Paragraph"/>
        <w:tabs>
          <w:tab w:val="num" w:pos="720"/>
        </w:tabs>
        <w:ind w:left="720" w:hanging="720"/>
        <w:rPr>
          <w:rFonts w:ascii="Arial" w:hAnsi="Arial" w:cs="Arial"/>
          <w:sz w:val="22"/>
          <w:szCs w:val="22"/>
        </w:rPr>
      </w:pPr>
      <w:bookmarkStart w:id="2" w:name="_Ref328643831"/>
      <w:r w:rsidRPr="00ED5EDD">
        <w:rPr>
          <w:rFonts w:ascii="Arial" w:hAnsi="Arial" w:cs="Arial"/>
          <w:sz w:val="22"/>
          <w:szCs w:val="22"/>
        </w:rPr>
        <w:t xml:space="preserve">Este documento presenta el </w:t>
      </w:r>
      <w:r w:rsidR="00525A40" w:rsidRPr="00ED5EDD">
        <w:rPr>
          <w:rFonts w:ascii="Arial" w:hAnsi="Arial" w:cs="Arial"/>
          <w:sz w:val="22"/>
          <w:szCs w:val="22"/>
        </w:rPr>
        <w:t xml:space="preserve">Reglamento de Crédito </w:t>
      </w:r>
      <w:r w:rsidR="007D2C77" w:rsidRPr="00ED5EDD">
        <w:rPr>
          <w:rFonts w:ascii="Arial" w:hAnsi="Arial" w:cs="Arial"/>
          <w:sz w:val="22"/>
          <w:szCs w:val="22"/>
        </w:rPr>
        <w:t>(R</w:t>
      </w:r>
      <w:r w:rsidR="009B1CBD" w:rsidRPr="00ED5EDD">
        <w:rPr>
          <w:rFonts w:ascii="Arial" w:hAnsi="Arial" w:cs="Arial"/>
          <w:sz w:val="22"/>
          <w:szCs w:val="22"/>
        </w:rPr>
        <w:t>C</w:t>
      </w:r>
      <w:r w:rsidR="007D2C77" w:rsidRPr="00ED5EDD">
        <w:rPr>
          <w:rFonts w:ascii="Arial" w:hAnsi="Arial" w:cs="Arial"/>
          <w:sz w:val="22"/>
          <w:szCs w:val="22"/>
        </w:rPr>
        <w:t xml:space="preserve">, </w:t>
      </w:r>
      <w:r w:rsidR="00525A40" w:rsidRPr="00ED5EDD">
        <w:rPr>
          <w:rFonts w:ascii="Arial" w:hAnsi="Arial" w:cs="Arial"/>
          <w:sz w:val="22"/>
          <w:szCs w:val="22"/>
        </w:rPr>
        <w:t>e</w:t>
      </w:r>
      <w:r w:rsidR="00EB4CDB" w:rsidRPr="00ED5EDD">
        <w:rPr>
          <w:rFonts w:ascii="Arial" w:hAnsi="Arial" w:cs="Arial"/>
          <w:sz w:val="22"/>
          <w:szCs w:val="22"/>
        </w:rPr>
        <w:t>l</w:t>
      </w:r>
      <w:r w:rsidR="007D2C77" w:rsidRPr="00ED5EDD">
        <w:rPr>
          <w:rFonts w:ascii="Arial" w:hAnsi="Arial" w:cs="Arial"/>
          <w:sz w:val="22"/>
          <w:szCs w:val="22"/>
        </w:rPr>
        <w:t xml:space="preserve"> Reglamento) </w:t>
      </w:r>
      <w:r w:rsidRPr="00ED5EDD">
        <w:rPr>
          <w:rFonts w:ascii="Arial" w:hAnsi="Arial" w:cs="Arial"/>
          <w:sz w:val="22"/>
          <w:szCs w:val="22"/>
        </w:rPr>
        <w:t xml:space="preserve">del </w:t>
      </w:r>
      <w:r w:rsidR="00E21603" w:rsidRPr="00ED5EDD">
        <w:rPr>
          <w:rFonts w:ascii="Arial" w:hAnsi="Arial" w:cs="Arial"/>
          <w:sz w:val="22"/>
          <w:szCs w:val="22"/>
        </w:rPr>
        <w:t>Programa</w:t>
      </w:r>
      <w:r w:rsidR="00525A40" w:rsidRPr="00ED5EDD">
        <w:rPr>
          <w:rFonts w:ascii="Arial" w:hAnsi="Arial" w:cs="Arial"/>
          <w:sz w:val="22"/>
          <w:szCs w:val="22"/>
        </w:rPr>
        <w:t xml:space="preserve"> Global de </w:t>
      </w:r>
      <w:r w:rsidR="001A074E" w:rsidRPr="00ED5EDD">
        <w:rPr>
          <w:rFonts w:ascii="Arial" w:hAnsi="Arial" w:cs="Arial"/>
          <w:sz w:val="22"/>
          <w:szCs w:val="22"/>
        </w:rPr>
        <w:t>Crédito</w:t>
      </w:r>
      <w:r w:rsidR="00525A40" w:rsidRPr="00ED5EDD">
        <w:rPr>
          <w:rFonts w:ascii="Arial" w:hAnsi="Arial" w:cs="Arial"/>
          <w:sz w:val="22"/>
          <w:szCs w:val="22"/>
        </w:rPr>
        <w:t xml:space="preserve"> para la </w:t>
      </w:r>
      <w:r w:rsidR="001A074E" w:rsidRPr="00ED5EDD">
        <w:rPr>
          <w:rFonts w:ascii="Arial" w:hAnsi="Arial" w:cs="Arial"/>
          <w:sz w:val="22"/>
          <w:szCs w:val="22"/>
        </w:rPr>
        <w:t>D</w:t>
      </w:r>
      <w:r w:rsidR="00525A40" w:rsidRPr="00ED5EDD">
        <w:rPr>
          <w:rFonts w:ascii="Arial" w:hAnsi="Arial" w:cs="Arial"/>
          <w:sz w:val="22"/>
          <w:szCs w:val="22"/>
        </w:rPr>
        <w:t xml:space="preserve">efensa </w:t>
      </w:r>
      <w:r w:rsidR="001A074E" w:rsidRPr="00ED5EDD">
        <w:rPr>
          <w:rFonts w:ascii="Arial" w:hAnsi="Arial" w:cs="Arial"/>
          <w:sz w:val="22"/>
          <w:szCs w:val="22"/>
        </w:rPr>
        <w:t>del Tejido Productivo y el Empleo</w:t>
      </w:r>
      <w:r w:rsidR="008E4CF9" w:rsidRPr="00ED5EDD">
        <w:rPr>
          <w:rFonts w:ascii="Arial" w:hAnsi="Arial" w:cs="Arial"/>
          <w:sz w:val="22"/>
          <w:szCs w:val="22"/>
        </w:rPr>
        <w:t xml:space="preserve"> </w:t>
      </w:r>
      <w:r w:rsidRPr="00ED5EDD">
        <w:rPr>
          <w:rFonts w:ascii="Arial" w:hAnsi="Arial" w:cs="Arial"/>
          <w:sz w:val="22"/>
          <w:szCs w:val="22"/>
        </w:rPr>
        <w:t xml:space="preserve">(el </w:t>
      </w:r>
      <w:r w:rsidR="00D81631">
        <w:rPr>
          <w:rFonts w:ascii="Arial" w:hAnsi="Arial" w:cs="Arial"/>
          <w:sz w:val="22"/>
          <w:szCs w:val="22"/>
        </w:rPr>
        <w:t>p</w:t>
      </w:r>
      <w:r w:rsidRPr="00ED5EDD">
        <w:rPr>
          <w:rFonts w:ascii="Arial" w:hAnsi="Arial" w:cs="Arial"/>
          <w:sz w:val="22"/>
          <w:szCs w:val="22"/>
        </w:rPr>
        <w:t>rograma)</w:t>
      </w:r>
      <w:r w:rsidR="007F3566" w:rsidRPr="00ED5EDD">
        <w:rPr>
          <w:rFonts w:ascii="Arial" w:hAnsi="Arial" w:cs="Arial"/>
          <w:sz w:val="22"/>
          <w:szCs w:val="22"/>
        </w:rPr>
        <w:t xml:space="preserve">, </w:t>
      </w:r>
      <w:r w:rsidR="00C14D0B" w:rsidRPr="00ED5EDD">
        <w:rPr>
          <w:rFonts w:ascii="Arial" w:hAnsi="Arial" w:cs="Arial"/>
          <w:sz w:val="22"/>
          <w:szCs w:val="22"/>
        </w:rPr>
        <w:t xml:space="preserve">entre el Banco Interamericano de Desarrollo (BID, el Banco) y </w:t>
      </w:r>
      <w:r w:rsidR="004116C5" w:rsidRPr="00ED5EDD">
        <w:rPr>
          <w:rFonts w:ascii="Arial" w:hAnsi="Arial" w:cs="Arial"/>
          <w:sz w:val="22"/>
          <w:szCs w:val="22"/>
        </w:rPr>
        <w:t>la Rep</w:t>
      </w:r>
      <w:r w:rsidR="0065573C">
        <w:rPr>
          <w:rFonts w:ascii="Arial" w:hAnsi="Arial" w:cs="Arial"/>
          <w:sz w:val="22"/>
          <w:szCs w:val="22"/>
        </w:rPr>
        <w:t>ú</w:t>
      </w:r>
      <w:r w:rsidR="004116C5" w:rsidRPr="00ED5EDD">
        <w:rPr>
          <w:rFonts w:ascii="Arial" w:hAnsi="Arial" w:cs="Arial"/>
          <w:sz w:val="22"/>
          <w:szCs w:val="22"/>
        </w:rPr>
        <w:t>blica de Honduras, ejecutado por el Banco Hondureño para la Producción y la Vivienda (BANHPROVI</w:t>
      </w:r>
      <w:r w:rsidR="00525A40" w:rsidRPr="00ED5EDD">
        <w:rPr>
          <w:rFonts w:ascii="Arial" w:hAnsi="Arial" w:cs="Arial"/>
          <w:sz w:val="22"/>
          <w:szCs w:val="22"/>
        </w:rPr>
        <w:t>, el OE</w:t>
      </w:r>
      <w:r w:rsidR="009B1CBD" w:rsidRPr="00ED5EDD">
        <w:rPr>
          <w:rFonts w:ascii="Arial" w:hAnsi="Arial" w:cs="Arial"/>
          <w:sz w:val="22"/>
          <w:szCs w:val="22"/>
        </w:rPr>
        <w:t>)</w:t>
      </w:r>
      <w:r w:rsidR="00C14D0B" w:rsidRPr="00ED5EDD">
        <w:rPr>
          <w:rFonts w:ascii="Arial" w:hAnsi="Arial" w:cs="Arial"/>
          <w:sz w:val="22"/>
          <w:szCs w:val="22"/>
        </w:rPr>
        <w:t>, por</w:t>
      </w:r>
      <w:r w:rsidR="007F3566" w:rsidRPr="00ED5EDD">
        <w:rPr>
          <w:rFonts w:ascii="Arial" w:hAnsi="Arial" w:cs="Arial"/>
          <w:sz w:val="22"/>
          <w:szCs w:val="22"/>
        </w:rPr>
        <w:t xml:space="preserve"> un monto total de </w:t>
      </w:r>
      <w:r w:rsidR="0099496A" w:rsidRPr="00ED5EDD">
        <w:rPr>
          <w:rFonts w:ascii="Arial" w:hAnsi="Arial" w:cs="Arial"/>
          <w:sz w:val="22"/>
          <w:szCs w:val="22"/>
        </w:rPr>
        <w:t>US$</w:t>
      </w:r>
      <w:r w:rsidR="00BF23E8" w:rsidRPr="00ED5EDD">
        <w:rPr>
          <w:rFonts w:ascii="Arial" w:hAnsi="Arial" w:cs="Arial"/>
          <w:sz w:val="22"/>
          <w:szCs w:val="22"/>
        </w:rPr>
        <w:t>19</w:t>
      </w:r>
      <w:r w:rsidR="00D134C2">
        <w:rPr>
          <w:rFonts w:ascii="Arial" w:hAnsi="Arial" w:cs="Arial"/>
          <w:sz w:val="22"/>
          <w:szCs w:val="22"/>
        </w:rPr>
        <w:t>,</w:t>
      </w:r>
      <w:r w:rsidR="00BF23E8" w:rsidRPr="00ED5EDD">
        <w:rPr>
          <w:rFonts w:ascii="Arial" w:hAnsi="Arial" w:cs="Arial"/>
          <w:sz w:val="22"/>
          <w:szCs w:val="22"/>
        </w:rPr>
        <w:t>96</w:t>
      </w:r>
      <w:r w:rsidR="00BE54C3" w:rsidRPr="00ED5EDD">
        <w:rPr>
          <w:rFonts w:ascii="Arial" w:hAnsi="Arial" w:cs="Arial"/>
          <w:sz w:val="22"/>
          <w:szCs w:val="22"/>
        </w:rPr>
        <w:t> </w:t>
      </w:r>
      <w:r w:rsidRPr="00ED5EDD">
        <w:rPr>
          <w:rFonts w:ascii="Arial" w:hAnsi="Arial" w:cs="Arial"/>
          <w:sz w:val="22"/>
          <w:szCs w:val="22"/>
        </w:rPr>
        <w:t>millones</w:t>
      </w:r>
      <w:r w:rsidR="00C14D0B" w:rsidRPr="00ED5EDD">
        <w:rPr>
          <w:rFonts w:ascii="Arial" w:hAnsi="Arial" w:cs="Arial"/>
          <w:sz w:val="22"/>
          <w:szCs w:val="22"/>
        </w:rPr>
        <w:t xml:space="preserve">, correspondiente a la operación </w:t>
      </w:r>
      <w:r w:rsidR="004116C5" w:rsidRPr="00ED5EDD">
        <w:rPr>
          <w:rFonts w:ascii="Arial" w:hAnsi="Arial" w:cs="Arial"/>
          <w:sz w:val="22"/>
          <w:szCs w:val="22"/>
        </w:rPr>
        <w:t>H</w:t>
      </w:r>
      <w:r w:rsidR="00B833AC" w:rsidRPr="00ED5EDD">
        <w:rPr>
          <w:rFonts w:ascii="Arial" w:hAnsi="Arial" w:cs="Arial"/>
          <w:sz w:val="22"/>
          <w:szCs w:val="22"/>
        </w:rPr>
        <w:t>O-L121</w:t>
      </w:r>
      <w:r w:rsidR="004116C5" w:rsidRPr="00ED5EDD">
        <w:rPr>
          <w:rFonts w:ascii="Arial" w:hAnsi="Arial" w:cs="Arial"/>
          <w:sz w:val="22"/>
          <w:szCs w:val="22"/>
        </w:rPr>
        <w:t>6</w:t>
      </w:r>
      <w:r w:rsidRPr="00ED5EDD">
        <w:rPr>
          <w:rFonts w:ascii="Arial" w:hAnsi="Arial" w:cs="Arial"/>
          <w:sz w:val="22"/>
          <w:szCs w:val="22"/>
        </w:rPr>
        <w:t>.</w:t>
      </w:r>
      <w:r w:rsidR="00C14D0B" w:rsidRPr="00ED5EDD">
        <w:rPr>
          <w:rFonts w:ascii="Arial" w:hAnsi="Arial" w:cs="Arial"/>
          <w:sz w:val="22"/>
          <w:szCs w:val="22"/>
        </w:rPr>
        <w:t xml:space="preserve"> </w:t>
      </w:r>
    </w:p>
    <w:p w14:paraId="0002ED32" w14:textId="7F65BAEB" w:rsidR="0065573C" w:rsidRPr="0065573C" w:rsidRDefault="00A77F6B" w:rsidP="0065573C">
      <w:pPr>
        <w:pStyle w:val="Paragraph"/>
        <w:ind w:left="720" w:hanging="720"/>
        <w:rPr>
          <w:rFonts w:ascii="Arial" w:hAnsi="Arial" w:cs="Arial"/>
          <w:sz w:val="22"/>
          <w:szCs w:val="22"/>
        </w:rPr>
      </w:pPr>
      <w:r w:rsidRPr="00ED5EDD">
        <w:rPr>
          <w:rFonts w:ascii="Arial" w:hAnsi="Arial" w:cs="Arial"/>
          <w:sz w:val="22"/>
          <w:szCs w:val="22"/>
        </w:rPr>
        <w:t xml:space="preserve">En caso de cualquier inconsistencia o discrepancia entre los términos de este Reglamento y del Contrato de Préstamo, prevalecerá el Contrato de Préstamo. El presente </w:t>
      </w:r>
      <w:r w:rsidR="00CF1386" w:rsidRPr="00ED5EDD">
        <w:rPr>
          <w:rFonts w:ascii="Arial" w:hAnsi="Arial" w:cs="Arial"/>
          <w:sz w:val="22"/>
          <w:szCs w:val="22"/>
        </w:rPr>
        <w:t>r</w:t>
      </w:r>
      <w:r w:rsidR="00AF5E75" w:rsidRPr="00ED5EDD">
        <w:rPr>
          <w:rFonts w:ascii="Arial" w:hAnsi="Arial" w:cs="Arial"/>
          <w:sz w:val="22"/>
          <w:szCs w:val="22"/>
        </w:rPr>
        <w:t>eglamento</w:t>
      </w:r>
      <w:r w:rsidRPr="00ED5EDD">
        <w:rPr>
          <w:rFonts w:ascii="Arial" w:hAnsi="Arial" w:cs="Arial"/>
          <w:sz w:val="22"/>
          <w:szCs w:val="22"/>
        </w:rPr>
        <w:t xml:space="preserve"> no podrá ser modificado sin el consentimiento previo y por escrito de</w:t>
      </w:r>
      <w:r w:rsidR="008E4CF9" w:rsidRPr="00ED5EDD">
        <w:rPr>
          <w:rFonts w:ascii="Arial" w:hAnsi="Arial" w:cs="Arial"/>
          <w:sz w:val="22"/>
          <w:szCs w:val="22"/>
        </w:rPr>
        <w:t xml:space="preserve">l </w:t>
      </w:r>
      <w:r w:rsidR="00232D58" w:rsidRPr="00ED5EDD">
        <w:rPr>
          <w:rFonts w:ascii="Arial" w:hAnsi="Arial" w:cs="Arial"/>
          <w:sz w:val="22"/>
          <w:szCs w:val="22"/>
        </w:rPr>
        <w:t>Banco</w:t>
      </w:r>
      <w:r w:rsidRPr="00ED5EDD">
        <w:rPr>
          <w:rFonts w:ascii="Arial" w:hAnsi="Arial" w:cs="Arial"/>
          <w:sz w:val="22"/>
          <w:szCs w:val="22"/>
        </w:rPr>
        <w:t xml:space="preserve">. El </w:t>
      </w:r>
      <w:r w:rsidR="00D207F7" w:rsidRPr="00ED5EDD">
        <w:rPr>
          <w:rFonts w:ascii="Arial" w:hAnsi="Arial" w:cs="Arial"/>
          <w:sz w:val="22"/>
          <w:szCs w:val="22"/>
        </w:rPr>
        <w:t>RC</w:t>
      </w:r>
      <w:r w:rsidRPr="00ED5EDD">
        <w:rPr>
          <w:rFonts w:ascii="Arial" w:hAnsi="Arial" w:cs="Arial"/>
          <w:sz w:val="22"/>
          <w:szCs w:val="22"/>
        </w:rPr>
        <w:t xml:space="preserve"> se mantendrá vigente mientras se mantenga vigente el Contrato de Préstamo.</w:t>
      </w:r>
    </w:p>
    <w:p w14:paraId="37F5B83E" w14:textId="49A35992" w:rsidR="00A55AD3" w:rsidRPr="00ED5EDD" w:rsidRDefault="00A55AD3" w:rsidP="00EC49B7">
      <w:pPr>
        <w:pStyle w:val="Chapter"/>
        <w:tabs>
          <w:tab w:val="clear" w:pos="1440"/>
        </w:tabs>
        <w:spacing w:before="0"/>
        <w:ind w:left="288" w:hanging="288"/>
        <w:rPr>
          <w:rFonts w:ascii="Arial" w:hAnsi="Arial" w:cs="Arial"/>
          <w:szCs w:val="24"/>
        </w:rPr>
      </w:pPr>
      <w:bookmarkStart w:id="3" w:name="_Toc518578573"/>
      <w:bookmarkStart w:id="4" w:name="_Toc42960875"/>
      <w:bookmarkEnd w:id="2"/>
      <w:bookmarkEnd w:id="3"/>
      <w:r w:rsidRPr="00ED5EDD">
        <w:rPr>
          <w:rFonts w:ascii="Arial" w:hAnsi="Arial" w:cs="Arial"/>
          <w:szCs w:val="24"/>
        </w:rPr>
        <w:t>Definiciones</w:t>
      </w:r>
      <w:bookmarkEnd w:id="4"/>
    </w:p>
    <w:p w14:paraId="68A9EDD3" w14:textId="428B4893" w:rsidR="00A55AD3" w:rsidRPr="00ED5EDD" w:rsidRDefault="002101BF" w:rsidP="00124928">
      <w:pPr>
        <w:pStyle w:val="Paragraph"/>
        <w:tabs>
          <w:tab w:val="num" w:pos="720"/>
        </w:tabs>
        <w:ind w:left="720" w:hanging="720"/>
        <w:rPr>
          <w:rFonts w:ascii="Arial" w:hAnsi="Arial" w:cs="Arial"/>
          <w:sz w:val="22"/>
          <w:szCs w:val="22"/>
        </w:rPr>
      </w:pPr>
      <w:r w:rsidRPr="00ED5EDD">
        <w:rPr>
          <w:rFonts w:ascii="Arial" w:hAnsi="Arial" w:cs="Arial"/>
          <w:b/>
          <w:bCs/>
          <w:sz w:val="22"/>
          <w:szCs w:val="22"/>
        </w:rPr>
        <w:t xml:space="preserve">Organismo Ejecutor: </w:t>
      </w:r>
      <w:r w:rsidR="004116C5" w:rsidRPr="00ED5EDD">
        <w:rPr>
          <w:rFonts w:ascii="Arial" w:hAnsi="Arial" w:cs="Arial"/>
          <w:sz w:val="22"/>
          <w:szCs w:val="22"/>
        </w:rPr>
        <w:t>BANHPROVI</w:t>
      </w:r>
      <w:r w:rsidR="005B471A" w:rsidRPr="00ED5EDD">
        <w:rPr>
          <w:rFonts w:ascii="Arial" w:hAnsi="Arial" w:cs="Arial"/>
          <w:sz w:val="22"/>
          <w:szCs w:val="22"/>
        </w:rPr>
        <w:t xml:space="preserve"> </w:t>
      </w:r>
      <w:r w:rsidR="00A55AD3" w:rsidRPr="00ED5EDD">
        <w:rPr>
          <w:rFonts w:ascii="Arial" w:hAnsi="Arial" w:cs="Arial"/>
          <w:sz w:val="22"/>
          <w:szCs w:val="22"/>
        </w:rPr>
        <w:t xml:space="preserve">será el Organismo Ejecutor </w:t>
      </w:r>
      <w:r w:rsidR="00E21603" w:rsidRPr="00ED5EDD">
        <w:rPr>
          <w:rFonts w:ascii="Arial" w:hAnsi="Arial" w:cs="Arial"/>
          <w:sz w:val="22"/>
          <w:szCs w:val="22"/>
        </w:rPr>
        <w:t>(</w:t>
      </w:r>
      <w:r w:rsidR="00A55AD3" w:rsidRPr="00ED5EDD">
        <w:rPr>
          <w:rFonts w:ascii="Arial" w:hAnsi="Arial" w:cs="Arial"/>
          <w:sz w:val="22"/>
          <w:szCs w:val="22"/>
        </w:rPr>
        <w:t>OE</w:t>
      </w:r>
      <w:r w:rsidR="00E21603" w:rsidRPr="00ED5EDD">
        <w:rPr>
          <w:rFonts w:ascii="Arial" w:hAnsi="Arial" w:cs="Arial"/>
          <w:sz w:val="22"/>
          <w:szCs w:val="22"/>
        </w:rPr>
        <w:t>)</w:t>
      </w:r>
      <w:r w:rsidR="00A55AD3" w:rsidRPr="00ED5EDD">
        <w:rPr>
          <w:rFonts w:ascii="Arial" w:hAnsi="Arial" w:cs="Arial"/>
          <w:sz w:val="22"/>
          <w:szCs w:val="22"/>
        </w:rPr>
        <w:t xml:space="preserve"> de</w:t>
      </w:r>
      <w:r w:rsidR="00F20B3E" w:rsidRPr="00ED5EDD">
        <w:rPr>
          <w:rFonts w:ascii="Arial" w:hAnsi="Arial" w:cs="Arial"/>
          <w:sz w:val="22"/>
          <w:szCs w:val="22"/>
        </w:rPr>
        <w:t>l</w:t>
      </w:r>
      <w:r w:rsidR="000E265F" w:rsidRPr="00ED5EDD">
        <w:rPr>
          <w:rFonts w:ascii="Arial" w:hAnsi="Arial" w:cs="Arial"/>
          <w:sz w:val="22"/>
          <w:szCs w:val="22"/>
        </w:rPr>
        <w:t xml:space="preserve"> </w:t>
      </w:r>
      <w:r w:rsidR="00D81631">
        <w:rPr>
          <w:rFonts w:ascii="Arial" w:hAnsi="Arial" w:cs="Arial"/>
          <w:sz w:val="22"/>
          <w:szCs w:val="22"/>
        </w:rPr>
        <w:t>p</w:t>
      </w:r>
      <w:r w:rsidR="000E265F" w:rsidRPr="00ED5EDD">
        <w:rPr>
          <w:rFonts w:ascii="Arial" w:hAnsi="Arial" w:cs="Arial"/>
          <w:sz w:val="22"/>
          <w:szCs w:val="22"/>
        </w:rPr>
        <w:t>rograma</w:t>
      </w:r>
      <w:r w:rsidR="00A55AD3" w:rsidRPr="00ED5EDD">
        <w:rPr>
          <w:rFonts w:ascii="Arial" w:hAnsi="Arial" w:cs="Arial"/>
          <w:sz w:val="22"/>
          <w:szCs w:val="22"/>
        </w:rPr>
        <w:t>.</w:t>
      </w:r>
      <w:r w:rsidR="00111DC4" w:rsidRPr="00ED5EDD">
        <w:rPr>
          <w:rFonts w:ascii="Arial" w:hAnsi="Arial" w:cs="Arial"/>
          <w:sz w:val="22"/>
          <w:szCs w:val="22"/>
        </w:rPr>
        <w:t xml:space="preserve"> </w:t>
      </w:r>
      <w:r w:rsidR="004116C5" w:rsidRPr="00ED5EDD">
        <w:rPr>
          <w:rFonts w:ascii="Arial" w:hAnsi="Arial" w:cs="Arial"/>
          <w:sz w:val="22"/>
          <w:szCs w:val="22"/>
        </w:rPr>
        <w:t>BANHPROVI</w:t>
      </w:r>
      <w:r w:rsidR="005B471A" w:rsidRPr="00ED5EDD">
        <w:rPr>
          <w:rFonts w:ascii="Arial" w:hAnsi="Arial" w:cs="Arial"/>
          <w:sz w:val="22"/>
          <w:szCs w:val="22"/>
        </w:rPr>
        <w:t xml:space="preserve"> es </w:t>
      </w:r>
      <w:r w:rsidR="005A3FD2" w:rsidRPr="00ED5EDD">
        <w:rPr>
          <w:rFonts w:ascii="Arial" w:hAnsi="Arial" w:cs="Arial"/>
          <w:sz w:val="22"/>
          <w:szCs w:val="22"/>
        </w:rPr>
        <w:t>un</w:t>
      </w:r>
      <w:r w:rsidR="00934A88" w:rsidRPr="00ED5EDD">
        <w:rPr>
          <w:rFonts w:ascii="Arial" w:hAnsi="Arial" w:cs="Arial"/>
          <w:sz w:val="22"/>
          <w:szCs w:val="22"/>
        </w:rPr>
        <w:t xml:space="preserve">a institución financiera estatal </w:t>
      </w:r>
      <w:r w:rsidR="005B471A" w:rsidRPr="00ED5EDD">
        <w:rPr>
          <w:rFonts w:ascii="Arial" w:hAnsi="Arial" w:cs="Arial"/>
          <w:sz w:val="22"/>
          <w:szCs w:val="22"/>
        </w:rPr>
        <w:t xml:space="preserve">de intermediación financiera de primer y segundo piso orientada a la promoción y financiamiento del desarrollo productivo nacional, </w:t>
      </w:r>
      <w:r w:rsidR="00323432" w:rsidRPr="00ED5EDD">
        <w:rPr>
          <w:rFonts w:ascii="Arial" w:hAnsi="Arial" w:cs="Arial"/>
          <w:sz w:val="22"/>
          <w:szCs w:val="22"/>
        </w:rPr>
        <w:t xml:space="preserve">de servicio público, de duración indefinida, con personalidad </w:t>
      </w:r>
      <w:r w:rsidR="00183E50" w:rsidRPr="00ED5EDD">
        <w:rPr>
          <w:rFonts w:ascii="Arial" w:hAnsi="Arial" w:cs="Arial"/>
          <w:sz w:val="22"/>
          <w:szCs w:val="22"/>
        </w:rPr>
        <w:t>jurídica</w:t>
      </w:r>
      <w:r w:rsidR="00323432" w:rsidRPr="00ED5EDD">
        <w:rPr>
          <w:rFonts w:ascii="Arial" w:hAnsi="Arial" w:cs="Arial"/>
          <w:sz w:val="22"/>
          <w:szCs w:val="22"/>
        </w:rPr>
        <w:t xml:space="preserve"> y patrimonio propio, independencia administrativa, presupuestaria, técnica y financiera, y </w:t>
      </w:r>
      <w:r w:rsidR="005B471A" w:rsidRPr="00ED5EDD">
        <w:rPr>
          <w:rFonts w:ascii="Arial" w:hAnsi="Arial" w:cs="Arial"/>
          <w:sz w:val="22"/>
          <w:szCs w:val="22"/>
        </w:rPr>
        <w:t xml:space="preserve">regulada por </w:t>
      </w:r>
      <w:r w:rsidR="00D03B33" w:rsidRPr="00ED5EDD">
        <w:rPr>
          <w:rFonts w:ascii="Arial" w:hAnsi="Arial" w:cs="Arial"/>
          <w:sz w:val="22"/>
          <w:szCs w:val="22"/>
        </w:rPr>
        <w:t>la Comisión Nacional de Bancos y Seguros</w:t>
      </w:r>
      <w:r w:rsidR="005B471A" w:rsidRPr="00ED5EDD">
        <w:rPr>
          <w:rFonts w:ascii="Arial" w:hAnsi="Arial" w:cs="Arial"/>
          <w:sz w:val="22"/>
          <w:szCs w:val="22"/>
        </w:rPr>
        <w:t xml:space="preserve">. </w:t>
      </w:r>
      <w:r w:rsidR="004116C5" w:rsidRPr="00ED5EDD">
        <w:rPr>
          <w:rFonts w:ascii="Arial" w:hAnsi="Arial" w:cs="Arial"/>
          <w:sz w:val="22"/>
          <w:szCs w:val="22"/>
        </w:rPr>
        <w:t>BANHPROVI</w:t>
      </w:r>
      <w:r w:rsidR="00104166" w:rsidRPr="00ED5EDD">
        <w:rPr>
          <w:rFonts w:ascii="Arial" w:hAnsi="Arial" w:cs="Arial"/>
          <w:sz w:val="22"/>
          <w:szCs w:val="22"/>
        </w:rPr>
        <w:t xml:space="preserve"> </w:t>
      </w:r>
      <w:r w:rsidR="00111DC4" w:rsidRPr="00ED5EDD">
        <w:rPr>
          <w:rFonts w:ascii="Arial" w:hAnsi="Arial" w:cs="Arial"/>
          <w:sz w:val="22"/>
          <w:szCs w:val="22"/>
        </w:rPr>
        <w:t xml:space="preserve">actuará como OE, para la administración, ejecución, control y monitoreo de los recursos de la </w:t>
      </w:r>
      <w:r w:rsidR="00CF1386" w:rsidRPr="00ED5EDD">
        <w:rPr>
          <w:rFonts w:ascii="Arial" w:hAnsi="Arial" w:cs="Arial"/>
          <w:sz w:val="22"/>
          <w:szCs w:val="22"/>
        </w:rPr>
        <w:t>o</w:t>
      </w:r>
      <w:r w:rsidR="00111DC4" w:rsidRPr="00ED5EDD">
        <w:rPr>
          <w:rFonts w:ascii="Arial" w:hAnsi="Arial" w:cs="Arial"/>
          <w:sz w:val="22"/>
          <w:szCs w:val="22"/>
        </w:rPr>
        <w:t>peración.</w:t>
      </w:r>
      <w:r w:rsidR="00A55AD3" w:rsidRPr="00ED5EDD">
        <w:rPr>
          <w:rFonts w:ascii="Arial" w:hAnsi="Arial" w:cs="Arial"/>
          <w:sz w:val="22"/>
          <w:szCs w:val="22"/>
        </w:rPr>
        <w:t xml:space="preserve"> </w:t>
      </w:r>
    </w:p>
    <w:p w14:paraId="6E742286" w14:textId="237709E6" w:rsidR="00534D44" w:rsidRDefault="00534D44" w:rsidP="00124928">
      <w:pPr>
        <w:pStyle w:val="Paragraph"/>
        <w:tabs>
          <w:tab w:val="num" w:pos="720"/>
        </w:tabs>
        <w:ind w:left="720" w:hanging="720"/>
        <w:rPr>
          <w:rFonts w:ascii="Arial" w:hAnsi="Arial" w:cs="Arial"/>
          <w:b/>
          <w:bCs/>
          <w:sz w:val="22"/>
          <w:szCs w:val="22"/>
        </w:rPr>
      </w:pPr>
      <w:r w:rsidRPr="1024079A">
        <w:rPr>
          <w:rFonts w:ascii="Arial" w:eastAsia="Arial" w:hAnsi="Arial" w:cs="Arial"/>
          <w:b/>
          <w:color w:val="000000" w:themeColor="text1"/>
          <w:sz w:val="22"/>
          <w:szCs w:val="22"/>
        </w:rPr>
        <w:t>Instituciones Financieras de Intermediación (IFI):</w:t>
      </w:r>
      <w:r w:rsidRPr="1024079A">
        <w:rPr>
          <w:rFonts w:ascii="Arial" w:eastAsia="Arial" w:hAnsi="Arial" w:cs="Arial"/>
          <w:color w:val="000000" w:themeColor="text1"/>
          <w:sz w:val="22"/>
          <w:szCs w:val="22"/>
        </w:rPr>
        <w:t xml:space="preserve"> Serán las instituciones financieras</w:t>
      </w:r>
      <w:r w:rsidRPr="00534D44">
        <w:rPr>
          <w:rFonts w:ascii="Arial" w:hAnsi="Arial" w:cs="Arial"/>
          <w:sz w:val="22"/>
          <w:szCs w:val="22"/>
        </w:rPr>
        <w:t xml:space="preserve"> </w:t>
      </w:r>
      <w:r w:rsidRPr="00ED5EDD">
        <w:rPr>
          <w:rFonts w:ascii="Arial" w:hAnsi="Arial" w:cs="Arial"/>
          <w:sz w:val="22"/>
          <w:szCs w:val="22"/>
        </w:rPr>
        <w:t xml:space="preserve">que serán </w:t>
      </w:r>
      <w:proofErr w:type="spellStart"/>
      <w:r w:rsidRPr="00ED5EDD">
        <w:rPr>
          <w:rFonts w:ascii="Arial" w:hAnsi="Arial" w:cs="Arial"/>
          <w:sz w:val="22"/>
          <w:szCs w:val="22"/>
        </w:rPr>
        <w:t>subprestamistas</w:t>
      </w:r>
      <w:proofErr w:type="spellEnd"/>
      <w:r w:rsidRPr="00ED5EDD">
        <w:rPr>
          <w:rFonts w:ascii="Arial" w:hAnsi="Arial" w:cs="Arial"/>
          <w:sz w:val="22"/>
          <w:szCs w:val="22"/>
        </w:rPr>
        <w:t xml:space="preserve"> y que intermediarán los recursos desde BANHPROVI a los beneficiarios finales y/o serán beneficiarias de garantías de crédito por parte de BANHPROVI para créditos otorgados a los beneficiarios finales.</w:t>
      </w:r>
    </w:p>
    <w:p w14:paraId="0959CF64" w14:textId="54EDDB33" w:rsidR="00AF5E75" w:rsidRDefault="00ED5EDD" w:rsidP="00124928">
      <w:pPr>
        <w:pStyle w:val="Paragraph"/>
        <w:tabs>
          <w:tab w:val="num" w:pos="720"/>
        </w:tabs>
        <w:ind w:left="720" w:hanging="720"/>
        <w:rPr>
          <w:rFonts w:ascii="Arial" w:hAnsi="Arial" w:cs="Arial"/>
          <w:sz w:val="22"/>
          <w:szCs w:val="22"/>
        </w:rPr>
      </w:pPr>
      <w:r w:rsidRPr="00ED5EDD">
        <w:rPr>
          <w:rFonts w:ascii="Arial" w:hAnsi="Arial" w:cs="Arial"/>
          <w:b/>
          <w:bCs/>
          <w:sz w:val="22"/>
          <w:szCs w:val="22"/>
        </w:rPr>
        <w:t>MIPYME</w:t>
      </w:r>
      <w:r w:rsidR="002101BF" w:rsidRPr="00ED5EDD">
        <w:rPr>
          <w:rFonts w:ascii="Arial" w:hAnsi="Arial" w:cs="Arial"/>
          <w:b/>
          <w:bCs/>
          <w:sz w:val="22"/>
          <w:szCs w:val="22"/>
        </w:rPr>
        <w:t>:</w:t>
      </w:r>
      <w:r w:rsidR="002101BF" w:rsidRPr="00ED5EDD">
        <w:rPr>
          <w:rFonts w:ascii="Arial" w:hAnsi="Arial" w:cs="Arial"/>
          <w:sz w:val="22"/>
          <w:szCs w:val="22"/>
        </w:rPr>
        <w:t xml:space="preserve"> </w:t>
      </w:r>
      <w:r w:rsidR="00AF5E75" w:rsidRPr="00ED5EDD">
        <w:rPr>
          <w:rFonts w:ascii="Arial" w:hAnsi="Arial" w:cs="Arial"/>
          <w:sz w:val="22"/>
          <w:szCs w:val="22"/>
        </w:rPr>
        <w:t xml:space="preserve">Por </w:t>
      </w:r>
      <w:r w:rsidRPr="00ED5EDD">
        <w:rPr>
          <w:rFonts w:ascii="Arial" w:hAnsi="Arial" w:cs="Arial"/>
          <w:sz w:val="22"/>
          <w:szCs w:val="22"/>
        </w:rPr>
        <w:t>MIPYME</w:t>
      </w:r>
      <w:r w:rsidR="00AF5E75" w:rsidRPr="00ED5EDD">
        <w:rPr>
          <w:rFonts w:ascii="Arial" w:hAnsi="Arial" w:cs="Arial"/>
          <w:sz w:val="22"/>
          <w:szCs w:val="22"/>
        </w:rPr>
        <w:t xml:space="preserve"> se entenderá a las </w:t>
      </w:r>
      <w:r w:rsidR="002101BF" w:rsidRPr="00ED5EDD">
        <w:rPr>
          <w:rFonts w:ascii="Arial" w:hAnsi="Arial" w:cs="Arial"/>
          <w:sz w:val="22"/>
          <w:szCs w:val="22"/>
        </w:rPr>
        <w:t>M</w:t>
      </w:r>
      <w:r w:rsidR="00C14D0B" w:rsidRPr="00ED5EDD">
        <w:rPr>
          <w:rFonts w:ascii="Arial" w:hAnsi="Arial" w:cs="Arial"/>
          <w:sz w:val="22"/>
          <w:szCs w:val="22"/>
        </w:rPr>
        <w:t>icro</w:t>
      </w:r>
      <w:r w:rsidR="002101BF" w:rsidRPr="00ED5EDD">
        <w:rPr>
          <w:rFonts w:ascii="Arial" w:hAnsi="Arial" w:cs="Arial"/>
          <w:sz w:val="22"/>
          <w:szCs w:val="22"/>
        </w:rPr>
        <w:t>, P</w:t>
      </w:r>
      <w:r w:rsidR="00C14D0B" w:rsidRPr="00ED5EDD">
        <w:rPr>
          <w:rFonts w:ascii="Arial" w:hAnsi="Arial" w:cs="Arial"/>
          <w:sz w:val="22"/>
          <w:szCs w:val="22"/>
        </w:rPr>
        <w:t>equeñas</w:t>
      </w:r>
      <w:r w:rsidR="002101BF" w:rsidRPr="00ED5EDD">
        <w:rPr>
          <w:rFonts w:ascii="Arial" w:hAnsi="Arial" w:cs="Arial"/>
          <w:sz w:val="22"/>
          <w:szCs w:val="22"/>
        </w:rPr>
        <w:t>, y Medianas</w:t>
      </w:r>
      <w:r w:rsidR="00AF5E75" w:rsidRPr="00ED5EDD">
        <w:rPr>
          <w:rFonts w:ascii="Arial" w:hAnsi="Arial" w:cs="Arial"/>
          <w:sz w:val="22"/>
          <w:szCs w:val="22"/>
        </w:rPr>
        <w:t xml:space="preserve"> </w:t>
      </w:r>
      <w:r w:rsidR="002101BF" w:rsidRPr="00ED5EDD">
        <w:rPr>
          <w:rFonts w:ascii="Arial" w:hAnsi="Arial" w:cs="Arial"/>
          <w:sz w:val="22"/>
          <w:szCs w:val="22"/>
        </w:rPr>
        <w:t>E</w:t>
      </w:r>
      <w:r w:rsidR="00AF5E75" w:rsidRPr="00ED5EDD">
        <w:rPr>
          <w:rFonts w:ascii="Arial" w:hAnsi="Arial" w:cs="Arial"/>
          <w:sz w:val="22"/>
          <w:szCs w:val="22"/>
        </w:rPr>
        <w:t xml:space="preserve">mpresas que sean </w:t>
      </w:r>
      <w:r w:rsidR="002101BF" w:rsidRPr="00ED5EDD">
        <w:rPr>
          <w:rFonts w:ascii="Arial" w:hAnsi="Arial" w:cs="Arial"/>
          <w:sz w:val="22"/>
          <w:szCs w:val="22"/>
        </w:rPr>
        <w:t xml:space="preserve">elegibles como </w:t>
      </w:r>
      <w:r w:rsidR="00BD4BD4">
        <w:rPr>
          <w:rFonts w:ascii="Arial" w:hAnsi="Arial" w:cs="Arial"/>
          <w:sz w:val="22"/>
          <w:szCs w:val="22"/>
        </w:rPr>
        <w:t>beneficiarios finales</w:t>
      </w:r>
      <w:r w:rsidR="00AF5E75" w:rsidRPr="00ED5EDD">
        <w:rPr>
          <w:rStyle w:val="FootnoteReference"/>
          <w:rFonts w:ascii="Arial" w:hAnsi="Arial" w:cs="Arial"/>
          <w:sz w:val="22"/>
          <w:szCs w:val="22"/>
        </w:rPr>
        <w:footnoteReference w:id="2"/>
      </w:r>
      <w:r w:rsidR="00AF5E75" w:rsidRPr="00ED5EDD">
        <w:rPr>
          <w:rFonts w:ascii="Arial" w:hAnsi="Arial" w:cs="Arial"/>
          <w:sz w:val="22"/>
          <w:szCs w:val="22"/>
        </w:rPr>
        <w:t>.</w:t>
      </w:r>
    </w:p>
    <w:p w14:paraId="1B77D041" w14:textId="2242BC46" w:rsidR="00534D44" w:rsidRPr="00534D44" w:rsidRDefault="00534D44" w:rsidP="00534D44">
      <w:pPr>
        <w:pStyle w:val="Paragraph"/>
        <w:tabs>
          <w:tab w:val="num" w:pos="720"/>
        </w:tabs>
        <w:ind w:left="720" w:hanging="720"/>
        <w:rPr>
          <w:rFonts w:ascii="Arial" w:hAnsi="Arial" w:cs="Arial"/>
          <w:sz w:val="22"/>
          <w:szCs w:val="22"/>
        </w:rPr>
      </w:pPr>
      <w:r w:rsidRPr="00534D44">
        <w:rPr>
          <w:rFonts w:ascii="Arial" w:hAnsi="Arial" w:cs="Arial"/>
          <w:b/>
          <w:bCs/>
          <w:sz w:val="22"/>
          <w:szCs w:val="22"/>
        </w:rPr>
        <w:t>Beneficiarios finales</w:t>
      </w:r>
      <w:r>
        <w:rPr>
          <w:rFonts w:ascii="Arial" w:hAnsi="Arial" w:cs="Arial"/>
          <w:b/>
          <w:bCs/>
          <w:sz w:val="22"/>
          <w:szCs w:val="22"/>
        </w:rPr>
        <w:t>:</w:t>
      </w:r>
      <w:r w:rsidRPr="00534D44">
        <w:rPr>
          <w:rFonts w:ascii="Arial" w:hAnsi="Arial" w:cs="Arial"/>
          <w:b/>
          <w:bCs/>
          <w:sz w:val="22"/>
          <w:szCs w:val="22"/>
        </w:rPr>
        <w:t xml:space="preserve"> </w:t>
      </w:r>
      <w:r w:rsidR="003E530C" w:rsidRPr="003E530C">
        <w:rPr>
          <w:rFonts w:ascii="Arial" w:hAnsi="Arial" w:cs="Arial"/>
          <w:sz w:val="22"/>
          <w:szCs w:val="22"/>
        </w:rPr>
        <w:t>La intervención dirigirá sus recursos a las MIPYME afectadas por la crisis del COVID-19 que estén vinculadas al sector turismo por su mayor grado de vulnerabilidad frente a la crisis del COVID-19</w:t>
      </w:r>
      <w:r w:rsidRPr="00534D44">
        <w:rPr>
          <w:rFonts w:ascii="Arial" w:hAnsi="Arial" w:cs="Arial"/>
          <w:sz w:val="22"/>
          <w:szCs w:val="22"/>
        </w:rPr>
        <w:t xml:space="preserve">. </w:t>
      </w:r>
    </w:p>
    <w:p w14:paraId="79C2D3EC" w14:textId="0521F871" w:rsidR="00AF5E75" w:rsidRPr="00ED5EDD" w:rsidRDefault="002101BF" w:rsidP="00B6129E">
      <w:pPr>
        <w:pStyle w:val="Paragraph"/>
        <w:tabs>
          <w:tab w:val="num" w:pos="720"/>
        </w:tabs>
        <w:ind w:left="720" w:hanging="720"/>
        <w:rPr>
          <w:rFonts w:ascii="Arial" w:hAnsi="Arial" w:cs="Arial"/>
          <w:sz w:val="22"/>
          <w:szCs w:val="22"/>
        </w:rPr>
      </w:pPr>
      <w:r w:rsidRPr="00ED5EDD">
        <w:rPr>
          <w:rFonts w:ascii="Arial" w:hAnsi="Arial" w:cs="Arial"/>
          <w:b/>
          <w:bCs/>
          <w:sz w:val="22"/>
          <w:szCs w:val="22"/>
        </w:rPr>
        <w:t xml:space="preserve">Cuenta Operacional: </w:t>
      </w:r>
      <w:r w:rsidR="00AF5E75" w:rsidRPr="00ED5EDD">
        <w:rPr>
          <w:rFonts w:ascii="Arial" w:hAnsi="Arial" w:cs="Arial"/>
          <w:sz w:val="22"/>
          <w:szCs w:val="22"/>
        </w:rPr>
        <w:t xml:space="preserve">Por “cuenta </w:t>
      </w:r>
      <w:r w:rsidR="00111DC4" w:rsidRPr="00ED5EDD">
        <w:rPr>
          <w:rFonts w:ascii="Arial" w:hAnsi="Arial" w:cs="Arial"/>
          <w:sz w:val="22"/>
          <w:szCs w:val="22"/>
        </w:rPr>
        <w:t>operacional</w:t>
      </w:r>
      <w:r w:rsidR="00AF5E75" w:rsidRPr="00ED5EDD">
        <w:rPr>
          <w:rFonts w:ascii="Arial" w:hAnsi="Arial" w:cs="Arial"/>
          <w:sz w:val="22"/>
          <w:szCs w:val="22"/>
        </w:rPr>
        <w:t xml:space="preserve">” se entenderá </w:t>
      </w:r>
      <w:r w:rsidR="00400E69" w:rsidRPr="00ED5EDD">
        <w:rPr>
          <w:rFonts w:ascii="Arial" w:hAnsi="Arial" w:cs="Arial"/>
          <w:sz w:val="22"/>
          <w:szCs w:val="22"/>
        </w:rPr>
        <w:t xml:space="preserve">a cada </w:t>
      </w:r>
      <w:r w:rsidR="00AF5E75" w:rsidRPr="00ED5EDD">
        <w:rPr>
          <w:rFonts w:ascii="Arial" w:hAnsi="Arial" w:cs="Arial"/>
          <w:sz w:val="22"/>
          <w:szCs w:val="22"/>
        </w:rPr>
        <w:t xml:space="preserve">cuenta bancaria separada para los fondos provenientes </w:t>
      </w:r>
      <w:r w:rsidR="00C14D0B" w:rsidRPr="00ED5EDD">
        <w:rPr>
          <w:rFonts w:ascii="Arial" w:hAnsi="Arial" w:cs="Arial"/>
          <w:sz w:val="22"/>
          <w:szCs w:val="22"/>
        </w:rPr>
        <w:t>del BID,</w:t>
      </w:r>
      <w:r w:rsidR="00AF5E75" w:rsidRPr="00ED5EDD">
        <w:rPr>
          <w:rFonts w:ascii="Arial" w:hAnsi="Arial" w:cs="Arial"/>
          <w:sz w:val="22"/>
          <w:szCs w:val="22"/>
        </w:rPr>
        <w:t xml:space="preserve"> a la cual se asignará un código específico</w:t>
      </w:r>
      <w:r w:rsidR="00C14D0B" w:rsidRPr="00ED5EDD">
        <w:rPr>
          <w:rFonts w:ascii="Arial" w:hAnsi="Arial" w:cs="Arial"/>
          <w:sz w:val="22"/>
          <w:szCs w:val="22"/>
        </w:rPr>
        <w:t xml:space="preserve"> en los estados financieros </w:t>
      </w:r>
      <w:r w:rsidR="0057456B" w:rsidRPr="00ED5EDD">
        <w:rPr>
          <w:rFonts w:ascii="Arial" w:hAnsi="Arial" w:cs="Arial"/>
          <w:sz w:val="22"/>
          <w:szCs w:val="22"/>
        </w:rPr>
        <w:t>BANHPROVI</w:t>
      </w:r>
      <w:r w:rsidR="00AF5E75" w:rsidRPr="00ED5EDD">
        <w:rPr>
          <w:rFonts w:ascii="Arial" w:hAnsi="Arial" w:cs="Arial"/>
          <w:sz w:val="22"/>
          <w:szCs w:val="22"/>
        </w:rPr>
        <w:t xml:space="preserve">. </w:t>
      </w:r>
      <w:r w:rsidR="00400E69" w:rsidRPr="00ED5EDD">
        <w:rPr>
          <w:rFonts w:ascii="Arial" w:hAnsi="Arial" w:cs="Arial"/>
          <w:sz w:val="22"/>
          <w:szCs w:val="22"/>
        </w:rPr>
        <w:t xml:space="preserve">Cada </w:t>
      </w:r>
      <w:r w:rsidR="00AF5E75" w:rsidRPr="00ED5EDD">
        <w:rPr>
          <w:rFonts w:ascii="Arial" w:hAnsi="Arial" w:cs="Arial"/>
          <w:sz w:val="22"/>
          <w:szCs w:val="22"/>
        </w:rPr>
        <w:t xml:space="preserve">cuenta </w:t>
      </w:r>
      <w:r w:rsidR="00111DC4" w:rsidRPr="00ED5EDD">
        <w:rPr>
          <w:rFonts w:ascii="Arial" w:hAnsi="Arial" w:cs="Arial"/>
          <w:sz w:val="22"/>
          <w:szCs w:val="22"/>
        </w:rPr>
        <w:t>operacional</w:t>
      </w:r>
      <w:r w:rsidR="00AF5E75" w:rsidRPr="00ED5EDD">
        <w:rPr>
          <w:rFonts w:ascii="Arial" w:hAnsi="Arial" w:cs="Arial"/>
          <w:sz w:val="22"/>
          <w:szCs w:val="22"/>
        </w:rPr>
        <w:t xml:space="preserve"> contendrá exclusivamente los fondos del </w:t>
      </w:r>
      <w:r w:rsidR="00C14D0B" w:rsidRPr="00ED5EDD">
        <w:rPr>
          <w:rFonts w:ascii="Arial" w:hAnsi="Arial" w:cs="Arial"/>
          <w:sz w:val="22"/>
          <w:szCs w:val="22"/>
        </w:rPr>
        <w:t>BID</w:t>
      </w:r>
      <w:r w:rsidR="000D09F2" w:rsidRPr="00ED5EDD">
        <w:rPr>
          <w:rFonts w:ascii="Arial" w:hAnsi="Arial" w:cs="Arial"/>
          <w:sz w:val="22"/>
          <w:szCs w:val="22"/>
        </w:rPr>
        <w:t xml:space="preserve"> del presente </w:t>
      </w:r>
      <w:r w:rsidR="00D81631">
        <w:rPr>
          <w:rFonts w:ascii="Arial" w:hAnsi="Arial" w:cs="Arial"/>
          <w:sz w:val="22"/>
          <w:szCs w:val="22"/>
        </w:rPr>
        <w:t>p</w:t>
      </w:r>
      <w:r w:rsidR="00E21603" w:rsidRPr="00ED5EDD">
        <w:rPr>
          <w:rFonts w:ascii="Arial" w:hAnsi="Arial" w:cs="Arial"/>
          <w:sz w:val="22"/>
          <w:szCs w:val="22"/>
        </w:rPr>
        <w:t>rograma</w:t>
      </w:r>
      <w:r w:rsidR="000D09F2" w:rsidRPr="00ED5EDD">
        <w:rPr>
          <w:rFonts w:ascii="Arial" w:hAnsi="Arial" w:cs="Arial"/>
          <w:sz w:val="22"/>
          <w:szCs w:val="22"/>
        </w:rPr>
        <w:t xml:space="preserve"> </w:t>
      </w:r>
      <w:r w:rsidR="00AF5E75" w:rsidRPr="00ED5EDD">
        <w:rPr>
          <w:rFonts w:ascii="Arial" w:hAnsi="Arial" w:cs="Arial"/>
          <w:sz w:val="22"/>
          <w:szCs w:val="22"/>
        </w:rPr>
        <w:t xml:space="preserve">y los fondos de las recuperaciones de los subpréstamos </w:t>
      </w:r>
      <w:r w:rsidR="00A0348B">
        <w:rPr>
          <w:rFonts w:ascii="Arial" w:hAnsi="Arial" w:cs="Arial"/>
          <w:sz w:val="22"/>
          <w:szCs w:val="22"/>
        </w:rPr>
        <w:t xml:space="preserve">y garantías </w:t>
      </w:r>
      <w:r w:rsidR="00AF5E75" w:rsidRPr="00ED5EDD">
        <w:rPr>
          <w:rFonts w:ascii="Arial" w:hAnsi="Arial" w:cs="Arial"/>
          <w:sz w:val="22"/>
          <w:szCs w:val="22"/>
        </w:rPr>
        <w:t xml:space="preserve">concedidos con recursos del </w:t>
      </w:r>
      <w:r w:rsidR="00C14D0B" w:rsidRPr="00ED5EDD">
        <w:rPr>
          <w:rFonts w:ascii="Arial" w:hAnsi="Arial" w:cs="Arial"/>
          <w:sz w:val="22"/>
          <w:szCs w:val="22"/>
        </w:rPr>
        <w:t>BID</w:t>
      </w:r>
      <w:r w:rsidR="004262EF" w:rsidRPr="00ED5EDD">
        <w:rPr>
          <w:rFonts w:ascii="Arial" w:hAnsi="Arial" w:cs="Arial"/>
          <w:sz w:val="22"/>
          <w:szCs w:val="22"/>
        </w:rPr>
        <w:t xml:space="preserve"> y cualquier otro movimiento contable hecho con los recursos del BID</w:t>
      </w:r>
      <w:r w:rsidR="00AF5E75" w:rsidRPr="00ED5EDD">
        <w:rPr>
          <w:rFonts w:ascii="Arial" w:hAnsi="Arial" w:cs="Arial"/>
          <w:sz w:val="22"/>
          <w:szCs w:val="22"/>
        </w:rPr>
        <w:t>.</w:t>
      </w:r>
      <w:r w:rsidR="00834CAD">
        <w:rPr>
          <w:rFonts w:ascii="Arial" w:hAnsi="Arial" w:cs="Arial"/>
          <w:sz w:val="22"/>
          <w:szCs w:val="22"/>
        </w:rPr>
        <w:t xml:space="preserve"> Los </w:t>
      </w:r>
      <w:r w:rsidR="00DF0BBA">
        <w:rPr>
          <w:rFonts w:ascii="Arial" w:hAnsi="Arial" w:cs="Arial"/>
          <w:sz w:val="22"/>
          <w:szCs w:val="22"/>
        </w:rPr>
        <w:t>subpréstamos</w:t>
      </w:r>
      <w:r w:rsidR="00834CAD">
        <w:rPr>
          <w:rFonts w:ascii="Arial" w:hAnsi="Arial" w:cs="Arial"/>
          <w:sz w:val="22"/>
          <w:szCs w:val="22"/>
        </w:rPr>
        <w:t xml:space="preserve"> </w:t>
      </w:r>
      <w:r w:rsidR="00DF0BBA">
        <w:rPr>
          <w:rFonts w:ascii="Arial" w:hAnsi="Arial" w:cs="Arial"/>
          <w:sz w:val="22"/>
          <w:szCs w:val="22"/>
        </w:rPr>
        <w:t xml:space="preserve">se </w:t>
      </w:r>
      <w:r w:rsidR="009B4FB4">
        <w:rPr>
          <w:rFonts w:ascii="Arial" w:hAnsi="Arial" w:cs="Arial"/>
          <w:sz w:val="22"/>
          <w:szCs w:val="22"/>
        </w:rPr>
        <w:t>canalizarán</w:t>
      </w:r>
      <w:r w:rsidR="00DF0BBA">
        <w:rPr>
          <w:rFonts w:ascii="Arial" w:hAnsi="Arial" w:cs="Arial"/>
          <w:sz w:val="22"/>
          <w:szCs w:val="22"/>
        </w:rPr>
        <w:t xml:space="preserve"> a través de </w:t>
      </w:r>
      <w:r w:rsidR="00834CAD">
        <w:rPr>
          <w:rFonts w:ascii="Arial" w:hAnsi="Arial" w:cs="Arial"/>
          <w:sz w:val="22"/>
          <w:szCs w:val="22"/>
        </w:rPr>
        <w:t xml:space="preserve">una cuenta </w:t>
      </w:r>
      <w:r w:rsidR="00DF0BBA">
        <w:rPr>
          <w:rFonts w:ascii="Arial" w:hAnsi="Arial" w:cs="Arial"/>
          <w:sz w:val="22"/>
          <w:szCs w:val="22"/>
        </w:rPr>
        <w:t>bancaria separada de las garantías.</w:t>
      </w:r>
    </w:p>
    <w:p w14:paraId="0B7A0A15" w14:textId="2AE4F187" w:rsidR="00A55AD3" w:rsidRPr="00ED5EDD" w:rsidRDefault="00A55AD3" w:rsidP="00EC49B7">
      <w:pPr>
        <w:pStyle w:val="Chapter"/>
        <w:tabs>
          <w:tab w:val="clear" w:pos="1440"/>
        </w:tabs>
        <w:spacing w:before="0"/>
        <w:ind w:left="288" w:hanging="288"/>
        <w:rPr>
          <w:rFonts w:ascii="Arial" w:hAnsi="Arial" w:cs="Arial"/>
          <w:szCs w:val="24"/>
        </w:rPr>
      </w:pPr>
      <w:bookmarkStart w:id="5" w:name="_Toc518578575"/>
      <w:bookmarkStart w:id="6" w:name="_Toc42960876"/>
      <w:bookmarkEnd w:id="5"/>
      <w:r w:rsidRPr="00ED5EDD">
        <w:rPr>
          <w:rFonts w:ascii="Arial" w:hAnsi="Arial" w:cs="Arial"/>
          <w:szCs w:val="24"/>
        </w:rPr>
        <w:lastRenderedPageBreak/>
        <w:t>Responsabilidad de Coordinación del Programa</w:t>
      </w:r>
      <w:bookmarkEnd w:id="6"/>
    </w:p>
    <w:p w14:paraId="63E18C09" w14:textId="781AFA16" w:rsidR="00A55AD3" w:rsidRPr="00ED5EDD" w:rsidRDefault="004116C5" w:rsidP="00124928">
      <w:pPr>
        <w:pStyle w:val="Paragraph"/>
        <w:tabs>
          <w:tab w:val="num" w:pos="720"/>
        </w:tabs>
        <w:ind w:left="720" w:hanging="720"/>
        <w:rPr>
          <w:rFonts w:ascii="Arial" w:hAnsi="Arial" w:cs="Arial"/>
          <w:sz w:val="22"/>
          <w:szCs w:val="22"/>
        </w:rPr>
      </w:pPr>
      <w:r w:rsidRPr="00ED5EDD">
        <w:rPr>
          <w:rFonts w:ascii="Arial" w:hAnsi="Arial" w:cs="Arial"/>
          <w:sz w:val="22"/>
          <w:szCs w:val="22"/>
        </w:rPr>
        <w:t>BANHPROVI</w:t>
      </w:r>
      <w:r w:rsidR="00F22719" w:rsidRPr="00ED5EDD">
        <w:rPr>
          <w:rFonts w:ascii="Arial" w:hAnsi="Arial" w:cs="Arial"/>
          <w:sz w:val="22"/>
          <w:szCs w:val="22"/>
        </w:rPr>
        <w:t xml:space="preserve"> </w:t>
      </w:r>
      <w:r w:rsidR="006F3D48" w:rsidRPr="00ED5EDD">
        <w:rPr>
          <w:rFonts w:ascii="Arial" w:hAnsi="Arial" w:cs="Arial"/>
          <w:sz w:val="22"/>
          <w:szCs w:val="22"/>
        </w:rPr>
        <w:t>ejecutará</w:t>
      </w:r>
      <w:r w:rsidR="00996FC4" w:rsidRPr="00ED5EDD">
        <w:rPr>
          <w:rFonts w:ascii="Arial" w:hAnsi="Arial" w:cs="Arial"/>
          <w:sz w:val="22"/>
          <w:szCs w:val="22"/>
        </w:rPr>
        <w:t xml:space="preserve"> el proyecto en el marco de su estructura organizativa, administrativa y financiera. Será responsabilidad de </w:t>
      </w:r>
      <w:r w:rsidR="00EF4BA1" w:rsidRPr="00ED5EDD">
        <w:rPr>
          <w:rFonts w:ascii="Arial" w:hAnsi="Arial" w:cs="Arial"/>
          <w:sz w:val="22"/>
          <w:szCs w:val="22"/>
        </w:rPr>
        <w:t xml:space="preserve">la </w:t>
      </w:r>
      <w:r w:rsidR="00DA74A5" w:rsidRPr="00ED5EDD">
        <w:rPr>
          <w:rFonts w:ascii="Arial" w:hAnsi="Arial" w:cs="Arial"/>
          <w:sz w:val="22"/>
          <w:szCs w:val="22"/>
        </w:rPr>
        <w:t>Gerencia de</w:t>
      </w:r>
      <w:r w:rsidR="00043913">
        <w:rPr>
          <w:rFonts w:ascii="Arial" w:hAnsi="Arial" w:cs="Arial"/>
          <w:sz w:val="22"/>
          <w:szCs w:val="22"/>
        </w:rPr>
        <w:t xml:space="preserve"> </w:t>
      </w:r>
      <w:r w:rsidR="00043913" w:rsidRPr="00741F1C">
        <w:rPr>
          <w:rFonts w:ascii="Arial" w:hAnsi="Arial" w:cs="Arial"/>
          <w:sz w:val="22"/>
          <w:szCs w:val="22"/>
        </w:rPr>
        <w:t>Riesgos</w:t>
      </w:r>
      <w:r w:rsidR="00DA74A5" w:rsidRPr="00ED5EDD">
        <w:rPr>
          <w:rFonts w:ascii="Arial" w:hAnsi="Arial" w:cs="Arial"/>
          <w:sz w:val="22"/>
          <w:szCs w:val="22"/>
        </w:rPr>
        <w:t xml:space="preserve"> </w:t>
      </w:r>
      <w:r w:rsidR="00EF4BA1" w:rsidRPr="00ED5EDD">
        <w:rPr>
          <w:rFonts w:ascii="Arial" w:hAnsi="Arial" w:cs="Arial"/>
          <w:sz w:val="22"/>
          <w:szCs w:val="22"/>
        </w:rPr>
        <w:t>l</w:t>
      </w:r>
      <w:r w:rsidR="00996FC4" w:rsidRPr="00ED5EDD">
        <w:rPr>
          <w:rFonts w:ascii="Arial" w:hAnsi="Arial" w:cs="Arial"/>
          <w:sz w:val="22"/>
          <w:szCs w:val="22"/>
        </w:rPr>
        <w:t xml:space="preserve">a administración y la coordinación del </w:t>
      </w:r>
      <w:r w:rsidR="00D81631">
        <w:rPr>
          <w:rFonts w:ascii="Arial" w:hAnsi="Arial" w:cs="Arial"/>
          <w:sz w:val="22"/>
          <w:szCs w:val="22"/>
        </w:rPr>
        <w:t>p</w:t>
      </w:r>
      <w:r w:rsidR="00E21603" w:rsidRPr="00ED5EDD">
        <w:rPr>
          <w:rFonts w:ascii="Arial" w:hAnsi="Arial" w:cs="Arial"/>
          <w:sz w:val="22"/>
          <w:szCs w:val="22"/>
        </w:rPr>
        <w:t>rograma</w:t>
      </w:r>
      <w:r w:rsidR="00996FC4" w:rsidRPr="00ED5EDD">
        <w:rPr>
          <w:rFonts w:ascii="Arial" w:hAnsi="Arial" w:cs="Arial"/>
          <w:sz w:val="22"/>
          <w:szCs w:val="22"/>
        </w:rPr>
        <w:t xml:space="preserve"> con el BID</w:t>
      </w:r>
      <w:r w:rsidR="00AF5E75" w:rsidRPr="00ED5EDD">
        <w:rPr>
          <w:rFonts w:ascii="Arial" w:hAnsi="Arial" w:cs="Arial"/>
          <w:sz w:val="22"/>
          <w:szCs w:val="22"/>
        </w:rPr>
        <w:t>.</w:t>
      </w:r>
    </w:p>
    <w:p w14:paraId="73E3AF06" w14:textId="19950F80" w:rsidR="00AF5E75" w:rsidRPr="00ED5EDD" w:rsidRDefault="00A455BE" w:rsidP="00F128DF">
      <w:pPr>
        <w:pStyle w:val="Paragraph"/>
        <w:tabs>
          <w:tab w:val="num" w:pos="720"/>
        </w:tabs>
        <w:ind w:left="720" w:hanging="720"/>
        <w:rPr>
          <w:rFonts w:ascii="Arial" w:hAnsi="Arial" w:cs="Arial"/>
          <w:sz w:val="22"/>
          <w:szCs w:val="22"/>
        </w:rPr>
      </w:pPr>
      <w:r w:rsidRPr="00ED5EDD">
        <w:rPr>
          <w:rFonts w:ascii="Arial" w:hAnsi="Arial" w:cs="Arial"/>
          <w:sz w:val="22"/>
          <w:szCs w:val="22"/>
        </w:rPr>
        <w:t xml:space="preserve">La </w:t>
      </w:r>
      <w:r w:rsidR="0057456B" w:rsidRPr="00ED5EDD">
        <w:rPr>
          <w:rFonts w:ascii="Arial" w:hAnsi="Arial" w:cs="Arial"/>
          <w:sz w:val="22"/>
          <w:szCs w:val="22"/>
        </w:rPr>
        <w:t>Gerencia de</w:t>
      </w:r>
      <w:r w:rsidR="00646DD7" w:rsidRPr="00ED5EDD">
        <w:rPr>
          <w:rFonts w:ascii="Arial" w:hAnsi="Arial" w:cs="Arial"/>
          <w:sz w:val="22"/>
          <w:szCs w:val="22"/>
        </w:rPr>
        <w:t xml:space="preserve"> </w:t>
      </w:r>
      <w:r w:rsidR="00043913" w:rsidRPr="00741F1C">
        <w:rPr>
          <w:rFonts w:ascii="Arial" w:hAnsi="Arial" w:cs="Arial"/>
          <w:sz w:val="22"/>
          <w:szCs w:val="22"/>
        </w:rPr>
        <w:t>Riesgos</w:t>
      </w:r>
      <w:r w:rsidR="00534D44">
        <w:rPr>
          <w:rFonts w:ascii="Arial" w:hAnsi="Arial" w:cs="Arial"/>
          <w:sz w:val="22"/>
          <w:szCs w:val="22"/>
        </w:rPr>
        <w:t xml:space="preserve"> </w:t>
      </w:r>
      <w:r w:rsidR="00A55AD3" w:rsidRPr="00ED5EDD">
        <w:rPr>
          <w:rFonts w:ascii="Arial" w:hAnsi="Arial" w:cs="Arial"/>
          <w:sz w:val="22"/>
          <w:szCs w:val="22"/>
        </w:rPr>
        <w:t>trabajará con l</w:t>
      </w:r>
      <w:r w:rsidR="000D09F2" w:rsidRPr="00ED5EDD">
        <w:rPr>
          <w:rFonts w:ascii="Arial" w:hAnsi="Arial" w:cs="Arial"/>
          <w:sz w:val="22"/>
          <w:szCs w:val="22"/>
        </w:rPr>
        <w:t>os diferentes órganos administrativos, operativos y financieros</w:t>
      </w:r>
      <w:r w:rsidR="00A55AD3" w:rsidRPr="00ED5EDD">
        <w:rPr>
          <w:rFonts w:ascii="Arial" w:hAnsi="Arial" w:cs="Arial"/>
          <w:sz w:val="22"/>
          <w:szCs w:val="22"/>
        </w:rPr>
        <w:t xml:space="preserve"> de la entidad para asegurar el cumplimiento de las condiciones de este </w:t>
      </w:r>
      <w:r w:rsidR="005D6BCD" w:rsidRPr="00ED5EDD">
        <w:rPr>
          <w:rFonts w:ascii="Arial" w:hAnsi="Arial" w:cs="Arial"/>
          <w:sz w:val="22"/>
          <w:szCs w:val="22"/>
        </w:rPr>
        <w:t>r</w:t>
      </w:r>
      <w:r w:rsidR="00A55AD3" w:rsidRPr="00ED5EDD">
        <w:rPr>
          <w:rFonts w:ascii="Arial" w:hAnsi="Arial" w:cs="Arial"/>
          <w:sz w:val="22"/>
          <w:szCs w:val="22"/>
        </w:rPr>
        <w:t xml:space="preserve">eglamento, de conformidad con los procedimientos internos </w:t>
      </w:r>
      <w:r w:rsidR="0057456B" w:rsidRPr="00ED5EDD">
        <w:rPr>
          <w:rFonts w:ascii="Arial" w:hAnsi="Arial" w:cs="Arial"/>
          <w:sz w:val="22"/>
          <w:szCs w:val="22"/>
        </w:rPr>
        <w:t>BANHPROVI</w:t>
      </w:r>
      <w:r w:rsidR="00A55AD3" w:rsidRPr="00ED5EDD">
        <w:rPr>
          <w:rFonts w:ascii="Arial" w:hAnsi="Arial" w:cs="Arial"/>
          <w:sz w:val="22"/>
          <w:szCs w:val="22"/>
        </w:rPr>
        <w:t xml:space="preserve">. </w:t>
      </w:r>
    </w:p>
    <w:p w14:paraId="00BE6A67" w14:textId="11B7CD0F" w:rsidR="00AF5E75" w:rsidRPr="00ED5EDD" w:rsidRDefault="004116C5" w:rsidP="00AF5E75">
      <w:pPr>
        <w:pStyle w:val="Paragraph"/>
        <w:ind w:left="720" w:hanging="720"/>
        <w:rPr>
          <w:rFonts w:ascii="Arial" w:hAnsi="Arial" w:cs="Arial"/>
          <w:sz w:val="22"/>
          <w:szCs w:val="22"/>
        </w:rPr>
      </w:pPr>
      <w:r w:rsidRPr="00ED5EDD">
        <w:rPr>
          <w:rFonts w:ascii="Arial" w:hAnsi="Arial" w:cs="Arial"/>
          <w:sz w:val="22"/>
          <w:szCs w:val="22"/>
        </w:rPr>
        <w:t>BANHPROVI</w:t>
      </w:r>
      <w:r w:rsidR="0032605C" w:rsidRPr="00ED5EDD">
        <w:rPr>
          <w:rFonts w:ascii="Arial" w:hAnsi="Arial" w:cs="Arial"/>
          <w:sz w:val="22"/>
          <w:szCs w:val="22"/>
        </w:rPr>
        <w:t xml:space="preserve"> se compromete, de manera previa al inicio del desembolso del </w:t>
      </w:r>
      <w:r w:rsidR="00D81631">
        <w:rPr>
          <w:rFonts w:ascii="Arial" w:hAnsi="Arial" w:cs="Arial"/>
          <w:sz w:val="22"/>
          <w:szCs w:val="22"/>
        </w:rPr>
        <w:t>p</w:t>
      </w:r>
      <w:r w:rsidR="00E21603" w:rsidRPr="00ED5EDD">
        <w:rPr>
          <w:rFonts w:ascii="Arial" w:hAnsi="Arial" w:cs="Arial"/>
          <w:sz w:val="22"/>
          <w:szCs w:val="22"/>
        </w:rPr>
        <w:t>rograma</w:t>
      </w:r>
      <w:r w:rsidR="0032605C" w:rsidRPr="00ED5EDD">
        <w:rPr>
          <w:rFonts w:ascii="Arial" w:hAnsi="Arial" w:cs="Arial"/>
          <w:sz w:val="22"/>
          <w:szCs w:val="22"/>
        </w:rPr>
        <w:t>,</w:t>
      </w:r>
      <w:r w:rsidR="00AF5E75" w:rsidRPr="00ED5EDD">
        <w:rPr>
          <w:rFonts w:ascii="Arial" w:hAnsi="Arial" w:cs="Arial"/>
          <w:sz w:val="22"/>
          <w:szCs w:val="22"/>
        </w:rPr>
        <w:t xml:space="preserve"> </w:t>
      </w:r>
      <w:r w:rsidR="0032605C" w:rsidRPr="00ED5EDD">
        <w:rPr>
          <w:rFonts w:ascii="Arial" w:hAnsi="Arial" w:cs="Arial"/>
          <w:sz w:val="22"/>
          <w:szCs w:val="22"/>
        </w:rPr>
        <w:t xml:space="preserve">a </w:t>
      </w:r>
      <w:r w:rsidR="00AF5E75" w:rsidRPr="00ED5EDD">
        <w:rPr>
          <w:rFonts w:ascii="Arial" w:hAnsi="Arial" w:cs="Arial"/>
          <w:sz w:val="22"/>
          <w:szCs w:val="22"/>
        </w:rPr>
        <w:t xml:space="preserve">establecer cuáles son los requerimientos para cumplir eficientemente su objetivo en el </w:t>
      </w:r>
      <w:r w:rsidR="0032605C" w:rsidRPr="00ED5EDD">
        <w:rPr>
          <w:rFonts w:ascii="Arial" w:hAnsi="Arial" w:cs="Arial"/>
          <w:sz w:val="22"/>
          <w:szCs w:val="22"/>
        </w:rPr>
        <w:t xml:space="preserve">marco de apoyar la sostenibilidad financiera de corto plazo de las </w:t>
      </w:r>
      <w:r w:rsidR="00ED5EDD" w:rsidRPr="00ED5EDD">
        <w:rPr>
          <w:rFonts w:ascii="Arial" w:hAnsi="Arial" w:cs="Arial"/>
          <w:sz w:val="22"/>
          <w:szCs w:val="22"/>
        </w:rPr>
        <w:t>MIPYME</w:t>
      </w:r>
      <w:r w:rsidR="0032605C" w:rsidRPr="00ED5EDD">
        <w:rPr>
          <w:rFonts w:ascii="Arial" w:hAnsi="Arial" w:cs="Arial"/>
          <w:sz w:val="22"/>
          <w:szCs w:val="22"/>
        </w:rPr>
        <w:t>. En este orden,</w:t>
      </w:r>
      <w:r w:rsidR="00AF5E75" w:rsidRPr="00ED5EDD">
        <w:rPr>
          <w:rFonts w:ascii="Arial" w:hAnsi="Arial" w:cs="Arial"/>
          <w:sz w:val="22"/>
          <w:szCs w:val="22"/>
        </w:rPr>
        <w:t xml:space="preserve"> contemplará las necesidades de personal y recursos para apoyar la revisión de</w:t>
      </w:r>
      <w:r w:rsidR="0032605C" w:rsidRPr="00ED5EDD">
        <w:rPr>
          <w:rFonts w:ascii="Arial" w:hAnsi="Arial" w:cs="Arial"/>
          <w:sz w:val="22"/>
          <w:szCs w:val="22"/>
        </w:rPr>
        <w:t xml:space="preserve"> las </w:t>
      </w:r>
      <w:r w:rsidR="00F22719" w:rsidRPr="00ED5EDD">
        <w:rPr>
          <w:rFonts w:ascii="Arial" w:hAnsi="Arial" w:cs="Arial"/>
          <w:sz w:val="22"/>
          <w:szCs w:val="22"/>
        </w:rPr>
        <w:t>IFI elegibles</w:t>
      </w:r>
      <w:r w:rsidR="00400E69" w:rsidRPr="00ED5EDD">
        <w:rPr>
          <w:rFonts w:ascii="Arial" w:hAnsi="Arial" w:cs="Arial"/>
          <w:sz w:val="22"/>
          <w:szCs w:val="22"/>
        </w:rPr>
        <w:t xml:space="preserve">, </w:t>
      </w:r>
      <w:r w:rsidR="0032605C" w:rsidRPr="00ED5EDD">
        <w:rPr>
          <w:rFonts w:ascii="Arial" w:hAnsi="Arial" w:cs="Arial"/>
          <w:sz w:val="22"/>
          <w:szCs w:val="22"/>
        </w:rPr>
        <w:t>los subpréstamos</w:t>
      </w:r>
      <w:r w:rsidR="00AF5E75" w:rsidRPr="00ED5EDD">
        <w:rPr>
          <w:rFonts w:ascii="Arial" w:hAnsi="Arial" w:cs="Arial"/>
          <w:sz w:val="22"/>
          <w:szCs w:val="22"/>
        </w:rPr>
        <w:t xml:space="preserve"> </w:t>
      </w:r>
      <w:r w:rsidR="00646DD7" w:rsidRPr="00ED5EDD">
        <w:rPr>
          <w:rFonts w:ascii="Arial" w:hAnsi="Arial" w:cs="Arial"/>
          <w:sz w:val="22"/>
          <w:szCs w:val="22"/>
        </w:rPr>
        <w:t xml:space="preserve">y las garantías otorgadas </w:t>
      </w:r>
      <w:r w:rsidR="00AF5E75" w:rsidRPr="00ED5EDD">
        <w:rPr>
          <w:rFonts w:ascii="Arial" w:hAnsi="Arial" w:cs="Arial"/>
          <w:sz w:val="22"/>
          <w:szCs w:val="22"/>
        </w:rPr>
        <w:t xml:space="preserve">bajo criterios de este </w:t>
      </w:r>
      <w:r w:rsidR="004D5D79" w:rsidRPr="00ED5EDD">
        <w:rPr>
          <w:rFonts w:ascii="Arial" w:hAnsi="Arial" w:cs="Arial"/>
          <w:sz w:val="22"/>
          <w:szCs w:val="22"/>
        </w:rPr>
        <w:t>RC</w:t>
      </w:r>
      <w:r w:rsidR="00AF5E75" w:rsidRPr="00ED5EDD">
        <w:rPr>
          <w:rFonts w:ascii="Arial" w:hAnsi="Arial" w:cs="Arial"/>
          <w:sz w:val="22"/>
          <w:szCs w:val="22"/>
        </w:rPr>
        <w:t xml:space="preserve">. </w:t>
      </w:r>
    </w:p>
    <w:p w14:paraId="740F9F5C" w14:textId="3404A912" w:rsidR="005869B6" w:rsidRPr="005B687A" w:rsidRDefault="000649C4" w:rsidP="00EC49B7">
      <w:pPr>
        <w:pStyle w:val="Chapter"/>
        <w:tabs>
          <w:tab w:val="clear" w:pos="1440"/>
        </w:tabs>
        <w:spacing w:before="0"/>
        <w:ind w:left="288" w:hanging="288"/>
        <w:rPr>
          <w:rFonts w:ascii="Arial" w:hAnsi="Arial" w:cs="Arial"/>
          <w:szCs w:val="24"/>
        </w:rPr>
      </w:pPr>
      <w:bookmarkStart w:id="7" w:name="_Toc518578577"/>
      <w:bookmarkStart w:id="8" w:name="_Toc42960877"/>
      <w:bookmarkEnd w:id="7"/>
      <w:r w:rsidRPr="005B687A">
        <w:rPr>
          <w:rFonts w:ascii="Arial" w:hAnsi="Arial" w:cs="Arial"/>
          <w:szCs w:val="24"/>
        </w:rPr>
        <w:t xml:space="preserve">Descripción General </w:t>
      </w:r>
      <w:r w:rsidR="009156E4" w:rsidRPr="005B687A">
        <w:rPr>
          <w:rFonts w:ascii="Arial" w:hAnsi="Arial" w:cs="Arial"/>
          <w:szCs w:val="24"/>
        </w:rPr>
        <w:t>d</w:t>
      </w:r>
      <w:r w:rsidRPr="005B687A">
        <w:rPr>
          <w:rFonts w:ascii="Arial" w:hAnsi="Arial" w:cs="Arial"/>
          <w:szCs w:val="24"/>
        </w:rPr>
        <w:t>el Pr</w:t>
      </w:r>
      <w:r w:rsidR="009C35E9" w:rsidRPr="005B687A">
        <w:rPr>
          <w:rFonts w:ascii="Arial" w:hAnsi="Arial" w:cs="Arial"/>
          <w:szCs w:val="24"/>
        </w:rPr>
        <w:t>ograma</w:t>
      </w:r>
      <w:bookmarkEnd w:id="8"/>
    </w:p>
    <w:p w14:paraId="6BB81429" w14:textId="1F5A3681" w:rsidR="00534D44" w:rsidRPr="00534D44" w:rsidRDefault="00534D44" w:rsidP="00534D44">
      <w:pPr>
        <w:pStyle w:val="Paragraph"/>
        <w:tabs>
          <w:tab w:val="num" w:pos="720"/>
        </w:tabs>
        <w:ind w:left="720" w:hanging="720"/>
        <w:rPr>
          <w:rFonts w:ascii="Arial" w:hAnsi="Arial" w:cs="Arial"/>
          <w:sz w:val="22"/>
          <w:szCs w:val="22"/>
        </w:rPr>
      </w:pPr>
      <w:r w:rsidRPr="00534D44">
        <w:rPr>
          <w:rFonts w:ascii="Arial" w:hAnsi="Arial" w:cs="Arial"/>
          <w:b/>
          <w:bCs/>
          <w:sz w:val="22"/>
          <w:szCs w:val="22"/>
        </w:rPr>
        <w:t xml:space="preserve">Objetivos.  </w:t>
      </w:r>
      <w:r w:rsidRPr="00534D44">
        <w:rPr>
          <w:rFonts w:ascii="Arial" w:hAnsi="Arial" w:cs="Arial"/>
          <w:sz w:val="22"/>
          <w:szCs w:val="22"/>
        </w:rPr>
        <w:t xml:space="preserve">El objetivo general de este proyecto es apoyar la sostenibilidad frente a la crisis del COVID-19, de las MIPYME como sostén del empleo en Honduras. El objetivo específico del programa es apoyar la sostenibilidad financiera </w:t>
      </w:r>
      <w:r w:rsidR="00A0348B">
        <w:rPr>
          <w:rFonts w:ascii="Arial" w:hAnsi="Arial" w:cs="Arial"/>
          <w:sz w:val="22"/>
          <w:szCs w:val="22"/>
        </w:rPr>
        <w:t xml:space="preserve">de corto plazo </w:t>
      </w:r>
      <w:r w:rsidRPr="00534D44">
        <w:rPr>
          <w:rFonts w:ascii="Arial" w:hAnsi="Arial" w:cs="Arial"/>
          <w:sz w:val="22"/>
          <w:szCs w:val="22"/>
        </w:rPr>
        <w:t xml:space="preserve">de las MIPYME. </w:t>
      </w:r>
    </w:p>
    <w:p w14:paraId="2103F60D" w14:textId="247C5880" w:rsidR="00566360" w:rsidRPr="00566360" w:rsidRDefault="00566360">
      <w:pPr>
        <w:pStyle w:val="Paragraph"/>
        <w:tabs>
          <w:tab w:val="num" w:pos="720"/>
        </w:tabs>
        <w:ind w:left="720" w:hanging="720"/>
        <w:rPr>
          <w:rFonts w:ascii="Arial" w:hAnsi="Arial" w:cs="Arial"/>
          <w:b/>
          <w:bCs/>
          <w:sz w:val="22"/>
          <w:szCs w:val="22"/>
        </w:rPr>
      </w:pPr>
      <w:r w:rsidRPr="00566360">
        <w:rPr>
          <w:rFonts w:ascii="Arial" w:hAnsi="Arial" w:cs="Arial"/>
          <w:b/>
          <w:bCs/>
          <w:sz w:val="22"/>
          <w:szCs w:val="22"/>
        </w:rPr>
        <w:t xml:space="preserve">Componente Único. </w:t>
      </w:r>
      <w:bookmarkStart w:id="9" w:name="_Hlk35459355"/>
      <w:r w:rsidRPr="00F72023">
        <w:rPr>
          <w:rFonts w:ascii="Arial" w:hAnsi="Arial" w:cs="Arial"/>
          <w:b/>
          <w:bCs/>
          <w:sz w:val="22"/>
          <w:szCs w:val="22"/>
        </w:rPr>
        <w:t xml:space="preserve">Apoyo a la mejora de las capacidades financieras a corto plazo de la MIPYME (US$19,96 millones). </w:t>
      </w:r>
      <w:r w:rsidR="00AA7E91">
        <w:rPr>
          <w:rFonts w:ascii="Arial" w:hAnsi="Arial" w:cs="Arial"/>
          <w:sz w:val="22"/>
          <w:szCs w:val="22"/>
        </w:rPr>
        <w:t xml:space="preserve">Los </w:t>
      </w:r>
      <w:r w:rsidRPr="00566360">
        <w:rPr>
          <w:rFonts w:ascii="Arial" w:hAnsi="Arial" w:cs="Arial"/>
          <w:sz w:val="22"/>
          <w:szCs w:val="22"/>
        </w:rPr>
        <w:t xml:space="preserve">recursos </w:t>
      </w:r>
      <w:r w:rsidR="00AA7E91">
        <w:rPr>
          <w:rFonts w:ascii="Arial" w:hAnsi="Arial" w:cs="Arial"/>
          <w:sz w:val="22"/>
          <w:szCs w:val="22"/>
        </w:rPr>
        <w:t xml:space="preserve">del componente </w:t>
      </w:r>
      <w:r w:rsidR="004D7857">
        <w:rPr>
          <w:rFonts w:ascii="Arial" w:hAnsi="Arial" w:cs="Arial"/>
          <w:sz w:val="22"/>
          <w:szCs w:val="22"/>
        </w:rPr>
        <w:t xml:space="preserve">único serán </w:t>
      </w:r>
      <w:r w:rsidRPr="00566360">
        <w:rPr>
          <w:rFonts w:ascii="Arial" w:hAnsi="Arial" w:cs="Arial"/>
          <w:sz w:val="22"/>
          <w:szCs w:val="22"/>
        </w:rPr>
        <w:t>destinados a contribuir a que las MIPYME afectadas por la crisis generada por la pandemia del COVID-19 superen problemas temporales de liquidez y puedan cumplir con sus obligaciones comerciales y financieras, dando continuidad así a su operación a través de un financiamiento que permita normalizar su ciclo comercial.</w:t>
      </w:r>
      <w:r w:rsidRPr="00F72023">
        <w:rPr>
          <w:rFonts w:ascii="Arial" w:hAnsi="Arial" w:cs="Arial"/>
          <w:sz w:val="22"/>
          <w:szCs w:val="22"/>
        </w:rPr>
        <w:t xml:space="preserve"> </w:t>
      </w:r>
      <w:r w:rsidRPr="00566360">
        <w:rPr>
          <w:rFonts w:ascii="Arial" w:hAnsi="Arial" w:cs="Arial"/>
          <w:sz w:val="22"/>
          <w:szCs w:val="22"/>
        </w:rPr>
        <w:t>Este componente facilitará recursos a BANHPROVI para que éste: (i) fondee líneas de anticipo y redescuento; y (</w:t>
      </w:r>
      <w:proofErr w:type="spellStart"/>
      <w:r w:rsidRPr="00566360">
        <w:rPr>
          <w:rFonts w:ascii="Arial" w:hAnsi="Arial" w:cs="Arial"/>
          <w:sz w:val="22"/>
          <w:szCs w:val="22"/>
        </w:rPr>
        <w:t>ii</w:t>
      </w:r>
      <w:proofErr w:type="spellEnd"/>
      <w:r w:rsidRPr="00566360">
        <w:rPr>
          <w:rFonts w:ascii="Arial" w:hAnsi="Arial" w:cs="Arial"/>
          <w:sz w:val="22"/>
          <w:szCs w:val="22"/>
        </w:rPr>
        <w:t>) otorgue garantías a las IFI para facilitar que estas aporten nuevos créditos de capital trabajo a las MIPYME</w:t>
      </w:r>
      <w:r w:rsidRPr="00F72023">
        <w:rPr>
          <w:rFonts w:ascii="Arial" w:hAnsi="Arial" w:cs="Arial"/>
          <w:b/>
          <w:bCs/>
          <w:sz w:val="22"/>
          <w:szCs w:val="22"/>
        </w:rPr>
        <w:t>.</w:t>
      </w:r>
      <w:bookmarkEnd w:id="9"/>
    </w:p>
    <w:p w14:paraId="31D5452E" w14:textId="33D68074" w:rsidR="002E60CF" w:rsidRPr="00ED5EDD" w:rsidRDefault="002E60CF" w:rsidP="005234DD">
      <w:pPr>
        <w:pStyle w:val="Chapter"/>
        <w:tabs>
          <w:tab w:val="clear" w:pos="1440"/>
        </w:tabs>
        <w:spacing w:before="0"/>
        <w:ind w:left="1350" w:hanging="540"/>
        <w:rPr>
          <w:rFonts w:ascii="Arial" w:hAnsi="Arial" w:cs="Arial"/>
          <w:szCs w:val="24"/>
        </w:rPr>
      </w:pPr>
      <w:bookmarkStart w:id="10" w:name="_Toc42960878"/>
      <w:r w:rsidRPr="00ED5EDD">
        <w:rPr>
          <w:rFonts w:ascii="Arial" w:hAnsi="Arial" w:cs="Arial"/>
          <w:szCs w:val="24"/>
        </w:rPr>
        <w:t xml:space="preserve">Características Específicas de los Subpréstamos </w:t>
      </w:r>
      <w:r w:rsidR="00E9384B" w:rsidRPr="00ED5EDD">
        <w:rPr>
          <w:rFonts w:ascii="Arial" w:hAnsi="Arial" w:cs="Arial"/>
          <w:szCs w:val="24"/>
        </w:rPr>
        <w:t xml:space="preserve">y las Garantías </w:t>
      </w:r>
      <w:r w:rsidRPr="00ED5EDD">
        <w:rPr>
          <w:rFonts w:ascii="Arial" w:hAnsi="Arial" w:cs="Arial"/>
          <w:szCs w:val="24"/>
        </w:rPr>
        <w:t>Sujetos a Financiación del Programa</w:t>
      </w:r>
      <w:bookmarkEnd w:id="10"/>
    </w:p>
    <w:p w14:paraId="7563E149" w14:textId="31697D1D" w:rsidR="00F51362" w:rsidRPr="006909B3" w:rsidRDefault="00F51362" w:rsidP="006909B3">
      <w:pPr>
        <w:pStyle w:val="Paragraph"/>
        <w:tabs>
          <w:tab w:val="num" w:pos="720"/>
        </w:tabs>
        <w:ind w:left="720" w:hanging="720"/>
        <w:rPr>
          <w:rFonts w:ascii="Arial" w:hAnsi="Arial" w:cs="Arial"/>
          <w:sz w:val="22"/>
          <w:szCs w:val="22"/>
        </w:rPr>
      </w:pPr>
      <w:r w:rsidRPr="00F51362">
        <w:rPr>
          <w:rFonts w:ascii="Arial" w:hAnsi="Arial" w:cs="Arial"/>
          <w:b/>
          <w:bCs/>
          <w:sz w:val="22"/>
          <w:szCs w:val="22"/>
        </w:rPr>
        <w:t>IFI elegibles:</w:t>
      </w:r>
      <w:r>
        <w:rPr>
          <w:rFonts w:ascii="Arial" w:hAnsi="Arial" w:cs="Arial"/>
          <w:sz w:val="22"/>
          <w:szCs w:val="22"/>
        </w:rPr>
        <w:t xml:space="preserve"> </w:t>
      </w:r>
      <w:r w:rsidRPr="00F51362">
        <w:rPr>
          <w:rFonts w:ascii="Arial" w:hAnsi="Arial" w:cs="Arial"/>
          <w:sz w:val="22"/>
          <w:szCs w:val="22"/>
        </w:rPr>
        <w:t>Para ser elegibles, las IFI deberán cumplir con los siguientes requisitos: (i) ser una de las instituciones financieras autorizadas, reguladas y supervisadas por alguna de las entidades de vigilancia y control del sector financiero de Honduras; (</w:t>
      </w:r>
      <w:proofErr w:type="spellStart"/>
      <w:r w:rsidRPr="00F51362">
        <w:rPr>
          <w:rFonts w:ascii="Arial" w:hAnsi="Arial" w:cs="Arial"/>
          <w:sz w:val="22"/>
          <w:szCs w:val="22"/>
        </w:rPr>
        <w:t>ii</w:t>
      </w:r>
      <w:proofErr w:type="spellEnd"/>
      <w:r w:rsidRPr="00F51362">
        <w:rPr>
          <w:rFonts w:ascii="Arial" w:hAnsi="Arial" w:cs="Arial"/>
          <w:sz w:val="22"/>
          <w:szCs w:val="22"/>
        </w:rPr>
        <w:t>) cumplir con los requisitos regulatorios en materia de capital, calidad de cartera y aprovisionamiento, liquidez y gobernanza de Honduras; (</w:t>
      </w:r>
      <w:proofErr w:type="spellStart"/>
      <w:r w:rsidRPr="00F51362">
        <w:rPr>
          <w:rFonts w:ascii="Arial" w:hAnsi="Arial" w:cs="Arial"/>
          <w:sz w:val="22"/>
          <w:szCs w:val="22"/>
        </w:rPr>
        <w:t>iii</w:t>
      </w:r>
      <w:proofErr w:type="spellEnd"/>
      <w:r w:rsidRPr="00F51362">
        <w:rPr>
          <w:rFonts w:ascii="Arial" w:hAnsi="Arial" w:cs="Arial"/>
          <w:sz w:val="22"/>
          <w:szCs w:val="22"/>
        </w:rPr>
        <w:t xml:space="preserve">) comprometerse a cumplir con los requisitos específicos para ser </w:t>
      </w:r>
      <w:r w:rsidRPr="005234DD">
        <w:rPr>
          <w:rFonts w:ascii="Arial" w:hAnsi="Arial" w:cs="Arial"/>
          <w:sz w:val="22"/>
          <w:szCs w:val="22"/>
        </w:rPr>
        <w:t>intermedi</w:t>
      </w:r>
      <w:r w:rsidR="005234DD" w:rsidRPr="005234DD">
        <w:rPr>
          <w:rFonts w:ascii="Arial" w:hAnsi="Arial" w:cs="Arial"/>
          <w:sz w:val="22"/>
          <w:szCs w:val="22"/>
        </w:rPr>
        <w:t>ario</w:t>
      </w:r>
      <w:r w:rsidRPr="00F51362">
        <w:rPr>
          <w:rFonts w:ascii="Arial" w:hAnsi="Arial" w:cs="Arial"/>
          <w:sz w:val="22"/>
          <w:szCs w:val="22"/>
        </w:rPr>
        <w:t xml:space="preserve"> financiero de BANHPROVI, incluyendo los requisitos del programa establecidos en </w:t>
      </w:r>
      <w:r w:rsidR="00D81631">
        <w:rPr>
          <w:rFonts w:ascii="Arial" w:hAnsi="Arial" w:cs="Arial"/>
          <w:sz w:val="22"/>
          <w:szCs w:val="22"/>
        </w:rPr>
        <w:t xml:space="preserve">este </w:t>
      </w:r>
      <w:r w:rsidRPr="00F51362">
        <w:rPr>
          <w:rFonts w:ascii="Arial" w:hAnsi="Arial" w:cs="Arial"/>
          <w:sz w:val="22"/>
          <w:szCs w:val="22"/>
        </w:rPr>
        <w:t xml:space="preserve">RC. </w:t>
      </w:r>
      <w:r w:rsidR="006909B3">
        <w:rPr>
          <w:rFonts w:ascii="Arial" w:hAnsi="Arial" w:cs="Arial"/>
          <w:sz w:val="22"/>
          <w:szCs w:val="22"/>
        </w:rPr>
        <w:t>Adicionalmente, las IFI no deberán estar inc</w:t>
      </w:r>
      <w:r w:rsidR="006909B3" w:rsidRPr="003A4762">
        <w:rPr>
          <w:rFonts w:ascii="Arial" w:hAnsi="Arial" w:cs="Arial"/>
          <w:sz w:val="22"/>
          <w:szCs w:val="22"/>
        </w:rPr>
        <w:t xml:space="preserve">luidas en la lista de instituciones con sanciones vigentes de </w:t>
      </w:r>
      <w:proofErr w:type="spellStart"/>
      <w:r w:rsidR="006909B3" w:rsidRPr="003A4762">
        <w:rPr>
          <w:rFonts w:ascii="Arial" w:hAnsi="Arial" w:cs="Arial"/>
          <w:sz w:val="22"/>
          <w:szCs w:val="22"/>
        </w:rPr>
        <w:t>FinCEN</w:t>
      </w:r>
      <w:proofErr w:type="spellEnd"/>
      <w:r w:rsidR="006909B3" w:rsidRPr="003A4762">
        <w:rPr>
          <w:rFonts w:ascii="Arial" w:hAnsi="Arial" w:cs="Arial"/>
          <w:sz w:val="22"/>
          <w:szCs w:val="22"/>
        </w:rPr>
        <w:t xml:space="preserve"> del BID (</w:t>
      </w:r>
      <w:hyperlink r:id="rId20" w:history="1">
        <w:r w:rsidR="006909B3" w:rsidRPr="003A4762">
          <w:rPr>
            <w:rStyle w:val="Hyperlink"/>
            <w:rFonts w:ascii="Arial" w:hAnsi="Arial" w:cs="Arial"/>
            <w:sz w:val="22"/>
            <w:szCs w:val="22"/>
          </w:rPr>
          <w:t>https://www.fincen.gov/index.php/</w:t>
        </w:r>
      </w:hyperlink>
      <w:r w:rsidR="006909B3" w:rsidRPr="003A4762">
        <w:rPr>
          <w:rFonts w:ascii="Arial" w:hAnsi="Arial" w:cs="Arial"/>
          <w:sz w:val="22"/>
          <w:szCs w:val="22"/>
        </w:rPr>
        <w:t xml:space="preserve">). </w:t>
      </w:r>
      <w:r w:rsidRPr="006909B3">
        <w:rPr>
          <w:rFonts w:ascii="Arial" w:hAnsi="Arial" w:cs="Arial"/>
          <w:sz w:val="22"/>
          <w:szCs w:val="22"/>
        </w:rPr>
        <w:t xml:space="preserve">BANHPROVI verificará que todas las IFI </w:t>
      </w:r>
      <w:r w:rsidRPr="006909B3">
        <w:rPr>
          <w:rFonts w:ascii="Arial" w:hAnsi="Arial" w:cs="Arial"/>
          <w:sz w:val="22"/>
          <w:szCs w:val="22"/>
        </w:rPr>
        <w:lastRenderedPageBreak/>
        <w:t>cumplan con los requisitos previamente indicados para continuar siendo elegibles para el programa.</w:t>
      </w:r>
    </w:p>
    <w:p w14:paraId="5DCBC6EF" w14:textId="70DBCC8C" w:rsidR="002E60CF" w:rsidRPr="00F51362" w:rsidRDefault="00557A57" w:rsidP="005234DD">
      <w:pPr>
        <w:pStyle w:val="Paragraph"/>
        <w:ind w:left="720" w:hanging="720"/>
        <w:rPr>
          <w:rFonts w:ascii="Arial" w:hAnsi="Arial" w:cs="Arial"/>
          <w:sz w:val="22"/>
          <w:szCs w:val="22"/>
        </w:rPr>
      </w:pPr>
      <w:r>
        <w:rPr>
          <w:rFonts w:ascii="Arial" w:hAnsi="Arial" w:cs="Arial"/>
          <w:b/>
          <w:bCs/>
          <w:sz w:val="22"/>
          <w:szCs w:val="22"/>
        </w:rPr>
        <w:t xml:space="preserve">Beneficiarios </w:t>
      </w:r>
      <w:r w:rsidRPr="00984BCF">
        <w:rPr>
          <w:rFonts w:ascii="Arial" w:hAnsi="Arial" w:cs="Arial"/>
          <w:b/>
          <w:bCs/>
          <w:sz w:val="22"/>
          <w:szCs w:val="22"/>
        </w:rPr>
        <w:t>elegibles</w:t>
      </w:r>
      <w:r>
        <w:rPr>
          <w:rFonts w:ascii="Arial" w:hAnsi="Arial" w:cs="Arial"/>
          <w:b/>
          <w:bCs/>
          <w:sz w:val="22"/>
          <w:szCs w:val="22"/>
        </w:rPr>
        <w:t>:</w:t>
      </w:r>
      <w:r w:rsidRPr="00984BCF">
        <w:rPr>
          <w:rFonts w:ascii="Arial" w:hAnsi="Arial" w:cs="Arial"/>
          <w:b/>
          <w:bCs/>
          <w:sz w:val="22"/>
          <w:szCs w:val="22"/>
        </w:rPr>
        <w:t xml:space="preserve"> </w:t>
      </w:r>
      <w:r w:rsidR="00F51362" w:rsidRPr="002260C8">
        <w:rPr>
          <w:rFonts w:ascii="Arial" w:hAnsi="Arial" w:cs="Arial"/>
          <w:sz w:val="22"/>
          <w:szCs w:val="22"/>
        </w:rPr>
        <w:t>Para ser elegibles, las MIPYME deberán cumplir con los siguientes requisitos: (i) ser una empresa incorporada bajo las leyes de Honduras; (</w:t>
      </w:r>
      <w:proofErr w:type="spellStart"/>
      <w:r w:rsidR="00F51362" w:rsidRPr="002260C8">
        <w:rPr>
          <w:rFonts w:ascii="Arial" w:hAnsi="Arial" w:cs="Arial"/>
          <w:sz w:val="22"/>
          <w:szCs w:val="22"/>
        </w:rPr>
        <w:t>ii</w:t>
      </w:r>
      <w:proofErr w:type="spellEnd"/>
      <w:r w:rsidR="00F51362" w:rsidRPr="002260C8">
        <w:rPr>
          <w:rFonts w:ascii="Arial" w:hAnsi="Arial" w:cs="Arial"/>
          <w:sz w:val="22"/>
          <w:szCs w:val="22"/>
        </w:rPr>
        <w:t xml:space="preserve">) contar con las debidas licencias y permisos para operar bajo las leyes de Honduras o </w:t>
      </w:r>
      <w:r w:rsidR="00E97847" w:rsidRPr="00312612">
        <w:rPr>
          <w:rFonts w:ascii="Arial" w:hAnsi="Arial" w:cs="Arial"/>
          <w:sz w:val="22"/>
          <w:szCs w:val="22"/>
        </w:rPr>
        <w:t>estar en proceso de renovación siempre y cuando estén habilitadas para operar al momento de la firma del contrato de subpréstamo</w:t>
      </w:r>
      <w:r w:rsidR="00F51362" w:rsidRPr="002260C8">
        <w:rPr>
          <w:rFonts w:ascii="Arial" w:hAnsi="Arial" w:cs="Arial"/>
          <w:sz w:val="22"/>
          <w:szCs w:val="22"/>
        </w:rPr>
        <w:t>; (</w:t>
      </w:r>
      <w:proofErr w:type="spellStart"/>
      <w:r w:rsidR="00F51362" w:rsidRPr="002260C8">
        <w:rPr>
          <w:rFonts w:ascii="Arial" w:hAnsi="Arial" w:cs="Arial"/>
          <w:sz w:val="22"/>
          <w:szCs w:val="22"/>
        </w:rPr>
        <w:t>iii</w:t>
      </w:r>
      <w:proofErr w:type="spellEnd"/>
      <w:r w:rsidR="00F51362" w:rsidRPr="002260C8">
        <w:rPr>
          <w:rFonts w:ascii="Arial" w:hAnsi="Arial" w:cs="Arial"/>
          <w:sz w:val="22"/>
          <w:szCs w:val="22"/>
        </w:rPr>
        <w:t>) cumplir con los requisitos para calificar como MIPYME en Honduras según la definición legal nacional; (</w:t>
      </w:r>
      <w:proofErr w:type="spellStart"/>
      <w:r w:rsidR="00F51362" w:rsidRPr="002260C8">
        <w:rPr>
          <w:rFonts w:ascii="Arial" w:hAnsi="Arial" w:cs="Arial"/>
          <w:sz w:val="22"/>
          <w:szCs w:val="22"/>
        </w:rPr>
        <w:t>iv</w:t>
      </w:r>
      <w:proofErr w:type="spellEnd"/>
      <w:r w:rsidR="00F51362" w:rsidRPr="002260C8">
        <w:rPr>
          <w:rFonts w:ascii="Arial" w:hAnsi="Arial" w:cs="Arial"/>
          <w:sz w:val="22"/>
          <w:szCs w:val="22"/>
        </w:rPr>
        <w:t xml:space="preserve">) ser un sujeto de crédito solvente y cumplir con los requisitos crediticios de las IFI y de BANHPROVI, con la excepción de cualquier elemento que se haya deteriorado como consecuencia de los efectos del COVID-19; </w:t>
      </w:r>
      <w:r w:rsidR="00F51362">
        <w:rPr>
          <w:rFonts w:ascii="Arial" w:hAnsi="Arial" w:cs="Arial"/>
          <w:sz w:val="22"/>
          <w:szCs w:val="22"/>
        </w:rPr>
        <w:t xml:space="preserve">y </w:t>
      </w:r>
      <w:r w:rsidR="00F51362" w:rsidRPr="002260C8">
        <w:rPr>
          <w:rFonts w:ascii="Arial" w:hAnsi="Arial" w:cs="Arial"/>
          <w:sz w:val="22"/>
          <w:szCs w:val="22"/>
        </w:rPr>
        <w:t>(v)</w:t>
      </w:r>
      <w:r w:rsidR="007F6330">
        <w:rPr>
          <w:rFonts w:ascii="Arial" w:hAnsi="Arial" w:cs="Arial"/>
          <w:sz w:val="22"/>
          <w:szCs w:val="22"/>
        </w:rPr>
        <w:t> </w:t>
      </w:r>
      <w:r w:rsidR="00F51362" w:rsidRPr="002260C8">
        <w:rPr>
          <w:rFonts w:ascii="Arial" w:hAnsi="Arial" w:cs="Arial"/>
          <w:sz w:val="22"/>
          <w:szCs w:val="22"/>
        </w:rPr>
        <w:t xml:space="preserve">operar </w:t>
      </w:r>
      <w:r w:rsidR="00F51362">
        <w:rPr>
          <w:rFonts w:ascii="Arial" w:hAnsi="Arial" w:cs="Arial"/>
          <w:sz w:val="22"/>
          <w:szCs w:val="22"/>
        </w:rPr>
        <w:t>en</w:t>
      </w:r>
      <w:r w:rsidR="00F51362" w:rsidRPr="002260C8">
        <w:rPr>
          <w:rFonts w:ascii="Arial" w:hAnsi="Arial" w:cs="Arial"/>
          <w:sz w:val="22"/>
          <w:szCs w:val="22"/>
        </w:rPr>
        <w:t xml:space="preserve"> </w:t>
      </w:r>
      <w:r w:rsidR="00BF61EB">
        <w:rPr>
          <w:rFonts w:ascii="Arial" w:hAnsi="Arial" w:cs="Arial"/>
          <w:sz w:val="22"/>
          <w:szCs w:val="22"/>
        </w:rPr>
        <w:t>el sector turismo o en actividades vinculadas según los criterios de elegibilidad del programa recogidos en este RC</w:t>
      </w:r>
      <w:r w:rsidR="00B20877">
        <w:rPr>
          <w:rStyle w:val="FootnoteReference"/>
          <w:rFonts w:ascii="Arial" w:hAnsi="Arial" w:cs="Arial"/>
          <w:sz w:val="22"/>
          <w:szCs w:val="22"/>
        </w:rPr>
        <w:footnoteReference w:id="3"/>
      </w:r>
      <w:r w:rsidR="00F51362" w:rsidRPr="00A4288D">
        <w:rPr>
          <w:rFonts w:ascii="Arial" w:hAnsi="Arial" w:cs="Arial"/>
          <w:sz w:val="22"/>
          <w:szCs w:val="22"/>
        </w:rPr>
        <w:t xml:space="preserve">. </w:t>
      </w:r>
    </w:p>
    <w:p w14:paraId="3C4FD4D8" w14:textId="5B88BD70" w:rsidR="00F51362" w:rsidRPr="00DC17E7" w:rsidRDefault="00F51362" w:rsidP="00F51362">
      <w:pPr>
        <w:pStyle w:val="Paragraph"/>
        <w:ind w:left="720" w:hanging="720"/>
        <w:rPr>
          <w:rFonts w:ascii="Arial" w:hAnsi="Arial" w:cs="Arial"/>
          <w:sz w:val="22"/>
          <w:szCs w:val="22"/>
        </w:rPr>
      </w:pPr>
      <w:bookmarkStart w:id="11" w:name="_Hlk43113426"/>
      <w:r w:rsidRPr="00DC17E7">
        <w:rPr>
          <w:rFonts w:ascii="Arial" w:hAnsi="Arial" w:cs="Arial"/>
          <w:b/>
          <w:bCs/>
          <w:sz w:val="22"/>
          <w:szCs w:val="22"/>
        </w:rPr>
        <w:t xml:space="preserve">Sectores priorizados: </w:t>
      </w:r>
      <w:bookmarkStart w:id="12" w:name="_Hlk40810306"/>
      <w:bookmarkEnd w:id="11"/>
      <w:r w:rsidRPr="00DC17E7">
        <w:rPr>
          <w:rFonts w:ascii="Arial" w:eastAsia="Arial" w:hAnsi="Arial" w:cs="Arial"/>
          <w:sz w:val="22"/>
          <w:szCs w:val="22"/>
        </w:rPr>
        <w:t xml:space="preserve">La intervención dirigirá sus recursos a las MIPYME formalmente constituidas en el país y afectadas por la crisis generada por la pandemia del COVID-19, </w:t>
      </w:r>
      <w:r w:rsidR="00CA79F3">
        <w:rPr>
          <w:rFonts w:ascii="Arial" w:eastAsia="Arial" w:hAnsi="Arial" w:cs="Arial"/>
          <w:sz w:val="22"/>
          <w:szCs w:val="22"/>
        </w:rPr>
        <w:t>focalizándose en</w:t>
      </w:r>
      <w:r w:rsidR="00CA79F3" w:rsidRPr="00DC17E7">
        <w:rPr>
          <w:rFonts w:ascii="Arial" w:eastAsia="Arial" w:hAnsi="Arial" w:cs="Arial"/>
          <w:sz w:val="22"/>
          <w:szCs w:val="22"/>
        </w:rPr>
        <w:t xml:space="preserve"> </w:t>
      </w:r>
      <w:r w:rsidRPr="00DC17E7">
        <w:rPr>
          <w:rFonts w:ascii="Arial" w:eastAsia="Arial" w:hAnsi="Arial" w:cs="Arial"/>
          <w:sz w:val="22"/>
          <w:szCs w:val="22"/>
        </w:rPr>
        <w:t xml:space="preserve">aquellas </w:t>
      </w:r>
      <w:r w:rsidR="00BF61EB">
        <w:rPr>
          <w:rFonts w:ascii="Arial" w:eastAsia="Arial" w:hAnsi="Arial" w:cs="Arial"/>
          <w:sz w:val="22"/>
          <w:szCs w:val="22"/>
        </w:rPr>
        <w:t xml:space="preserve">vinculadas </w:t>
      </w:r>
      <w:r w:rsidRPr="00DC17E7">
        <w:rPr>
          <w:rFonts w:ascii="Arial" w:eastAsia="Arial" w:hAnsi="Arial" w:cs="Arial"/>
          <w:sz w:val="22"/>
          <w:szCs w:val="22"/>
        </w:rPr>
        <w:t xml:space="preserve">al </w:t>
      </w:r>
      <w:r w:rsidRPr="00DC17E7">
        <w:rPr>
          <w:rFonts w:ascii="Arial" w:eastAsia="Calibri" w:hAnsi="Arial" w:cs="Arial"/>
          <w:sz w:val="22"/>
          <w:szCs w:val="22"/>
          <w:lang w:val="es-ES"/>
        </w:rPr>
        <w:t>sector turismo</w:t>
      </w:r>
      <w:r w:rsidRPr="00DC17E7">
        <w:rPr>
          <w:rStyle w:val="FootnoteReference"/>
          <w:rFonts w:ascii="Arial" w:eastAsia="Calibri" w:hAnsi="Arial" w:cs="Arial"/>
          <w:sz w:val="22"/>
          <w:szCs w:val="22"/>
          <w:lang w:val="es-ES"/>
        </w:rPr>
        <w:footnoteReference w:id="4"/>
      </w:r>
      <w:r w:rsidRPr="00DC17E7">
        <w:rPr>
          <w:rFonts w:ascii="Arial" w:eastAsia="Calibri" w:hAnsi="Arial" w:cs="Arial"/>
          <w:sz w:val="22"/>
          <w:szCs w:val="22"/>
          <w:lang w:val="es-ES"/>
        </w:rPr>
        <w:t>, identificado como el sector más vulnerable ante la crisis.</w:t>
      </w:r>
      <w:bookmarkEnd w:id="12"/>
      <w:r w:rsidRPr="00DC17E7">
        <w:rPr>
          <w:rFonts w:ascii="Arial" w:eastAsia="Calibri" w:hAnsi="Arial" w:cs="Arial"/>
          <w:sz w:val="22"/>
          <w:szCs w:val="22"/>
          <w:lang w:val="es-ES"/>
        </w:rPr>
        <w:t xml:space="preserve"> </w:t>
      </w:r>
    </w:p>
    <w:p w14:paraId="6D9B94C4" w14:textId="21895010" w:rsidR="002E60CF" w:rsidRPr="00ED5EDD" w:rsidRDefault="002E60CF" w:rsidP="002E60CF">
      <w:pPr>
        <w:pStyle w:val="Paragraph"/>
        <w:ind w:left="720" w:hanging="720"/>
        <w:rPr>
          <w:rFonts w:ascii="Arial" w:hAnsi="Arial" w:cs="Arial"/>
          <w:sz w:val="22"/>
          <w:szCs w:val="22"/>
        </w:rPr>
      </w:pPr>
      <w:r w:rsidRPr="00ED5EDD">
        <w:rPr>
          <w:rFonts w:ascii="Arial" w:hAnsi="Arial" w:cs="Arial"/>
          <w:b/>
          <w:sz w:val="22"/>
          <w:szCs w:val="22"/>
        </w:rPr>
        <w:t>Monto de financiación:</w:t>
      </w:r>
      <w:r w:rsidRPr="00ED5EDD">
        <w:rPr>
          <w:rFonts w:ascii="Arial" w:hAnsi="Arial" w:cs="Arial"/>
          <w:sz w:val="22"/>
          <w:szCs w:val="22"/>
        </w:rPr>
        <w:t xml:space="preserve"> El </w:t>
      </w:r>
      <w:r w:rsidR="00D81631">
        <w:rPr>
          <w:rFonts w:ascii="Arial" w:hAnsi="Arial" w:cs="Arial"/>
          <w:sz w:val="22"/>
          <w:szCs w:val="22"/>
        </w:rPr>
        <w:t>p</w:t>
      </w:r>
      <w:r w:rsidRPr="00ED5EDD">
        <w:rPr>
          <w:rFonts w:ascii="Arial" w:hAnsi="Arial" w:cs="Arial"/>
          <w:sz w:val="22"/>
          <w:szCs w:val="22"/>
        </w:rPr>
        <w:t>rograma contempla la financiación de subpréstamos</w:t>
      </w:r>
      <w:r w:rsidR="00DC17E7">
        <w:rPr>
          <w:rFonts w:ascii="Arial" w:hAnsi="Arial" w:cs="Arial"/>
          <w:sz w:val="22"/>
          <w:szCs w:val="22"/>
        </w:rPr>
        <w:t xml:space="preserve"> y garantías</w:t>
      </w:r>
      <w:r w:rsidRPr="00ED5EDD">
        <w:rPr>
          <w:rFonts w:ascii="Arial" w:hAnsi="Arial" w:cs="Arial"/>
          <w:sz w:val="22"/>
          <w:szCs w:val="22"/>
        </w:rPr>
        <w:t xml:space="preserve"> a una misma persona natural o jurídica o para un mismo proyecto o grupo de proyectos que, en su conjunto, no excedan, según tipo de empresa, </w:t>
      </w:r>
      <w:r w:rsidR="00DC17E7" w:rsidRPr="00DC17E7">
        <w:rPr>
          <w:rFonts w:ascii="Arial" w:hAnsi="Arial" w:cs="Arial"/>
          <w:sz w:val="22"/>
          <w:szCs w:val="22"/>
        </w:rPr>
        <w:t>US$100.000</w:t>
      </w:r>
      <w:r w:rsidR="00DC17E7" w:rsidRPr="00984BCF">
        <w:rPr>
          <w:rFonts w:ascii="Arial" w:hAnsi="Arial" w:cs="Arial"/>
          <w:sz w:val="22"/>
          <w:szCs w:val="22"/>
        </w:rPr>
        <w:t xml:space="preserve"> o su equivalente en moneda local.</w:t>
      </w:r>
    </w:p>
    <w:p w14:paraId="231BE97C" w14:textId="2642CBB4" w:rsidR="00DC17E7" w:rsidRPr="00DC17E7" w:rsidRDefault="002E60CF" w:rsidP="00DC17E7">
      <w:pPr>
        <w:pStyle w:val="Paragraph"/>
        <w:ind w:left="720" w:hanging="720"/>
        <w:rPr>
          <w:rFonts w:ascii="Arial" w:hAnsi="Arial" w:cs="Arial"/>
          <w:sz w:val="22"/>
          <w:szCs w:val="22"/>
        </w:rPr>
      </w:pPr>
      <w:r w:rsidRPr="00ED5EDD">
        <w:rPr>
          <w:rFonts w:ascii="Arial" w:hAnsi="Arial" w:cs="Arial"/>
          <w:b/>
          <w:sz w:val="22"/>
          <w:szCs w:val="22"/>
        </w:rPr>
        <w:t>Cobro de intereses:</w:t>
      </w:r>
      <w:r w:rsidRPr="00ED5EDD">
        <w:rPr>
          <w:rFonts w:ascii="Arial" w:hAnsi="Arial" w:cs="Arial"/>
          <w:sz w:val="22"/>
          <w:szCs w:val="22"/>
        </w:rPr>
        <w:t xml:space="preserve"> </w:t>
      </w:r>
      <w:r w:rsidR="00DC17E7" w:rsidRPr="00537DA1">
        <w:rPr>
          <w:rFonts w:ascii="Arial" w:hAnsi="Arial" w:cs="Arial"/>
          <w:sz w:val="22"/>
          <w:szCs w:val="22"/>
        </w:rPr>
        <w:t>Será</w:t>
      </w:r>
      <w:r w:rsidR="00DC17E7">
        <w:rPr>
          <w:rFonts w:ascii="Arial" w:hAnsi="Arial" w:cs="Arial"/>
          <w:b/>
          <w:bCs/>
          <w:sz w:val="22"/>
          <w:szCs w:val="22"/>
        </w:rPr>
        <w:t xml:space="preserve"> </w:t>
      </w:r>
      <w:r w:rsidR="00DC17E7" w:rsidRPr="00573A16">
        <w:rPr>
          <w:rFonts w:ascii="Arial" w:eastAsia="Arial" w:hAnsi="Arial" w:cs="Arial"/>
          <w:color w:val="000000"/>
          <w:sz w:val="22"/>
          <w:szCs w:val="22"/>
        </w:rPr>
        <w:t xml:space="preserve">determinada por el OE en el marco de </w:t>
      </w:r>
      <w:r w:rsidR="00DC17E7" w:rsidRPr="001011A1">
        <w:rPr>
          <w:rFonts w:ascii="Arial" w:eastAsia="Arial" w:hAnsi="Arial" w:cs="Arial"/>
          <w:color w:val="000000"/>
          <w:sz w:val="22"/>
          <w:szCs w:val="22"/>
        </w:rPr>
        <w:t>la emergencia generada por el COVID-19</w:t>
      </w:r>
      <w:r w:rsidR="00DC17E7" w:rsidRPr="00573A16">
        <w:rPr>
          <w:rFonts w:ascii="Arial" w:eastAsia="Arial" w:hAnsi="Arial" w:cs="Arial"/>
          <w:color w:val="000000"/>
          <w:sz w:val="22"/>
          <w:szCs w:val="22"/>
        </w:rPr>
        <w:t>.</w:t>
      </w:r>
      <w:r w:rsidR="00DC17E7">
        <w:rPr>
          <w:rFonts w:ascii="Arial" w:eastAsia="Arial" w:hAnsi="Arial" w:cs="Arial"/>
          <w:color w:val="000000"/>
          <w:sz w:val="22"/>
          <w:szCs w:val="22"/>
        </w:rPr>
        <w:t xml:space="preserve"> Asimismo, según disponga el OE </w:t>
      </w:r>
      <w:r w:rsidR="00DC17E7">
        <w:rPr>
          <w:rFonts w:ascii="Arial" w:hAnsi="Arial" w:cs="Arial"/>
          <w:sz w:val="22"/>
          <w:szCs w:val="22"/>
        </w:rPr>
        <w:t>podrá</w:t>
      </w:r>
      <w:r w:rsidR="00DC17E7" w:rsidRPr="008F3401">
        <w:rPr>
          <w:rFonts w:ascii="Arial" w:hAnsi="Arial" w:cs="Arial"/>
          <w:sz w:val="22"/>
          <w:szCs w:val="22"/>
        </w:rPr>
        <w:t xml:space="preserve"> cobrarse </w:t>
      </w:r>
      <w:r w:rsidR="00DC17E7">
        <w:rPr>
          <w:rFonts w:ascii="Arial" w:hAnsi="Arial" w:cs="Arial"/>
          <w:sz w:val="22"/>
          <w:szCs w:val="22"/>
        </w:rPr>
        <w:t xml:space="preserve">a los beneficiarios finales </w:t>
      </w:r>
      <w:r w:rsidR="00DC17E7" w:rsidRPr="008F3401">
        <w:rPr>
          <w:rFonts w:ascii="Arial" w:hAnsi="Arial" w:cs="Arial"/>
          <w:sz w:val="22"/>
          <w:szCs w:val="22"/>
        </w:rPr>
        <w:t xml:space="preserve">por concepto de comisiones, seguros o por cualquier otro cargo, la tasa o tasas anuales que, </w:t>
      </w:r>
      <w:r w:rsidR="00DC17E7">
        <w:rPr>
          <w:rFonts w:ascii="Arial" w:hAnsi="Arial" w:cs="Arial"/>
          <w:sz w:val="22"/>
          <w:szCs w:val="22"/>
        </w:rPr>
        <w:t xml:space="preserve">estén en línea </w:t>
      </w:r>
      <w:r w:rsidR="00DC17E7" w:rsidRPr="008F3401">
        <w:rPr>
          <w:rFonts w:ascii="Arial" w:hAnsi="Arial" w:cs="Arial"/>
          <w:sz w:val="22"/>
          <w:szCs w:val="22"/>
        </w:rPr>
        <w:t xml:space="preserve">con la legislación y las políticas sobre tasas de interés de </w:t>
      </w:r>
      <w:r w:rsidR="00DC17E7">
        <w:rPr>
          <w:rFonts w:ascii="Arial" w:hAnsi="Arial" w:cs="Arial"/>
          <w:sz w:val="22"/>
          <w:szCs w:val="22"/>
        </w:rPr>
        <w:t>Honduras</w:t>
      </w:r>
      <w:r w:rsidR="00DC17E7" w:rsidRPr="008F3401">
        <w:rPr>
          <w:rFonts w:ascii="Arial" w:hAnsi="Arial" w:cs="Arial"/>
          <w:sz w:val="22"/>
          <w:szCs w:val="22"/>
        </w:rPr>
        <w:t xml:space="preserve">, </w:t>
      </w:r>
      <w:r w:rsidR="00DC17E7">
        <w:rPr>
          <w:rFonts w:ascii="Arial" w:hAnsi="Arial" w:cs="Arial"/>
          <w:sz w:val="22"/>
          <w:szCs w:val="22"/>
        </w:rPr>
        <w:t xml:space="preserve">y </w:t>
      </w:r>
      <w:r w:rsidR="00DC17E7" w:rsidRPr="008F3401">
        <w:rPr>
          <w:rFonts w:ascii="Arial" w:hAnsi="Arial" w:cs="Arial"/>
          <w:sz w:val="22"/>
          <w:szCs w:val="22"/>
        </w:rPr>
        <w:t xml:space="preserve">que sean compatibles con la política del BID y del </w:t>
      </w:r>
      <w:r w:rsidR="00F11570">
        <w:rPr>
          <w:rFonts w:ascii="Arial" w:hAnsi="Arial" w:cs="Arial"/>
          <w:sz w:val="22"/>
          <w:szCs w:val="22"/>
        </w:rPr>
        <w:t>BANHPROVI</w:t>
      </w:r>
      <w:r w:rsidR="00DC17E7">
        <w:rPr>
          <w:rFonts w:ascii="Arial" w:hAnsi="Arial" w:cs="Arial"/>
          <w:sz w:val="22"/>
          <w:szCs w:val="22"/>
        </w:rPr>
        <w:t xml:space="preserve"> </w:t>
      </w:r>
      <w:r w:rsidR="00DC17E7" w:rsidRPr="008F3401">
        <w:rPr>
          <w:rFonts w:ascii="Arial" w:hAnsi="Arial" w:cs="Arial"/>
          <w:sz w:val="22"/>
          <w:szCs w:val="22"/>
        </w:rPr>
        <w:t>sobre tasas de interés para ese tipo de financiamiento.</w:t>
      </w:r>
    </w:p>
    <w:p w14:paraId="49267FDB" w14:textId="7DC9784E" w:rsidR="002E60CF" w:rsidRPr="00ED5EDD" w:rsidRDefault="002E60CF" w:rsidP="00DC17E7">
      <w:pPr>
        <w:pStyle w:val="Paragraph"/>
        <w:ind w:left="720" w:hanging="720"/>
        <w:rPr>
          <w:rFonts w:ascii="Arial" w:hAnsi="Arial" w:cs="Arial"/>
          <w:sz w:val="22"/>
          <w:szCs w:val="22"/>
        </w:rPr>
      </w:pPr>
      <w:r w:rsidRPr="00ED5EDD">
        <w:rPr>
          <w:rFonts w:ascii="Arial" w:hAnsi="Arial" w:cs="Arial"/>
          <w:b/>
          <w:bCs/>
          <w:sz w:val="22"/>
          <w:szCs w:val="22"/>
        </w:rPr>
        <w:t>Plazo:</w:t>
      </w:r>
      <w:r w:rsidRPr="00ED5EDD">
        <w:rPr>
          <w:rFonts w:ascii="Arial" w:hAnsi="Arial" w:cs="Arial"/>
          <w:sz w:val="22"/>
          <w:szCs w:val="22"/>
        </w:rPr>
        <w:t xml:space="preserve"> Hasta </w:t>
      </w:r>
      <w:r w:rsidR="00D664B1">
        <w:rPr>
          <w:rFonts w:ascii="Arial" w:hAnsi="Arial" w:cs="Arial"/>
          <w:sz w:val="22"/>
          <w:szCs w:val="22"/>
        </w:rPr>
        <w:t>36</w:t>
      </w:r>
      <w:r w:rsidRPr="00ED5EDD">
        <w:rPr>
          <w:rFonts w:ascii="Arial" w:hAnsi="Arial" w:cs="Arial"/>
          <w:sz w:val="22"/>
          <w:szCs w:val="22"/>
        </w:rPr>
        <w:t xml:space="preserve"> meses.</w:t>
      </w:r>
    </w:p>
    <w:p w14:paraId="6503C51B" w14:textId="1389D7EE" w:rsidR="002E60CF" w:rsidRPr="00ED5EDD" w:rsidRDefault="002E60CF" w:rsidP="002E60CF">
      <w:pPr>
        <w:pStyle w:val="Paragraph"/>
        <w:ind w:left="720" w:hanging="720"/>
        <w:rPr>
          <w:rFonts w:ascii="Arial" w:hAnsi="Arial" w:cs="Arial"/>
          <w:sz w:val="22"/>
          <w:szCs w:val="22"/>
        </w:rPr>
      </w:pPr>
      <w:r w:rsidRPr="00ED5EDD">
        <w:rPr>
          <w:rFonts w:ascii="Arial" w:hAnsi="Arial" w:cs="Arial"/>
          <w:b/>
          <w:bCs/>
          <w:sz w:val="22"/>
          <w:szCs w:val="22"/>
        </w:rPr>
        <w:t>Periodo de gracia a capital:</w:t>
      </w:r>
      <w:r w:rsidRPr="00ED5EDD">
        <w:rPr>
          <w:rFonts w:ascii="Arial" w:hAnsi="Arial" w:cs="Arial"/>
          <w:sz w:val="22"/>
          <w:szCs w:val="22"/>
        </w:rPr>
        <w:t xml:space="preserve"> Hasta </w:t>
      </w:r>
      <w:r w:rsidR="00F11570">
        <w:rPr>
          <w:rFonts w:ascii="Arial" w:hAnsi="Arial" w:cs="Arial"/>
          <w:sz w:val="22"/>
          <w:szCs w:val="22"/>
        </w:rPr>
        <w:t>6</w:t>
      </w:r>
      <w:r w:rsidR="009E5F39" w:rsidRPr="00ED5EDD">
        <w:rPr>
          <w:rFonts w:ascii="Arial" w:hAnsi="Arial" w:cs="Arial"/>
          <w:sz w:val="22"/>
          <w:szCs w:val="22"/>
        </w:rPr>
        <w:t xml:space="preserve"> </w:t>
      </w:r>
      <w:r w:rsidRPr="00ED5EDD">
        <w:rPr>
          <w:rFonts w:ascii="Arial" w:hAnsi="Arial" w:cs="Arial"/>
          <w:sz w:val="22"/>
          <w:szCs w:val="22"/>
        </w:rPr>
        <w:t xml:space="preserve">meses.  </w:t>
      </w:r>
    </w:p>
    <w:p w14:paraId="5CAD80C3" w14:textId="241D7605" w:rsidR="002E60CF" w:rsidRPr="00ED5EDD" w:rsidRDefault="002E60CF" w:rsidP="002E60CF">
      <w:pPr>
        <w:pStyle w:val="Paragraph"/>
        <w:ind w:left="720" w:hanging="720"/>
        <w:rPr>
          <w:rFonts w:ascii="Arial" w:hAnsi="Arial" w:cs="Arial"/>
          <w:sz w:val="22"/>
          <w:szCs w:val="22"/>
        </w:rPr>
      </w:pPr>
      <w:r w:rsidRPr="00ED5EDD">
        <w:rPr>
          <w:rFonts w:ascii="Arial" w:hAnsi="Arial" w:cs="Arial"/>
          <w:b/>
          <w:bCs/>
          <w:sz w:val="22"/>
          <w:szCs w:val="22"/>
        </w:rPr>
        <w:t xml:space="preserve">Categorías de </w:t>
      </w:r>
      <w:r w:rsidR="00824002" w:rsidRPr="00ED5EDD">
        <w:rPr>
          <w:rFonts w:ascii="Arial" w:hAnsi="Arial" w:cs="Arial"/>
          <w:b/>
          <w:bCs/>
          <w:sz w:val="22"/>
          <w:szCs w:val="22"/>
        </w:rPr>
        <w:t>r</w:t>
      </w:r>
      <w:r w:rsidRPr="00ED5EDD">
        <w:rPr>
          <w:rFonts w:ascii="Arial" w:hAnsi="Arial" w:cs="Arial"/>
          <w:b/>
          <w:bCs/>
          <w:sz w:val="22"/>
          <w:szCs w:val="22"/>
        </w:rPr>
        <w:t xml:space="preserve">iesgo: </w:t>
      </w:r>
      <w:r w:rsidRPr="00ED5EDD">
        <w:rPr>
          <w:rFonts w:ascii="Arial" w:hAnsi="Arial" w:cs="Arial"/>
          <w:sz w:val="22"/>
          <w:szCs w:val="22"/>
        </w:rPr>
        <w:t>Las</w:t>
      </w:r>
      <w:r w:rsidRPr="00ED5EDD">
        <w:rPr>
          <w:rFonts w:ascii="Arial" w:hAnsi="Arial" w:cs="Arial"/>
          <w:b/>
          <w:bCs/>
          <w:sz w:val="22"/>
          <w:szCs w:val="22"/>
        </w:rPr>
        <w:t xml:space="preserve"> </w:t>
      </w:r>
      <w:r w:rsidRPr="00ED5EDD">
        <w:rPr>
          <w:rFonts w:ascii="Arial" w:hAnsi="Arial" w:cs="Arial"/>
          <w:sz w:val="22"/>
          <w:szCs w:val="22"/>
        </w:rPr>
        <w:t xml:space="preserve">IFI adecuarán los procesos de análisis y evaluación crediticia en función a la disponibilidad de información de cada prestatario al </w:t>
      </w:r>
      <w:r w:rsidR="00F11570">
        <w:rPr>
          <w:rFonts w:ascii="Arial" w:hAnsi="Arial" w:cs="Arial"/>
          <w:sz w:val="22"/>
          <w:szCs w:val="22"/>
        </w:rPr>
        <w:t>29 de febrero de 2020</w:t>
      </w:r>
      <w:r w:rsidRPr="00ED5EDD">
        <w:rPr>
          <w:rFonts w:ascii="Arial" w:hAnsi="Arial" w:cs="Arial"/>
          <w:sz w:val="22"/>
          <w:szCs w:val="22"/>
        </w:rPr>
        <w:t xml:space="preserve">, en concordancia con </w:t>
      </w:r>
      <w:r w:rsidR="009E5F39" w:rsidRPr="00ED5EDD">
        <w:rPr>
          <w:rFonts w:ascii="Arial" w:hAnsi="Arial" w:cs="Arial"/>
          <w:sz w:val="22"/>
          <w:szCs w:val="22"/>
        </w:rPr>
        <w:t>la declaración oficial de la pandemia en Honduras</w:t>
      </w:r>
      <w:r w:rsidRPr="00ED5EDD">
        <w:rPr>
          <w:rFonts w:ascii="Arial" w:hAnsi="Arial" w:cs="Arial"/>
          <w:sz w:val="22"/>
          <w:szCs w:val="22"/>
        </w:rPr>
        <w:t>.</w:t>
      </w:r>
    </w:p>
    <w:p w14:paraId="07319E85" w14:textId="685F6BDC" w:rsidR="002E60CF" w:rsidRPr="00ED5EDD" w:rsidRDefault="002E60CF" w:rsidP="002E60CF">
      <w:pPr>
        <w:pStyle w:val="Paragraph"/>
        <w:ind w:left="720" w:hanging="720"/>
        <w:rPr>
          <w:rFonts w:ascii="Arial" w:hAnsi="Arial" w:cs="Arial"/>
          <w:sz w:val="22"/>
          <w:szCs w:val="22"/>
        </w:rPr>
      </w:pPr>
      <w:r w:rsidRPr="00ED5EDD">
        <w:rPr>
          <w:rFonts w:ascii="Arial" w:hAnsi="Arial" w:cs="Arial"/>
          <w:b/>
          <w:bCs/>
          <w:sz w:val="22"/>
          <w:szCs w:val="22"/>
        </w:rPr>
        <w:t>Actividades elegibles:</w:t>
      </w:r>
      <w:r w:rsidRPr="00ED5EDD">
        <w:rPr>
          <w:rFonts w:ascii="Arial" w:hAnsi="Arial" w:cs="Arial"/>
          <w:sz w:val="22"/>
          <w:szCs w:val="22"/>
        </w:rPr>
        <w:t xml:space="preserve"> Los recursos podrán financiar </w:t>
      </w:r>
      <w:r w:rsidR="00F11570">
        <w:rPr>
          <w:rFonts w:ascii="Arial" w:hAnsi="Arial" w:cs="Arial"/>
          <w:sz w:val="22"/>
          <w:szCs w:val="22"/>
        </w:rPr>
        <w:t xml:space="preserve">subpréstamos </w:t>
      </w:r>
      <w:r w:rsidR="00E9384B" w:rsidRPr="00ED5EDD">
        <w:rPr>
          <w:rFonts w:ascii="Arial" w:hAnsi="Arial" w:cs="Arial"/>
          <w:sz w:val="22"/>
          <w:szCs w:val="22"/>
        </w:rPr>
        <w:t xml:space="preserve">y/o garantizar créditos para </w:t>
      </w:r>
      <w:r w:rsidR="00092507" w:rsidRPr="00ED5EDD">
        <w:rPr>
          <w:rFonts w:ascii="Arial" w:hAnsi="Arial" w:cs="Arial"/>
          <w:sz w:val="22"/>
          <w:szCs w:val="22"/>
        </w:rPr>
        <w:t xml:space="preserve">capital trabajo </w:t>
      </w:r>
      <w:r w:rsidR="00F11570">
        <w:rPr>
          <w:rFonts w:ascii="Arial" w:hAnsi="Arial" w:cs="Arial"/>
          <w:sz w:val="22"/>
          <w:szCs w:val="22"/>
        </w:rPr>
        <w:t xml:space="preserve">en </w:t>
      </w:r>
      <w:r w:rsidRPr="00ED5EDD">
        <w:rPr>
          <w:rFonts w:ascii="Arial" w:hAnsi="Arial" w:cs="Arial"/>
          <w:sz w:val="22"/>
          <w:szCs w:val="22"/>
        </w:rPr>
        <w:t xml:space="preserve">actividades relacionadas con el mejoramiento y escala de la actividad </w:t>
      </w:r>
      <w:r w:rsidR="009E5F39" w:rsidRPr="00ED5EDD">
        <w:rPr>
          <w:rFonts w:ascii="Arial" w:hAnsi="Arial" w:cs="Arial"/>
          <w:sz w:val="22"/>
          <w:szCs w:val="22"/>
        </w:rPr>
        <w:t>turística</w:t>
      </w:r>
      <w:r w:rsidRPr="00ED5EDD">
        <w:rPr>
          <w:rFonts w:ascii="Arial" w:hAnsi="Arial" w:cs="Arial"/>
          <w:sz w:val="22"/>
          <w:szCs w:val="22"/>
        </w:rPr>
        <w:t xml:space="preserve">, en el marco de la emergencia </w:t>
      </w:r>
      <w:r w:rsidRPr="00ED5EDD">
        <w:rPr>
          <w:rFonts w:ascii="Arial" w:hAnsi="Arial" w:cs="Arial"/>
          <w:sz w:val="22"/>
          <w:szCs w:val="22"/>
        </w:rPr>
        <w:lastRenderedPageBreak/>
        <w:t>ocasionada por el COVID-19 y de acuerdo con la definición de beneficiarios elegibles.</w:t>
      </w:r>
    </w:p>
    <w:p w14:paraId="7A528836" w14:textId="4E163CC2" w:rsidR="002E60CF" w:rsidRPr="00ED5EDD" w:rsidRDefault="002E60CF" w:rsidP="002E60CF">
      <w:pPr>
        <w:pStyle w:val="Paragraph"/>
        <w:ind w:left="720" w:hanging="720"/>
        <w:rPr>
          <w:rFonts w:ascii="Arial" w:hAnsi="Arial" w:cs="Arial"/>
          <w:sz w:val="22"/>
          <w:szCs w:val="22"/>
        </w:rPr>
        <w:sectPr w:rsidR="002E60CF" w:rsidRPr="00ED5EDD" w:rsidSect="00D410AB">
          <w:headerReference w:type="default" r:id="rId21"/>
          <w:headerReference w:type="first" r:id="rId22"/>
          <w:footerReference w:type="first" r:id="rId23"/>
          <w:type w:val="continuous"/>
          <w:pgSz w:w="12240" w:h="15840"/>
          <w:pgMar w:top="1440" w:right="1800" w:bottom="1440" w:left="1800" w:header="720" w:footer="720" w:gutter="0"/>
          <w:cols w:space="720"/>
          <w:titlePg/>
          <w:docGrid w:linePitch="272"/>
        </w:sectPr>
      </w:pPr>
      <w:r w:rsidRPr="00ED5EDD">
        <w:rPr>
          <w:rFonts w:ascii="Arial" w:hAnsi="Arial" w:cs="Arial"/>
          <w:b/>
          <w:sz w:val="22"/>
          <w:szCs w:val="22"/>
        </w:rPr>
        <w:t>Limitación de los recursos:</w:t>
      </w:r>
      <w:r w:rsidRPr="00ED5EDD">
        <w:rPr>
          <w:rFonts w:ascii="Arial" w:hAnsi="Arial" w:cs="Arial"/>
          <w:sz w:val="22"/>
          <w:szCs w:val="22"/>
        </w:rPr>
        <w:t xml:space="preserve"> </w:t>
      </w:r>
      <w:bookmarkStart w:id="13" w:name="_Toc207082508"/>
      <w:bookmarkStart w:id="14" w:name="_Toc207082541"/>
      <w:bookmarkStart w:id="15" w:name="_Toc198110509"/>
      <w:bookmarkStart w:id="16" w:name="_Toc198111152"/>
      <w:bookmarkStart w:id="17" w:name="_Toc198111225"/>
      <w:bookmarkStart w:id="18" w:name="_Toc198111259"/>
      <w:bookmarkStart w:id="19" w:name="_Toc198111297"/>
      <w:bookmarkStart w:id="20" w:name="_Toc198111339"/>
      <w:bookmarkStart w:id="21" w:name="_Toc198111393"/>
      <w:bookmarkStart w:id="22" w:name="_Toc198027195"/>
      <w:bookmarkStart w:id="23" w:name="_Toc198025801"/>
      <w:bookmarkStart w:id="24" w:name="_Toc198027197"/>
      <w:bookmarkStart w:id="25" w:name="_Toc389662672"/>
      <w:bookmarkStart w:id="26" w:name="_Toc389662826"/>
      <w:bookmarkStart w:id="27" w:name="_Toc389662944"/>
      <w:bookmarkStart w:id="28" w:name="_Toc38966298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ED5EDD">
        <w:rPr>
          <w:rFonts w:ascii="Arial" w:hAnsi="Arial" w:cs="Arial"/>
          <w:sz w:val="22"/>
          <w:szCs w:val="22"/>
        </w:rPr>
        <w:t xml:space="preserve">Adicionalmente a las limitaciones establecidas en la sección IX, vinculadas a temas ambientales y sociales, no podrán concederse subpréstamos </w:t>
      </w:r>
      <w:r w:rsidR="00E9384B" w:rsidRPr="00ED5EDD">
        <w:rPr>
          <w:rFonts w:ascii="Arial" w:hAnsi="Arial" w:cs="Arial"/>
          <w:sz w:val="22"/>
          <w:szCs w:val="22"/>
        </w:rPr>
        <w:t xml:space="preserve">y/o garantías </w:t>
      </w:r>
      <w:r w:rsidRPr="00ED5EDD">
        <w:rPr>
          <w:rFonts w:ascii="Arial" w:hAnsi="Arial" w:cs="Arial"/>
          <w:sz w:val="22"/>
          <w:szCs w:val="22"/>
        </w:rPr>
        <w:t xml:space="preserve">con recursos del </w:t>
      </w:r>
      <w:r w:rsidR="00D81631">
        <w:rPr>
          <w:rFonts w:ascii="Arial" w:hAnsi="Arial" w:cs="Arial"/>
          <w:sz w:val="22"/>
          <w:szCs w:val="22"/>
        </w:rPr>
        <w:t>p</w:t>
      </w:r>
      <w:r w:rsidRPr="00ED5EDD">
        <w:rPr>
          <w:rFonts w:ascii="Arial" w:hAnsi="Arial" w:cs="Arial"/>
          <w:sz w:val="22"/>
          <w:szCs w:val="22"/>
        </w:rPr>
        <w:t>rograma para: (i) adquisición de inmuebles; (</w:t>
      </w:r>
      <w:proofErr w:type="spellStart"/>
      <w:r w:rsidRPr="00ED5EDD">
        <w:rPr>
          <w:rFonts w:ascii="Arial" w:hAnsi="Arial" w:cs="Arial"/>
          <w:sz w:val="22"/>
          <w:szCs w:val="22"/>
        </w:rPr>
        <w:t>ii</w:t>
      </w:r>
      <w:proofErr w:type="spellEnd"/>
      <w:r w:rsidRPr="00ED5EDD">
        <w:rPr>
          <w:rFonts w:ascii="Arial" w:hAnsi="Arial" w:cs="Arial"/>
          <w:sz w:val="22"/>
          <w:szCs w:val="22"/>
        </w:rPr>
        <w:t>) compra de acciones; (</w:t>
      </w:r>
      <w:proofErr w:type="spellStart"/>
      <w:r w:rsidRPr="00ED5EDD">
        <w:rPr>
          <w:rFonts w:ascii="Arial" w:hAnsi="Arial" w:cs="Arial"/>
          <w:sz w:val="22"/>
          <w:szCs w:val="22"/>
        </w:rPr>
        <w:t>iii</w:t>
      </w:r>
      <w:proofErr w:type="spellEnd"/>
      <w:r w:rsidRPr="00ED5EDD">
        <w:rPr>
          <w:rFonts w:ascii="Arial" w:hAnsi="Arial" w:cs="Arial"/>
          <w:sz w:val="22"/>
          <w:szCs w:val="22"/>
        </w:rPr>
        <w:t>) compra de moneda extranjera, salvo necesidades asociadas al proyecto; y (</w:t>
      </w:r>
      <w:proofErr w:type="spellStart"/>
      <w:r w:rsidRPr="00ED5EDD">
        <w:rPr>
          <w:rFonts w:ascii="Arial" w:hAnsi="Arial" w:cs="Arial"/>
          <w:sz w:val="22"/>
          <w:szCs w:val="22"/>
        </w:rPr>
        <w:t>iv</w:t>
      </w:r>
      <w:proofErr w:type="spellEnd"/>
      <w:r w:rsidRPr="00ED5EDD">
        <w:rPr>
          <w:rFonts w:ascii="Arial" w:hAnsi="Arial" w:cs="Arial"/>
          <w:sz w:val="22"/>
          <w:szCs w:val="22"/>
        </w:rPr>
        <w:t>) colocaciones financieras. Asimismo, los beneficiarios finales estarán prohibidas de pagar dividendos sin el consentimiento de la IFI o el OE.</w:t>
      </w:r>
    </w:p>
    <w:p w14:paraId="514F91D0" w14:textId="60B9C265" w:rsidR="00FA548F" w:rsidRPr="00ED5EDD" w:rsidRDefault="00B904EC" w:rsidP="000B26A7">
      <w:pPr>
        <w:pStyle w:val="Chapter"/>
        <w:tabs>
          <w:tab w:val="clear" w:pos="1440"/>
        </w:tabs>
        <w:spacing w:before="0"/>
        <w:ind w:left="1350" w:hanging="540"/>
        <w:rPr>
          <w:rFonts w:ascii="Arial" w:hAnsi="Arial" w:cs="Arial"/>
          <w:szCs w:val="24"/>
        </w:rPr>
      </w:pPr>
      <w:bookmarkStart w:id="29" w:name="_Toc42960879"/>
      <w:r w:rsidRPr="00ED5EDD">
        <w:rPr>
          <w:rFonts w:ascii="Arial" w:hAnsi="Arial" w:cs="Arial"/>
          <w:szCs w:val="24"/>
        </w:rPr>
        <w:t xml:space="preserve">Operatoria para el </w:t>
      </w:r>
      <w:r w:rsidR="009E5F39" w:rsidRPr="00ED5EDD">
        <w:rPr>
          <w:rFonts w:ascii="Arial" w:hAnsi="Arial" w:cs="Arial"/>
          <w:szCs w:val="24"/>
        </w:rPr>
        <w:t xml:space="preserve">Otorgamiento </w:t>
      </w:r>
      <w:r w:rsidRPr="00ED5EDD">
        <w:rPr>
          <w:rFonts w:ascii="Arial" w:hAnsi="Arial" w:cs="Arial"/>
          <w:szCs w:val="24"/>
        </w:rPr>
        <w:t xml:space="preserve">y Gestión </w:t>
      </w:r>
      <w:r w:rsidR="009E5F39" w:rsidRPr="00ED5EDD">
        <w:rPr>
          <w:rFonts w:ascii="Arial" w:hAnsi="Arial" w:cs="Arial"/>
          <w:szCs w:val="24"/>
        </w:rPr>
        <w:t>de Crédito de Segundo Piso</w:t>
      </w:r>
      <w:bookmarkEnd w:id="29"/>
    </w:p>
    <w:p w14:paraId="6FE6AFA7" w14:textId="0CE9112B" w:rsidR="00B904EC" w:rsidRPr="00ED5EDD" w:rsidRDefault="00B904EC" w:rsidP="00D207F7">
      <w:pPr>
        <w:pStyle w:val="Paragraph"/>
        <w:tabs>
          <w:tab w:val="num" w:pos="720"/>
        </w:tabs>
        <w:ind w:left="720" w:hanging="720"/>
        <w:rPr>
          <w:rFonts w:ascii="Arial" w:hAnsi="Arial" w:cs="Arial"/>
          <w:b/>
          <w:bCs/>
          <w:sz w:val="22"/>
          <w:szCs w:val="22"/>
        </w:rPr>
      </w:pPr>
      <w:r w:rsidRPr="00ED5EDD">
        <w:rPr>
          <w:rFonts w:ascii="Arial" w:hAnsi="Arial" w:cs="Arial"/>
          <w:b/>
          <w:bCs/>
          <w:sz w:val="22"/>
          <w:szCs w:val="22"/>
        </w:rPr>
        <w:t>Reglamento de BANHPROVI:</w:t>
      </w:r>
      <w:r w:rsidRPr="00ED5EDD">
        <w:rPr>
          <w:rFonts w:ascii="Arial" w:hAnsi="Arial" w:cs="Arial"/>
          <w:sz w:val="22"/>
          <w:szCs w:val="22"/>
        </w:rPr>
        <w:t xml:space="preserve"> En complemento a lo estipulado en el presente RC, para efectos del otorgamiento y gestión de crédito de segundo piso, se aplicará las definiciones, provisiones y procedimientos estipulados en el Reglamento General de Crédito para Operaciones de Segundo Piso del BANHPROVI (Resoluciones Nos. CD-049-08/2016, CD-066-11/206 o la reglamentación interna que la modifique, reforme, sustituya o extinga, sujeto a la No Objeción del BID). </w:t>
      </w:r>
    </w:p>
    <w:p w14:paraId="5A6AA485" w14:textId="2CAF1341" w:rsidR="00C43F9A" w:rsidRPr="00C85E68" w:rsidRDefault="004D5D79" w:rsidP="00D207F7">
      <w:pPr>
        <w:pStyle w:val="Paragraph"/>
        <w:tabs>
          <w:tab w:val="num" w:pos="720"/>
        </w:tabs>
        <w:ind w:left="720" w:hanging="720"/>
        <w:rPr>
          <w:rFonts w:ascii="Arial" w:hAnsi="Arial" w:cs="Arial"/>
          <w:b/>
          <w:bCs/>
          <w:sz w:val="22"/>
          <w:szCs w:val="22"/>
        </w:rPr>
      </w:pPr>
      <w:r w:rsidRPr="00ED5EDD">
        <w:rPr>
          <w:rFonts w:ascii="Arial" w:hAnsi="Arial" w:cs="Arial"/>
          <w:b/>
          <w:bCs/>
          <w:sz w:val="22"/>
          <w:szCs w:val="22"/>
        </w:rPr>
        <w:t>IFI a ser fondeadas:</w:t>
      </w:r>
      <w:r w:rsidRPr="00ED5EDD">
        <w:rPr>
          <w:rFonts w:ascii="Arial" w:hAnsi="Arial" w:cs="Arial"/>
          <w:sz w:val="22"/>
          <w:szCs w:val="22"/>
        </w:rPr>
        <w:t xml:space="preserve"> </w:t>
      </w:r>
      <w:r w:rsidR="00615C79" w:rsidRPr="00ED5EDD">
        <w:rPr>
          <w:rFonts w:ascii="Arial" w:hAnsi="Arial" w:cs="Arial"/>
          <w:sz w:val="22"/>
          <w:szCs w:val="22"/>
        </w:rPr>
        <w:t>En general,</w:t>
      </w:r>
      <w:r w:rsidR="00124928" w:rsidRPr="00ED5EDD">
        <w:rPr>
          <w:rFonts w:ascii="Arial" w:hAnsi="Arial" w:cs="Arial"/>
          <w:sz w:val="22"/>
          <w:szCs w:val="22"/>
        </w:rPr>
        <w:t xml:space="preserve"> </w:t>
      </w:r>
      <w:r w:rsidR="00525A40" w:rsidRPr="00ED5EDD">
        <w:rPr>
          <w:rFonts w:ascii="Arial" w:hAnsi="Arial" w:cs="Arial"/>
          <w:sz w:val="22"/>
          <w:szCs w:val="22"/>
        </w:rPr>
        <w:t xml:space="preserve">los fondos se canalizarán a través de </w:t>
      </w:r>
      <w:r w:rsidR="00190476" w:rsidRPr="00ED5EDD">
        <w:rPr>
          <w:rFonts w:ascii="Arial" w:hAnsi="Arial" w:cs="Arial"/>
          <w:sz w:val="22"/>
          <w:szCs w:val="22"/>
        </w:rPr>
        <w:t xml:space="preserve">IFI </w:t>
      </w:r>
      <w:r w:rsidR="00525A40" w:rsidRPr="00ED5EDD">
        <w:rPr>
          <w:rFonts w:ascii="Arial" w:hAnsi="Arial" w:cs="Arial"/>
          <w:sz w:val="22"/>
          <w:szCs w:val="22"/>
        </w:rPr>
        <w:t xml:space="preserve">según </w:t>
      </w:r>
      <w:r w:rsidR="00615C79" w:rsidRPr="00ED5EDD">
        <w:rPr>
          <w:rFonts w:ascii="Arial" w:hAnsi="Arial" w:cs="Arial"/>
          <w:sz w:val="22"/>
          <w:szCs w:val="22"/>
        </w:rPr>
        <w:t>l</w:t>
      </w:r>
      <w:r w:rsidR="00525A40" w:rsidRPr="00ED5EDD">
        <w:rPr>
          <w:rFonts w:ascii="Arial" w:hAnsi="Arial" w:cs="Arial"/>
          <w:sz w:val="22"/>
          <w:szCs w:val="22"/>
        </w:rPr>
        <w:t>o</w:t>
      </w:r>
      <w:r w:rsidR="00615C79" w:rsidRPr="00ED5EDD">
        <w:rPr>
          <w:rFonts w:ascii="Arial" w:hAnsi="Arial" w:cs="Arial"/>
          <w:sz w:val="22"/>
          <w:szCs w:val="22"/>
        </w:rPr>
        <w:t>s parámetros</w:t>
      </w:r>
      <w:r w:rsidR="00D60291" w:rsidRPr="00ED5EDD">
        <w:rPr>
          <w:rFonts w:ascii="Arial" w:hAnsi="Arial" w:cs="Arial"/>
          <w:sz w:val="22"/>
          <w:szCs w:val="22"/>
        </w:rPr>
        <w:t xml:space="preserve"> estipulados en el </w:t>
      </w:r>
      <w:r w:rsidR="002E60CF" w:rsidRPr="00ED5EDD">
        <w:rPr>
          <w:rFonts w:ascii="Arial" w:hAnsi="Arial" w:cs="Arial"/>
          <w:sz w:val="22"/>
          <w:szCs w:val="22"/>
        </w:rPr>
        <w:t>Reglamento General de Crédito para Operaciones de Segundo Piso del BANHPROVI</w:t>
      </w:r>
      <w:r w:rsidR="00BD6EEB">
        <w:rPr>
          <w:rFonts w:ascii="Arial" w:hAnsi="Arial" w:cs="Arial"/>
          <w:sz w:val="22"/>
          <w:szCs w:val="22"/>
        </w:rPr>
        <w:t>, publicado en la Gaceta del</w:t>
      </w:r>
      <w:r w:rsidR="00B1017A">
        <w:rPr>
          <w:rFonts w:ascii="Arial" w:hAnsi="Arial" w:cs="Arial"/>
          <w:sz w:val="22"/>
          <w:szCs w:val="22"/>
        </w:rPr>
        <w:t xml:space="preserve"> 11 de </w:t>
      </w:r>
      <w:r w:rsidR="00E97CF6">
        <w:rPr>
          <w:rFonts w:ascii="Arial" w:hAnsi="Arial" w:cs="Arial"/>
          <w:sz w:val="22"/>
          <w:szCs w:val="22"/>
        </w:rPr>
        <w:t>agosto</w:t>
      </w:r>
      <w:r w:rsidR="00B1017A">
        <w:rPr>
          <w:rFonts w:ascii="Arial" w:hAnsi="Arial" w:cs="Arial"/>
          <w:sz w:val="22"/>
          <w:szCs w:val="22"/>
        </w:rPr>
        <w:t xml:space="preserve"> de 2016, N</w:t>
      </w:r>
      <w:r w:rsidR="00C32240">
        <w:rPr>
          <w:rFonts w:ascii="Arial" w:hAnsi="Arial" w:cs="Arial"/>
          <w:sz w:val="22"/>
          <w:szCs w:val="22"/>
        </w:rPr>
        <w:t>o. 34.109</w:t>
      </w:r>
      <w:r w:rsidR="00E97CF6">
        <w:rPr>
          <w:rFonts w:ascii="Arial" w:hAnsi="Arial" w:cs="Arial"/>
          <w:sz w:val="22"/>
          <w:szCs w:val="22"/>
        </w:rPr>
        <w:t>,</w:t>
      </w:r>
      <w:r w:rsidR="00E97CF6" w:rsidRPr="00E97CF6">
        <w:rPr>
          <w:rFonts w:ascii="Arial" w:hAnsi="Arial" w:cs="Arial"/>
          <w:sz w:val="22"/>
          <w:szCs w:val="22"/>
        </w:rPr>
        <w:t xml:space="preserve"> </w:t>
      </w:r>
      <w:r w:rsidR="00E97CF6" w:rsidRPr="00ED5EDD">
        <w:rPr>
          <w:rFonts w:ascii="Arial" w:hAnsi="Arial" w:cs="Arial"/>
          <w:sz w:val="22"/>
          <w:szCs w:val="22"/>
        </w:rPr>
        <w:t>o la reglamentación interna que la modifique, reforme, sustituya o extinga, sujeto a la No Objeción del BID</w:t>
      </w:r>
      <w:r w:rsidR="002E60CF" w:rsidRPr="00ED5EDD">
        <w:rPr>
          <w:rFonts w:ascii="Arial" w:hAnsi="Arial" w:cs="Arial"/>
          <w:sz w:val="22"/>
          <w:szCs w:val="22"/>
        </w:rPr>
        <w:t>.</w:t>
      </w:r>
      <w:r w:rsidR="0067129F" w:rsidRPr="00ED5EDD">
        <w:rPr>
          <w:rFonts w:ascii="Arial" w:hAnsi="Arial" w:cs="Arial"/>
          <w:sz w:val="22"/>
          <w:szCs w:val="22"/>
        </w:rPr>
        <w:t xml:space="preserve"> Los recursos del préstamo no se podrán canalizar a través de IFI no reguladas.</w:t>
      </w:r>
    </w:p>
    <w:p w14:paraId="1AA977EF" w14:textId="165122B0" w:rsidR="00C85E68" w:rsidRPr="007A0BED" w:rsidRDefault="00C85E68" w:rsidP="00D207F7">
      <w:pPr>
        <w:pStyle w:val="Paragraph"/>
        <w:tabs>
          <w:tab w:val="num" w:pos="720"/>
        </w:tabs>
        <w:ind w:left="720" w:hanging="720"/>
        <w:rPr>
          <w:rFonts w:ascii="Arial" w:hAnsi="Arial" w:cs="Arial"/>
          <w:b/>
          <w:bCs/>
          <w:sz w:val="22"/>
          <w:szCs w:val="22"/>
        </w:rPr>
      </w:pPr>
      <w:r w:rsidRPr="007A0BED">
        <w:rPr>
          <w:rFonts w:ascii="Arial" w:hAnsi="Arial" w:cs="Arial"/>
          <w:b/>
          <w:bCs/>
          <w:sz w:val="22"/>
          <w:szCs w:val="22"/>
        </w:rPr>
        <w:t>Cupo por IFI:</w:t>
      </w:r>
      <w:r w:rsidRPr="007A0BED">
        <w:rPr>
          <w:rFonts w:ascii="Arial" w:hAnsi="Arial" w:cs="Arial"/>
          <w:sz w:val="22"/>
          <w:szCs w:val="22"/>
        </w:rPr>
        <w:t xml:space="preserve"> </w:t>
      </w:r>
      <w:r w:rsidR="009D58A5" w:rsidRPr="007A0BED">
        <w:rPr>
          <w:rFonts w:ascii="Arial" w:hAnsi="Arial" w:cs="Arial"/>
          <w:sz w:val="22"/>
          <w:szCs w:val="22"/>
        </w:rPr>
        <w:t>Los cupos por IFI serán definidos</w:t>
      </w:r>
      <w:r w:rsidR="00DD4BF2" w:rsidRPr="007A0BED">
        <w:rPr>
          <w:rFonts w:ascii="Arial" w:hAnsi="Arial" w:cs="Arial"/>
          <w:sz w:val="22"/>
          <w:szCs w:val="22"/>
        </w:rPr>
        <w:t xml:space="preserve"> entre el Banco y</w:t>
      </w:r>
      <w:r w:rsidRPr="007A0BED">
        <w:rPr>
          <w:rFonts w:ascii="Arial" w:hAnsi="Arial" w:cs="Arial"/>
          <w:sz w:val="22"/>
          <w:szCs w:val="22"/>
        </w:rPr>
        <w:t xml:space="preserve"> BANHPROVI</w:t>
      </w:r>
      <w:r w:rsidR="00DD4BF2" w:rsidRPr="005D6562">
        <w:rPr>
          <w:rFonts w:ascii="Arial" w:hAnsi="Arial" w:cs="Arial"/>
          <w:sz w:val="22"/>
          <w:szCs w:val="22"/>
        </w:rPr>
        <w:t xml:space="preserve">, según los criterios </w:t>
      </w:r>
      <w:r w:rsidR="006B1D70">
        <w:rPr>
          <w:rFonts w:ascii="Arial" w:hAnsi="Arial" w:cs="Arial"/>
          <w:sz w:val="22"/>
          <w:szCs w:val="22"/>
        </w:rPr>
        <w:t>acordados entre las partes</w:t>
      </w:r>
      <w:r w:rsidRPr="007A0BED">
        <w:rPr>
          <w:rFonts w:ascii="Arial" w:hAnsi="Arial" w:cs="Arial"/>
          <w:sz w:val="22"/>
          <w:szCs w:val="22"/>
        </w:rPr>
        <w:t>.</w:t>
      </w:r>
    </w:p>
    <w:p w14:paraId="50F2EF51" w14:textId="7C8DC885" w:rsidR="00A65EB5" w:rsidRPr="00ED5EDD" w:rsidRDefault="00D56C23" w:rsidP="00E14A2E">
      <w:pPr>
        <w:pStyle w:val="Paragraph"/>
        <w:ind w:left="720" w:hanging="720"/>
        <w:rPr>
          <w:rFonts w:ascii="Arial" w:hAnsi="Arial" w:cs="Arial"/>
          <w:sz w:val="22"/>
          <w:szCs w:val="22"/>
        </w:rPr>
      </w:pPr>
      <w:r w:rsidRPr="00ED5EDD">
        <w:rPr>
          <w:rFonts w:ascii="Arial" w:hAnsi="Arial" w:cs="Arial"/>
          <w:b/>
          <w:bCs/>
          <w:sz w:val="22"/>
          <w:szCs w:val="22"/>
        </w:rPr>
        <w:t>Recuperaciones:</w:t>
      </w:r>
      <w:r w:rsidR="009F2F68" w:rsidRPr="00ED5EDD">
        <w:rPr>
          <w:rFonts w:ascii="Arial" w:hAnsi="Arial" w:cs="Arial"/>
          <w:b/>
          <w:bCs/>
          <w:sz w:val="22"/>
          <w:szCs w:val="22"/>
        </w:rPr>
        <w:t xml:space="preserve"> </w:t>
      </w:r>
      <w:r w:rsidR="009F2F68" w:rsidRPr="00ED5EDD">
        <w:rPr>
          <w:rFonts w:ascii="Arial" w:hAnsi="Arial" w:cs="Arial"/>
          <w:sz w:val="22"/>
          <w:szCs w:val="22"/>
        </w:rPr>
        <w:t xml:space="preserve">Los fondos provenientes de las recuperaciones de los subpréstamos concedidos con los recursos del </w:t>
      </w:r>
      <w:r w:rsidR="004F7AF5">
        <w:rPr>
          <w:rFonts w:ascii="Arial" w:hAnsi="Arial" w:cs="Arial"/>
          <w:sz w:val="22"/>
          <w:szCs w:val="22"/>
        </w:rPr>
        <w:t>programa</w:t>
      </w:r>
      <w:r w:rsidR="009F2F68" w:rsidRPr="00ED5EDD">
        <w:rPr>
          <w:rFonts w:ascii="Arial" w:hAnsi="Arial" w:cs="Arial"/>
          <w:sz w:val="22"/>
          <w:szCs w:val="22"/>
        </w:rPr>
        <w:t xml:space="preserve"> que se acumulen en exceso de las cantidades necesarias para el servicio del préstamo, sólo podrán utilizarse para la concesión de nuevos subpréstamos que se ajusten sustancialmente a las normas establecidas en el contrato de</w:t>
      </w:r>
      <w:r w:rsidR="00B76CEA" w:rsidRPr="00ED5EDD">
        <w:rPr>
          <w:rFonts w:ascii="Arial" w:hAnsi="Arial" w:cs="Arial"/>
          <w:sz w:val="22"/>
          <w:szCs w:val="22"/>
        </w:rPr>
        <w:t xml:space="preserve">l </w:t>
      </w:r>
      <w:r w:rsidR="00D81631">
        <w:rPr>
          <w:rFonts w:ascii="Arial" w:hAnsi="Arial" w:cs="Arial"/>
          <w:sz w:val="22"/>
          <w:szCs w:val="22"/>
        </w:rPr>
        <w:t>p</w:t>
      </w:r>
      <w:r w:rsidR="00E21603" w:rsidRPr="00ED5EDD">
        <w:rPr>
          <w:rFonts w:ascii="Arial" w:hAnsi="Arial" w:cs="Arial"/>
          <w:sz w:val="22"/>
          <w:szCs w:val="22"/>
        </w:rPr>
        <w:t>rograma</w:t>
      </w:r>
      <w:r w:rsidR="00D81631">
        <w:rPr>
          <w:rFonts w:ascii="Arial" w:hAnsi="Arial" w:cs="Arial"/>
          <w:sz w:val="22"/>
          <w:szCs w:val="22"/>
        </w:rPr>
        <w:t xml:space="preserve"> y este RC</w:t>
      </w:r>
      <w:r w:rsidR="00A65EB5" w:rsidRPr="00ED5EDD">
        <w:rPr>
          <w:rFonts w:ascii="Arial" w:hAnsi="Arial" w:cs="Arial"/>
          <w:sz w:val="22"/>
          <w:szCs w:val="22"/>
        </w:rPr>
        <w:t>.</w:t>
      </w:r>
    </w:p>
    <w:p w14:paraId="307ED764" w14:textId="080F2D62" w:rsidR="00235F38" w:rsidRPr="00ED5EDD" w:rsidRDefault="00B77DE7" w:rsidP="000177E5">
      <w:pPr>
        <w:pStyle w:val="Paragraph"/>
        <w:ind w:left="720" w:hanging="720"/>
        <w:rPr>
          <w:rFonts w:ascii="Arial" w:hAnsi="Arial" w:cs="Arial"/>
          <w:sz w:val="22"/>
          <w:szCs w:val="22"/>
        </w:rPr>
      </w:pPr>
      <w:r w:rsidRPr="00ED5EDD">
        <w:rPr>
          <w:rFonts w:ascii="Arial" w:hAnsi="Arial" w:cs="Arial"/>
          <w:b/>
          <w:bCs/>
          <w:sz w:val="22"/>
          <w:szCs w:val="22"/>
        </w:rPr>
        <w:t>Sustituciones:</w:t>
      </w:r>
      <w:r w:rsidRPr="00ED5EDD">
        <w:rPr>
          <w:rFonts w:ascii="Arial" w:hAnsi="Arial" w:cs="Arial"/>
          <w:sz w:val="22"/>
          <w:szCs w:val="22"/>
        </w:rPr>
        <w:t xml:space="preserve"> </w:t>
      </w:r>
      <w:r w:rsidR="004116C5" w:rsidRPr="00ED5EDD">
        <w:rPr>
          <w:rFonts w:ascii="Arial" w:hAnsi="Arial" w:cs="Arial"/>
          <w:sz w:val="22"/>
          <w:szCs w:val="22"/>
        </w:rPr>
        <w:t>BANHPROVI</w:t>
      </w:r>
      <w:r w:rsidR="00C03912" w:rsidRPr="00ED5EDD">
        <w:rPr>
          <w:rFonts w:ascii="Arial" w:hAnsi="Arial" w:cs="Arial"/>
          <w:sz w:val="22"/>
          <w:szCs w:val="22"/>
        </w:rPr>
        <w:t xml:space="preserve"> </w:t>
      </w:r>
      <w:r w:rsidR="00AE145B" w:rsidRPr="00ED5EDD">
        <w:rPr>
          <w:rFonts w:ascii="Arial" w:hAnsi="Arial" w:cs="Arial"/>
          <w:sz w:val="22"/>
          <w:szCs w:val="22"/>
        </w:rPr>
        <w:t xml:space="preserve">se compromete a </w:t>
      </w:r>
      <w:r w:rsidR="00B65582" w:rsidRPr="00ED5EDD">
        <w:rPr>
          <w:rFonts w:ascii="Arial" w:hAnsi="Arial" w:cs="Arial"/>
          <w:sz w:val="22"/>
          <w:szCs w:val="22"/>
        </w:rPr>
        <w:t>verificar que las IFI sustituyen</w:t>
      </w:r>
      <w:r w:rsidR="00AE145B" w:rsidRPr="00ED5EDD">
        <w:rPr>
          <w:rFonts w:ascii="Arial" w:hAnsi="Arial" w:cs="Arial"/>
          <w:sz w:val="22"/>
          <w:szCs w:val="22"/>
        </w:rPr>
        <w:t xml:space="preserve"> la cartera que entre en las categorías de incumplimiento,</w:t>
      </w:r>
      <w:r w:rsidR="00EC7C33" w:rsidRPr="00ED5EDD">
        <w:rPr>
          <w:rFonts w:ascii="Arial" w:hAnsi="Arial" w:cs="Arial"/>
          <w:sz w:val="22"/>
          <w:szCs w:val="22"/>
        </w:rPr>
        <w:t xml:space="preserve"> una vez se haya vencido el plazo máximo del período de desembolso de</w:t>
      </w:r>
      <w:r w:rsidR="006B1FCA" w:rsidRPr="00ED5EDD">
        <w:rPr>
          <w:rFonts w:ascii="Arial" w:hAnsi="Arial" w:cs="Arial"/>
          <w:sz w:val="22"/>
          <w:szCs w:val="22"/>
        </w:rPr>
        <w:t xml:space="preserve">l </w:t>
      </w:r>
      <w:r w:rsidR="00D81631">
        <w:rPr>
          <w:rFonts w:ascii="Arial" w:hAnsi="Arial" w:cs="Arial"/>
          <w:sz w:val="22"/>
          <w:szCs w:val="22"/>
        </w:rPr>
        <w:t>p</w:t>
      </w:r>
      <w:r w:rsidR="00E21603" w:rsidRPr="00ED5EDD">
        <w:rPr>
          <w:rFonts w:ascii="Arial" w:hAnsi="Arial" w:cs="Arial"/>
          <w:sz w:val="22"/>
          <w:szCs w:val="22"/>
        </w:rPr>
        <w:t>rograma</w:t>
      </w:r>
      <w:r w:rsidR="00EC7C33" w:rsidRPr="00ED5EDD">
        <w:rPr>
          <w:rFonts w:ascii="Arial" w:hAnsi="Arial" w:cs="Arial"/>
          <w:sz w:val="22"/>
          <w:szCs w:val="22"/>
        </w:rPr>
        <w:t xml:space="preserve">. En este sentido, se espera que los créditos, a partir del mes </w:t>
      </w:r>
      <w:r w:rsidR="00B65582" w:rsidRPr="00ED5EDD">
        <w:rPr>
          <w:rFonts w:ascii="Arial" w:hAnsi="Arial" w:cs="Arial"/>
          <w:sz w:val="22"/>
          <w:szCs w:val="22"/>
        </w:rPr>
        <w:t>2</w:t>
      </w:r>
      <w:r w:rsidR="00EC7C33" w:rsidRPr="00ED5EDD">
        <w:rPr>
          <w:rFonts w:ascii="Arial" w:hAnsi="Arial" w:cs="Arial"/>
          <w:sz w:val="22"/>
          <w:szCs w:val="22"/>
        </w:rPr>
        <w:t xml:space="preserve"> del último desembolso, se encuentren, de</w:t>
      </w:r>
      <w:r w:rsidR="00AE145B" w:rsidRPr="00ED5EDD">
        <w:rPr>
          <w:rFonts w:ascii="Arial" w:hAnsi="Arial" w:cs="Arial"/>
          <w:sz w:val="22"/>
          <w:szCs w:val="22"/>
        </w:rPr>
        <w:t xml:space="preserve"> acuerdo </w:t>
      </w:r>
      <w:r w:rsidR="00DC24A7" w:rsidRPr="00ED5EDD">
        <w:rPr>
          <w:rFonts w:ascii="Arial" w:hAnsi="Arial" w:cs="Arial"/>
          <w:sz w:val="22"/>
          <w:szCs w:val="22"/>
        </w:rPr>
        <w:t>con</w:t>
      </w:r>
      <w:r w:rsidR="00AE145B" w:rsidRPr="00ED5EDD">
        <w:rPr>
          <w:rFonts w:ascii="Arial" w:hAnsi="Arial" w:cs="Arial"/>
          <w:sz w:val="22"/>
          <w:szCs w:val="22"/>
        </w:rPr>
        <w:t xml:space="preserve"> los parámetros establecidos por </w:t>
      </w:r>
      <w:r w:rsidR="00921DE6" w:rsidRPr="00ED5EDD">
        <w:rPr>
          <w:rFonts w:ascii="Arial" w:hAnsi="Arial" w:cs="Arial"/>
          <w:sz w:val="22"/>
          <w:szCs w:val="22"/>
        </w:rPr>
        <w:t>la regulación local</w:t>
      </w:r>
      <w:r w:rsidR="004D5D79" w:rsidRPr="00ED5EDD">
        <w:rPr>
          <w:rFonts w:ascii="Arial" w:hAnsi="Arial" w:cs="Arial"/>
          <w:sz w:val="22"/>
          <w:szCs w:val="22"/>
        </w:rPr>
        <w:t xml:space="preserve"> y de </w:t>
      </w:r>
      <w:r w:rsidR="0057456B" w:rsidRPr="00ED5EDD">
        <w:rPr>
          <w:rFonts w:ascii="Arial" w:hAnsi="Arial" w:cs="Arial"/>
          <w:sz w:val="22"/>
          <w:szCs w:val="22"/>
        </w:rPr>
        <w:t>BANHPROVI</w:t>
      </w:r>
      <w:r w:rsidR="00351426" w:rsidRPr="00ED5EDD">
        <w:rPr>
          <w:rFonts w:ascii="Arial" w:hAnsi="Arial" w:cs="Arial"/>
          <w:sz w:val="22"/>
          <w:szCs w:val="22"/>
        </w:rPr>
        <w:t xml:space="preserve">. </w:t>
      </w:r>
    </w:p>
    <w:p w14:paraId="3759FCA0" w14:textId="0673274E" w:rsidR="00597807" w:rsidRDefault="00597807" w:rsidP="00EF4A50">
      <w:pPr>
        <w:pStyle w:val="Paragraph"/>
        <w:ind w:left="720" w:hanging="720"/>
        <w:rPr>
          <w:rFonts w:ascii="Arial" w:hAnsi="Arial" w:cs="Arial"/>
          <w:sz w:val="22"/>
          <w:szCs w:val="22"/>
        </w:rPr>
      </w:pPr>
      <w:r w:rsidRPr="00ED5EDD">
        <w:rPr>
          <w:rFonts w:ascii="Arial" w:hAnsi="Arial" w:cs="Arial"/>
          <w:b/>
          <w:bCs/>
          <w:sz w:val="22"/>
          <w:szCs w:val="22"/>
        </w:rPr>
        <w:t xml:space="preserve">Política de </w:t>
      </w:r>
      <w:r w:rsidR="009C3E52" w:rsidRPr="00ED5EDD">
        <w:rPr>
          <w:rFonts w:ascii="Arial" w:hAnsi="Arial" w:cs="Arial"/>
          <w:b/>
          <w:bCs/>
          <w:sz w:val="22"/>
          <w:szCs w:val="22"/>
        </w:rPr>
        <w:t>c</w:t>
      </w:r>
      <w:r w:rsidRPr="00ED5EDD">
        <w:rPr>
          <w:rFonts w:ascii="Arial" w:hAnsi="Arial" w:cs="Arial"/>
          <w:b/>
          <w:bCs/>
          <w:sz w:val="22"/>
          <w:szCs w:val="22"/>
        </w:rPr>
        <w:t>rédito:</w:t>
      </w:r>
      <w:r w:rsidRPr="00ED5EDD">
        <w:rPr>
          <w:rFonts w:ascii="Arial" w:hAnsi="Arial" w:cs="Arial"/>
          <w:sz w:val="22"/>
          <w:szCs w:val="22"/>
        </w:rPr>
        <w:t xml:space="preserve"> Para efectos del presente Reglamento </w:t>
      </w:r>
      <w:r w:rsidR="00EF4A50" w:rsidRPr="00ED5EDD">
        <w:rPr>
          <w:rFonts w:ascii="Arial" w:hAnsi="Arial" w:cs="Arial"/>
          <w:sz w:val="22"/>
          <w:szCs w:val="22"/>
        </w:rPr>
        <w:t xml:space="preserve">se </w:t>
      </w:r>
      <w:r w:rsidRPr="00ED5EDD">
        <w:rPr>
          <w:rFonts w:ascii="Arial" w:hAnsi="Arial" w:cs="Arial"/>
          <w:sz w:val="22"/>
          <w:szCs w:val="22"/>
        </w:rPr>
        <w:t xml:space="preserve">aplicará las definiciones y provisiones estipuladas en </w:t>
      </w:r>
      <w:r w:rsidR="00EF4A50" w:rsidRPr="00ED5EDD">
        <w:rPr>
          <w:rFonts w:ascii="Arial" w:hAnsi="Arial" w:cs="Arial"/>
          <w:sz w:val="22"/>
          <w:szCs w:val="22"/>
        </w:rPr>
        <w:t xml:space="preserve">el </w:t>
      </w:r>
      <w:r w:rsidR="005D5A3D" w:rsidRPr="00ED5EDD">
        <w:rPr>
          <w:rFonts w:ascii="Arial" w:hAnsi="Arial" w:cs="Arial"/>
          <w:sz w:val="22"/>
          <w:szCs w:val="22"/>
        </w:rPr>
        <w:t>Reglamento General de Crédito para Operaciones de Segundo Piso del BANHPROVI</w:t>
      </w:r>
      <w:r w:rsidR="00EF4A50" w:rsidRPr="00ED5EDD">
        <w:rPr>
          <w:rFonts w:ascii="Arial" w:hAnsi="Arial" w:cs="Arial"/>
          <w:sz w:val="22"/>
          <w:szCs w:val="22"/>
        </w:rPr>
        <w:t xml:space="preserve"> </w:t>
      </w:r>
      <w:r w:rsidRPr="00ED5EDD">
        <w:rPr>
          <w:rFonts w:ascii="Arial" w:hAnsi="Arial" w:cs="Arial"/>
          <w:sz w:val="22"/>
          <w:szCs w:val="22"/>
        </w:rPr>
        <w:t xml:space="preserve">o la reglamentación interna que la modifique, reforme, sustituya o extinga, sujeto a la </w:t>
      </w:r>
      <w:r w:rsidR="00B43F60" w:rsidRPr="00ED5EDD">
        <w:rPr>
          <w:rFonts w:ascii="Arial" w:hAnsi="Arial" w:cs="Arial"/>
          <w:sz w:val="22"/>
          <w:szCs w:val="22"/>
        </w:rPr>
        <w:t>N</w:t>
      </w:r>
      <w:r w:rsidRPr="00ED5EDD">
        <w:rPr>
          <w:rFonts w:ascii="Arial" w:hAnsi="Arial" w:cs="Arial"/>
          <w:sz w:val="22"/>
          <w:szCs w:val="22"/>
        </w:rPr>
        <w:t xml:space="preserve">o </w:t>
      </w:r>
      <w:r w:rsidR="00B43F60" w:rsidRPr="00ED5EDD">
        <w:rPr>
          <w:rFonts w:ascii="Arial" w:hAnsi="Arial" w:cs="Arial"/>
          <w:sz w:val="22"/>
          <w:szCs w:val="22"/>
        </w:rPr>
        <w:t>O</w:t>
      </w:r>
      <w:r w:rsidRPr="00ED5EDD">
        <w:rPr>
          <w:rFonts w:ascii="Arial" w:hAnsi="Arial" w:cs="Arial"/>
          <w:sz w:val="22"/>
          <w:szCs w:val="22"/>
        </w:rPr>
        <w:t>bjeción del BID.</w:t>
      </w:r>
    </w:p>
    <w:p w14:paraId="48CDD25F" w14:textId="707B20E1" w:rsidR="00B7106F" w:rsidRDefault="00B7106F" w:rsidP="00EF4A50">
      <w:pPr>
        <w:pStyle w:val="Paragraph"/>
        <w:ind w:left="720" w:hanging="720"/>
        <w:rPr>
          <w:rFonts w:ascii="Arial" w:hAnsi="Arial" w:cs="Arial"/>
          <w:sz w:val="22"/>
          <w:szCs w:val="22"/>
        </w:rPr>
      </w:pPr>
      <w:r w:rsidRPr="00ED5EDD">
        <w:rPr>
          <w:rFonts w:ascii="Arial" w:hAnsi="Arial" w:cs="Arial"/>
          <w:b/>
          <w:sz w:val="22"/>
          <w:szCs w:val="22"/>
        </w:rPr>
        <w:lastRenderedPageBreak/>
        <w:t>Garantías.</w:t>
      </w:r>
      <w:r w:rsidRPr="00ED5EDD">
        <w:rPr>
          <w:rFonts w:ascii="Arial" w:hAnsi="Arial" w:cs="Arial"/>
          <w:sz w:val="22"/>
          <w:szCs w:val="22"/>
        </w:rPr>
        <w:t xml:space="preserve"> </w:t>
      </w:r>
      <w:bookmarkStart w:id="30" w:name="_Toc389662674"/>
      <w:bookmarkStart w:id="31" w:name="_Toc389662828"/>
      <w:bookmarkStart w:id="32" w:name="_Toc389662946"/>
      <w:bookmarkStart w:id="33" w:name="_Toc389662991"/>
      <w:bookmarkStart w:id="34" w:name="_Toc389663033"/>
      <w:bookmarkStart w:id="35" w:name="_Toc389663305"/>
      <w:bookmarkStart w:id="36" w:name="_Toc389662675"/>
      <w:bookmarkStart w:id="37" w:name="_Toc389662829"/>
      <w:bookmarkStart w:id="38" w:name="_Toc389662947"/>
      <w:bookmarkStart w:id="39" w:name="_Toc389662992"/>
      <w:bookmarkStart w:id="40" w:name="_Toc389663034"/>
      <w:bookmarkStart w:id="41" w:name="_Toc389663306"/>
      <w:bookmarkStart w:id="42" w:name="_Toc389662676"/>
      <w:bookmarkStart w:id="43" w:name="_Toc389662830"/>
      <w:bookmarkStart w:id="44" w:name="_Toc389662948"/>
      <w:bookmarkStart w:id="45" w:name="_Toc389662993"/>
      <w:bookmarkStart w:id="46" w:name="_Toc389663035"/>
      <w:bookmarkStart w:id="47" w:name="_Toc389663307"/>
      <w:bookmarkStart w:id="48" w:name="_Toc389662679"/>
      <w:bookmarkStart w:id="49" w:name="_Toc389662833"/>
      <w:bookmarkStart w:id="50" w:name="_Toc389662951"/>
      <w:bookmarkStart w:id="51" w:name="_Toc389662996"/>
      <w:bookmarkStart w:id="52" w:name="_Toc389663038"/>
      <w:bookmarkStart w:id="53" w:name="_Toc389663310"/>
      <w:bookmarkStart w:id="54" w:name="_Toc198025803"/>
      <w:bookmarkStart w:id="55" w:name="_Toc198027199"/>
      <w:bookmarkStart w:id="56" w:name="_Toc207082518"/>
      <w:bookmarkStart w:id="57" w:name="_Toc207082551"/>
      <w:bookmarkStart w:id="58" w:name="_Toc198025805"/>
      <w:bookmarkStart w:id="59" w:name="_Toc198027201"/>
      <w:bookmarkStart w:id="60" w:name="_Toc198025807"/>
      <w:bookmarkStart w:id="61" w:name="_Toc198027203"/>
      <w:bookmarkStart w:id="62" w:name="_Toc370231935"/>
      <w:bookmarkStart w:id="63" w:name="_Toc370231992"/>
      <w:bookmarkStart w:id="64" w:name="_Toc370304889"/>
      <w:bookmarkStart w:id="65" w:name="_Toc370231936"/>
      <w:bookmarkStart w:id="66" w:name="_Toc370231993"/>
      <w:bookmarkStart w:id="67" w:name="_Toc370304890"/>
      <w:bookmarkStart w:id="68" w:name="_Toc366853976"/>
      <w:bookmarkStart w:id="69" w:name="_Toc367091019"/>
      <w:bookmarkStart w:id="70" w:name="_Toc367118126"/>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ED5EDD">
        <w:rPr>
          <w:rFonts w:ascii="Arial" w:eastAsia="Arial" w:hAnsi="Arial" w:cs="Arial"/>
          <w:color w:val="000000"/>
          <w:sz w:val="22"/>
          <w:szCs w:val="22"/>
        </w:rPr>
        <w:t xml:space="preserve">La IFI podrá exigir la constitución de garantías suficientes por parte del </w:t>
      </w:r>
      <w:r>
        <w:rPr>
          <w:rFonts w:ascii="Arial" w:eastAsia="Arial" w:hAnsi="Arial" w:cs="Arial"/>
          <w:color w:val="000000"/>
          <w:sz w:val="22"/>
          <w:szCs w:val="22"/>
        </w:rPr>
        <w:t>beneficiario final</w:t>
      </w:r>
      <w:r w:rsidRPr="00ED5EDD">
        <w:rPr>
          <w:rFonts w:ascii="Arial" w:eastAsia="Arial" w:hAnsi="Arial" w:cs="Arial"/>
          <w:color w:val="000000"/>
          <w:sz w:val="22"/>
          <w:szCs w:val="22"/>
        </w:rPr>
        <w:t>, de acuerdo con lo estipulado por su reglamento interno de crédito y este RC, en el contexto de la emergencia por el COVID˗19.</w:t>
      </w:r>
    </w:p>
    <w:p w14:paraId="4BA38034" w14:textId="77777777" w:rsidR="00F11570" w:rsidRPr="00ED5EDD" w:rsidRDefault="00F11570" w:rsidP="00F11570">
      <w:pPr>
        <w:pStyle w:val="Paragraph"/>
        <w:ind w:left="720" w:hanging="720"/>
        <w:rPr>
          <w:rFonts w:ascii="Arial" w:hAnsi="Arial" w:cs="Arial"/>
          <w:sz w:val="22"/>
          <w:szCs w:val="22"/>
        </w:rPr>
      </w:pPr>
      <w:r w:rsidRPr="00ED5EDD">
        <w:rPr>
          <w:rFonts w:ascii="Arial" w:hAnsi="Arial" w:cs="Arial"/>
          <w:b/>
          <w:sz w:val="22"/>
          <w:szCs w:val="22"/>
        </w:rPr>
        <w:t>Cofinanciamiento:</w:t>
      </w:r>
      <w:r w:rsidRPr="00ED5EDD">
        <w:rPr>
          <w:rFonts w:ascii="Arial" w:hAnsi="Arial" w:cs="Arial"/>
          <w:sz w:val="22"/>
          <w:szCs w:val="22"/>
        </w:rPr>
        <w:t xml:space="preserve"> Cualquier subpréstamo podrá ser objeto de cofinanciamiento proveniente de otras fuentes de recursos, incluyendo otras instituciones multilaterales del mismo carácter del BID, otros programas del Gobierno, de las IFI y las propias empresas interesadas en desarrollar los proyectos de inversión en el contexto de la emergencia COVID-19.</w:t>
      </w:r>
    </w:p>
    <w:p w14:paraId="5A681FEC" w14:textId="6F882C0D" w:rsidR="009E5F39" w:rsidRPr="00ED5EDD" w:rsidRDefault="009E5F39" w:rsidP="009E5F39">
      <w:pPr>
        <w:rPr>
          <w:rFonts w:ascii="Arial" w:hAnsi="Arial" w:cs="Arial"/>
          <w:lang w:val="es-ES_tradnl"/>
        </w:rPr>
      </w:pPr>
      <w:bookmarkStart w:id="71" w:name="_Ref424799728"/>
      <w:bookmarkStart w:id="72" w:name="_Toc424822793"/>
      <w:bookmarkStart w:id="73" w:name="_Toc507057763"/>
    </w:p>
    <w:p w14:paraId="6F2315A5" w14:textId="241D4423" w:rsidR="00B904EC" w:rsidRPr="00ED5EDD" w:rsidRDefault="00B904EC" w:rsidP="000B26A7">
      <w:pPr>
        <w:pStyle w:val="Chapter"/>
        <w:tabs>
          <w:tab w:val="clear" w:pos="1440"/>
        </w:tabs>
        <w:spacing w:before="0"/>
        <w:ind w:left="1350" w:hanging="540"/>
        <w:rPr>
          <w:rFonts w:ascii="Arial" w:hAnsi="Arial" w:cs="Arial"/>
          <w:szCs w:val="24"/>
        </w:rPr>
      </w:pPr>
      <w:bookmarkStart w:id="74" w:name="_Toc40727779"/>
      <w:bookmarkStart w:id="75" w:name="_Toc42960880"/>
      <w:r w:rsidRPr="00ED5EDD">
        <w:rPr>
          <w:rFonts w:ascii="Arial" w:hAnsi="Arial" w:cs="Arial"/>
          <w:szCs w:val="24"/>
        </w:rPr>
        <w:t>Operatoria para el otorgamiento y gestión de Garantías</w:t>
      </w:r>
      <w:bookmarkEnd w:id="74"/>
      <w:bookmarkEnd w:id="75"/>
    </w:p>
    <w:p w14:paraId="3002415F" w14:textId="199E00CD" w:rsidR="00B904EC" w:rsidRPr="00E47DE8" w:rsidRDefault="00B904EC" w:rsidP="003E3B02">
      <w:pPr>
        <w:pStyle w:val="Paragraph"/>
        <w:tabs>
          <w:tab w:val="num" w:pos="720"/>
        </w:tabs>
        <w:ind w:left="720" w:hanging="720"/>
        <w:rPr>
          <w:rFonts w:ascii="Arial" w:hAnsi="Arial" w:cs="Arial"/>
          <w:sz w:val="22"/>
          <w:szCs w:val="22"/>
        </w:rPr>
      </w:pPr>
      <w:r w:rsidRPr="00ED5EDD">
        <w:rPr>
          <w:rFonts w:ascii="Arial" w:hAnsi="Arial" w:cs="Arial"/>
          <w:b/>
          <w:bCs/>
          <w:sz w:val="22"/>
          <w:szCs w:val="22"/>
        </w:rPr>
        <w:t xml:space="preserve">Reglamento </w:t>
      </w:r>
      <w:r w:rsidR="005603CC" w:rsidRPr="00ED5EDD">
        <w:rPr>
          <w:rFonts w:ascii="Arial" w:hAnsi="Arial" w:cs="Arial"/>
          <w:b/>
          <w:bCs/>
          <w:sz w:val="22"/>
          <w:szCs w:val="22"/>
        </w:rPr>
        <w:t>de garantía</w:t>
      </w:r>
      <w:r w:rsidR="00C85E68">
        <w:rPr>
          <w:rFonts w:ascii="Arial" w:hAnsi="Arial" w:cs="Arial"/>
          <w:b/>
          <w:bCs/>
          <w:sz w:val="22"/>
          <w:szCs w:val="22"/>
        </w:rPr>
        <w:t>s</w:t>
      </w:r>
      <w:r w:rsidRPr="00ED5EDD">
        <w:rPr>
          <w:rFonts w:ascii="Arial" w:hAnsi="Arial" w:cs="Arial"/>
          <w:b/>
          <w:bCs/>
          <w:sz w:val="22"/>
          <w:szCs w:val="22"/>
        </w:rPr>
        <w:t>:</w:t>
      </w:r>
      <w:r w:rsidRPr="00ED5EDD">
        <w:rPr>
          <w:rFonts w:ascii="Arial" w:hAnsi="Arial" w:cs="Arial"/>
          <w:sz w:val="22"/>
          <w:szCs w:val="22"/>
        </w:rPr>
        <w:t xml:space="preserve"> </w:t>
      </w:r>
      <w:r w:rsidR="003E3B02" w:rsidRPr="00ED5EDD">
        <w:rPr>
          <w:rFonts w:ascii="Arial" w:hAnsi="Arial" w:cs="Arial"/>
          <w:sz w:val="22"/>
          <w:szCs w:val="22"/>
        </w:rPr>
        <w:t xml:space="preserve">En complemento a lo estipulado en el presente RC, para efectos del otorgamiento y gestión de garantías, se aplicará las definiciones, provisiones y procedimientos estipulados en el </w:t>
      </w:r>
      <w:r w:rsidR="003E3B02" w:rsidRPr="007A0BED">
        <w:rPr>
          <w:rFonts w:ascii="Arial" w:hAnsi="Arial" w:cs="Arial"/>
          <w:sz w:val="22"/>
          <w:szCs w:val="22"/>
        </w:rPr>
        <w:t xml:space="preserve">Reglamento </w:t>
      </w:r>
      <w:r w:rsidR="00A4345D" w:rsidRPr="007A0BED">
        <w:rPr>
          <w:rFonts w:ascii="Arial" w:hAnsi="Arial" w:cs="Arial"/>
          <w:sz w:val="22"/>
          <w:szCs w:val="22"/>
        </w:rPr>
        <w:t>del Fondo de Garantías</w:t>
      </w:r>
      <w:r w:rsidR="00E47DE8" w:rsidRPr="007A0BED">
        <w:rPr>
          <w:rFonts w:ascii="Arial" w:hAnsi="Arial" w:cs="Arial"/>
          <w:sz w:val="22"/>
          <w:szCs w:val="22"/>
        </w:rPr>
        <w:t xml:space="preserve"> para la Reactivación de las </w:t>
      </w:r>
      <w:proofErr w:type="spellStart"/>
      <w:r w:rsidR="00E47DE8" w:rsidRPr="007A0BED">
        <w:rPr>
          <w:rFonts w:ascii="Arial" w:hAnsi="Arial" w:cs="Arial"/>
          <w:sz w:val="22"/>
          <w:szCs w:val="22"/>
        </w:rPr>
        <w:t>MIPYMEs</w:t>
      </w:r>
      <w:proofErr w:type="spellEnd"/>
      <w:r w:rsidR="00E47DE8" w:rsidRPr="007A0BED">
        <w:rPr>
          <w:rFonts w:ascii="Arial" w:hAnsi="Arial" w:cs="Arial"/>
          <w:sz w:val="22"/>
          <w:szCs w:val="22"/>
        </w:rPr>
        <w:t xml:space="preserve"> afectadas por el COVID-19 (Acuerdo No. 07/2020</w:t>
      </w:r>
      <w:r w:rsidR="008D23DB">
        <w:rPr>
          <w:rFonts w:ascii="Arial" w:hAnsi="Arial" w:cs="Arial"/>
          <w:sz w:val="22"/>
          <w:szCs w:val="22"/>
        </w:rPr>
        <w:t>)</w:t>
      </w:r>
      <w:r w:rsidR="00E47DE8" w:rsidRPr="007A0BED">
        <w:rPr>
          <w:rFonts w:ascii="Arial" w:hAnsi="Arial" w:cs="Arial"/>
          <w:sz w:val="22"/>
          <w:szCs w:val="22"/>
        </w:rPr>
        <w:t xml:space="preserve"> del Banco Central de Honduras</w:t>
      </w:r>
      <w:r w:rsidR="00E47DE8" w:rsidRPr="00E47DE8">
        <w:rPr>
          <w:rFonts w:ascii="Arial" w:hAnsi="Arial" w:cs="Arial"/>
          <w:sz w:val="22"/>
          <w:szCs w:val="22"/>
        </w:rPr>
        <w:t>.</w:t>
      </w:r>
      <w:r w:rsidRPr="008D23DB">
        <w:rPr>
          <w:rFonts w:ascii="Arial" w:hAnsi="Arial" w:cs="Arial"/>
          <w:sz w:val="22"/>
          <w:szCs w:val="22"/>
        </w:rPr>
        <w:t xml:space="preserve"> </w:t>
      </w:r>
    </w:p>
    <w:p w14:paraId="619298AD" w14:textId="7A5A7A8B" w:rsidR="00B904EC" w:rsidRPr="003E525C" w:rsidRDefault="00B904EC" w:rsidP="00B904EC">
      <w:pPr>
        <w:pStyle w:val="Paragraph"/>
        <w:tabs>
          <w:tab w:val="num" w:pos="720"/>
        </w:tabs>
        <w:ind w:left="720" w:hanging="720"/>
        <w:rPr>
          <w:rFonts w:ascii="Arial" w:hAnsi="Arial" w:cs="Arial"/>
          <w:sz w:val="22"/>
          <w:szCs w:val="22"/>
        </w:rPr>
      </w:pPr>
      <w:r w:rsidRPr="003E525C">
        <w:rPr>
          <w:rFonts w:ascii="Arial" w:hAnsi="Arial" w:cs="Arial"/>
          <w:sz w:val="22"/>
          <w:szCs w:val="22"/>
        </w:rPr>
        <w:t>Dicho Reglamento incluye</w:t>
      </w:r>
      <w:r w:rsidR="003B5723">
        <w:rPr>
          <w:rFonts w:ascii="Arial" w:hAnsi="Arial" w:cs="Arial"/>
          <w:sz w:val="22"/>
          <w:szCs w:val="22"/>
        </w:rPr>
        <w:t xml:space="preserve"> disposiciones aplicables a</w:t>
      </w:r>
      <w:r w:rsidRPr="003E525C">
        <w:rPr>
          <w:rFonts w:ascii="Arial" w:hAnsi="Arial" w:cs="Arial"/>
          <w:sz w:val="22"/>
          <w:szCs w:val="22"/>
        </w:rPr>
        <w:t>:</w:t>
      </w:r>
    </w:p>
    <w:p w14:paraId="4FF80368" w14:textId="19958A17" w:rsidR="00B904EC" w:rsidRPr="003E525C" w:rsidRDefault="00B904EC" w:rsidP="00B904EC">
      <w:pPr>
        <w:pStyle w:val="subpar"/>
        <w:tabs>
          <w:tab w:val="clear" w:pos="2592"/>
          <w:tab w:val="num" w:pos="720"/>
        </w:tabs>
        <w:spacing w:before="0"/>
        <w:ind w:left="1080" w:hanging="360"/>
        <w:rPr>
          <w:rFonts w:ascii="Arial" w:hAnsi="Arial" w:cs="Arial"/>
          <w:bCs/>
          <w:sz w:val="22"/>
          <w:szCs w:val="22"/>
        </w:rPr>
      </w:pPr>
      <w:r w:rsidRPr="003E525C">
        <w:rPr>
          <w:rFonts w:ascii="Arial" w:hAnsi="Arial" w:cs="Arial"/>
          <w:bCs/>
          <w:sz w:val="22"/>
          <w:szCs w:val="22"/>
        </w:rPr>
        <w:t xml:space="preserve">Regulación de las relaciones entre </w:t>
      </w:r>
      <w:r w:rsidR="003E3B02" w:rsidRPr="003E525C">
        <w:rPr>
          <w:rFonts w:ascii="Arial" w:hAnsi="Arial" w:cs="Arial"/>
          <w:bCs/>
          <w:sz w:val="22"/>
          <w:szCs w:val="22"/>
        </w:rPr>
        <w:t>BANHPROVI</w:t>
      </w:r>
      <w:r w:rsidRPr="003E525C">
        <w:rPr>
          <w:rFonts w:ascii="Arial" w:hAnsi="Arial" w:cs="Arial"/>
          <w:bCs/>
          <w:sz w:val="22"/>
          <w:szCs w:val="22"/>
        </w:rPr>
        <w:t xml:space="preserve"> </w:t>
      </w:r>
      <w:r w:rsidR="003E3B02" w:rsidRPr="003E525C">
        <w:rPr>
          <w:rFonts w:ascii="Arial" w:hAnsi="Arial" w:cs="Arial"/>
          <w:bCs/>
          <w:sz w:val="22"/>
          <w:szCs w:val="22"/>
        </w:rPr>
        <w:t xml:space="preserve">y </w:t>
      </w:r>
      <w:r w:rsidRPr="003E525C">
        <w:rPr>
          <w:rFonts w:ascii="Arial" w:hAnsi="Arial" w:cs="Arial"/>
          <w:bCs/>
          <w:sz w:val="22"/>
          <w:szCs w:val="22"/>
        </w:rPr>
        <w:t>las IFI que articulan el modelo de trabajo, y los beneficiarios finales que obtengan garantías de esta entidad, estableciendo las obligaciones y derechos entre las partes;</w:t>
      </w:r>
    </w:p>
    <w:p w14:paraId="78A78F75" w14:textId="6F845C9B" w:rsidR="00B904EC" w:rsidRPr="003E525C" w:rsidRDefault="00B904EC" w:rsidP="00B904EC">
      <w:pPr>
        <w:pStyle w:val="subpar"/>
        <w:tabs>
          <w:tab w:val="clear" w:pos="2592"/>
          <w:tab w:val="num" w:pos="720"/>
        </w:tabs>
        <w:spacing w:before="0"/>
        <w:ind w:left="1080" w:hanging="360"/>
        <w:rPr>
          <w:rFonts w:ascii="Arial" w:hAnsi="Arial" w:cs="Arial"/>
          <w:bCs/>
          <w:sz w:val="22"/>
          <w:szCs w:val="22"/>
        </w:rPr>
      </w:pPr>
      <w:r w:rsidRPr="003E525C">
        <w:rPr>
          <w:rFonts w:ascii="Arial" w:hAnsi="Arial" w:cs="Arial"/>
          <w:bCs/>
          <w:sz w:val="22"/>
          <w:szCs w:val="22"/>
        </w:rPr>
        <w:t xml:space="preserve">Estandarización de las condiciones jurídicas, técnicas, financieras y operativas que regulan el otorgamiento de garantías por parte de </w:t>
      </w:r>
      <w:r w:rsidR="003E3B02" w:rsidRPr="003E525C">
        <w:rPr>
          <w:rFonts w:ascii="Arial" w:hAnsi="Arial" w:cs="Arial"/>
          <w:bCs/>
          <w:sz w:val="22"/>
          <w:szCs w:val="22"/>
        </w:rPr>
        <w:t>BANHPROVI</w:t>
      </w:r>
      <w:r w:rsidRPr="003E525C">
        <w:rPr>
          <w:rFonts w:ascii="Arial" w:hAnsi="Arial" w:cs="Arial"/>
          <w:bCs/>
          <w:sz w:val="22"/>
          <w:szCs w:val="22"/>
        </w:rPr>
        <w:t xml:space="preserve">. Está dirigido a las IFI y sus funcionarios, a </w:t>
      </w:r>
      <w:r w:rsidR="003E3B02" w:rsidRPr="003E525C">
        <w:rPr>
          <w:rFonts w:ascii="Arial" w:hAnsi="Arial" w:cs="Arial"/>
          <w:bCs/>
          <w:sz w:val="22"/>
          <w:szCs w:val="22"/>
        </w:rPr>
        <w:t xml:space="preserve">BANHPROVI </w:t>
      </w:r>
      <w:r w:rsidRPr="003E525C">
        <w:rPr>
          <w:rFonts w:ascii="Arial" w:hAnsi="Arial" w:cs="Arial"/>
          <w:bCs/>
          <w:sz w:val="22"/>
          <w:szCs w:val="22"/>
        </w:rPr>
        <w:t xml:space="preserve">y a los propios funcionarios de </w:t>
      </w:r>
      <w:r w:rsidR="003E3B02" w:rsidRPr="003E525C">
        <w:rPr>
          <w:rFonts w:ascii="Arial" w:hAnsi="Arial" w:cs="Arial"/>
          <w:bCs/>
          <w:sz w:val="22"/>
          <w:szCs w:val="22"/>
        </w:rPr>
        <w:t>BANHPROVI</w:t>
      </w:r>
      <w:r w:rsidRPr="003E525C">
        <w:rPr>
          <w:rFonts w:ascii="Arial" w:hAnsi="Arial" w:cs="Arial"/>
          <w:bCs/>
          <w:sz w:val="22"/>
          <w:szCs w:val="22"/>
        </w:rPr>
        <w:t>;</w:t>
      </w:r>
      <w:r w:rsidR="003E3B02" w:rsidRPr="003E525C">
        <w:rPr>
          <w:rFonts w:ascii="Arial" w:hAnsi="Arial" w:cs="Arial"/>
          <w:bCs/>
          <w:sz w:val="22"/>
          <w:szCs w:val="22"/>
        </w:rPr>
        <w:t xml:space="preserve"> y</w:t>
      </w:r>
    </w:p>
    <w:p w14:paraId="5B4A8FB4" w14:textId="20851EFC" w:rsidR="0067129F" w:rsidRPr="008B541E" w:rsidRDefault="00B904EC" w:rsidP="009E5F39">
      <w:pPr>
        <w:pStyle w:val="subpar"/>
        <w:tabs>
          <w:tab w:val="clear" w:pos="2592"/>
          <w:tab w:val="num" w:pos="720"/>
        </w:tabs>
        <w:spacing w:before="0"/>
        <w:ind w:left="1080" w:hanging="360"/>
        <w:rPr>
          <w:rFonts w:ascii="Arial" w:hAnsi="Arial" w:cs="Arial"/>
          <w:b/>
          <w:sz w:val="22"/>
          <w:szCs w:val="22"/>
        </w:rPr>
      </w:pPr>
      <w:r w:rsidRPr="003E525C">
        <w:rPr>
          <w:rFonts w:ascii="Arial" w:hAnsi="Arial" w:cs="Arial"/>
          <w:bCs/>
          <w:sz w:val="22"/>
          <w:szCs w:val="22"/>
        </w:rPr>
        <w:t>Las condiciones generales de</w:t>
      </w:r>
      <w:r w:rsidR="003E3B02" w:rsidRPr="003E525C">
        <w:rPr>
          <w:rFonts w:ascii="Arial" w:hAnsi="Arial" w:cs="Arial"/>
          <w:bCs/>
          <w:sz w:val="22"/>
          <w:szCs w:val="22"/>
        </w:rPr>
        <w:t xml:space="preserve"> </w:t>
      </w:r>
      <w:r w:rsidRPr="003E525C">
        <w:rPr>
          <w:rFonts w:ascii="Arial" w:hAnsi="Arial" w:cs="Arial"/>
          <w:bCs/>
          <w:sz w:val="22"/>
          <w:szCs w:val="22"/>
        </w:rPr>
        <w:t>los productos de garantía, los procedimientos que rigen el otorgamiento de cupos, la administración, el monitoreo, el pago y recuperación de las garantías.</w:t>
      </w:r>
      <w:r w:rsidRPr="008B541E">
        <w:rPr>
          <w:rFonts w:ascii="Arial" w:hAnsi="Arial" w:cs="Arial"/>
          <w:b/>
          <w:sz w:val="22"/>
          <w:szCs w:val="22"/>
        </w:rPr>
        <w:t xml:space="preserve"> </w:t>
      </w:r>
    </w:p>
    <w:p w14:paraId="466E7E19" w14:textId="2E2B3E9A" w:rsidR="00C90FDF" w:rsidRPr="003E525C" w:rsidRDefault="00C90FDF" w:rsidP="004A67B1">
      <w:pPr>
        <w:pStyle w:val="Paragraph"/>
        <w:tabs>
          <w:tab w:val="num" w:pos="720"/>
        </w:tabs>
        <w:ind w:left="720" w:hanging="720"/>
        <w:rPr>
          <w:rFonts w:ascii="Arial" w:hAnsi="Arial" w:cs="Arial"/>
          <w:b/>
          <w:bCs/>
          <w:sz w:val="22"/>
          <w:szCs w:val="22"/>
        </w:rPr>
      </w:pPr>
      <w:bookmarkStart w:id="76" w:name="_Hlk43733882"/>
      <w:r w:rsidRPr="003D3358">
        <w:rPr>
          <w:rFonts w:ascii="Arial" w:hAnsi="Arial" w:cs="Arial"/>
          <w:b/>
          <w:bCs/>
          <w:sz w:val="22"/>
          <w:szCs w:val="22"/>
        </w:rPr>
        <w:t>Ejecución de las garantías:</w:t>
      </w:r>
      <w:r w:rsidRPr="003D3358">
        <w:rPr>
          <w:rFonts w:ascii="Arial" w:hAnsi="Arial" w:cs="Arial"/>
          <w:sz w:val="22"/>
          <w:szCs w:val="22"/>
        </w:rPr>
        <w:t xml:space="preserve"> Antes de ejecutar una garantía, el OE deberá asegurarse que el beneficiario final no se encuentra en la lista de </w:t>
      </w:r>
      <w:r w:rsidRPr="008B541E">
        <w:rPr>
          <w:rFonts w:ascii="Arial" w:hAnsi="Arial" w:cs="Arial"/>
          <w:sz w:val="22"/>
          <w:szCs w:val="22"/>
        </w:rPr>
        <w:t>partes sancionadas del BID (</w:t>
      </w:r>
      <w:hyperlink r:id="rId24" w:history="1">
        <w:r w:rsidRPr="008B541E">
          <w:rPr>
            <w:rStyle w:val="Hyperlink"/>
            <w:rFonts w:ascii="Arial" w:hAnsi="Arial" w:cs="Arial"/>
            <w:sz w:val="22"/>
            <w:szCs w:val="22"/>
          </w:rPr>
          <w:t>www.iadb.org/integrity</w:t>
        </w:r>
      </w:hyperlink>
      <w:r w:rsidRPr="003D3358">
        <w:rPr>
          <w:rFonts w:ascii="Arial" w:hAnsi="Arial" w:cs="Arial"/>
          <w:sz w:val="22"/>
          <w:szCs w:val="22"/>
        </w:rPr>
        <w:t>)</w:t>
      </w:r>
      <w:r w:rsidRPr="008B541E">
        <w:rPr>
          <w:rFonts w:ascii="Arial" w:hAnsi="Arial" w:cs="Arial"/>
          <w:sz w:val="22"/>
          <w:szCs w:val="22"/>
        </w:rPr>
        <w:t>.</w:t>
      </w:r>
      <w:bookmarkEnd w:id="76"/>
    </w:p>
    <w:p w14:paraId="618C3E6C" w14:textId="4EC1AA33" w:rsidR="004F7AF5" w:rsidRPr="003E525C" w:rsidRDefault="004F7AF5" w:rsidP="004F7AF5">
      <w:pPr>
        <w:pStyle w:val="Paragraph"/>
        <w:ind w:left="720" w:hanging="720"/>
        <w:rPr>
          <w:rFonts w:ascii="Arial" w:hAnsi="Arial" w:cs="Arial"/>
          <w:b/>
          <w:bCs/>
          <w:sz w:val="22"/>
          <w:szCs w:val="22"/>
        </w:rPr>
      </w:pPr>
      <w:r w:rsidRPr="003E525C">
        <w:rPr>
          <w:rFonts w:ascii="Arial" w:hAnsi="Arial" w:cs="Arial"/>
          <w:b/>
          <w:bCs/>
          <w:sz w:val="22"/>
          <w:szCs w:val="22"/>
        </w:rPr>
        <w:t>Cumplimiento de regulación vigente:</w:t>
      </w:r>
      <w:r w:rsidR="00063783">
        <w:rPr>
          <w:rFonts w:ascii="Arial" w:hAnsi="Arial" w:cs="Arial"/>
          <w:b/>
          <w:bCs/>
          <w:sz w:val="22"/>
          <w:szCs w:val="22"/>
        </w:rPr>
        <w:t xml:space="preserve"> </w:t>
      </w:r>
      <w:r w:rsidR="00063783" w:rsidRPr="007A0BED">
        <w:rPr>
          <w:rFonts w:ascii="Arial" w:hAnsi="Arial" w:cs="Arial"/>
          <w:sz w:val="22"/>
          <w:szCs w:val="22"/>
        </w:rPr>
        <w:t>Decreto legislativo</w:t>
      </w:r>
      <w:r w:rsidR="0041373F" w:rsidRPr="007A0BED">
        <w:rPr>
          <w:rFonts w:ascii="Arial" w:hAnsi="Arial" w:cs="Arial"/>
          <w:sz w:val="22"/>
          <w:szCs w:val="22"/>
        </w:rPr>
        <w:t xml:space="preserve"> No.38-2020 del 30 de abril de 2020, las disposiciones de la </w:t>
      </w:r>
      <w:r w:rsidR="0035402E" w:rsidRPr="007A0BED">
        <w:rPr>
          <w:rFonts w:ascii="Arial" w:hAnsi="Arial" w:cs="Arial"/>
          <w:sz w:val="22"/>
          <w:szCs w:val="22"/>
        </w:rPr>
        <w:t>Comisión</w:t>
      </w:r>
      <w:r w:rsidR="0041373F" w:rsidRPr="007A0BED">
        <w:rPr>
          <w:rFonts w:ascii="Arial" w:hAnsi="Arial" w:cs="Arial"/>
          <w:sz w:val="22"/>
          <w:szCs w:val="22"/>
        </w:rPr>
        <w:t xml:space="preserve"> Fiduciaria del B</w:t>
      </w:r>
      <w:r w:rsidR="004373BB" w:rsidRPr="007A0BED">
        <w:rPr>
          <w:rFonts w:ascii="Arial" w:hAnsi="Arial" w:cs="Arial"/>
          <w:sz w:val="22"/>
          <w:szCs w:val="22"/>
        </w:rPr>
        <w:t xml:space="preserve">anco Central, y los artículos pertinentes del </w:t>
      </w:r>
      <w:r w:rsidR="0035402E" w:rsidRPr="007A0BED">
        <w:rPr>
          <w:rFonts w:ascii="Arial" w:hAnsi="Arial" w:cs="Arial"/>
          <w:sz w:val="22"/>
          <w:szCs w:val="22"/>
        </w:rPr>
        <w:t>Código</w:t>
      </w:r>
      <w:r w:rsidR="004373BB" w:rsidRPr="007A0BED">
        <w:rPr>
          <w:rFonts w:ascii="Arial" w:hAnsi="Arial" w:cs="Arial"/>
          <w:sz w:val="22"/>
          <w:szCs w:val="22"/>
        </w:rPr>
        <w:t xml:space="preserve"> de </w:t>
      </w:r>
      <w:r w:rsidR="0035402E">
        <w:rPr>
          <w:rFonts w:ascii="Arial" w:hAnsi="Arial" w:cs="Arial"/>
          <w:sz w:val="22"/>
          <w:szCs w:val="22"/>
        </w:rPr>
        <w:t>C</w:t>
      </w:r>
      <w:r w:rsidR="0035402E" w:rsidRPr="007A0BED">
        <w:rPr>
          <w:rFonts w:ascii="Arial" w:hAnsi="Arial" w:cs="Arial"/>
          <w:sz w:val="22"/>
          <w:szCs w:val="22"/>
        </w:rPr>
        <w:t>omercio</w:t>
      </w:r>
      <w:r w:rsidR="004373BB" w:rsidRPr="007A0BED">
        <w:rPr>
          <w:rFonts w:ascii="Arial" w:hAnsi="Arial" w:cs="Arial"/>
          <w:sz w:val="22"/>
          <w:szCs w:val="22"/>
        </w:rPr>
        <w:t>, Ley del Banco Central de Honduras, Ley del Sistema Financiero,</w:t>
      </w:r>
      <w:r w:rsidR="002C244C" w:rsidRPr="007A0BED">
        <w:rPr>
          <w:rFonts w:ascii="Arial" w:hAnsi="Arial" w:cs="Arial"/>
          <w:sz w:val="22"/>
          <w:szCs w:val="22"/>
        </w:rPr>
        <w:t xml:space="preserve"> Ley de la CNBS, ley de BANHPROVI, y </w:t>
      </w:r>
      <w:r w:rsidR="0035402E" w:rsidRPr="007A0BED">
        <w:rPr>
          <w:rFonts w:ascii="Arial" w:hAnsi="Arial" w:cs="Arial"/>
          <w:sz w:val="22"/>
          <w:szCs w:val="22"/>
        </w:rPr>
        <w:t>Reglamento de Sanciones a ser Aplicado a las Instituciones Super visadas por la CNBS.</w:t>
      </w:r>
    </w:p>
    <w:p w14:paraId="62E9A8D4" w14:textId="0A3867AF" w:rsidR="00C85E68" w:rsidRPr="00C85E68" w:rsidRDefault="00C85E68" w:rsidP="00C85E68">
      <w:pPr>
        <w:pStyle w:val="Paragraph"/>
        <w:tabs>
          <w:tab w:val="num" w:pos="720"/>
        </w:tabs>
        <w:ind w:left="720" w:hanging="720"/>
        <w:rPr>
          <w:rFonts w:ascii="Arial" w:hAnsi="Arial" w:cs="Arial"/>
          <w:b/>
          <w:bCs/>
          <w:sz w:val="22"/>
          <w:szCs w:val="22"/>
        </w:rPr>
      </w:pPr>
      <w:r w:rsidRPr="00ED5EDD">
        <w:rPr>
          <w:rFonts w:ascii="Arial" w:hAnsi="Arial" w:cs="Arial"/>
          <w:b/>
          <w:bCs/>
          <w:sz w:val="22"/>
          <w:szCs w:val="22"/>
        </w:rPr>
        <w:t xml:space="preserve">IFI </w:t>
      </w:r>
      <w:r>
        <w:rPr>
          <w:rFonts w:ascii="Arial" w:hAnsi="Arial" w:cs="Arial"/>
          <w:b/>
          <w:bCs/>
          <w:sz w:val="22"/>
          <w:szCs w:val="22"/>
        </w:rPr>
        <w:t>beneficiaria de la garantía</w:t>
      </w:r>
      <w:r w:rsidRPr="00ED5EDD">
        <w:rPr>
          <w:rFonts w:ascii="Arial" w:hAnsi="Arial" w:cs="Arial"/>
          <w:b/>
          <w:bCs/>
          <w:sz w:val="22"/>
          <w:szCs w:val="22"/>
        </w:rPr>
        <w:t>:</w:t>
      </w:r>
      <w:r w:rsidRPr="00ED5EDD">
        <w:rPr>
          <w:rFonts w:ascii="Arial" w:hAnsi="Arial" w:cs="Arial"/>
          <w:sz w:val="22"/>
          <w:szCs w:val="22"/>
        </w:rPr>
        <w:t xml:space="preserve"> En general, l</w:t>
      </w:r>
      <w:r w:rsidR="00A92006">
        <w:rPr>
          <w:rFonts w:ascii="Arial" w:hAnsi="Arial" w:cs="Arial"/>
          <w:sz w:val="22"/>
          <w:szCs w:val="22"/>
        </w:rPr>
        <w:t xml:space="preserve">as garantías </w:t>
      </w:r>
      <w:r w:rsidR="00A92006" w:rsidRPr="00ED5EDD">
        <w:rPr>
          <w:rFonts w:ascii="Arial" w:hAnsi="Arial" w:cs="Arial"/>
          <w:sz w:val="22"/>
          <w:szCs w:val="22"/>
        </w:rPr>
        <w:t>se</w:t>
      </w:r>
      <w:r w:rsidR="00A92006">
        <w:rPr>
          <w:rFonts w:ascii="Arial" w:hAnsi="Arial" w:cs="Arial"/>
          <w:sz w:val="22"/>
          <w:szCs w:val="22"/>
        </w:rPr>
        <w:t xml:space="preserve">rán </w:t>
      </w:r>
      <w:r w:rsidR="00B72A5C">
        <w:rPr>
          <w:rFonts w:ascii="Arial" w:hAnsi="Arial" w:cs="Arial"/>
          <w:sz w:val="22"/>
          <w:szCs w:val="22"/>
        </w:rPr>
        <w:t xml:space="preserve">otorgadas </w:t>
      </w:r>
      <w:r w:rsidR="00B72A5C" w:rsidRPr="00ED5EDD">
        <w:rPr>
          <w:rFonts w:ascii="Arial" w:hAnsi="Arial" w:cs="Arial"/>
          <w:sz w:val="22"/>
          <w:szCs w:val="22"/>
        </w:rPr>
        <w:t>a</w:t>
      </w:r>
      <w:r w:rsidR="00A92006">
        <w:rPr>
          <w:rFonts w:ascii="Arial" w:hAnsi="Arial" w:cs="Arial"/>
          <w:sz w:val="22"/>
          <w:szCs w:val="22"/>
        </w:rPr>
        <w:t xml:space="preserve"> las </w:t>
      </w:r>
      <w:r w:rsidRPr="00ED5EDD">
        <w:rPr>
          <w:rFonts w:ascii="Arial" w:hAnsi="Arial" w:cs="Arial"/>
          <w:sz w:val="22"/>
          <w:szCs w:val="22"/>
        </w:rPr>
        <w:t xml:space="preserve">IFI </w:t>
      </w:r>
      <w:r w:rsidR="004461AA">
        <w:rPr>
          <w:rFonts w:ascii="Arial" w:hAnsi="Arial" w:cs="Arial"/>
          <w:sz w:val="22"/>
          <w:szCs w:val="22"/>
        </w:rPr>
        <w:t>elegibles d</w:t>
      </w:r>
      <w:r w:rsidR="002E741C">
        <w:rPr>
          <w:rFonts w:ascii="Arial" w:hAnsi="Arial" w:cs="Arial"/>
          <w:sz w:val="22"/>
          <w:szCs w:val="22"/>
        </w:rPr>
        <w:t xml:space="preserve">e este programa </w:t>
      </w:r>
      <w:r w:rsidRPr="00ED5EDD">
        <w:rPr>
          <w:rFonts w:ascii="Arial" w:hAnsi="Arial" w:cs="Arial"/>
          <w:sz w:val="22"/>
          <w:szCs w:val="22"/>
        </w:rPr>
        <w:t>según los parámetros estipulados en</w:t>
      </w:r>
      <w:r w:rsidR="004461AA">
        <w:rPr>
          <w:rFonts w:ascii="Arial" w:hAnsi="Arial" w:cs="Arial"/>
          <w:sz w:val="22"/>
          <w:szCs w:val="22"/>
        </w:rPr>
        <w:t xml:space="preserve"> </w:t>
      </w:r>
      <w:r w:rsidR="004461AA" w:rsidRPr="00DA528B">
        <w:rPr>
          <w:rFonts w:ascii="Arial" w:hAnsi="Arial" w:cs="Arial"/>
          <w:sz w:val="22"/>
          <w:szCs w:val="22"/>
        </w:rPr>
        <w:t xml:space="preserve">Reglamento del Fondo de Garantías para la Reactivación de las </w:t>
      </w:r>
      <w:proofErr w:type="spellStart"/>
      <w:r w:rsidR="004461AA" w:rsidRPr="00DA528B">
        <w:rPr>
          <w:rFonts w:ascii="Arial" w:hAnsi="Arial" w:cs="Arial"/>
          <w:sz w:val="22"/>
          <w:szCs w:val="22"/>
        </w:rPr>
        <w:t>MIPYMEs</w:t>
      </w:r>
      <w:proofErr w:type="spellEnd"/>
      <w:r w:rsidR="004461AA" w:rsidRPr="00DA528B">
        <w:rPr>
          <w:rFonts w:ascii="Arial" w:hAnsi="Arial" w:cs="Arial"/>
          <w:sz w:val="22"/>
          <w:szCs w:val="22"/>
        </w:rPr>
        <w:t xml:space="preserve"> afectadas por el COVID-19 (Acuerdo No. 07/2020</w:t>
      </w:r>
      <w:r w:rsidR="004461AA">
        <w:rPr>
          <w:rFonts w:ascii="Arial" w:hAnsi="Arial" w:cs="Arial"/>
          <w:sz w:val="22"/>
          <w:szCs w:val="22"/>
        </w:rPr>
        <w:t>)</w:t>
      </w:r>
      <w:r w:rsidR="004461AA" w:rsidRPr="00DA528B">
        <w:rPr>
          <w:rFonts w:ascii="Arial" w:hAnsi="Arial" w:cs="Arial"/>
          <w:sz w:val="22"/>
          <w:szCs w:val="22"/>
        </w:rPr>
        <w:t xml:space="preserve"> del Banco Central de Honduras</w:t>
      </w:r>
      <w:r w:rsidRPr="00ED5EDD">
        <w:rPr>
          <w:rFonts w:ascii="Arial" w:hAnsi="Arial" w:cs="Arial"/>
          <w:sz w:val="22"/>
          <w:szCs w:val="22"/>
        </w:rPr>
        <w:t>. Los recursos del préstamo no se podrán canalizar a través de IFI no reguladas.</w:t>
      </w:r>
    </w:p>
    <w:p w14:paraId="38FEC55A" w14:textId="1B6CAF2D" w:rsidR="00C85E68" w:rsidRPr="007A0BED" w:rsidRDefault="00C85E68" w:rsidP="00C85E68">
      <w:pPr>
        <w:pStyle w:val="Paragraph"/>
        <w:tabs>
          <w:tab w:val="num" w:pos="720"/>
        </w:tabs>
        <w:ind w:left="720" w:hanging="720"/>
        <w:rPr>
          <w:rFonts w:ascii="Arial" w:hAnsi="Arial" w:cs="Arial"/>
          <w:b/>
          <w:bCs/>
          <w:sz w:val="22"/>
          <w:szCs w:val="22"/>
        </w:rPr>
      </w:pPr>
      <w:r w:rsidRPr="007A0BED">
        <w:rPr>
          <w:rFonts w:ascii="Arial" w:hAnsi="Arial" w:cs="Arial"/>
          <w:b/>
          <w:bCs/>
          <w:sz w:val="22"/>
          <w:szCs w:val="22"/>
        </w:rPr>
        <w:t>Cupo por IFI:</w:t>
      </w:r>
      <w:r w:rsidRPr="007A0BED">
        <w:rPr>
          <w:rFonts w:ascii="Arial" w:hAnsi="Arial" w:cs="Arial"/>
          <w:sz w:val="22"/>
          <w:szCs w:val="22"/>
        </w:rPr>
        <w:t xml:space="preserve"> </w:t>
      </w:r>
      <w:r w:rsidR="002F632B" w:rsidRPr="00B51D7B">
        <w:rPr>
          <w:rFonts w:ascii="Arial" w:hAnsi="Arial" w:cs="Arial"/>
          <w:sz w:val="22"/>
          <w:szCs w:val="22"/>
        </w:rPr>
        <w:t>Los cupos por IFI serán definidos entre el Banco y BANHPROVI</w:t>
      </w:r>
      <w:r w:rsidR="002F632B" w:rsidRPr="005D6562">
        <w:rPr>
          <w:rFonts w:ascii="Arial" w:hAnsi="Arial" w:cs="Arial"/>
          <w:sz w:val="22"/>
          <w:szCs w:val="22"/>
        </w:rPr>
        <w:t>, según</w:t>
      </w:r>
      <w:r w:rsidR="005B76AA">
        <w:rPr>
          <w:rFonts w:ascii="Arial" w:hAnsi="Arial" w:cs="Arial"/>
          <w:sz w:val="22"/>
          <w:szCs w:val="22"/>
        </w:rPr>
        <w:t xml:space="preserve"> </w:t>
      </w:r>
      <w:r w:rsidR="005B76AA" w:rsidRPr="005D6562">
        <w:rPr>
          <w:rFonts w:ascii="Arial" w:hAnsi="Arial" w:cs="Arial"/>
          <w:sz w:val="22"/>
          <w:szCs w:val="22"/>
        </w:rPr>
        <w:t xml:space="preserve">los criterios </w:t>
      </w:r>
      <w:r w:rsidR="005B76AA">
        <w:rPr>
          <w:rFonts w:ascii="Arial" w:hAnsi="Arial" w:cs="Arial"/>
          <w:sz w:val="22"/>
          <w:szCs w:val="22"/>
        </w:rPr>
        <w:t>acordados entre las partes</w:t>
      </w:r>
      <w:r w:rsidR="002F632B">
        <w:rPr>
          <w:rFonts w:ascii="Arial" w:hAnsi="Arial" w:cs="Arial"/>
          <w:sz w:val="22"/>
          <w:szCs w:val="22"/>
        </w:rPr>
        <w:t>.</w:t>
      </w:r>
    </w:p>
    <w:p w14:paraId="2600A8D0" w14:textId="02380DFC" w:rsidR="004F7AF5" w:rsidRPr="00ED5EDD" w:rsidRDefault="004F7AF5" w:rsidP="004F7AF5">
      <w:pPr>
        <w:pStyle w:val="Paragraph"/>
        <w:ind w:left="720" w:hanging="720"/>
        <w:rPr>
          <w:rFonts w:ascii="Arial" w:hAnsi="Arial" w:cs="Arial"/>
          <w:sz w:val="22"/>
          <w:szCs w:val="22"/>
        </w:rPr>
      </w:pPr>
      <w:r w:rsidRPr="004F7AF5">
        <w:rPr>
          <w:rFonts w:ascii="Arial" w:hAnsi="Arial" w:cs="Arial"/>
          <w:b/>
          <w:bCs/>
          <w:sz w:val="22"/>
          <w:szCs w:val="22"/>
        </w:rPr>
        <w:lastRenderedPageBreak/>
        <w:t>Car</w:t>
      </w:r>
      <w:r>
        <w:rPr>
          <w:rFonts w:ascii="Arial" w:hAnsi="Arial" w:cs="Arial"/>
          <w:b/>
          <w:bCs/>
          <w:sz w:val="22"/>
          <w:szCs w:val="22"/>
        </w:rPr>
        <w:t>a</w:t>
      </w:r>
      <w:r w:rsidRPr="004F7AF5">
        <w:rPr>
          <w:rFonts w:ascii="Arial" w:hAnsi="Arial" w:cs="Arial"/>
          <w:b/>
          <w:bCs/>
          <w:sz w:val="22"/>
          <w:szCs w:val="22"/>
        </w:rPr>
        <w:t>cterísticas de las garantías:</w:t>
      </w:r>
      <w:r>
        <w:rPr>
          <w:rFonts w:ascii="Arial" w:hAnsi="Arial" w:cs="Arial"/>
          <w:sz w:val="22"/>
          <w:szCs w:val="22"/>
        </w:rPr>
        <w:t xml:space="preserve"> </w:t>
      </w:r>
      <w:r w:rsidR="00A910F9">
        <w:rPr>
          <w:rFonts w:ascii="Arial" w:hAnsi="Arial" w:cs="Arial"/>
          <w:sz w:val="22"/>
          <w:szCs w:val="22"/>
        </w:rPr>
        <w:t xml:space="preserve">El Banco y BANHPROVI acordarán </w:t>
      </w:r>
      <w:r w:rsidR="00310022">
        <w:rPr>
          <w:rFonts w:ascii="Arial" w:hAnsi="Arial" w:cs="Arial"/>
          <w:sz w:val="22"/>
          <w:szCs w:val="22"/>
        </w:rPr>
        <w:t xml:space="preserve">los criterios de elegibilidad </w:t>
      </w:r>
      <w:r w:rsidR="00E31487">
        <w:rPr>
          <w:rFonts w:ascii="Arial" w:hAnsi="Arial" w:cs="Arial"/>
          <w:sz w:val="22"/>
          <w:szCs w:val="22"/>
        </w:rPr>
        <w:t>de tipo</w:t>
      </w:r>
      <w:r w:rsidR="00A910F9">
        <w:rPr>
          <w:rFonts w:ascii="Arial" w:hAnsi="Arial" w:cs="Arial"/>
          <w:sz w:val="22"/>
          <w:szCs w:val="22"/>
        </w:rPr>
        <w:t xml:space="preserve"> y tamaño de crédito a garantizar</w:t>
      </w:r>
      <w:r w:rsidR="009A652B">
        <w:rPr>
          <w:rFonts w:ascii="Arial" w:hAnsi="Arial" w:cs="Arial"/>
          <w:sz w:val="22"/>
          <w:szCs w:val="22"/>
        </w:rPr>
        <w:t>, así como porcentajes de cobertura</w:t>
      </w:r>
      <w:r w:rsidR="001709A8">
        <w:rPr>
          <w:rFonts w:ascii="Arial" w:hAnsi="Arial" w:cs="Arial"/>
          <w:sz w:val="22"/>
          <w:szCs w:val="22"/>
        </w:rPr>
        <w:t>.</w:t>
      </w:r>
    </w:p>
    <w:p w14:paraId="20E5DC99" w14:textId="45085F02" w:rsidR="00C85E68" w:rsidRPr="00ED5EDD" w:rsidRDefault="00C85E68" w:rsidP="00C85E68">
      <w:pPr>
        <w:pStyle w:val="Paragraph"/>
        <w:ind w:left="720" w:hanging="720"/>
        <w:rPr>
          <w:rFonts w:ascii="Arial" w:hAnsi="Arial" w:cs="Arial"/>
          <w:sz w:val="22"/>
          <w:szCs w:val="22"/>
        </w:rPr>
      </w:pPr>
      <w:r w:rsidRPr="00ED5EDD">
        <w:rPr>
          <w:rFonts w:ascii="Arial" w:hAnsi="Arial" w:cs="Arial"/>
          <w:b/>
          <w:bCs/>
          <w:sz w:val="22"/>
          <w:szCs w:val="22"/>
        </w:rPr>
        <w:t xml:space="preserve">Recuperaciones: </w:t>
      </w:r>
      <w:r w:rsidRPr="00ED5EDD">
        <w:rPr>
          <w:rFonts w:ascii="Arial" w:hAnsi="Arial" w:cs="Arial"/>
          <w:sz w:val="22"/>
          <w:szCs w:val="22"/>
        </w:rPr>
        <w:t>Los fondos provenientes de las recuperaciones de l</w:t>
      </w:r>
      <w:r>
        <w:rPr>
          <w:rFonts w:ascii="Arial" w:hAnsi="Arial" w:cs="Arial"/>
          <w:sz w:val="22"/>
          <w:szCs w:val="22"/>
        </w:rPr>
        <w:t>a</w:t>
      </w:r>
      <w:r w:rsidRPr="00ED5EDD">
        <w:rPr>
          <w:rFonts w:ascii="Arial" w:hAnsi="Arial" w:cs="Arial"/>
          <w:sz w:val="22"/>
          <w:szCs w:val="22"/>
        </w:rPr>
        <w:t xml:space="preserve">s </w:t>
      </w:r>
      <w:r>
        <w:rPr>
          <w:rFonts w:ascii="Arial" w:hAnsi="Arial" w:cs="Arial"/>
          <w:sz w:val="22"/>
          <w:szCs w:val="22"/>
        </w:rPr>
        <w:t>garantías</w:t>
      </w:r>
      <w:r w:rsidRPr="00ED5EDD">
        <w:rPr>
          <w:rFonts w:ascii="Arial" w:hAnsi="Arial" w:cs="Arial"/>
          <w:sz w:val="22"/>
          <w:szCs w:val="22"/>
        </w:rPr>
        <w:t xml:space="preserve"> concedid</w:t>
      </w:r>
      <w:r>
        <w:rPr>
          <w:rFonts w:ascii="Arial" w:hAnsi="Arial" w:cs="Arial"/>
          <w:sz w:val="22"/>
          <w:szCs w:val="22"/>
        </w:rPr>
        <w:t>a</w:t>
      </w:r>
      <w:r w:rsidRPr="00ED5EDD">
        <w:rPr>
          <w:rFonts w:ascii="Arial" w:hAnsi="Arial" w:cs="Arial"/>
          <w:sz w:val="22"/>
          <w:szCs w:val="22"/>
        </w:rPr>
        <w:t xml:space="preserve">s con los recursos del </w:t>
      </w:r>
      <w:r>
        <w:rPr>
          <w:rFonts w:ascii="Arial" w:hAnsi="Arial" w:cs="Arial"/>
          <w:sz w:val="22"/>
          <w:szCs w:val="22"/>
        </w:rPr>
        <w:t>programa</w:t>
      </w:r>
      <w:r w:rsidRPr="00ED5EDD">
        <w:rPr>
          <w:rFonts w:ascii="Arial" w:hAnsi="Arial" w:cs="Arial"/>
          <w:sz w:val="22"/>
          <w:szCs w:val="22"/>
        </w:rPr>
        <w:t xml:space="preserve"> que se acumulen en exceso de las cantidades necesarias para el servicio del préstamo, sólo podrán utilizarse para la concesión de nuev</w:t>
      </w:r>
      <w:r w:rsidR="004F7AF5">
        <w:rPr>
          <w:rFonts w:ascii="Arial" w:hAnsi="Arial" w:cs="Arial"/>
          <w:sz w:val="22"/>
          <w:szCs w:val="22"/>
        </w:rPr>
        <w:t>a</w:t>
      </w:r>
      <w:r w:rsidRPr="00ED5EDD">
        <w:rPr>
          <w:rFonts w:ascii="Arial" w:hAnsi="Arial" w:cs="Arial"/>
          <w:sz w:val="22"/>
          <w:szCs w:val="22"/>
        </w:rPr>
        <w:t xml:space="preserve">s </w:t>
      </w:r>
      <w:r w:rsidR="004F7AF5">
        <w:rPr>
          <w:rFonts w:ascii="Arial" w:hAnsi="Arial" w:cs="Arial"/>
          <w:sz w:val="22"/>
          <w:szCs w:val="22"/>
        </w:rPr>
        <w:t>garantías</w:t>
      </w:r>
      <w:r w:rsidRPr="00ED5EDD">
        <w:rPr>
          <w:rFonts w:ascii="Arial" w:hAnsi="Arial" w:cs="Arial"/>
          <w:sz w:val="22"/>
          <w:szCs w:val="22"/>
        </w:rPr>
        <w:t xml:space="preserve"> que se ajusten sustancialmente a las normas establecidas en el contrato y el RC del </w:t>
      </w:r>
      <w:r w:rsidR="004F7AF5">
        <w:rPr>
          <w:rFonts w:ascii="Arial" w:hAnsi="Arial" w:cs="Arial"/>
          <w:sz w:val="22"/>
          <w:szCs w:val="22"/>
        </w:rPr>
        <w:t>p</w:t>
      </w:r>
      <w:r w:rsidRPr="00ED5EDD">
        <w:rPr>
          <w:rFonts w:ascii="Arial" w:hAnsi="Arial" w:cs="Arial"/>
          <w:sz w:val="22"/>
          <w:szCs w:val="22"/>
        </w:rPr>
        <w:t>rograma.</w:t>
      </w:r>
    </w:p>
    <w:p w14:paraId="77F30BAB" w14:textId="391089AE" w:rsidR="00C85E68" w:rsidRPr="00ED5EDD" w:rsidRDefault="004F7AF5" w:rsidP="00C85E68">
      <w:pPr>
        <w:pStyle w:val="Paragraph"/>
        <w:ind w:left="720" w:hanging="720"/>
        <w:rPr>
          <w:rFonts w:ascii="Arial" w:hAnsi="Arial" w:cs="Arial"/>
          <w:sz w:val="22"/>
          <w:szCs w:val="22"/>
        </w:rPr>
      </w:pPr>
      <w:proofErr w:type="spellStart"/>
      <w:r>
        <w:rPr>
          <w:rFonts w:ascii="Arial" w:hAnsi="Arial" w:cs="Arial"/>
          <w:b/>
          <w:sz w:val="22"/>
          <w:szCs w:val="22"/>
        </w:rPr>
        <w:t>Cog</w:t>
      </w:r>
      <w:r w:rsidRPr="00ED5EDD">
        <w:rPr>
          <w:rFonts w:ascii="Arial" w:hAnsi="Arial" w:cs="Arial"/>
          <w:b/>
          <w:sz w:val="22"/>
          <w:szCs w:val="22"/>
        </w:rPr>
        <w:t>a</w:t>
      </w:r>
      <w:r>
        <w:rPr>
          <w:rFonts w:ascii="Arial" w:hAnsi="Arial" w:cs="Arial"/>
          <w:b/>
          <w:sz w:val="22"/>
          <w:szCs w:val="22"/>
        </w:rPr>
        <w:t>rantías</w:t>
      </w:r>
      <w:proofErr w:type="spellEnd"/>
      <w:r w:rsidR="00C85E68" w:rsidRPr="00ED5EDD">
        <w:rPr>
          <w:rFonts w:ascii="Arial" w:hAnsi="Arial" w:cs="Arial"/>
          <w:b/>
          <w:sz w:val="22"/>
          <w:szCs w:val="22"/>
        </w:rPr>
        <w:t>:</w:t>
      </w:r>
      <w:r w:rsidR="00C85E68" w:rsidRPr="00ED5EDD">
        <w:rPr>
          <w:rFonts w:ascii="Arial" w:hAnsi="Arial" w:cs="Arial"/>
          <w:sz w:val="22"/>
          <w:szCs w:val="22"/>
        </w:rPr>
        <w:t xml:space="preserve"> </w:t>
      </w:r>
      <w:r>
        <w:rPr>
          <w:rFonts w:ascii="Arial" w:hAnsi="Arial" w:cs="Arial"/>
          <w:sz w:val="22"/>
          <w:szCs w:val="22"/>
        </w:rPr>
        <w:t>Ningún</w:t>
      </w:r>
      <w:r w:rsidR="00C85E68" w:rsidRPr="00ED5EDD">
        <w:rPr>
          <w:rFonts w:ascii="Arial" w:hAnsi="Arial" w:cs="Arial"/>
          <w:sz w:val="22"/>
          <w:szCs w:val="22"/>
        </w:rPr>
        <w:t xml:space="preserve"> subpréstamo </w:t>
      </w:r>
      <w:r>
        <w:rPr>
          <w:rFonts w:ascii="Arial" w:hAnsi="Arial" w:cs="Arial"/>
          <w:sz w:val="22"/>
          <w:szCs w:val="22"/>
        </w:rPr>
        <w:t xml:space="preserve">garantizado por el programa </w:t>
      </w:r>
      <w:r w:rsidR="00C85E68" w:rsidRPr="00ED5EDD">
        <w:rPr>
          <w:rFonts w:ascii="Arial" w:hAnsi="Arial" w:cs="Arial"/>
          <w:sz w:val="22"/>
          <w:szCs w:val="22"/>
        </w:rPr>
        <w:t xml:space="preserve">podrá ser objeto de </w:t>
      </w:r>
      <w:proofErr w:type="spellStart"/>
      <w:r>
        <w:rPr>
          <w:rFonts w:ascii="Arial" w:hAnsi="Arial" w:cs="Arial"/>
          <w:sz w:val="22"/>
          <w:szCs w:val="22"/>
        </w:rPr>
        <w:t>cogarantía</w:t>
      </w:r>
      <w:proofErr w:type="spellEnd"/>
      <w:r>
        <w:rPr>
          <w:rFonts w:ascii="Arial" w:hAnsi="Arial" w:cs="Arial"/>
          <w:sz w:val="22"/>
          <w:szCs w:val="22"/>
        </w:rPr>
        <w:t xml:space="preserve"> </w:t>
      </w:r>
      <w:r w:rsidR="00C85E68" w:rsidRPr="00ED5EDD">
        <w:rPr>
          <w:rFonts w:ascii="Arial" w:hAnsi="Arial" w:cs="Arial"/>
          <w:sz w:val="22"/>
          <w:szCs w:val="22"/>
        </w:rPr>
        <w:t xml:space="preserve">de </w:t>
      </w:r>
      <w:r>
        <w:rPr>
          <w:rFonts w:ascii="Arial" w:hAnsi="Arial" w:cs="Arial"/>
          <w:sz w:val="22"/>
          <w:szCs w:val="22"/>
        </w:rPr>
        <w:t xml:space="preserve">otros programas de garantía de crédito para MIPYME, </w:t>
      </w:r>
      <w:r w:rsidR="00C85E68" w:rsidRPr="00ED5EDD">
        <w:rPr>
          <w:rFonts w:ascii="Arial" w:hAnsi="Arial" w:cs="Arial"/>
          <w:sz w:val="22"/>
          <w:szCs w:val="22"/>
        </w:rPr>
        <w:t xml:space="preserve">incluyendo otras instituciones multilaterales del mismo carácter del BID </w:t>
      </w:r>
      <w:r>
        <w:rPr>
          <w:rFonts w:ascii="Arial" w:hAnsi="Arial" w:cs="Arial"/>
          <w:sz w:val="22"/>
          <w:szCs w:val="22"/>
        </w:rPr>
        <w:t xml:space="preserve">y </w:t>
      </w:r>
      <w:r w:rsidR="00C85E68" w:rsidRPr="00ED5EDD">
        <w:rPr>
          <w:rFonts w:ascii="Arial" w:hAnsi="Arial" w:cs="Arial"/>
          <w:sz w:val="22"/>
          <w:szCs w:val="22"/>
        </w:rPr>
        <w:t xml:space="preserve">otros programas del </w:t>
      </w:r>
      <w:r w:rsidR="00EB56FC">
        <w:rPr>
          <w:rFonts w:ascii="Arial" w:hAnsi="Arial" w:cs="Arial"/>
          <w:sz w:val="22"/>
          <w:szCs w:val="22"/>
        </w:rPr>
        <w:t>g</w:t>
      </w:r>
      <w:r w:rsidR="00C85E68" w:rsidRPr="00ED5EDD">
        <w:rPr>
          <w:rFonts w:ascii="Arial" w:hAnsi="Arial" w:cs="Arial"/>
          <w:sz w:val="22"/>
          <w:szCs w:val="22"/>
        </w:rPr>
        <w:t>obierno.</w:t>
      </w:r>
    </w:p>
    <w:p w14:paraId="2DFA444C" w14:textId="34E0B809" w:rsidR="009E5F39" w:rsidRDefault="009E5F39" w:rsidP="009E5F39">
      <w:pPr>
        <w:rPr>
          <w:rFonts w:ascii="Arial" w:hAnsi="Arial" w:cs="Arial"/>
          <w:lang w:val="es-ES_tradnl"/>
        </w:rPr>
      </w:pPr>
    </w:p>
    <w:p w14:paraId="2C00FC33" w14:textId="77777777" w:rsidR="009B0B2B" w:rsidRPr="00ED5EDD" w:rsidRDefault="009B0B2B" w:rsidP="009E5F39">
      <w:pPr>
        <w:rPr>
          <w:rFonts w:ascii="Arial" w:hAnsi="Arial" w:cs="Arial"/>
          <w:lang w:val="es-ES_tradnl"/>
        </w:rPr>
      </w:pPr>
    </w:p>
    <w:p w14:paraId="4A1B4CF8" w14:textId="2A7D446F" w:rsidR="0061131C" w:rsidRPr="00ED5EDD" w:rsidRDefault="0061131C" w:rsidP="00EB56FC">
      <w:pPr>
        <w:pStyle w:val="Chapter"/>
        <w:tabs>
          <w:tab w:val="clear" w:pos="1440"/>
        </w:tabs>
        <w:spacing w:before="0"/>
        <w:ind w:left="1350" w:hanging="540"/>
        <w:rPr>
          <w:rFonts w:ascii="Arial" w:hAnsi="Arial" w:cs="Arial"/>
          <w:szCs w:val="24"/>
        </w:rPr>
      </w:pPr>
      <w:bookmarkStart w:id="77" w:name="_Toc42960881"/>
      <w:r w:rsidRPr="00ED5EDD">
        <w:rPr>
          <w:rFonts w:ascii="Arial" w:hAnsi="Arial" w:cs="Arial"/>
          <w:szCs w:val="24"/>
        </w:rPr>
        <w:t>Requerimientos Ambientales y Sociales</w:t>
      </w:r>
      <w:bookmarkEnd w:id="71"/>
      <w:bookmarkEnd w:id="72"/>
      <w:bookmarkEnd w:id="73"/>
      <w:r w:rsidRPr="00ED5EDD">
        <w:rPr>
          <w:rFonts w:ascii="Arial" w:hAnsi="Arial" w:cs="Arial"/>
          <w:szCs w:val="24"/>
        </w:rPr>
        <w:t xml:space="preserve"> </w:t>
      </w:r>
      <w:r w:rsidR="00D25596" w:rsidRPr="00ED5EDD">
        <w:rPr>
          <w:rFonts w:ascii="Arial" w:hAnsi="Arial" w:cs="Arial"/>
          <w:szCs w:val="24"/>
        </w:rPr>
        <w:t>(‘</w:t>
      </w:r>
      <w:r w:rsidR="008F0899" w:rsidRPr="00ED5EDD">
        <w:rPr>
          <w:rFonts w:ascii="Arial" w:hAnsi="Arial" w:cs="Arial"/>
          <w:szCs w:val="24"/>
        </w:rPr>
        <w:t>S</w:t>
      </w:r>
      <w:r w:rsidR="00D25596" w:rsidRPr="00ED5EDD">
        <w:rPr>
          <w:rFonts w:ascii="Arial" w:hAnsi="Arial" w:cs="Arial"/>
          <w:szCs w:val="24"/>
        </w:rPr>
        <w:t xml:space="preserve">aras del </w:t>
      </w:r>
      <w:r w:rsidR="00525A40" w:rsidRPr="00ED5EDD">
        <w:rPr>
          <w:rFonts w:ascii="Arial" w:hAnsi="Arial" w:cs="Arial"/>
          <w:szCs w:val="24"/>
        </w:rPr>
        <w:t>Programa</w:t>
      </w:r>
      <w:r w:rsidR="00D25596" w:rsidRPr="00ED5EDD">
        <w:rPr>
          <w:rFonts w:ascii="Arial" w:hAnsi="Arial" w:cs="Arial"/>
          <w:szCs w:val="24"/>
        </w:rPr>
        <w:t>’)</w:t>
      </w:r>
      <w:bookmarkEnd w:id="77"/>
    </w:p>
    <w:p w14:paraId="3E0D5093" w14:textId="76E4CE9D" w:rsidR="00344F72" w:rsidRPr="00ED5EDD" w:rsidRDefault="00344F72" w:rsidP="00CA3B78">
      <w:pPr>
        <w:pStyle w:val="Paragraph"/>
        <w:tabs>
          <w:tab w:val="num" w:pos="810"/>
        </w:tabs>
        <w:ind w:left="810" w:hanging="810"/>
        <w:rPr>
          <w:rFonts w:ascii="Arial" w:hAnsi="Arial" w:cs="Arial"/>
          <w:sz w:val="22"/>
          <w:szCs w:val="22"/>
        </w:rPr>
      </w:pPr>
      <w:r w:rsidRPr="00ED5EDD">
        <w:rPr>
          <w:rFonts w:ascii="Arial" w:hAnsi="Arial" w:cs="Arial"/>
          <w:sz w:val="22"/>
          <w:szCs w:val="22"/>
        </w:rPr>
        <w:t xml:space="preserve">Solo serán elegibles de financiamiento con recursos del </w:t>
      </w:r>
      <w:r w:rsidR="00E21603" w:rsidRPr="00ED5EDD">
        <w:rPr>
          <w:rFonts w:ascii="Arial" w:hAnsi="Arial" w:cs="Arial"/>
          <w:sz w:val="22"/>
          <w:szCs w:val="22"/>
        </w:rPr>
        <w:t>programa</w:t>
      </w:r>
      <w:r w:rsidRPr="00ED5EDD">
        <w:rPr>
          <w:rFonts w:ascii="Arial" w:hAnsi="Arial" w:cs="Arial"/>
          <w:sz w:val="22"/>
          <w:szCs w:val="22"/>
        </w:rPr>
        <w:t xml:space="preserve"> </w:t>
      </w:r>
      <w:r w:rsidR="00ED5EDD" w:rsidRPr="00ED5EDD">
        <w:rPr>
          <w:rFonts w:ascii="Arial" w:hAnsi="Arial" w:cs="Arial"/>
          <w:sz w:val="22"/>
          <w:szCs w:val="22"/>
        </w:rPr>
        <w:t>MIPYME</w:t>
      </w:r>
      <w:r w:rsidRPr="00ED5EDD">
        <w:rPr>
          <w:rFonts w:ascii="Arial" w:hAnsi="Arial" w:cs="Arial"/>
          <w:sz w:val="22"/>
          <w:szCs w:val="22"/>
        </w:rPr>
        <w:t xml:space="preserve"> que cumplen con los criterios de elegibilidad siguientes: </w:t>
      </w:r>
    </w:p>
    <w:p w14:paraId="1FD8DD03" w14:textId="297C8D7E" w:rsidR="00344F72" w:rsidRPr="00ED5EDD" w:rsidRDefault="00344F72" w:rsidP="00CD66CF">
      <w:pPr>
        <w:pStyle w:val="ListParagraph"/>
        <w:numPr>
          <w:ilvl w:val="2"/>
          <w:numId w:val="7"/>
        </w:numPr>
        <w:jc w:val="both"/>
        <w:rPr>
          <w:rFonts w:ascii="Arial" w:hAnsi="Arial" w:cs="Arial"/>
          <w:sz w:val="22"/>
          <w:szCs w:val="22"/>
          <w:lang w:val="es-ES_tradnl"/>
        </w:rPr>
      </w:pPr>
      <w:r w:rsidRPr="00ED5EDD">
        <w:rPr>
          <w:rFonts w:ascii="Arial" w:hAnsi="Arial" w:cs="Arial"/>
          <w:sz w:val="22"/>
          <w:szCs w:val="22"/>
          <w:lang w:val="es-ES_tradnl"/>
        </w:rPr>
        <w:t xml:space="preserve">El cumplimiento con la lista de exclusión del </w:t>
      </w:r>
      <w:r w:rsidR="00E21603" w:rsidRPr="00ED5EDD">
        <w:rPr>
          <w:rFonts w:ascii="Arial" w:hAnsi="Arial" w:cs="Arial"/>
          <w:sz w:val="22"/>
          <w:szCs w:val="22"/>
          <w:lang w:val="es-ES_tradnl"/>
        </w:rPr>
        <w:t>programa</w:t>
      </w:r>
      <w:r w:rsidRPr="00ED5EDD">
        <w:rPr>
          <w:rFonts w:ascii="Arial" w:hAnsi="Arial" w:cs="Arial"/>
          <w:sz w:val="22"/>
          <w:szCs w:val="22"/>
          <w:lang w:val="es-ES_tradnl"/>
        </w:rPr>
        <w:t xml:space="preserve"> en Anexo 1. de este documento</w:t>
      </w:r>
      <w:r w:rsidR="009E5F39" w:rsidRPr="00ED5EDD">
        <w:rPr>
          <w:rFonts w:ascii="Arial" w:hAnsi="Arial" w:cs="Arial"/>
          <w:sz w:val="22"/>
          <w:szCs w:val="22"/>
          <w:lang w:val="es-ES_tradnl"/>
        </w:rPr>
        <w:t>.</w:t>
      </w:r>
    </w:p>
    <w:p w14:paraId="5DA38C1D" w14:textId="2A4CD8BE" w:rsidR="00344F72" w:rsidRPr="00ED5EDD" w:rsidRDefault="00344F72" w:rsidP="00CD66CF">
      <w:pPr>
        <w:pStyle w:val="ListParagraph"/>
        <w:numPr>
          <w:ilvl w:val="2"/>
          <w:numId w:val="7"/>
        </w:numPr>
        <w:jc w:val="both"/>
        <w:rPr>
          <w:rFonts w:ascii="Arial" w:hAnsi="Arial" w:cs="Arial"/>
          <w:sz w:val="22"/>
          <w:szCs w:val="22"/>
          <w:lang w:val="es-ES_tradnl"/>
        </w:rPr>
      </w:pPr>
      <w:r w:rsidRPr="00ED5EDD">
        <w:rPr>
          <w:rFonts w:ascii="Arial" w:hAnsi="Arial" w:cs="Arial"/>
          <w:sz w:val="22"/>
          <w:szCs w:val="22"/>
          <w:lang w:val="es-ES_tradnl"/>
        </w:rPr>
        <w:t>El cumplimiento con la regulación local aplicable</w:t>
      </w:r>
      <w:r w:rsidR="009E5F39" w:rsidRPr="00ED5EDD">
        <w:rPr>
          <w:rFonts w:ascii="Arial" w:hAnsi="Arial" w:cs="Arial"/>
          <w:sz w:val="22"/>
          <w:szCs w:val="22"/>
          <w:lang w:val="es-ES_tradnl"/>
        </w:rPr>
        <w:t>.</w:t>
      </w:r>
    </w:p>
    <w:p w14:paraId="66430E13" w14:textId="35FA3070" w:rsidR="00344F72" w:rsidRPr="00ED5EDD" w:rsidRDefault="00344F72" w:rsidP="00CD66CF">
      <w:pPr>
        <w:pStyle w:val="ListParagraph"/>
        <w:numPr>
          <w:ilvl w:val="2"/>
          <w:numId w:val="7"/>
        </w:numPr>
        <w:jc w:val="both"/>
        <w:rPr>
          <w:rFonts w:ascii="Arial" w:hAnsi="Arial" w:cs="Arial"/>
          <w:sz w:val="22"/>
          <w:szCs w:val="22"/>
          <w:lang w:val="es-ES"/>
        </w:rPr>
      </w:pPr>
      <w:r w:rsidRPr="00ED5EDD">
        <w:rPr>
          <w:rFonts w:ascii="Arial" w:hAnsi="Arial" w:cs="Arial"/>
          <w:sz w:val="22"/>
          <w:szCs w:val="22"/>
          <w:lang w:val="es-ES"/>
        </w:rPr>
        <w:t xml:space="preserve">El cumplimiento con las políticas </w:t>
      </w:r>
      <w:r w:rsidR="00136A11">
        <w:rPr>
          <w:rFonts w:ascii="Arial" w:hAnsi="Arial" w:cs="Arial"/>
          <w:sz w:val="22"/>
          <w:szCs w:val="22"/>
          <w:lang w:val="es-ES"/>
        </w:rPr>
        <w:t xml:space="preserve">de </w:t>
      </w:r>
      <w:r w:rsidR="0057456B" w:rsidRPr="00ED5EDD">
        <w:rPr>
          <w:rFonts w:ascii="Arial" w:hAnsi="Arial" w:cs="Arial"/>
          <w:sz w:val="22"/>
          <w:szCs w:val="22"/>
          <w:lang w:val="es-ES"/>
        </w:rPr>
        <w:t>BANHPROVI</w:t>
      </w:r>
      <w:r w:rsidR="009E5F39" w:rsidRPr="00ED5EDD">
        <w:rPr>
          <w:rFonts w:ascii="Arial" w:hAnsi="Arial" w:cs="Arial"/>
          <w:sz w:val="22"/>
          <w:szCs w:val="22"/>
          <w:lang w:val="es-ES"/>
        </w:rPr>
        <w:t>.</w:t>
      </w:r>
    </w:p>
    <w:p w14:paraId="357FCB11" w14:textId="2F780FE0" w:rsidR="00344F72" w:rsidRPr="00136A11" w:rsidRDefault="00344F72" w:rsidP="00CD66CF">
      <w:pPr>
        <w:pStyle w:val="ListParagraph"/>
        <w:numPr>
          <w:ilvl w:val="2"/>
          <w:numId w:val="7"/>
        </w:numPr>
        <w:jc w:val="both"/>
        <w:rPr>
          <w:rFonts w:ascii="Arial" w:eastAsia="Arial" w:hAnsi="Arial" w:cs="Arial"/>
          <w:sz w:val="22"/>
          <w:szCs w:val="22"/>
          <w:lang w:val="es-ES"/>
        </w:rPr>
      </w:pPr>
      <w:r w:rsidRPr="00ED5EDD">
        <w:rPr>
          <w:rFonts w:ascii="Arial" w:eastAsia="Arial" w:hAnsi="Arial" w:cs="Arial"/>
          <w:sz w:val="22"/>
          <w:szCs w:val="22"/>
          <w:lang w:val="es"/>
        </w:rPr>
        <w:t xml:space="preserve">El cumplimiento con el monto máximo por financiamiento individual de </w:t>
      </w:r>
      <w:r w:rsidR="004F7AF5">
        <w:rPr>
          <w:rFonts w:ascii="Arial" w:eastAsia="Arial" w:hAnsi="Arial" w:cs="Arial"/>
          <w:sz w:val="22"/>
          <w:szCs w:val="22"/>
          <w:lang w:val="es"/>
        </w:rPr>
        <w:t>US$100.000</w:t>
      </w:r>
      <w:r w:rsidRPr="00ED5EDD">
        <w:rPr>
          <w:rFonts w:ascii="Arial" w:eastAsia="Arial" w:hAnsi="Arial" w:cs="Arial"/>
          <w:sz w:val="22"/>
          <w:szCs w:val="22"/>
          <w:lang w:val="es"/>
        </w:rPr>
        <w:t>.</w:t>
      </w:r>
      <w:r w:rsidRPr="00ED5EDD">
        <w:rPr>
          <w:rFonts w:ascii="Arial" w:hAnsi="Arial" w:cs="Arial"/>
          <w:sz w:val="22"/>
          <w:szCs w:val="22"/>
          <w:lang w:val="es-ES"/>
        </w:rPr>
        <w:t xml:space="preserve"> </w:t>
      </w:r>
    </w:p>
    <w:p w14:paraId="25E5D158" w14:textId="6D520BC5" w:rsidR="00136A11" w:rsidRPr="00136A11" w:rsidRDefault="00136A11" w:rsidP="00CD66CF">
      <w:pPr>
        <w:pStyle w:val="ListParagraph"/>
        <w:numPr>
          <w:ilvl w:val="2"/>
          <w:numId w:val="7"/>
        </w:numPr>
        <w:rPr>
          <w:rFonts w:ascii="Arial" w:eastAsia="Arial" w:hAnsi="Arial" w:cs="Arial"/>
          <w:sz w:val="22"/>
          <w:szCs w:val="22"/>
          <w:lang w:val="es-ES"/>
        </w:rPr>
      </w:pPr>
      <w:r w:rsidRPr="00136A11">
        <w:rPr>
          <w:rFonts w:ascii="Arial" w:eastAsia="Arial" w:hAnsi="Arial" w:cs="Arial"/>
          <w:sz w:val="22"/>
          <w:szCs w:val="22"/>
          <w:lang w:val="es-ES"/>
        </w:rPr>
        <w:t xml:space="preserve">La exclusión de las actividades </w:t>
      </w:r>
      <w:r w:rsidR="001277BE">
        <w:rPr>
          <w:rFonts w:ascii="Arial" w:eastAsia="Arial" w:hAnsi="Arial" w:cs="Arial"/>
          <w:sz w:val="22"/>
          <w:szCs w:val="22"/>
          <w:lang w:val="es-ES"/>
        </w:rPr>
        <w:t>de sector</w:t>
      </w:r>
      <w:r w:rsidR="00213550">
        <w:rPr>
          <w:rFonts w:ascii="Arial" w:eastAsia="Arial" w:hAnsi="Arial" w:cs="Arial"/>
          <w:sz w:val="22"/>
          <w:szCs w:val="22"/>
          <w:lang w:val="es-ES"/>
        </w:rPr>
        <w:t xml:space="preserve"> </w:t>
      </w:r>
      <w:r w:rsidRPr="00136A11">
        <w:rPr>
          <w:rFonts w:ascii="Arial" w:eastAsia="Arial" w:hAnsi="Arial" w:cs="Arial"/>
          <w:sz w:val="22"/>
          <w:szCs w:val="22"/>
          <w:lang w:val="es-ES"/>
        </w:rPr>
        <w:t>primari</w:t>
      </w:r>
      <w:r w:rsidR="001277BE">
        <w:rPr>
          <w:rFonts w:ascii="Arial" w:eastAsia="Arial" w:hAnsi="Arial" w:cs="Arial"/>
          <w:sz w:val="22"/>
          <w:szCs w:val="22"/>
          <w:lang w:val="es-ES"/>
        </w:rPr>
        <w:t>o</w:t>
      </w:r>
      <w:r w:rsidRPr="00136A11">
        <w:rPr>
          <w:rFonts w:ascii="Arial" w:eastAsia="Arial" w:hAnsi="Arial" w:cs="Arial"/>
          <w:sz w:val="22"/>
          <w:szCs w:val="22"/>
          <w:lang w:val="es-ES"/>
        </w:rPr>
        <w:t xml:space="preserve"> y secundari</w:t>
      </w:r>
      <w:r w:rsidR="001277BE">
        <w:rPr>
          <w:rFonts w:ascii="Arial" w:eastAsia="Arial" w:hAnsi="Arial" w:cs="Arial"/>
          <w:sz w:val="22"/>
          <w:szCs w:val="22"/>
          <w:lang w:val="es-ES"/>
        </w:rPr>
        <w:t>o</w:t>
      </w:r>
      <w:r w:rsidR="00123205">
        <w:rPr>
          <w:rFonts w:ascii="Arial" w:eastAsia="Arial" w:hAnsi="Arial" w:cs="Arial"/>
          <w:sz w:val="22"/>
          <w:szCs w:val="22"/>
          <w:lang w:val="es-ES"/>
        </w:rPr>
        <w:t>.</w:t>
      </w:r>
    </w:p>
    <w:p w14:paraId="40D3A219" w14:textId="77777777" w:rsidR="00136A11" w:rsidRPr="00ED5EDD" w:rsidRDefault="00136A11" w:rsidP="00136A11">
      <w:pPr>
        <w:pStyle w:val="ListParagraph"/>
        <w:ind w:left="1224"/>
        <w:jc w:val="both"/>
        <w:rPr>
          <w:rFonts w:ascii="Arial" w:eastAsia="Arial" w:hAnsi="Arial" w:cs="Arial"/>
          <w:sz w:val="22"/>
          <w:szCs w:val="22"/>
          <w:lang w:val="es-ES"/>
        </w:rPr>
      </w:pPr>
    </w:p>
    <w:p w14:paraId="029E0EB1" w14:textId="3D57BE95" w:rsidR="00344F72" w:rsidRPr="00ED5EDD" w:rsidRDefault="004116C5" w:rsidP="00CA3B78">
      <w:pPr>
        <w:pStyle w:val="Paragraph"/>
        <w:tabs>
          <w:tab w:val="num" w:pos="810"/>
        </w:tabs>
        <w:ind w:left="810" w:hanging="810"/>
        <w:rPr>
          <w:rFonts w:ascii="Arial" w:hAnsi="Arial" w:cs="Arial"/>
          <w:sz w:val="22"/>
          <w:szCs w:val="22"/>
        </w:rPr>
      </w:pPr>
      <w:r w:rsidRPr="00ED5EDD">
        <w:rPr>
          <w:rFonts w:ascii="Arial" w:hAnsi="Arial" w:cs="Arial"/>
          <w:sz w:val="22"/>
          <w:szCs w:val="22"/>
        </w:rPr>
        <w:t>BANHPROVI</w:t>
      </w:r>
      <w:r w:rsidR="00344F72" w:rsidRPr="00ED5EDD">
        <w:rPr>
          <w:rFonts w:ascii="Arial" w:hAnsi="Arial" w:cs="Arial"/>
          <w:sz w:val="22"/>
          <w:szCs w:val="22"/>
        </w:rPr>
        <w:t xml:space="preserve"> será responsable de velar por el cumplimiento del </w:t>
      </w:r>
      <w:r w:rsidR="00E21603" w:rsidRPr="00ED5EDD">
        <w:rPr>
          <w:rFonts w:ascii="Arial" w:hAnsi="Arial" w:cs="Arial"/>
          <w:sz w:val="22"/>
          <w:szCs w:val="22"/>
        </w:rPr>
        <w:t>programa</w:t>
      </w:r>
      <w:r w:rsidR="00344F72" w:rsidRPr="00ED5EDD">
        <w:rPr>
          <w:rFonts w:ascii="Arial" w:hAnsi="Arial" w:cs="Arial"/>
          <w:sz w:val="22"/>
          <w:szCs w:val="22"/>
        </w:rPr>
        <w:t xml:space="preserve"> con el RC, así como de coordinar el seguimiento de los requerimientos de monitoreo y evaluación. En particular, deberá presentar semestralmente – dentro de las fechas limites establecidas para el ingreso del </w:t>
      </w:r>
      <w:r w:rsidR="00524670" w:rsidRPr="004F7AF5">
        <w:rPr>
          <w:rFonts w:ascii="Arial" w:hAnsi="Arial" w:cs="Arial"/>
          <w:sz w:val="22"/>
          <w:szCs w:val="22"/>
        </w:rPr>
        <w:t>Informe de Seguimiento del Progreso</w:t>
      </w:r>
      <w:r w:rsidR="00524670" w:rsidRPr="00ED5EDD">
        <w:rPr>
          <w:rFonts w:ascii="Arial" w:hAnsi="Arial" w:cs="Arial"/>
          <w:sz w:val="22"/>
          <w:szCs w:val="22"/>
        </w:rPr>
        <w:t xml:space="preserve"> (</w:t>
      </w:r>
      <w:r w:rsidR="00344F72" w:rsidRPr="00ED5EDD">
        <w:rPr>
          <w:rFonts w:ascii="Arial" w:hAnsi="Arial" w:cs="Arial"/>
          <w:sz w:val="22"/>
          <w:szCs w:val="22"/>
        </w:rPr>
        <w:t>PMR</w:t>
      </w:r>
      <w:r w:rsidR="00524670" w:rsidRPr="00ED5EDD">
        <w:rPr>
          <w:rFonts w:ascii="Arial" w:hAnsi="Arial" w:cs="Arial"/>
          <w:sz w:val="22"/>
          <w:szCs w:val="22"/>
        </w:rPr>
        <w:t xml:space="preserve">), </w:t>
      </w:r>
      <w:r w:rsidR="00344F72" w:rsidRPr="00ED5EDD">
        <w:rPr>
          <w:rFonts w:ascii="Arial" w:hAnsi="Arial" w:cs="Arial"/>
          <w:sz w:val="22"/>
          <w:szCs w:val="22"/>
        </w:rPr>
        <w:t>un Informe de Cumplimiento de Gestión de Riesgos Socioambientales con información sobre el portafolio financiado, los riesgos identificados y sus medidas de mitigación ambientales y sociales si fuera relevante y el estado de cumplimiento del proyecto con e</w:t>
      </w:r>
      <w:r w:rsidR="00EB56FC">
        <w:rPr>
          <w:rFonts w:ascii="Arial" w:hAnsi="Arial" w:cs="Arial"/>
          <w:sz w:val="22"/>
          <w:szCs w:val="22"/>
        </w:rPr>
        <w:t>ste</w:t>
      </w:r>
      <w:r w:rsidR="00344F72" w:rsidRPr="00ED5EDD">
        <w:rPr>
          <w:rFonts w:ascii="Arial" w:hAnsi="Arial" w:cs="Arial"/>
          <w:sz w:val="22"/>
          <w:szCs w:val="22"/>
        </w:rPr>
        <w:t xml:space="preserve"> RC (ver Anexo </w:t>
      </w:r>
      <w:r w:rsidR="00C03912" w:rsidRPr="00ED5EDD">
        <w:rPr>
          <w:rFonts w:ascii="Arial" w:hAnsi="Arial" w:cs="Arial"/>
          <w:sz w:val="22"/>
          <w:szCs w:val="22"/>
        </w:rPr>
        <w:t>2</w:t>
      </w:r>
      <w:r w:rsidR="00344F72" w:rsidRPr="00ED5EDD">
        <w:rPr>
          <w:rFonts w:ascii="Arial" w:hAnsi="Arial" w:cs="Arial"/>
          <w:sz w:val="22"/>
          <w:szCs w:val="22"/>
        </w:rPr>
        <w:t xml:space="preserve">). </w:t>
      </w:r>
    </w:p>
    <w:p w14:paraId="04A642AB" w14:textId="2A37E045" w:rsidR="00344F72" w:rsidRPr="00ED5EDD" w:rsidRDefault="00344F72" w:rsidP="00CA3B78">
      <w:pPr>
        <w:pStyle w:val="Paragraph"/>
        <w:tabs>
          <w:tab w:val="num" w:pos="810"/>
        </w:tabs>
        <w:ind w:left="810" w:hanging="810"/>
        <w:rPr>
          <w:rFonts w:ascii="Arial" w:hAnsi="Arial" w:cs="Arial"/>
          <w:sz w:val="22"/>
          <w:szCs w:val="22"/>
        </w:rPr>
      </w:pPr>
      <w:r w:rsidRPr="00ED5EDD">
        <w:rPr>
          <w:rFonts w:ascii="Arial" w:hAnsi="Arial" w:cs="Arial"/>
          <w:sz w:val="22"/>
          <w:szCs w:val="22"/>
        </w:rPr>
        <w:t xml:space="preserve">El BID supervisará la aplicación del SARAS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según sea necesario por un especialista del BID o un consultor externo contratado por el BID. Para este fin, el ejecutor proveerá y facilitará acceso al BID a toda la documentación relevante, personal y proyectos.</w:t>
      </w:r>
    </w:p>
    <w:p w14:paraId="5F9DF70B" w14:textId="0311D429" w:rsidR="0061131C" w:rsidRPr="00ED5EDD" w:rsidRDefault="00344F72" w:rsidP="00111DC4">
      <w:pPr>
        <w:pStyle w:val="Paragraph"/>
        <w:tabs>
          <w:tab w:val="num" w:pos="810"/>
        </w:tabs>
        <w:ind w:left="810" w:hanging="810"/>
        <w:rPr>
          <w:rFonts w:ascii="Arial" w:hAnsi="Arial" w:cs="Arial"/>
          <w:sz w:val="22"/>
          <w:szCs w:val="22"/>
        </w:rPr>
      </w:pPr>
      <w:r w:rsidRPr="00ED5EDD">
        <w:rPr>
          <w:rFonts w:ascii="Arial" w:hAnsi="Arial" w:cs="Arial"/>
          <w:sz w:val="22"/>
          <w:szCs w:val="22"/>
        </w:rPr>
        <w:t xml:space="preserve">Si fuera necesario, el BID y </w:t>
      </w:r>
      <w:r w:rsidR="00BD4BD4">
        <w:rPr>
          <w:rFonts w:ascii="Arial" w:hAnsi="Arial" w:cs="Arial"/>
          <w:sz w:val="22"/>
          <w:szCs w:val="22"/>
        </w:rPr>
        <w:t>el OE</w:t>
      </w:r>
      <w:r w:rsidRPr="00ED5EDD">
        <w:rPr>
          <w:rFonts w:ascii="Arial" w:hAnsi="Arial" w:cs="Arial"/>
          <w:sz w:val="22"/>
          <w:szCs w:val="22"/>
        </w:rPr>
        <w:t xml:space="preserve"> acordarán acciones o medidas correctivas necesarias para solventar impactos y riesgos adversos y/o para mejorar su gestión</w:t>
      </w:r>
      <w:r w:rsidR="00D25596" w:rsidRPr="00ED5EDD">
        <w:rPr>
          <w:rFonts w:ascii="Arial" w:hAnsi="Arial" w:cs="Arial"/>
          <w:sz w:val="22"/>
          <w:szCs w:val="22"/>
        </w:rPr>
        <w:t>.</w:t>
      </w:r>
    </w:p>
    <w:p w14:paraId="3AA21655" w14:textId="5C62DF34" w:rsidR="009F6623" w:rsidRPr="007A0BED" w:rsidRDefault="009F6623" w:rsidP="00EB56FC">
      <w:pPr>
        <w:pStyle w:val="Chapter"/>
        <w:tabs>
          <w:tab w:val="clear" w:pos="1440"/>
        </w:tabs>
        <w:spacing w:before="0"/>
        <w:ind w:left="1350" w:hanging="540"/>
        <w:rPr>
          <w:rFonts w:ascii="Arial" w:hAnsi="Arial" w:cs="Arial"/>
          <w:szCs w:val="24"/>
        </w:rPr>
      </w:pPr>
      <w:bookmarkStart w:id="78" w:name="_Toc42960882"/>
      <w:r w:rsidRPr="007A0BED">
        <w:rPr>
          <w:rFonts w:ascii="Arial" w:hAnsi="Arial" w:cs="Arial"/>
          <w:szCs w:val="24"/>
        </w:rPr>
        <w:lastRenderedPageBreak/>
        <w:t>Otras Condiciones de los Sub</w:t>
      </w:r>
      <w:r w:rsidR="006C4E00" w:rsidRPr="007A0BED">
        <w:rPr>
          <w:rFonts w:ascii="Arial" w:hAnsi="Arial" w:cs="Arial"/>
          <w:szCs w:val="24"/>
        </w:rPr>
        <w:t>p</w:t>
      </w:r>
      <w:r w:rsidRPr="007A0BED">
        <w:rPr>
          <w:rFonts w:ascii="Arial" w:hAnsi="Arial" w:cs="Arial"/>
          <w:szCs w:val="24"/>
        </w:rPr>
        <w:t xml:space="preserve">réstamos </w:t>
      </w:r>
      <w:r w:rsidR="00726215" w:rsidRPr="007A0BED">
        <w:rPr>
          <w:rFonts w:ascii="Arial" w:hAnsi="Arial" w:cs="Arial"/>
          <w:szCs w:val="24"/>
        </w:rPr>
        <w:t xml:space="preserve">y </w:t>
      </w:r>
      <w:r w:rsidR="005B687A" w:rsidRPr="007A0BED">
        <w:rPr>
          <w:rFonts w:ascii="Arial" w:hAnsi="Arial" w:cs="Arial"/>
          <w:szCs w:val="24"/>
        </w:rPr>
        <w:t xml:space="preserve">las </w:t>
      </w:r>
      <w:r w:rsidR="00726215" w:rsidRPr="007A0BED">
        <w:rPr>
          <w:rFonts w:ascii="Arial" w:hAnsi="Arial" w:cs="Arial"/>
          <w:szCs w:val="24"/>
        </w:rPr>
        <w:t xml:space="preserve">Garantías </w:t>
      </w:r>
      <w:r w:rsidRPr="007A0BED">
        <w:rPr>
          <w:rFonts w:ascii="Arial" w:hAnsi="Arial" w:cs="Arial"/>
          <w:szCs w:val="24"/>
        </w:rPr>
        <w:t>con Financiación del Programa</w:t>
      </w:r>
      <w:bookmarkEnd w:id="78"/>
    </w:p>
    <w:p w14:paraId="773F928B" w14:textId="0817BB30" w:rsidR="00AD4F7A" w:rsidRPr="007A0BED" w:rsidRDefault="00AD4F7A" w:rsidP="005D7750">
      <w:pPr>
        <w:pStyle w:val="Paragraph"/>
        <w:tabs>
          <w:tab w:val="num" w:pos="0"/>
        </w:tabs>
        <w:ind w:left="720" w:hanging="720"/>
        <w:rPr>
          <w:rFonts w:ascii="Arial" w:hAnsi="Arial" w:cs="Arial"/>
          <w:sz w:val="22"/>
          <w:szCs w:val="22"/>
        </w:rPr>
      </w:pPr>
      <w:r w:rsidRPr="007A0BED">
        <w:rPr>
          <w:rFonts w:ascii="Arial" w:hAnsi="Arial" w:cs="Arial"/>
          <w:sz w:val="22"/>
          <w:szCs w:val="22"/>
        </w:rPr>
        <w:t xml:space="preserve">En todos los subpréstamos que se otorguen </w:t>
      </w:r>
      <w:r w:rsidR="00824002" w:rsidRPr="007A0BED">
        <w:rPr>
          <w:rFonts w:ascii="Arial" w:hAnsi="Arial" w:cs="Arial"/>
          <w:sz w:val="22"/>
          <w:szCs w:val="22"/>
        </w:rPr>
        <w:t xml:space="preserve">y/o garanticen </w:t>
      </w:r>
      <w:r w:rsidRPr="007A0BED">
        <w:rPr>
          <w:rFonts w:ascii="Arial" w:hAnsi="Arial" w:cs="Arial"/>
          <w:sz w:val="22"/>
          <w:szCs w:val="22"/>
        </w:rPr>
        <w:t xml:space="preserve">con cargo al </w:t>
      </w:r>
      <w:r w:rsidR="00BD7617" w:rsidRPr="007A0BED">
        <w:rPr>
          <w:rFonts w:ascii="Arial" w:hAnsi="Arial" w:cs="Arial"/>
          <w:sz w:val="22"/>
          <w:szCs w:val="22"/>
        </w:rPr>
        <w:t>f</w:t>
      </w:r>
      <w:r w:rsidRPr="007A0BED">
        <w:rPr>
          <w:rFonts w:ascii="Arial" w:hAnsi="Arial" w:cs="Arial"/>
          <w:sz w:val="22"/>
          <w:szCs w:val="22"/>
        </w:rPr>
        <w:t xml:space="preserve">inanciamiento del </w:t>
      </w:r>
      <w:r w:rsidR="00E21603" w:rsidRPr="007A0BED">
        <w:rPr>
          <w:rFonts w:ascii="Arial" w:hAnsi="Arial" w:cs="Arial"/>
          <w:sz w:val="22"/>
          <w:szCs w:val="22"/>
        </w:rPr>
        <w:t>programa</w:t>
      </w:r>
      <w:r w:rsidRPr="007A0BED">
        <w:rPr>
          <w:rFonts w:ascii="Arial" w:hAnsi="Arial" w:cs="Arial"/>
          <w:sz w:val="22"/>
          <w:szCs w:val="22"/>
        </w:rPr>
        <w:t>, deberán cumplirse las siguientes condiciones:</w:t>
      </w:r>
    </w:p>
    <w:p w14:paraId="59163BB9" w14:textId="44AA099D" w:rsidR="00A23751" w:rsidRPr="00421A0C" w:rsidRDefault="00A23751" w:rsidP="00A23751">
      <w:pPr>
        <w:pStyle w:val="subpar"/>
        <w:tabs>
          <w:tab w:val="clear" w:pos="2592"/>
          <w:tab w:val="num" w:pos="720"/>
        </w:tabs>
        <w:spacing w:before="0"/>
        <w:ind w:left="1166" w:hanging="450"/>
        <w:rPr>
          <w:rFonts w:ascii="Arial" w:hAnsi="Arial" w:cs="Arial"/>
          <w:sz w:val="22"/>
          <w:szCs w:val="22"/>
        </w:rPr>
      </w:pPr>
      <w:r w:rsidRPr="00421A0C">
        <w:rPr>
          <w:rFonts w:ascii="Arial" w:eastAsia="Arial" w:hAnsi="Arial" w:cs="Arial"/>
          <w:b/>
          <w:color w:val="000000"/>
          <w:sz w:val="22"/>
          <w:szCs w:val="22"/>
        </w:rPr>
        <w:t>Obligaciones de cumplimiento</w:t>
      </w:r>
      <w:r w:rsidR="00EB56FC" w:rsidRPr="00421A0C">
        <w:rPr>
          <w:rFonts w:ascii="Arial" w:eastAsia="Arial" w:hAnsi="Arial" w:cs="Arial"/>
          <w:b/>
          <w:color w:val="000000"/>
          <w:sz w:val="22"/>
          <w:szCs w:val="22"/>
        </w:rPr>
        <w:t>.</w:t>
      </w:r>
      <w:r w:rsidRPr="00421A0C">
        <w:rPr>
          <w:rFonts w:ascii="Arial" w:eastAsia="Arial" w:hAnsi="Arial" w:cs="Arial"/>
          <w:color w:val="000000"/>
          <w:sz w:val="22"/>
          <w:szCs w:val="22"/>
        </w:rPr>
        <w:t xml:space="preserve"> El OE se compromete a: (i) velar por el debido seguimiento en materia de cumplimiento de los subpréstamos</w:t>
      </w:r>
      <w:r w:rsidR="00DB09DC" w:rsidRPr="00421A0C">
        <w:rPr>
          <w:rFonts w:ascii="Arial" w:eastAsia="Arial" w:hAnsi="Arial" w:cs="Arial"/>
          <w:color w:val="000000"/>
          <w:sz w:val="22"/>
          <w:szCs w:val="22"/>
        </w:rPr>
        <w:t xml:space="preserve"> y </w:t>
      </w:r>
      <w:r w:rsidR="00E9384B" w:rsidRPr="00421A0C">
        <w:rPr>
          <w:rFonts w:ascii="Arial" w:eastAsia="Arial" w:hAnsi="Arial" w:cs="Arial"/>
          <w:color w:val="000000"/>
          <w:sz w:val="22"/>
          <w:szCs w:val="22"/>
        </w:rPr>
        <w:t>las garantías</w:t>
      </w:r>
      <w:r w:rsidRPr="00421A0C">
        <w:rPr>
          <w:rFonts w:ascii="Arial" w:eastAsia="Arial" w:hAnsi="Arial" w:cs="Arial"/>
          <w:color w:val="000000"/>
          <w:sz w:val="22"/>
          <w:szCs w:val="22"/>
        </w:rPr>
        <w:t xml:space="preserve">, de acuerdo con la regulación aplicable en </w:t>
      </w:r>
      <w:r w:rsidR="00FC7E5E" w:rsidRPr="00421A0C">
        <w:rPr>
          <w:rFonts w:ascii="Arial" w:eastAsia="Arial" w:hAnsi="Arial" w:cs="Arial"/>
          <w:color w:val="000000"/>
          <w:sz w:val="22"/>
          <w:szCs w:val="22"/>
        </w:rPr>
        <w:t>Honduras</w:t>
      </w:r>
      <w:r w:rsidRPr="00421A0C">
        <w:rPr>
          <w:rFonts w:ascii="Arial" w:eastAsia="Arial" w:hAnsi="Arial" w:cs="Arial"/>
          <w:color w:val="000000"/>
          <w:sz w:val="22"/>
          <w:szCs w:val="22"/>
        </w:rPr>
        <w:t>; (</w:t>
      </w:r>
      <w:proofErr w:type="spellStart"/>
      <w:r w:rsidRPr="00421A0C">
        <w:rPr>
          <w:rFonts w:ascii="Arial" w:eastAsia="Arial" w:hAnsi="Arial" w:cs="Arial"/>
          <w:color w:val="000000"/>
          <w:sz w:val="22"/>
          <w:szCs w:val="22"/>
        </w:rPr>
        <w:t>ii</w:t>
      </w:r>
      <w:proofErr w:type="spellEnd"/>
      <w:r w:rsidRPr="00421A0C">
        <w:rPr>
          <w:rFonts w:ascii="Arial" w:eastAsia="Arial" w:hAnsi="Arial" w:cs="Arial"/>
          <w:color w:val="000000"/>
          <w:sz w:val="22"/>
          <w:szCs w:val="22"/>
        </w:rPr>
        <w:t xml:space="preserve">) analizar y revisar periódicamente las capacidades de las IFI para asegurar que cumplan con las disposiciones regulatorias en materia de cumplimiento; </w:t>
      </w:r>
      <w:r w:rsidR="004E39AB" w:rsidRPr="00421A0C">
        <w:rPr>
          <w:rFonts w:ascii="Arial" w:eastAsia="Arial" w:hAnsi="Arial" w:cs="Arial"/>
          <w:color w:val="000000"/>
          <w:sz w:val="22"/>
          <w:szCs w:val="22"/>
        </w:rPr>
        <w:t>(</w:t>
      </w:r>
      <w:proofErr w:type="spellStart"/>
      <w:r w:rsidR="004E39AB" w:rsidRPr="00421A0C">
        <w:rPr>
          <w:rFonts w:ascii="Arial" w:eastAsia="Arial" w:hAnsi="Arial" w:cs="Arial"/>
          <w:color w:val="000000"/>
          <w:sz w:val="22"/>
          <w:szCs w:val="22"/>
        </w:rPr>
        <w:t>iii</w:t>
      </w:r>
      <w:proofErr w:type="spellEnd"/>
      <w:r w:rsidR="004E39AB" w:rsidRPr="00421A0C">
        <w:rPr>
          <w:rFonts w:ascii="Arial" w:eastAsia="Arial" w:hAnsi="Arial" w:cs="Arial"/>
          <w:color w:val="000000"/>
          <w:sz w:val="22"/>
          <w:szCs w:val="22"/>
        </w:rPr>
        <w:t xml:space="preserve">) para los subpréstamos superiores a </w:t>
      </w:r>
      <w:r w:rsidR="009B0B2B" w:rsidRPr="00421A0C">
        <w:rPr>
          <w:rFonts w:ascii="Arial" w:eastAsia="Arial" w:hAnsi="Arial" w:cs="Arial"/>
          <w:color w:val="000000"/>
          <w:sz w:val="22"/>
          <w:szCs w:val="22"/>
        </w:rPr>
        <w:t>US$30.000</w:t>
      </w:r>
      <w:r w:rsidR="004E39AB" w:rsidRPr="00421A0C">
        <w:rPr>
          <w:rFonts w:ascii="Arial" w:eastAsia="Arial" w:hAnsi="Arial" w:cs="Arial"/>
          <w:color w:val="000000"/>
          <w:sz w:val="22"/>
          <w:szCs w:val="22"/>
        </w:rPr>
        <w:t xml:space="preserve"> financiadas con recursos de </w:t>
      </w:r>
      <w:r w:rsidR="00D81631" w:rsidRPr="00421A0C">
        <w:rPr>
          <w:rFonts w:ascii="Arial" w:eastAsia="Arial" w:hAnsi="Arial" w:cs="Arial"/>
          <w:color w:val="000000"/>
          <w:sz w:val="22"/>
          <w:szCs w:val="22"/>
        </w:rPr>
        <w:t>p</w:t>
      </w:r>
      <w:r w:rsidR="004E39AB" w:rsidRPr="00421A0C">
        <w:rPr>
          <w:rFonts w:ascii="Arial" w:eastAsia="Arial" w:hAnsi="Arial" w:cs="Arial"/>
          <w:color w:val="000000"/>
          <w:sz w:val="22"/>
          <w:szCs w:val="22"/>
        </w:rPr>
        <w:t xml:space="preserve">rograma, informar al beneficiario final de las provisiones contra prácticas prohibidas de la política del BID mediante notificación escrita siguiendo el formato establecido en el </w:t>
      </w:r>
      <w:r w:rsidR="005542C8" w:rsidRPr="00421A0C">
        <w:rPr>
          <w:rFonts w:ascii="Arial" w:eastAsia="Arial" w:hAnsi="Arial" w:cs="Arial"/>
          <w:color w:val="000000"/>
          <w:sz w:val="22"/>
          <w:szCs w:val="22"/>
        </w:rPr>
        <w:t>A</w:t>
      </w:r>
      <w:r w:rsidR="004E39AB" w:rsidRPr="00421A0C">
        <w:rPr>
          <w:rFonts w:ascii="Arial" w:eastAsia="Arial" w:hAnsi="Arial" w:cs="Arial"/>
          <w:color w:val="000000"/>
          <w:sz w:val="22"/>
          <w:szCs w:val="22"/>
        </w:rPr>
        <w:t xml:space="preserve">nexo </w:t>
      </w:r>
      <w:r w:rsidR="000450B7" w:rsidRPr="00421A0C">
        <w:rPr>
          <w:rFonts w:ascii="Arial" w:eastAsia="Arial" w:hAnsi="Arial" w:cs="Arial"/>
          <w:color w:val="000000"/>
          <w:sz w:val="22"/>
          <w:szCs w:val="22"/>
        </w:rPr>
        <w:t>3</w:t>
      </w:r>
      <w:r w:rsidR="00430D84" w:rsidRPr="00421A0C">
        <w:rPr>
          <w:rFonts w:ascii="Arial" w:eastAsia="Arial" w:hAnsi="Arial" w:cs="Arial"/>
          <w:color w:val="000000"/>
          <w:sz w:val="22"/>
          <w:szCs w:val="22"/>
        </w:rPr>
        <w:t>;</w:t>
      </w:r>
      <w:r w:rsidR="004E39AB" w:rsidRPr="00421A0C">
        <w:rPr>
          <w:rFonts w:ascii="Arial" w:eastAsia="Arial" w:hAnsi="Arial" w:cs="Arial"/>
          <w:color w:val="000000"/>
          <w:sz w:val="22"/>
          <w:szCs w:val="22"/>
        </w:rPr>
        <w:t xml:space="preserve"> </w:t>
      </w:r>
      <w:r w:rsidRPr="00421A0C">
        <w:rPr>
          <w:rFonts w:ascii="Arial" w:eastAsia="Arial" w:hAnsi="Arial" w:cs="Arial"/>
          <w:color w:val="000000"/>
          <w:sz w:val="22"/>
          <w:szCs w:val="22"/>
        </w:rPr>
        <w:t>y (</w:t>
      </w:r>
      <w:proofErr w:type="spellStart"/>
      <w:r w:rsidR="004E39AB" w:rsidRPr="00421A0C">
        <w:rPr>
          <w:rFonts w:ascii="Arial" w:eastAsia="Arial" w:hAnsi="Arial" w:cs="Arial"/>
          <w:color w:val="000000"/>
          <w:sz w:val="22"/>
          <w:szCs w:val="22"/>
        </w:rPr>
        <w:t>iv</w:t>
      </w:r>
      <w:proofErr w:type="spellEnd"/>
      <w:r w:rsidRPr="00421A0C">
        <w:rPr>
          <w:rFonts w:ascii="Arial" w:eastAsia="Arial" w:hAnsi="Arial" w:cs="Arial"/>
          <w:color w:val="000000"/>
          <w:sz w:val="22"/>
          <w:szCs w:val="22"/>
        </w:rPr>
        <w:t>) notificar al Banco de cualquier efecto adverso material que se identifiquen en las IFI o en los subpréstamos</w:t>
      </w:r>
      <w:r w:rsidR="00836CE8" w:rsidRPr="00421A0C">
        <w:rPr>
          <w:rFonts w:ascii="Arial" w:eastAsia="Arial" w:hAnsi="Arial" w:cs="Arial"/>
          <w:color w:val="000000"/>
          <w:sz w:val="22"/>
          <w:szCs w:val="22"/>
        </w:rPr>
        <w:t xml:space="preserve"> y/o </w:t>
      </w:r>
      <w:r w:rsidR="00E9384B" w:rsidRPr="00421A0C">
        <w:rPr>
          <w:rFonts w:ascii="Arial" w:eastAsia="Arial" w:hAnsi="Arial" w:cs="Arial"/>
          <w:color w:val="000000"/>
          <w:sz w:val="22"/>
          <w:szCs w:val="22"/>
        </w:rPr>
        <w:t>garantías otorgados</w:t>
      </w:r>
      <w:r w:rsidRPr="00421A0C">
        <w:rPr>
          <w:rFonts w:ascii="Arial" w:eastAsia="Arial" w:hAnsi="Arial" w:cs="Arial"/>
          <w:color w:val="000000"/>
          <w:sz w:val="22"/>
          <w:szCs w:val="22"/>
        </w:rPr>
        <w:t>.</w:t>
      </w:r>
    </w:p>
    <w:p w14:paraId="0F70517E" w14:textId="14035B46" w:rsidR="00A23751" w:rsidRPr="00ED5EDD" w:rsidRDefault="00AD4F7A" w:rsidP="00A23751">
      <w:pPr>
        <w:pStyle w:val="subpar"/>
        <w:tabs>
          <w:tab w:val="clear" w:pos="2592"/>
          <w:tab w:val="num" w:pos="720"/>
        </w:tabs>
        <w:spacing w:before="0"/>
        <w:ind w:left="1166" w:hanging="450"/>
        <w:rPr>
          <w:rFonts w:ascii="Arial" w:hAnsi="Arial" w:cs="Arial"/>
          <w:sz w:val="22"/>
          <w:szCs w:val="22"/>
        </w:rPr>
      </w:pPr>
      <w:r w:rsidRPr="00ED5EDD">
        <w:rPr>
          <w:rFonts w:ascii="Arial" w:hAnsi="Arial" w:cs="Arial"/>
          <w:b/>
          <w:sz w:val="22"/>
          <w:szCs w:val="22"/>
        </w:rPr>
        <w:t xml:space="preserve">Utilización de los </w:t>
      </w:r>
      <w:r w:rsidR="006C4E00" w:rsidRPr="00ED5EDD">
        <w:rPr>
          <w:rFonts w:ascii="Arial" w:hAnsi="Arial" w:cs="Arial"/>
          <w:b/>
          <w:sz w:val="22"/>
          <w:szCs w:val="22"/>
        </w:rPr>
        <w:t>c</w:t>
      </w:r>
      <w:r w:rsidRPr="00ED5EDD">
        <w:rPr>
          <w:rFonts w:ascii="Arial" w:hAnsi="Arial" w:cs="Arial"/>
          <w:b/>
          <w:sz w:val="22"/>
          <w:szCs w:val="22"/>
        </w:rPr>
        <w:t>réditos</w:t>
      </w:r>
      <w:r w:rsidR="00E9384B" w:rsidRPr="00ED5EDD">
        <w:rPr>
          <w:rFonts w:ascii="Arial" w:hAnsi="Arial" w:cs="Arial"/>
          <w:b/>
          <w:sz w:val="22"/>
          <w:szCs w:val="22"/>
        </w:rPr>
        <w:t xml:space="preserve"> y/o las garantías</w:t>
      </w:r>
      <w:r w:rsidR="004C0EBE" w:rsidRPr="00EB56FC">
        <w:rPr>
          <w:rFonts w:ascii="Arial" w:hAnsi="Arial" w:cs="Arial"/>
          <w:b/>
          <w:bCs/>
          <w:sz w:val="22"/>
          <w:szCs w:val="22"/>
        </w:rPr>
        <w:t xml:space="preserve">. </w:t>
      </w:r>
      <w:r w:rsidR="00A23751" w:rsidRPr="00ED5EDD">
        <w:rPr>
          <w:rFonts w:ascii="Arial" w:eastAsia="Arial" w:hAnsi="Arial" w:cs="Arial"/>
          <w:color w:val="000000"/>
          <w:sz w:val="22"/>
          <w:szCs w:val="22"/>
        </w:rPr>
        <w:t xml:space="preserve">El beneficiario final deberá comprometerse a que los bienes y servicios que se financien a través del </w:t>
      </w:r>
      <w:r w:rsidR="009B0B2B">
        <w:rPr>
          <w:rFonts w:ascii="Arial" w:eastAsia="Arial" w:hAnsi="Arial" w:cs="Arial"/>
          <w:color w:val="000000"/>
          <w:sz w:val="22"/>
          <w:szCs w:val="22"/>
        </w:rPr>
        <w:t>p</w:t>
      </w:r>
      <w:r w:rsidR="00E21603" w:rsidRPr="00ED5EDD">
        <w:rPr>
          <w:rFonts w:ascii="Arial" w:eastAsia="Arial" w:hAnsi="Arial" w:cs="Arial"/>
          <w:color w:val="000000"/>
          <w:sz w:val="22"/>
          <w:szCs w:val="22"/>
        </w:rPr>
        <w:t>rograma</w:t>
      </w:r>
      <w:r w:rsidR="00A23751" w:rsidRPr="00ED5EDD">
        <w:rPr>
          <w:rFonts w:ascii="Arial" w:eastAsia="Arial" w:hAnsi="Arial" w:cs="Arial"/>
          <w:color w:val="000000"/>
          <w:sz w:val="22"/>
          <w:szCs w:val="22"/>
        </w:rPr>
        <w:t xml:space="preserve"> se ajustarán a los compromisos de uso de los recursos estipulado en los documentos de crédito en concordancia con </w:t>
      </w:r>
      <w:r w:rsidR="00253CFC" w:rsidRPr="00ED5EDD">
        <w:rPr>
          <w:rFonts w:ascii="Arial" w:eastAsia="Arial" w:hAnsi="Arial" w:cs="Arial"/>
          <w:color w:val="000000"/>
          <w:sz w:val="22"/>
          <w:szCs w:val="22"/>
        </w:rPr>
        <w:t xml:space="preserve">el presente </w:t>
      </w:r>
      <w:r w:rsidR="00E9384B" w:rsidRPr="00ED5EDD">
        <w:rPr>
          <w:rFonts w:ascii="Arial" w:eastAsia="Arial" w:hAnsi="Arial" w:cs="Arial"/>
          <w:color w:val="000000"/>
          <w:sz w:val="22"/>
          <w:szCs w:val="22"/>
        </w:rPr>
        <w:t xml:space="preserve">RC </w:t>
      </w:r>
      <w:r w:rsidR="00A23751" w:rsidRPr="00ED5EDD">
        <w:rPr>
          <w:rFonts w:ascii="Arial" w:eastAsia="Arial" w:hAnsi="Arial" w:cs="Arial"/>
          <w:color w:val="000000"/>
          <w:sz w:val="22"/>
          <w:szCs w:val="22"/>
        </w:rPr>
        <w:t>y en el contexto de la emergencia generada por el COVID-19. Esta provisión deberá estipularse en el contrato de</w:t>
      </w:r>
      <w:r w:rsidR="00253CFC" w:rsidRPr="00ED5EDD">
        <w:rPr>
          <w:rFonts w:ascii="Arial" w:eastAsia="Arial" w:hAnsi="Arial" w:cs="Arial"/>
          <w:color w:val="000000"/>
          <w:sz w:val="22"/>
          <w:szCs w:val="22"/>
        </w:rPr>
        <w:t>l</w:t>
      </w:r>
      <w:r w:rsidR="00A23751" w:rsidRPr="00ED5EDD">
        <w:rPr>
          <w:rFonts w:ascii="Arial" w:eastAsia="Arial" w:hAnsi="Arial" w:cs="Arial"/>
          <w:color w:val="000000"/>
          <w:sz w:val="22"/>
          <w:szCs w:val="22"/>
        </w:rPr>
        <w:t xml:space="preserve"> </w:t>
      </w:r>
      <w:r w:rsidR="00253CFC" w:rsidRPr="00ED5EDD">
        <w:rPr>
          <w:rFonts w:ascii="Arial" w:eastAsia="Arial" w:hAnsi="Arial" w:cs="Arial"/>
          <w:color w:val="000000"/>
          <w:sz w:val="22"/>
          <w:szCs w:val="22"/>
        </w:rPr>
        <w:t>sub</w:t>
      </w:r>
      <w:r w:rsidR="00A23751" w:rsidRPr="00ED5EDD">
        <w:rPr>
          <w:rFonts w:ascii="Arial" w:eastAsia="Arial" w:hAnsi="Arial" w:cs="Arial"/>
          <w:color w:val="000000"/>
          <w:sz w:val="22"/>
          <w:szCs w:val="22"/>
        </w:rPr>
        <w:t>préstamo</w:t>
      </w:r>
      <w:r w:rsidR="004E39AB" w:rsidRPr="00ED5EDD">
        <w:rPr>
          <w:rFonts w:ascii="Arial" w:eastAsia="Arial" w:hAnsi="Arial" w:cs="Arial"/>
          <w:color w:val="000000"/>
          <w:sz w:val="22"/>
          <w:szCs w:val="22"/>
        </w:rPr>
        <w:t xml:space="preserve"> y/o garantía</w:t>
      </w:r>
      <w:r w:rsidR="00A23751" w:rsidRPr="00ED5EDD">
        <w:rPr>
          <w:rFonts w:ascii="Arial" w:eastAsia="Arial" w:hAnsi="Arial" w:cs="Arial"/>
          <w:color w:val="000000"/>
          <w:sz w:val="22"/>
          <w:szCs w:val="22"/>
        </w:rPr>
        <w:t xml:space="preserve"> o en un documento anexo.</w:t>
      </w:r>
    </w:p>
    <w:p w14:paraId="76DA2A96" w14:textId="1BB3D00A" w:rsidR="00AD4F7A" w:rsidRPr="009B0B2B" w:rsidRDefault="00AD4F7A" w:rsidP="005B0E23">
      <w:pPr>
        <w:pStyle w:val="subpar"/>
        <w:tabs>
          <w:tab w:val="clear" w:pos="2592"/>
          <w:tab w:val="num" w:pos="720"/>
        </w:tabs>
        <w:spacing w:before="0"/>
        <w:ind w:left="1166" w:hanging="450"/>
        <w:rPr>
          <w:rFonts w:ascii="Arial" w:hAnsi="Arial" w:cs="Arial"/>
          <w:sz w:val="22"/>
          <w:szCs w:val="22"/>
        </w:rPr>
      </w:pPr>
      <w:r w:rsidRPr="009B0B2B">
        <w:rPr>
          <w:rFonts w:ascii="Arial" w:hAnsi="Arial" w:cs="Arial"/>
          <w:b/>
          <w:sz w:val="22"/>
          <w:szCs w:val="22"/>
        </w:rPr>
        <w:t xml:space="preserve">Derecho de </w:t>
      </w:r>
      <w:r w:rsidR="009B0B2B" w:rsidRPr="009B0B2B">
        <w:rPr>
          <w:rFonts w:ascii="Arial" w:hAnsi="Arial" w:cs="Arial"/>
          <w:b/>
          <w:sz w:val="22"/>
          <w:szCs w:val="22"/>
        </w:rPr>
        <w:t>i</w:t>
      </w:r>
      <w:r w:rsidRPr="009B0B2B">
        <w:rPr>
          <w:rFonts w:ascii="Arial" w:hAnsi="Arial" w:cs="Arial"/>
          <w:b/>
          <w:sz w:val="22"/>
          <w:szCs w:val="22"/>
        </w:rPr>
        <w:t>nspección</w:t>
      </w:r>
      <w:r w:rsidRPr="00EB56FC">
        <w:rPr>
          <w:rFonts w:ascii="Arial" w:hAnsi="Arial" w:cs="Arial"/>
          <w:b/>
          <w:bCs/>
          <w:sz w:val="22"/>
          <w:szCs w:val="22"/>
        </w:rPr>
        <w:t xml:space="preserve">. </w:t>
      </w:r>
      <w:r w:rsidR="009B0B2B" w:rsidRPr="009B0B2B">
        <w:rPr>
          <w:rFonts w:ascii="Arial" w:hAnsi="Arial" w:cs="Arial"/>
          <w:sz w:val="22"/>
          <w:szCs w:val="22"/>
        </w:rPr>
        <w:t xml:space="preserve">Tanto BANHPROVI como el BID por intermedio de sus funcionarios, o consultores contratados para tal fin, así como la firma </w:t>
      </w:r>
      <w:r w:rsidR="009B0B2B" w:rsidRPr="009B0B2B">
        <w:rPr>
          <w:rFonts w:ascii="Arial" w:hAnsi="Arial" w:cs="Arial"/>
          <w:bCs/>
          <w:sz w:val="22"/>
          <w:szCs w:val="22"/>
        </w:rPr>
        <w:t>que realice</w:t>
      </w:r>
      <w:r w:rsidR="009B0B2B" w:rsidRPr="009B0B2B">
        <w:rPr>
          <w:rFonts w:ascii="Arial" w:hAnsi="Arial" w:cs="Arial"/>
          <w:sz w:val="22"/>
          <w:szCs w:val="22"/>
        </w:rPr>
        <w:t xml:space="preserve"> la auditoría del programa, conjuntamente o de manera individual, tendrán derecho a revisar los expedientes/fólderes individuales de los beneficiarios para verificar el adecuado uso de los recursos del programa cuando así lo estimen conveniente. Asimismo, e</w:t>
      </w:r>
      <w:r w:rsidR="002D6C03" w:rsidRPr="009B0B2B">
        <w:rPr>
          <w:rFonts w:ascii="Arial" w:hAnsi="Arial" w:cs="Arial"/>
          <w:sz w:val="22"/>
          <w:szCs w:val="22"/>
        </w:rPr>
        <w:t>l BID</w:t>
      </w:r>
      <w:r w:rsidR="00A73683" w:rsidRPr="009B0B2B">
        <w:rPr>
          <w:rFonts w:ascii="Arial" w:hAnsi="Arial" w:cs="Arial"/>
          <w:sz w:val="22"/>
          <w:szCs w:val="22"/>
        </w:rPr>
        <w:t xml:space="preserve"> </w:t>
      </w:r>
      <w:r w:rsidRPr="009B0B2B">
        <w:rPr>
          <w:rFonts w:ascii="Arial" w:hAnsi="Arial" w:cs="Arial"/>
          <w:sz w:val="22"/>
          <w:szCs w:val="22"/>
        </w:rPr>
        <w:t>tiene el derecho de examinar los bienes, los lugares, los trabajos y las construcciones del respectivo sub</w:t>
      </w:r>
      <w:r w:rsidR="00CF4C52" w:rsidRPr="009B0B2B">
        <w:rPr>
          <w:rFonts w:ascii="Arial" w:hAnsi="Arial" w:cs="Arial"/>
          <w:sz w:val="22"/>
          <w:szCs w:val="22"/>
        </w:rPr>
        <w:t>pr</w:t>
      </w:r>
      <w:r w:rsidR="00BD4BD4" w:rsidRPr="009B0B2B">
        <w:rPr>
          <w:rFonts w:ascii="Arial" w:hAnsi="Arial" w:cs="Arial"/>
          <w:sz w:val="22"/>
          <w:szCs w:val="22"/>
        </w:rPr>
        <w:t>oyecto</w:t>
      </w:r>
      <w:r w:rsidRPr="009B0B2B">
        <w:rPr>
          <w:rFonts w:ascii="Arial" w:hAnsi="Arial" w:cs="Arial"/>
          <w:sz w:val="22"/>
          <w:szCs w:val="22"/>
        </w:rPr>
        <w:t xml:space="preserve">, incluyendo todo lo relativo al cumplimiento de las condiciones </w:t>
      </w:r>
      <w:r w:rsidR="00026851" w:rsidRPr="009B0B2B">
        <w:rPr>
          <w:rFonts w:ascii="Arial" w:hAnsi="Arial" w:cs="Arial"/>
          <w:sz w:val="22"/>
          <w:szCs w:val="22"/>
        </w:rPr>
        <w:t>socioambientales</w:t>
      </w:r>
      <w:r w:rsidRPr="009B0B2B">
        <w:rPr>
          <w:rFonts w:ascii="Arial" w:hAnsi="Arial" w:cs="Arial"/>
          <w:sz w:val="22"/>
          <w:szCs w:val="22"/>
        </w:rPr>
        <w:t xml:space="preserve">. </w:t>
      </w:r>
      <w:r w:rsidR="002D6C03" w:rsidRPr="009B0B2B">
        <w:rPr>
          <w:rFonts w:ascii="Arial" w:hAnsi="Arial" w:cs="Arial"/>
          <w:sz w:val="22"/>
          <w:szCs w:val="22"/>
        </w:rPr>
        <w:t xml:space="preserve">El personal del </w:t>
      </w:r>
      <w:r w:rsidR="00CF4C52" w:rsidRPr="009B0B2B">
        <w:rPr>
          <w:rFonts w:ascii="Arial" w:hAnsi="Arial" w:cs="Arial"/>
          <w:sz w:val="22"/>
          <w:szCs w:val="22"/>
        </w:rPr>
        <w:t>OE</w:t>
      </w:r>
      <w:r w:rsidRPr="009B0B2B">
        <w:rPr>
          <w:rFonts w:ascii="Arial" w:hAnsi="Arial" w:cs="Arial"/>
          <w:sz w:val="22"/>
          <w:szCs w:val="22"/>
        </w:rPr>
        <w:t xml:space="preserve"> coordinará y liderará en todo momento esta inspección.</w:t>
      </w:r>
      <w:r w:rsidR="006B664C" w:rsidRPr="009B0B2B">
        <w:rPr>
          <w:rFonts w:ascii="Arial" w:hAnsi="Arial" w:cs="Arial"/>
          <w:sz w:val="22"/>
          <w:szCs w:val="22"/>
        </w:rPr>
        <w:t xml:space="preserve"> Esta provisión deberá estipularse en el contrato </w:t>
      </w:r>
      <w:r w:rsidR="00BD4BD4" w:rsidRPr="009B0B2B">
        <w:rPr>
          <w:rFonts w:ascii="Arial" w:hAnsi="Arial" w:cs="Arial"/>
          <w:sz w:val="22"/>
          <w:szCs w:val="22"/>
        </w:rPr>
        <w:t xml:space="preserve">entre el BANHPROVI o la IFI </w:t>
      </w:r>
      <w:r w:rsidR="006B664C" w:rsidRPr="009B0B2B">
        <w:rPr>
          <w:rFonts w:ascii="Arial" w:hAnsi="Arial" w:cs="Arial"/>
          <w:sz w:val="22"/>
          <w:szCs w:val="22"/>
        </w:rPr>
        <w:t xml:space="preserve">y el </w:t>
      </w:r>
      <w:r w:rsidR="00BD4BD4" w:rsidRPr="009B0B2B">
        <w:rPr>
          <w:rFonts w:ascii="Arial" w:hAnsi="Arial" w:cs="Arial"/>
          <w:sz w:val="22"/>
          <w:szCs w:val="22"/>
        </w:rPr>
        <w:t>beneficiario final</w:t>
      </w:r>
      <w:r w:rsidR="006B664C" w:rsidRPr="009B0B2B">
        <w:rPr>
          <w:rFonts w:ascii="Arial" w:hAnsi="Arial" w:cs="Arial"/>
          <w:sz w:val="22"/>
          <w:szCs w:val="22"/>
        </w:rPr>
        <w:t>.</w:t>
      </w:r>
    </w:p>
    <w:p w14:paraId="7120C51B" w14:textId="7B1BBF0A" w:rsidR="004C0EBE" w:rsidRPr="00ED5EDD" w:rsidRDefault="00AD4F7A" w:rsidP="00B833AC">
      <w:pPr>
        <w:pStyle w:val="subpar"/>
        <w:tabs>
          <w:tab w:val="clear" w:pos="2592"/>
          <w:tab w:val="num" w:pos="720"/>
        </w:tabs>
        <w:spacing w:before="0"/>
        <w:ind w:left="1166" w:hanging="450"/>
        <w:rPr>
          <w:rFonts w:ascii="Arial" w:hAnsi="Arial" w:cs="Arial"/>
          <w:sz w:val="22"/>
          <w:szCs w:val="22"/>
        </w:rPr>
      </w:pPr>
      <w:r w:rsidRPr="00ED5EDD">
        <w:rPr>
          <w:rFonts w:ascii="Arial" w:hAnsi="Arial" w:cs="Arial"/>
          <w:b/>
          <w:sz w:val="22"/>
          <w:szCs w:val="22"/>
        </w:rPr>
        <w:t>La obligación de entrega de información</w:t>
      </w:r>
      <w:r w:rsidRPr="00EB56FC">
        <w:rPr>
          <w:rFonts w:ascii="Arial" w:hAnsi="Arial" w:cs="Arial"/>
          <w:b/>
          <w:bCs/>
          <w:sz w:val="22"/>
          <w:szCs w:val="22"/>
        </w:rPr>
        <w:t>.</w:t>
      </w:r>
      <w:r w:rsidRPr="00ED5EDD">
        <w:rPr>
          <w:rFonts w:ascii="Arial" w:hAnsi="Arial" w:cs="Arial"/>
          <w:sz w:val="22"/>
          <w:szCs w:val="22"/>
        </w:rPr>
        <w:t xml:space="preserve"> </w:t>
      </w:r>
      <w:r w:rsidR="00CF4C52" w:rsidRPr="00ED5EDD">
        <w:rPr>
          <w:rFonts w:ascii="Arial" w:hAnsi="Arial" w:cs="Arial"/>
          <w:sz w:val="22"/>
          <w:szCs w:val="22"/>
        </w:rPr>
        <w:t>El OE</w:t>
      </w:r>
      <w:r w:rsidR="002D6C03" w:rsidRPr="00ED5EDD">
        <w:rPr>
          <w:rFonts w:ascii="Arial" w:hAnsi="Arial" w:cs="Arial"/>
          <w:sz w:val="22"/>
          <w:szCs w:val="22"/>
        </w:rPr>
        <w:t xml:space="preserve"> y</w:t>
      </w:r>
      <w:r w:rsidR="00A73683" w:rsidRPr="00ED5EDD">
        <w:rPr>
          <w:rFonts w:ascii="Arial" w:hAnsi="Arial" w:cs="Arial"/>
          <w:sz w:val="22"/>
          <w:szCs w:val="22"/>
        </w:rPr>
        <w:t xml:space="preserve"> </w:t>
      </w:r>
      <w:r w:rsidRPr="00ED5EDD">
        <w:rPr>
          <w:rFonts w:ascii="Arial" w:hAnsi="Arial" w:cs="Arial"/>
          <w:sz w:val="22"/>
          <w:szCs w:val="22"/>
        </w:rPr>
        <w:t>el BID</w:t>
      </w:r>
      <w:r w:rsidR="00A73683" w:rsidRPr="00ED5EDD">
        <w:rPr>
          <w:rFonts w:ascii="Arial" w:hAnsi="Arial" w:cs="Arial"/>
          <w:sz w:val="22"/>
          <w:szCs w:val="22"/>
        </w:rPr>
        <w:t xml:space="preserve"> </w:t>
      </w:r>
      <w:r w:rsidRPr="00ED5EDD">
        <w:rPr>
          <w:rFonts w:ascii="Arial" w:hAnsi="Arial" w:cs="Arial"/>
          <w:sz w:val="22"/>
          <w:szCs w:val="22"/>
        </w:rPr>
        <w:t xml:space="preserve">tienen el derecho de solicitarle al </w:t>
      </w:r>
      <w:r w:rsidR="004E39AB" w:rsidRPr="00ED5EDD">
        <w:rPr>
          <w:rFonts w:ascii="Arial" w:hAnsi="Arial" w:cs="Arial"/>
          <w:sz w:val="22"/>
          <w:szCs w:val="22"/>
        </w:rPr>
        <w:t xml:space="preserve">beneficiario final </w:t>
      </w:r>
      <w:r w:rsidRPr="00ED5EDD">
        <w:rPr>
          <w:rFonts w:ascii="Arial" w:hAnsi="Arial" w:cs="Arial"/>
          <w:sz w:val="22"/>
          <w:szCs w:val="22"/>
        </w:rPr>
        <w:t xml:space="preserve">todas las informaciones en relación con </w:t>
      </w:r>
      <w:r w:rsidR="004E39AB" w:rsidRPr="00ED5EDD">
        <w:rPr>
          <w:rFonts w:ascii="Arial" w:hAnsi="Arial" w:cs="Arial"/>
          <w:sz w:val="22"/>
          <w:szCs w:val="22"/>
        </w:rPr>
        <w:t xml:space="preserve">su </w:t>
      </w:r>
      <w:r w:rsidRPr="00ED5EDD">
        <w:rPr>
          <w:rFonts w:ascii="Arial" w:hAnsi="Arial" w:cs="Arial"/>
          <w:sz w:val="22"/>
          <w:szCs w:val="22"/>
        </w:rPr>
        <w:t xml:space="preserve">desempeño y </w:t>
      </w:r>
      <w:r w:rsidR="004E39AB" w:rsidRPr="00ED5EDD">
        <w:rPr>
          <w:rFonts w:ascii="Arial" w:hAnsi="Arial" w:cs="Arial"/>
          <w:sz w:val="22"/>
          <w:szCs w:val="22"/>
        </w:rPr>
        <w:t>su</w:t>
      </w:r>
      <w:r w:rsidR="00557A57">
        <w:rPr>
          <w:rFonts w:ascii="Arial" w:hAnsi="Arial" w:cs="Arial"/>
          <w:sz w:val="22"/>
          <w:szCs w:val="22"/>
        </w:rPr>
        <w:t xml:space="preserve"> </w:t>
      </w:r>
      <w:r w:rsidRPr="00ED5EDD">
        <w:rPr>
          <w:rFonts w:ascii="Arial" w:hAnsi="Arial" w:cs="Arial"/>
          <w:sz w:val="22"/>
          <w:szCs w:val="22"/>
        </w:rPr>
        <w:t xml:space="preserve">situación financiera y </w:t>
      </w:r>
      <w:r w:rsidR="00026851" w:rsidRPr="00ED5EDD">
        <w:rPr>
          <w:rFonts w:ascii="Arial" w:hAnsi="Arial" w:cs="Arial"/>
          <w:sz w:val="22"/>
          <w:szCs w:val="22"/>
        </w:rPr>
        <w:t>socioambiental</w:t>
      </w:r>
      <w:r w:rsidRPr="00ED5EDD">
        <w:rPr>
          <w:rFonts w:ascii="Arial" w:hAnsi="Arial" w:cs="Arial"/>
          <w:sz w:val="22"/>
          <w:szCs w:val="22"/>
        </w:rPr>
        <w:t xml:space="preserve">. </w:t>
      </w:r>
      <w:r w:rsidR="00CF4C52" w:rsidRPr="00ED5EDD">
        <w:rPr>
          <w:rFonts w:ascii="Arial" w:hAnsi="Arial" w:cs="Arial"/>
          <w:sz w:val="22"/>
          <w:szCs w:val="22"/>
        </w:rPr>
        <w:t>El OE</w:t>
      </w:r>
      <w:r w:rsidRPr="00ED5EDD">
        <w:rPr>
          <w:rFonts w:ascii="Arial" w:hAnsi="Arial" w:cs="Arial"/>
          <w:sz w:val="22"/>
          <w:szCs w:val="22"/>
        </w:rPr>
        <w:t xml:space="preserve"> coordinará y liderará en todo momento</w:t>
      </w:r>
      <w:r w:rsidR="003A39B6" w:rsidRPr="00ED5EDD">
        <w:rPr>
          <w:rFonts w:ascii="Arial" w:hAnsi="Arial" w:cs="Arial"/>
          <w:sz w:val="22"/>
          <w:szCs w:val="22"/>
        </w:rPr>
        <w:t xml:space="preserve"> la entrega de esta información, que a su vez servirá para elaborar los reportes de supervisión y evaluación del </w:t>
      </w:r>
      <w:r w:rsidR="00D81631">
        <w:rPr>
          <w:rFonts w:ascii="Arial" w:hAnsi="Arial" w:cs="Arial"/>
          <w:sz w:val="22"/>
          <w:szCs w:val="22"/>
        </w:rPr>
        <w:t>p</w:t>
      </w:r>
      <w:r w:rsidR="004E39AB" w:rsidRPr="00ED5EDD">
        <w:rPr>
          <w:rFonts w:ascii="Arial" w:hAnsi="Arial" w:cs="Arial"/>
          <w:sz w:val="22"/>
          <w:szCs w:val="22"/>
        </w:rPr>
        <w:t>rograma</w:t>
      </w:r>
      <w:r w:rsidR="003A39B6" w:rsidRPr="00ED5EDD">
        <w:rPr>
          <w:rFonts w:ascii="Arial" w:hAnsi="Arial" w:cs="Arial"/>
          <w:sz w:val="22"/>
          <w:szCs w:val="22"/>
        </w:rPr>
        <w:t>.</w:t>
      </w:r>
      <w:r w:rsidR="002D6C03" w:rsidRPr="00ED5EDD">
        <w:rPr>
          <w:rFonts w:ascii="Arial" w:hAnsi="Arial" w:cs="Arial"/>
          <w:sz w:val="22"/>
          <w:szCs w:val="22"/>
        </w:rPr>
        <w:t xml:space="preserve"> Esta provisión deberá estipularse </w:t>
      </w:r>
      <w:r w:rsidR="005E1CDE" w:rsidRPr="00ED5EDD">
        <w:rPr>
          <w:rFonts w:ascii="Arial" w:hAnsi="Arial" w:cs="Arial"/>
          <w:sz w:val="22"/>
          <w:szCs w:val="22"/>
        </w:rPr>
        <w:t xml:space="preserve">tanto </w:t>
      </w:r>
      <w:r w:rsidR="002D6C03" w:rsidRPr="00ED5EDD">
        <w:rPr>
          <w:rFonts w:ascii="Arial" w:hAnsi="Arial" w:cs="Arial"/>
          <w:sz w:val="22"/>
          <w:szCs w:val="22"/>
        </w:rPr>
        <w:t xml:space="preserve">en el </w:t>
      </w:r>
      <w:r w:rsidR="006B664C" w:rsidRPr="00ED5EDD">
        <w:rPr>
          <w:rFonts w:ascii="Arial" w:hAnsi="Arial" w:cs="Arial"/>
          <w:sz w:val="22"/>
          <w:szCs w:val="22"/>
        </w:rPr>
        <w:t xml:space="preserve">contrato de préstamo entre </w:t>
      </w:r>
      <w:r w:rsidR="00A23751" w:rsidRPr="00ED5EDD">
        <w:rPr>
          <w:rFonts w:ascii="Arial" w:hAnsi="Arial" w:cs="Arial"/>
          <w:sz w:val="22"/>
          <w:szCs w:val="22"/>
        </w:rPr>
        <w:t xml:space="preserve">la IFI </w:t>
      </w:r>
      <w:r w:rsidR="006B664C" w:rsidRPr="00ED5EDD">
        <w:rPr>
          <w:rFonts w:ascii="Arial" w:hAnsi="Arial" w:cs="Arial"/>
          <w:sz w:val="22"/>
          <w:szCs w:val="22"/>
        </w:rPr>
        <w:t xml:space="preserve">y el </w:t>
      </w:r>
      <w:r w:rsidR="004E39AB" w:rsidRPr="00ED5EDD">
        <w:rPr>
          <w:rFonts w:ascii="Arial" w:hAnsi="Arial" w:cs="Arial"/>
          <w:sz w:val="22"/>
          <w:szCs w:val="22"/>
        </w:rPr>
        <w:t>beneficiario final</w:t>
      </w:r>
      <w:r w:rsidR="005E1CDE" w:rsidRPr="00ED5EDD">
        <w:rPr>
          <w:rFonts w:ascii="Arial" w:hAnsi="Arial" w:cs="Arial"/>
          <w:sz w:val="22"/>
          <w:szCs w:val="22"/>
        </w:rPr>
        <w:t xml:space="preserve">, </w:t>
      </w:r>
      <w:r w:rsidR="004E39AB" w:rsidRPr="00ED5EDD">
        <w:rPr>
          <w:rFonts w:ascii="Arial" w:hAnsi="Arial" w:cs="Arial"/>
          <w:sz w:val="22"/>
          <w:szCs w:val="22"/>
        </w:rPr>
        <w:t xml:space="preserve">y de </w:t>
      </w:r>
      <w:r w:rsidR="0057456B" w:rsidRPr="00ED5EDD">
        <w:rPr>
          <w:rFonts w:ascii="Arial" w:hAnsi="Arial" w:cs="Arial"/>
          <w:sz w:val="22"/>
          <w:szCs w:val="22"/>
        </w:rPr>
        <w:t>BANHPROVI</w:t>
      </w:r>
      <w:r w:rsidR="00420D9C" w:rsidRPr="00ED5EDD">
        <w:rPr>
          <w:rFonts w:ascii="Arial" w:hAnsi="Arial" w:cs="Arial"/>
          <w:sz w:val="22"/>
          <w:szCs w:val="22"/>
        </w:rPr>
        <w:t xml:space="preserve"> y la IFI</w:t>
      </w:r>
      <w:r w:rsidR="004E39AB" w:rsidRPr="00ED5EDD">
        <w:rPr>
          <w:rFonts w:ascii="Arial" w:hAnsi="Arial" w:cs="Arial"/>
          <w:sz w:val="22"/>
          <w:szCs w:val="22"/>
        </w:rPr>
        <w:t>, como en el contrato de garantía entre BANHPROVI y el beneficiario final</w:t>
      </w:r>
      <w:r w:rsidR="006B664C" w:rsidRPr="00ED5EDD">
        <w:rPr>
          <w:rFonts w:ascii="Arial" w:hAnsi="Arial" w:cs="Arial"/>
          <w:sz w:val="22"/>
          <w:szCs w:val="22"/>
        </w:rPr>
        <w:t>.</w:t>
      </w:r>
      <w:r w:rsidRPr="00ED5EDD">
        <w:rPr>
          <w:rFonts w:ascii="Arial" w:hAnsi="Arial" w:cs="Arial"/>
          <w:sz w:val="22"/>
          <w:szCs w:val="22"/>
        </w:rPr>
        <w:t xml:space="preserve"> </w:t>
      </w:r>
      <w:r w:rsidR="004C0EBE" w:rsidRPr="00ED5EDD">
        <w:rPr>
          <w:rFonts w:ascii="Arial" w:hAnsi="Arial" w:cs="Arial"/>
          <w:sz w:val="22"/>
          <w:szCs w:val="22"/>
        </w:rPr>
        <w:t xml:space="preserve"> </w:t>
      </w:r>
    </w:p>
    <w:p w14:paraId="72BD2140" w14:textId="3DCF63EF" w:rsidR="00E435A8" w:rsidRPr="00B7106F" w:rsidRDefault="00AD4F7A" w:rsidP="00B7106F">
      <w:pPr>
        <w:pStyle w:val="subpar"/>
        <w:tabs>
          <w:tab w:val="clear" w:pos="2592"/>
          <w:tab w:val="num" w:pos="720"/>
        </w:tabs>
        <w:spacing w:before="0"/>
        <w:ind w:left="1166" w:hanging="450"/>
        <w:rPr>
          <w:rFonts w:ascii="Arial" w:hAnsi="Arial" w:cs="Arial"/>
          <w:sz w:val="22"/>
          <w:szCs w:val="22"/>
        </w:rPr>
      </w:pPr>
      <w:r w:rsidRPr="00ED5EDD">
        <w:rPr>
          <w:rFonts w:ascii="Arial" w:hAnsi="Arial" w:cs="Arial"/>
          <w:b/>
          <w:sz w:val="22"/>
          <w:szCs w:val="22"/>
        </w:rPr>
        <w:t>El derecho de suspender desembolsos</w:t>
      </w:r>
      <w:r w:rsidRPr="00EB56FC">
        <w:rPr>
          <w:rFonts w:ascii="Arial" w:hAnsi="Arial" w:cs="Arial"/>
          <w:b/>
          <w:bCs/>
          <w:sz w:val="22"/>
          <w:szCs w:val="22"/>
        </w:rPr>
        <w:t>.</w:t>
      </w:r>
      <w:r w:rsidRPr="00ED5EDD">
        <w:rPr>
          <w:rFonts w:ascii="Arial" w:hAnsi="Arial" w:cs="Arial"/>
          <w:sz w:val="22"/>
          <w:szCs w:val="22"/>
        </w:rPr>
        <w:t xml:space="preserve"> </w:t>
      </w:r>
      <w:r w:rsidR="006B664C" w:rsidRPr="00ED5EDD">
        <w:rPr>
          <w:rFonts w:ascii="Arial" w:hAnsi="Arial" w:cs="Arial"/>
          <w:sz w:val="22"/>
          <w:szCs w:val="22"/>
        </w:rPr>
        <w:t>El</w:t>
      </w:r>
      <w:r w:rsidR="00DC62FF" w:rsidRPr="00ED5EDD">
        <w:rPr>
          <w:rFonts w:ascii="Arial" w:hAnsi="Arial" w:cs="Arial"/>
          <w:sz w:val="22"/>
          <w:szCs w:val="22"/>
        </w:rPr>
        <w:t xml:space="preserve"> BID </w:t>
      </w:r>
      <w:r w:rsidR="006B664C" w:rsidRPr="00ED5EDD">
        <w:rPr>
          <w:rFonts w:ascii="Arial" w:hAnsi="Arial" w:cs="Arial"/>
          <w:sz w:val="22"/>
          <w:szCs w:val="22"/>
        </w:rPr>
        <w:t>cuenta</w:t>
      </w:r>
      <w:r w:rsidRPr="00ED5EDD">
        <w:rPr>
          <w:rFonts w:ascii="Arial" w:hAnsi="Arial" w:cs="Arial"/>
          <w:sz w:val="22"/>
          <w:szCs w:val="22"/>
        </w:rPr>
        <w:t xml:space="preserve"> con el derecho en cualquier momento de la vida del crédito, a suspender los desembolsos y/o solicitar el vencimiento anticipado del subpréstamo </w:t>
      </w:r>
      <w:r w:rsidR="00ED5EDD" w:rsidRPr="00ED5EDD">
        <w:rPr>
          <w:rFonts w:ascii="Arial" w:hAnsi="Arial" w:cs="Arial"/>
          <w:sz w:val="22"/>
          <w:szCs w:val="22"/>
        </w:rPr>
        <w:t xml:space="preserve">y/o garantía </w:t>
      </w:r>
      <w:r w:rsidRPr="00ED5EDD">
        <w:rPr>
          <w:rFonts w:ascii="Arial" w:hAnsi="Arial" w:cs="Arial"/>
          <w:sz w:val="22"/>
          <w:szCs w:val="22"/>
        </w:rPr>
        <w:t xml:space="preserve">dentro del </w:t>
      </w:r>
      <w:r w:rsidR="00B7106F">
        <w:rPr>
          <w:rFonts w:ascii="Arial" w:hAnsi="Arial" w:cs="Arial"/>
          <w:sz w:val="22"/>
          <w:szCs w:val="22"/>
        </w:rPr>
        <w:t>p</w:t>
      </w:r>
      <w:r w:rsidR="004E39AB" w:rsidRPr="00ED5EDD">
        <w:rPr>
          <w:rFonts w:ascii="Arial" w:hAnsi="Arial" w:cs="Arial"/>
          <w:sz w:val="22"/>
          <w:szCs w:val="22"/>
        </w:rPr>
        <w:t>rograma</w:t>
      </w:r>
      <w:r w:rsidRPr="00ED5EDD">
        <w:rPr>
          <w:rFonts w:ascii="Arial" w:hAnsi="Arial" w:cs="Arial"/>
          <w:sz w:val="22"/>
          <w:szCs w:val="22"/>
        </w:rPr>
        <w:t xml:space="preserve">, si el </w:t>
      </w:r>
      <w:r w:rsidR="00BD4BD4">
        <w:rPr>
          <w:rFonts w:ascii="Arial" w:hAnsi="Arial" w:cs="Arial"/>
          <w:sz w:val="22"/>
          <w:szCs w:val="22"/>
        </w:rPr>
        <w:t xml:space="preserve">beneficiario final </w:t>
      </w:r>
      <w:r w:rsidRPr="00ED5EDD">
        <w:rPr>
          <w:rFonts w:ascii="Arial" w:hAnsi="Arial" w:cs="Arial"/>
          <w:sz w:val="22"/>
          <w:szCs w:val="22"/>
        </w:rPr>
        <w:t xml:space="preserve">no cumple con sus obligaciones relacionadas con la utilización de los créditos, la limitación de destino de los recursos </w:t>
      </w:r>
      <w:r w:rsidR="00B83DF3" w:rsidRPr="00ED5EDD">
        <w:rPr>
          <w:rFonts w:ascii="Arial" w:hAnsi="Arial" w:cs="Arial"/>
          <w:sz w:val="22"/>
          <w:szCs w:val="22"/>
        </w:rPr>
        <w:t xml:space="preserve">de acuerdo </w:t>
      </w:r>
      <w:r w:rsidR="00A613F7" w:rsidRPr="00ED5EDD">
        <w:rPr>
          <w:rFonts w:ascii="Arial" w:hAnsi="Arial" w:cs="Arial"/>
          <w:sz w:val="22"/>
          <w:szCs w:val="22"/>
        </w:rPr>
        <w:t>con</w:t>
      </w:r>
      <w:r w:rsidR="00B83DF3" w:rsidRPr="00ED5EDD">
        <w:rPr>
          <w:rFonts w:ascii="Arial" w:hAnsi="Arial" w:cs="Arial"/>
          <w:sz w:val="22"/>
          <w:szCs w:val="22"/>
        </w:rPr>
        <w:t xml:space="preserve"> las estipulaciones de este </w:t>
      </w:r>
      <w:r w:rsidR="004E39AB" w:rsidRPr="00ED5EDD">
        <w:rPr>
          <w:rFonts w:ascii="Arial" w:hAnsi="Arial" w:cs="Arial"/>
          <w:sz w:val="22"/>
          <w:szCs w:val="22"/>
        </w:rPr>
        <w:t xml:space="preserve">RC </w:t>
      </w:r>
      <w:r w:rsidR="00B83DF3" w:rsidRPr="00ED5EDD">
        <w:rPr>
          <w:rFonts w:ascii="Arial" w:hAnsi="Arial" w:cs="Arial"/>
          <w:sz w:val="22"/>
          <w:szCs w:val="22"/>
        </w:rPr>
        <w:t xml:space="preserve">y sus Anexos. </w:t>
      </w:r>
      <w:r w:rsidRPr="00ED5EDD">
        <w:rPr>
          <w:rFonts w:ascii="Arial" w:hAnsi="Arial" w:cs="Arial"/>
          <w:sz w:val="22"/>
          <w:szCs w:val="22"/>
        </w:rPr>
        <w:t>En estos casos</w:t>
      </w:r>
      <w:r w:rsidR="00CF4C52" w:rsidRPr="00ED5EDD">
        <w:rPr>
          <w:rFonts w:ascii="Arial" w:hAnsi="Arial" w:cs="Arial"/>
          <w:sz w:val="22"/>
          <w:szCs w:val="22"/>
        </w:rPr>
        <w:t xml:space="preserve">, el </w:t>
      </w:r>
      <w:r w:rsidR="00CF4C52" w:rsidRPr="00ED5EDD">
        <w:rPr>
          <w:rFonts w:ascii="Arial" w:hAnsi="Arial" w:cs="Arial"/>
          <w:sz w:val="22"/>
          <w:szCs w:val="22"/>
        </w:rPr>
        <w:lastRenderedPageBreak/>
        <w:t>OE</w:t>
      </w:r>
      <w:r w:rsidRPr="00ED5EDD">
        <w:rPr>
          <w:rFonts w:ascii="Arial" w:hAnsi="Arial" w:cs="Arial"/>
          <w:sz w:val="22"/>
          <w:szCs w:val="22"/>
        </w:rPr>
        <w:t xml:space="preserve"> procederá de inmediato </w:t>
      </w:r>
      <w:r w:rsidR="005C245B" w:rsidRPr="00ED5EDD">
        <w:rPr>
          <w:rFonts w:ascii="Arial" w:hAnsi="Arial" w:cs="Arial"/>
          <w:sz w:val="22"/>
          <w:szCs w:val="22"/>
        </w:rPr>
        <w:t xml:space="preserve">exigir a la IFI </w:t>
      </w:r>
      <w:r w:rsidRPr="00ED5EDD">
        <w:rPr>
          <w:rFonts w:ascii="Arial" w:hAnsi="Arial" w:cs="Arial"/>
          <w:sz w:val="22"/>
          <w:szCs w:val="22"/>
        </w:rPr>
        <w:t xml:space="preserve">reemplazar de la cartera del </w:t>
      </w:r>
      <w:r w:rsidR="00B7106F">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cualquier subpréstamo </w:t>
      </w:r>
      <w:r w:rsidR="00B7106F">
        <w:rPr>
          <w:rFonts w:ascii="Arial" w:hAnsi="Arial" w:cs="Arial"/>
          <w:sz w:val="22"/>
          <w:szCs w:val="22"/>
        </w:rPr>
        <w:t xml:space="preserve">y/o garantía </w:t>
      </w:r>
      <w:r w:rsidRPr="00ED5EDD">
        <w:rPr>
          <w:rFonts w:ascii="Arial" w:hAnsi="Arial" w:cs="Arial"/>
          <w:sz w:val="22"/>
          <w:szCs w:val="22"/>
        </w:rPr>
        <w:t>que caiga en incumplimiento por las razones previamente aludidas.</w:t>
      </w:r>
    </w:p>
    <w:p w14:paraId="32E16A22" w14:textId="7E47DED5" w:rsidR="00096DC8" w:rsidRPr="00ED5EDD" w:rsidRDefault="00096DC8" w:rsidP="00096DC8">
      <w:pPr>
        <w:pStyle w:val="Chapter"/>
        <w:tabs>
          <w:tab w:val="clear" w:pos="1440"/>
        </w:tabs>
        <w:spacing w:before="0"/>
        <w:ind w:left="1350" w:hanging="540"/>
        <w:jc w:val="left"/>
        <w:rPr>
          <w:rFonts w:ascii="Arial" w:hAnsi="Arial" w:cs="Arial"/>
          <w:sz w:val="22"/>
          <w:szCs w:val="22"/>
        </w:rPr>
      </w:pPr>
      <w:bookmarkStart w:id="79" w:name="_Toc42960883"/>
      <w:bookmarkStart w:id="80" w:name="_Toc507057765"/>
      <w:r w:rsidRPr="00ED5EDD">
        <w:rPr>
          <w:rFonts w:ascii="Arial" w:hAnsi="Arial" w:cs="Arial"/>
          <w:szCs w:val="24"/>
        </w:rPr>
        <w:t>Indicadores de Resultados</w:t>
      </w:r>
      <w:r w:rsidR="009D6F5A" w:rsidRPr="00ED5EDD">
        <w:rPr>
          <w:rFonts w:ascii="Arial" w:hAnsi="Arial" w:cs="Arial"/>
          <w:szCs w:val="24"/>
        </w:rPr>
        <w:t xml:space="preserve"> del Programa</w:t>
      </w:r>
      <w:bookmarkEnd w:id="79"/>
    </w:p>
    <w:p w14:paraId="0DC96FA9" w14:textId="2F269379" w:rsidR="00566360" w:rsidRPr="00ED5EDD" w:rsidRDefault="00566360" w:rsidP="00096DC8">
      <w:pPr>
        <w:pStyle w:val="Paragraph"/>
        <w:tabs>
          <w:tab w:val="num" w:pos="720"/>
        </w:tabs>
        <w:ind w:left="720" w:hanging="720"/>
        <w:rPr>
          <w:rFonts w:ascii="Arial" w:hAnsi="Arial" w:cs="Arial"/>
          <w:sz w:val="22"/>
          <w:szCs w:val="22"/>
        </w:rPr>
      </w:pPr>
      <w:r w:rsidRPr="00316758">
        <w:rPr>
          <w:rStyle w:val="normaltextrun"/>
          <w:rFonts w:ascii="Arial" w:hAnsi="Arial" w:cs="Arial"/>
          <w:color w:val="000000"/>
          <w:sz w:val="22"/>
          <w:szCs w:val="22"/>
          <w:shd w:val="clear" w:color="auto" w:fill="FFFFFF"/>
        </w:rPr>
        <w:t xml:space="preserve">Como impacto del programa se espera que la </w:t>
      </w:r>
      <w:r w:rsidRPr="00B54F55">
        <w:rPr>
          <w:rStyle w:val="normaltextrun"/>
          <w:rFonts w:ascii="Arial" w:hAnsi="Arial" w:cs="Arial"/>
          <w:color w:val="000000"/>
          <w:sz w:val="22"/>
          <w:szCs w:val="22"/>
          <w:shd w:val="clear" w:color="auto" w:fill="FFFFFF"/>
        </w:rPr>
        <w:t>intervención apoye la sostenibilidad frente a la crisis del COVID-19 de las MIPYME medid</w:t>
      </w:r>
      <w:r>
        <w:rPr>
          <w:rStyle w:val="normaltextrun"/>
          <w:rFonts w:ascii="Arial" w:hAnsi="Arial" w:cs="Arial"/>
          <w:color w:val="000000"/>
          <w:sz w:val="22"/>
          <w:szCs w:val="22"/>
          <w:shd w:val="clear" w:color="auto" w:fill="FFFFFF"/>
        </w:rPr>
        <w:t>a</w:t>
      </w:r>
      <w:r w:rsidRPr="00B54F55">
        <w:rPr>
          <w:rStyle w:val="normaltextrun"/>
          <w:rFonts w:ascii="Arial" w:hAnsi="Arial" w:cs="Arial"/>
          <w:color w:val="000000"/>
          <w:sz w:val="22"/>
          <w:szCs w:val="22"/>
          <w:shd w:val="clear" w:color="auto" w:fill="FFFFFF"/>
        </w:rPr>
        <w:t xml:space="preserve"> como </w:t>
      </w:r>
      <w:r>
        <w:rPr>
          <w:rStyle w:val="normaltextrun"/>
          <w:rFonts w:ascii="Arial" w:hAnsi="Arial" w:cs="Arial"/>
          <w:color w:val="000000"/>
          <w:sz w:val="22"/>
          <w:szCs w:val="22"/>
          <w:shd w:val="clear" w:color="auto" w:fill="FFFFFF"/>
        </w:rPr>
        <w:t xml:space="preserve">el porcentaje del </w:t>
      </w:r>
      <w:r w:rsidRPr="00B54F55">
        <w:rPr>
          <w:rStyle w:val="normaltextrun"/>
          <w:rFonts w:ascii="Arial" w:hAnsi="Arial" w:cs="Arial"/>
          <w:color w:val="000000"/>
          <w:sz w:val="22"/>
          <w:szCs w:val="22"/>
          <w:shd w:val="clear" w:color="auto" w:fill="FFFFFF"/>
        </w:rPr>
        <w:t xml:space="preserve">empleo </w:t>
      </w:r>
      <w:r>
        <w:rPr>
          <w:rStyle w:val="normaltextrun"/>
          <w:rFonts w:ascii="Arial" w:hAnsi="Arial" w:cs="Arial"/>
          <w:color w:val="000000"/>
          <w:sz w:val="22"/>
          <w:szCs w:val="22"/>
          <w:shd w:val="clear" w:color="auto" w:fill="FFFFFF"/>
        </w:rPr>
        <w:t xml:space="preserve">MIPYME sobre el empleo total del país y el porcentaje de empleo en </w:t>
      </w:r>
      <w:r w:rsidRPr="00B54F55">
        <w:rPr>
          <w:rStyle w:val="normaltextrun"/>
          <w:rFonts w:ascii="Arial" w:hAnsi="Arial" w:cs="Arial"/>
          <w:color w:val="000000"/>
          <w:sz w:val="22"/>
          <w:szCs w:val="22"/>
          <w:shd w:val="clear" w:color="auto" w:fill="FFFFFF"/>
        </w:rPr>
        <w:t xml:space="preserve">MIPYME </w:t>
      </w:r>
      <w:r>
        <w:rPr>
          <w:rStyle w:val="normaltextrun"/>
          <w:rFonts w:ascii="Arial" w:hAnsi="Arial" w:cs="Arial"/>
          <w:color w:val="000000"/>
          <w:sz w:val="22"/>
          <w:szCs w:val="22"/>
          <w:shd w:val="clear" w:color="auto" w:fill="FFFFFF"/>
        </w:rPr>
        <w:t xml:space="preserve">del sector turístico </w:t>
      </w:r>
      <w:r w:rsidRPr="00B54F55">
        <w:rPr>
          <w:rStyle w:val="normaltextrun"/>
          <w:rFonts w:ascii="Arial" w:hAnsi="Arial" w:cs="Arial"/>
          <w:color w:val="000000"/>
          <w:sz w:val="22"/>
          <w:szCs w:val="22"/>
          <w:shd w:val="clear" w:color="auto" w:fill="FFFFFF"/>
        </w:rPr>
        <w:t>sobre el empleo total de MIPYME en el país. </w:t>
      </w:r>
    </w:p>
    <w:p w14:paraId="3998B841" w14:textId="2B5C4900" w:rsidR="00096DC8" w:rsidRPr="00557A57" w:rsidRDefault="00566360" w:rsidP="00ED5EDD">
      <w:pPr>
        <w:pStyle w:val="Paragraph"/>
        <w:tabs>
          <w:tab w:val="num" w:pos="720"/>
        </w:tabs>
        <w:ind w:left="720" w:hanging="720"/>
        <w:rPr>
          <w:rStyle w:val="normaltextrun"/>
          <w:rFonts w:ascii="Arial" w:hAnsi="Arial" w:cs="Arial"/>
          <w:color w:val="000000"/>
          <w:shd w:val="clear" w:color="auto" w:fill="FFFFFF"/>
        </w:rPr>
      </w:pPr>
      <w:r w:rsidRPr="00B54F55">
        <w:rPr>
          <w:rStyle w:val="normaltextrun"/>
          <w:rFonts w:ascii="Arial" w:hAnsi="Arial" w:cs="Arial"/>
          <w:color w:val="000000"/>
          <w:sz w:val="22"/>
          <w:szCs w:val="22"/>
          <w:shd w:val="clear" w:color="auto" w:fill="FFFFFF"/>
        </w:rPr>
        <w:t>Los indicadores</w:t>
      </w:r>
      <w:r w:rsidRPr="00316758">
        <w:rPr>
          <w:rStyle w:val="normaltextrun"/>
          <w:rFonts w:ascii="Arial" w:hAnsi="Arial" w:cs="Arial"/>
          <w:color w:val="000000"/>
          <w:sz w:val="22"/>
          <w:szCs w:val="22"/>
          <w:shd w:val="clear" w:color="auto" w:fill="FFFFFF"/>
        </w:rPr>
        <w:t xml:space="preserve"> de resultado del programa serán: </w:t>
      </w:r>
      <w:r w:rsidRPr="009C1D2E">
        <w:rPr>
          <w:rStyle w:val="normaltextrun"/>
          <w:rFonts w:ascii="Arial" w:hAnsi="Arial" w:cs="Arial"/>
          <w:color w:val="000000"/>
          <w:sz w:val="22"/>
          <w:szCs w:val="22"/>
          <w:shd w:val="clear" w:color="auto" w:fill="FFFFFF"/>
        </w:rPr>
        <w:t xml:space="preserve">(i) tasa de mora </w:t>
      </w:r>
      <w:r w:rsidR="00E001CD">
        <w:rPr>
          <w:rStyle w:val="normaltextrun"/>
          <w:rFonts w:ascii="Arial" w:hAnsi="Arial" w:cs="Arial"/>
          <w:color w:val="000000"/>
          <w:sz w:val="22"/>
          <w:szCs w:val="22"/>
          <w:shd w:val="clear" w:color="auto" w:fill="FFFFFF"/>
        </w:rPr>
        <w:t xml:space="preserve">relativa, </w:t>
      </w:r>
      <w:r w:rsidRPr="009C1D2E">
        <w:rPr>
          <w:rStyle w:val="normaltextrun"/>
          <w:rFonts w:ascii="Arial" w:hAnsi="Arial" w:cs="Arial"/>
          <w:color w:val="000000"/>
          <w:sz w:val="22"/>
          <w:szCs w:val="22"/>
          <w:shd w:val="clear" w:color="auto" w:fill="FFFFFF"/>
        </w:rPr>
        <w:t xml:space="preserve">a </w:t>
      </w:r>
      <w:r w:rsidRPr="00967E64">
        <w:rPr>
          <w:rStyle w:val="normaltextrun"/>
          <w:rFonts w:ascii="Arial" w:hAnsi="Arial" w:cs="Arial"/>
          <w:sz w:val="22"/>
          <w:szCs w:val="22"/>
          <w:shd w:val="clear" w:color="auto" w:fill="FFFFFF"/>
        </w:rPr>
        <w:t xml:space="preserve">los 15, 18 y 24 meses </w:t>
      </w:r>
      <w:r w:rsidRPr="009C1D2E">
        <w:rPr>
          <w:rStyle w:val="normaltextrun"/>
          <w:rFonts w:ascii="Arial" w:hAnsi="Arial" w:cs="Arial"/>
          <w:color w:val="000000"/>
          <w:sz w:val="22"/>
          <w:szCs w:val="22"/>
          <w:shd w:val="clear" w:color="auto" w:fill="FFFFFF"/>
        </w:rPr>
        <w:t xml:space="preserve">de comenzar el programa, en la cartera </w:t>
      </w:r>
      <w:r w:rsidR="00E001CD">
        <w:rPr>
          <w:rStyle w:val="normaltextrun"/>
          <w:rFonts w:ascii="Arial" w:hAnsi="Arial" w:cs="Arial"/>
          <w:color w:val="000000"/>
          <w:sz w:val="22"/>
          <w:szCs w:val="22"/>
          <w:shd w:val="clear" w:color="auto" w:fill="FFFFFF"/>
        </w:rPr>
        <w:t>de financiamiento MIPYME de los intermediarios financieros de BANHPROVI en el programa</w:t>
      </w:r>
      <w:r w:rsidR="00E001CD" w:rsidRPr="009C1D2E">
        <w:rPr>
          <w:rStyle w:val="normaltextrun"/>
          <w:rFonts w:ascii="Arial" w:hAnsi="Arial" w:cs="Arial"/>
          <w:color w:val="000000"/>
          <w:sz w:val="22"/>
          <w:szCs w:val="22"/>
          <w:shd w:val="clear" w:color="auto" w:fill="FFFFFF"/>
        </w:rPr>
        <w:t>,</w:t>
      </w:r>
      <w:r w:rsidRPr="009C1D2E">
        <w:rPr>
          <w:rStyle w:val="normaltextrun"/>
          <w:rFonts w:ascii="Arial" w:hAnsi="Arial" w:cs="Arial"/>
          <w:color w:val="000000"/>
          <w:sz w:val="22"/>
          <w:szCs w:val="22"/>
          <w:shd w:val="clear" w:color="auto" w:fill="FFFFFF"/>
        </w:rPr>
        <w:t xml:space="preserve"> frente a la tasa de mora de la cartera de financiamiento MIPYME del sistema financiero supervisado; </w:t>
      </w:r>
      <w:r>
        <w:rPr>
          <w:rStyle w:val="normaltextrun"/>
          <w:rFonts w:ascii="Arial" w:hAnsi="Arial" w:cs="Arial"/>
          <w:color w:val="000000"/>
          <w:sz w:val="22"/>
          <w:szCs w:val="22"/>
          <w:shd w:val="clear" w:color="auto" w:fill="FFFFFF"/>
        </w:rPr>
        <w:t xml:space="preserve">y </w:t>
      </w:r>
      <w:r w:rsidRPr="009C1D2E">
        <w:rPr>
          <w:rStyle w:val="normaltextrun"/>
          <w:rFonts w:ascii="Arial" w:hAnsi="Arial" w:cs="Arial"/>
          <w:color w:val="000000"/>
          <w:sz w:val="22"/>
          <w:szCs w:val="22"/>
          <w:shd w:val="clear" w:color="auto" w:fill="FFFFFF"/>
        </w:rPr>
        <w:t>(</w:t>
      </w:r>
      <w:proofErr w:type="spellStart"/>
      <w:r w:rsidRPr="009C1D2E">
        <w:rPr>
          <w:rStyle w:val="normaltextrun"/>
          <w:rFonts w:ascii="Arial" w:hAnsi="Arial" w:cs="Arial"/>
          <w:color w:val="000000"/>
          <w:sz w:val="22"/>
          <w:szCs w:val="22"/>
          <w:shd w:val="clear" w:color="auto" w:fill="FFFFFF"/>
        </w:rPr>
        <w:t>ii</w:t>
      </w:r>
      <w:proofErr w:type="spellEnd"/>
      <w:r w:rsidRPr="009C1D2E">
        <w:rPr>
          <w:rStyle w:val="normaltextrun"/>
          <w:rFonts w:ascii="Arial" w:hAnsi="Arial" w:cs="Arial"/>
          <w:color w:val="000000"/>
          <w:sz w:val="22"/>
          <w:szCs w:val="22"/>
          <w:shd w:val="clear" w:color="auto" w:fill="FFFFFF"/>
        </w:rPr>
        <w:t xml:space="preserve">) monto total de la cartera de </w:t>
      </w:r>
      <w:r>
        <w:rPr>
          <w:rStyle w:val="normaltextrun"/>
          <w:rFonts w:ascii="Arial" w:hAnsi="Arial" w:cs="Arial"/>
          <w:color w:val="000000"/>
          <w:sz w:val="22"/>
          <w:szCs w:val="22"/>
          <w:shd w:val="clear" w:color="auto" w:fill="FFFFFF"/>
        </w:rPr>
        <w:t xml:space="preserve">BANHPROVI para el </w:t>
      </w:r>
      <w:r w:rsidRPr="009C1D2E">
        <w:rPr>
          <w:rStyle w:val="normaltextrun"/>
          <w:rFonts w:ascii="Arial" w:hAnsi="Arial" w:cs="Arial"/>
          <w:color w:val="000000"/>
          <w:sz w:val="22"/>
          <w:szCs w:val="22"/>
          <w:shd w:val="clear" w:color="auto" w:fill="FFFFFF"/>
        </w:rPr>
        <w:t>financiamiento de</w:t>
      </w:r>
      <w:r>
        <w:rPr>
          <w:rStyle w:val="normaltextrun"/>
          <w:rFonts w:ascii="Arial" w:hAnsi="Arial" w:cs="Arial"/>
          <w:color w:val="000000"/>
          <w:sz w:val="22"/>
          <w:szCs w:val="22"/>
          <w:shd w:val="clear" w:color="auto" w:fill="FFFFFF"/>
        </w:rPr>
        <w:t xml:space="preserve"> capital trabajo de </w:t>
      </w:r>
      <w:r w:rsidRPr="009C1D2E">
        <w:rPr>
          <w:rStyle w:val="normaltextrun"/>
          <w:rFonts w:ascii="Arial" w:hAnsi="Arial" w:cs="Arial"/>
          <w:color w:val="000000"/>
          <w:sz w:val="22"/>
          <w:szCs w:val="22"/>
          <w:shd w:val="clear" w:color="auto" w:fill="FFFFFF"/>
        </w:rPr>
        <w:t>la MIPYME</w:t>
      </w:r>
      <w:r>
        <w:rPr>
          <w:rStyle w:val="normaltextrun"/>
          <w:rFonts w:ascii="Arial" w:hAnsi="Arial" w:cs="Arial"/>
          <w:color w:val="000000"/>
          <w:sz w:val="22"/>
          <w:szCs w:val="22"/>
          <w:shd w:val="clear" w:color="auto" w:fill="FFFFFF"/>
        </w:rPr>
        <w:t>.</w:t>
      </w:r>
    </w:p>
    <w:p w14:paraId="07179E8A" w14:textId="3E5DD885" w:rsidR="00A10146" w:rsidRPr="00ED5EDD" w:rsidRDefault="00A10146" w:rsidP="00A613F7">
      <w:pPr>
        <w:pStyle w:val="Chapter"/>
        <w:tabs>
          <w:tab w:val="clear" w:pos="1440"/>
        </w:tabs>
        <w:spacing w:before="0"/>
        <w:ind w:left="1350" w:hanging="540"/>
        <w:jc w:val="left"/>
        <w:rPr>
          <w:rFonts w:ascii="Arial" w:hAnsi="Arial" w:cs="Arial"/>
          <w:szCs w:val="24"/>
        </w:rPr>
      </w:pPr>
      <w:bookmarkStart w:id="81" w:name="_Toc42960884"/>
      <w:r w:rsidRPr="00ED5EDD">
        <w:rPr>
          <w:rFonts w:ascii="Arial" w:hAnsi="Arial" w:cs="Arial"/>
          <w:szCs w:val="24"/>
        </w:rPr>
        <w:t>Reporte y Monitoreo</w:t>
      </w:r>
      <w:bookmarkEnd w:id="80"/>
      <w:r w:rsidR="009D6F5A" w:rsidRPr="00ED5EDD">
        <w:rPr>
          <w:rFonts w:ascii="Arial" w:hAnsi="Arial" w:cs="Arial"/>
          <w:szCs w:val="24"/>
        </w:rPr>
        <w:t xml:space="preserve"> del Programa</w:t>
      </w:r>
      <w:bookmarkEnd w:id="81"/>
      <w:r w:rsidRPr="00ED5EDD">
        <w:rPr>
          <w:rFonts w:ascii="Arial" w:hAnsi="Arial" w:cs="Arial"/>
          <w:szCs w:val="24"/>
        </w:rPr>
        <w:t xml:space="preserve"> </w:t>
      </w:r>
    </w:p>
    <w:p w14:paraId="4B96EE76" w14:textId="26FA87C6" w:rsidR="00A10146" w:rsidRPr="00ED5EDD" w:rsidRDefault="00280E54" w:rsidP="00A10146">
      <w:pPr>
        <w:pStyle w:val="Paragraph"/>
        <w:ind w:left="720" w:hanging="720"/>
        <w:rPr>
          <w:rFonts w:ascii="Arial" w:hAnsi="Arial" w:cs="Arial"/>
          <w:sz w:val="22"/>
          <w:szCs w:val="22"/>
        </w:rPr>
      </w:pPr>
      <w:r w:rsidRPr="00ED5EDD">
        <w:rPr>
          <w:rFonts w:ascii="Arial" w:hAnsi="Arial" w:cs="Arial"/>
          <w:sz w:val="22"/>
          <w:szCs w:val="22"/>
        </w:rPr>
        <w:t xml:space="preserve">Como parte de la ejecución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se han identificado los siguientes instrumentos de monitoreo y evaluación:</w:t>
      </w:r>
    </w:p>
    <w:p w14:paraId="5AFA26F1" w14:textId="6EA7C31B" w:rsidR="00280E54" w:rsidRPr="00ED5EDD" w:rsidRDefault="00280E54" w:rsidP="00A23751">
      <w:pPr>
        <w:pStyle w:val="subpar"/>
        <w:tabs>
          <w:tab w:val="clear" w:pos="2592"/>
          <w:tab w:val="num" w:pos="720"/>
        </w:tabs>
        <w:spacing w:before="0"/>
        <w:ind w:left="1166" w:hanging="446"/>
        <w:rPr>
          <w:rFonts w:ascii="Arial" w:hAnsi="Arial" w:cs="Arial"/>
          <w:bCs/>
          <w:sz w:val="22"/>
          <w:szCs w:val="22"/>
        </w:rPr>
      </w:pPr>
      <w:r w:rsidRPr="00ED5EDD">
        <w:rPr>
          <w:rFonts w:ascii="Arial" w:hAnsi="Arial" w:cs="Arial"/>
          <w:bCs/>
          <w:sz w:val="22"/>
          <w:szCs w:val="22"/>
        </w:rPr>
        <w:t xml:space="preserve">Informes semestrales de seguimiento del </w:t>
      </w:r>
      <w:r w:rsidR="00E21603" w:rsidRPr="00ED5EDD">
        <w:rPr>
          <w:rFonts w:ascii="Arial" w:hAnsi="Arial" w:cs="Arial"/>
          <w:bCs/>
          <w:sz w:val="22"/>
          <w:szCs w:val="22"/>
        </w:rPr>
        <w:t>programa</w:t>
      </w:r>
      <w:r w:rsidRPr="00ED5EDD">
        <w:rPr>
          <w:rFonts w:ascii="Arial" w:hAnsi="Arial" w:cs="Arial"/>
          <w:bCs/>
          <w:sz w:val="22"/>
          <w:szCs w:val="22"/>
        </w:rPr>
        <w:t xml:space="preserve"> en el que el OE informa al </w:t>
      </w:r>
      <w:r w:rsidR="00B62845" w:rsidRPr="00ED5EDD">
        <w:rPr>
          <w:rFonts w:ascii="Arial" w:hAnsi="Arial" w:cs="Arial"/>
          <w:bCs/>
          <w:sz w:val="22"/>
          <w:szCs w:val="22"/>
        </w:rPr>
        <w:t xml:space="preserve">BID </w:t>
      </w:r>
      <w:r w:rsidRPr="00ED5EDD">
        <w:rPr>
          <w:rFonts w:ascii="Arial" w:hAnsi="Arial" w:cs="Arial"/>
          <w:bCs/>
          <w:sz w:val="22"/>
          <w:szCs w:val="22"/>
        </w:rPr>
        <w:t xml:space="preserve">el progreso en la ejecución de las actividades </w:t>
      </w:r>
      <w:r w:rsidR="00E21603" w:rsidRPr="00ED5EDD">
        <w:rPr>
          <w:rFonts w:ascii="Arial" w:hAnsi="Arial" w:cs="Arial"/>
          <w:bCs/>
          <w:sz w:val="22"/>
          <w:szCs w:val="22"/>
        </w:rPr>
        <w:t>programa</w:t>
      </w:r>
      <w:r w:rsidRPr="00ED5EDD">
        <w:rPr>
          <w:rFonts w:ascii="Arial" w:hAnsi="Arial" w:cs="Arial"/>
          <w:bCs/>
          <w:sz w:val="22"/>
          <w:szCs w:val="22"/>
        </w:rPr>
        <w:t xml:space="preserve">das, incluyendo el cumplimiento de objetivos previamente acordados para los indicadores de producto y resultado que se describen en la matriz de resultados que se adjunta al </w:t>
      </w:r>
      <w:r w:rsidR="00E21603" w:rsidRPr="00ED5EDD">
        <w:rPr>
          <w:rFonts w:ascii="Arial" w:hAnsi="Arial" w:cs="Arial"/>
          <w:bCs/>
          <w:sz w:val="22"/>
          <w:szCs w:val="22"/>
        </w:rPr>
        <w:t>programa</w:t>
      </w:r>
      <w:r w:rsidRPr="00ED5EDD">
        <w:rPr>
          <w:rFonts w:ascii="Arial" w:hAnsi="Arial" w:cs="Arial"/>
          <w:bCs/>
          <w:sz w:val="22"/>
          <w:szCs w:val="22"/>
        </w:rPr>
        <w:t xml:space="preserve"> propuesto (descritos en el Cuadro 1);  </w:t>
      </w:r>
    </w:p>
    <w:p w14:paraId="4930BF86" w14:textId="253455E5" w:rsidR="00CB2F2E" w:rsidRPr="00ED5EDD" w:rsidRDefault="00CB2F2E" w:rsidP="00A23751">
      <w:pPr>
        <w:pStyle w:val="subpar"/>
        <w:tabs>
          <w:tab w:val="clear" w:pos="2592"/>
          <w:tab w:val="num" w:pos="720"/>
        </w:tabs>
        <w:spacing w:before="0"/>
        <w:ind w:left="1166" w:hanging="446"/>
        <w:rPr>
          <w:rFonts w:ascii="Arial" w:hAnsi="Arial" w:cs="Arial"/>
          <w:bCs/>
          <w:sz w:val="22"/>
          <w:szCs w:val="22"/>
        </w:rPr>
      </w:pPr>
      <w:r w:rsidRPr="00ED5EDD">
        <w:rPr>
          <w:rFonts w:ascii="Arial" w:hAnsi="Arial" w:cs="Arial"/>
          <w:bCs/>
          <w:sz w:val="22"/>
          <w:szCs w:val="22"/>
        </w:rPr>
        <w:t xml:space="preserve">Visitas de supervisión técnico/fiduciarias realizadas por el Equipo de Proyecto del BID, al </w:t>
      </w:r>
      <w:r w:rsidR="00BD4BD4">
        <w:rPr>
          <w:rFonts w:ascii="Arial" w:hAnsi="Arial" w:cs="Arial"/>
          <w:bCs/>
          <w:sz w:val="22"/>
          <w:szCs w:val="22"/>
        </w:rPr>
        <w:t>OE</w:t>
      </w:r>
      <w:r w:rsidRPr="00ED5EDD">
        <w:rPr>
          <w:rFonts w:ascii="Arial" w:hAnsi="Arial" w:cs="Arial"/>
          <w:bCs/>
          <w:sz w:val="22"/>
          <w:szCs w:val="22"/>
        </w:rPr>
        <w:t xml:space="preserve">, </w:t>
      </w:r>
      <w:r w:rsidR="00BD4BD4">
        <w:rPr>
          <w:rFonts w:ascii="Arial" w:hAnsi="Arial" w:cs="Arial"/>
          <w:bCs/>
          <w:sz w:val="22"/>
          <w:szCs w:val="22"/>
        </w:rPr>
        <w:t xml:space="preserve">la </w:t>
      </w:r>
      <w:r w:rsidRPr="00ED5EDD">
        <w:rPr>
          <w:rFonts w:ascii="Arial" w:hAnsi="Arial" w:cs="Arial"/>
          <w:bCs/>
          <w:sz w:val="22"/>
          <w:szCs w:val="22"/>
        </w:rPr>
        <w:t xml:space="preserve">IFI y </w:t>
      </w:r>
      <w:r w:rsidR="00BD4BD4">
        <w:rPr>
          <w:rFonts w:ascii="Arial" w:hAnsi="Arial" w:cs="Arial"/>
          <w:bCs/>
          <w:sz w:val="22"/>
          <w:szCs w:val="22"/>
        </w:rPr>
        <w:t xml:space="preserve">los </w:t>
      </w:r>
      <w:r w:rsidRPr="00ED5EDD">
        <w:rPr>
          <w:rFonts w:ascii="Arial" w:hAnsi="Arial" w:cs="Arial"/>
          <w:bCs/>
          <w:sz w:val="22"/>
          <w:szCs w:val="22"/>
        </w:rPr>
        <w:t>beneficiarios finales.</w:t>
      </w:r>
    </w:p>
    <w:p w14:paraId="2316C3D8" w14:textId="50E7017B" w:rsidR="00280E54" w:rsidRPr="00ED5EDD" w:rsidRDefault="00CB2F2E" w:rsidP="00A23751">
      <w:pPr>
        <w:pStyle w:val="subpar"/>
        <w:tabs>
          <w:tab w:val="clear" w:pos="2592"/>
          <w:tab w:val="num" w:pos="720"/>
        </w:tabs>
        <w:spacing w:before="0"/>
        <w:ind w:left="1166" w:hanging="446"/>
        <w:rPr>
          <w:rFonts w:ascii="Arial" w:hAnsi="Arial" w:cs="Arial"/>
          <w:bCs/>
          <w:sz w:val="22"/>
          <w:szCs w:val="22"/>
        </w:rPr>
      </w:pPr>
      <w:r w:rsidRPr="00ED5EDD">
        <w:rPr>
          <w:rFonts w:ascii="Arial" w:hAnsi="Arial" w:cs="Arial"/>
          <w:bCs/>
          <w:sz w:val="22"/>
          <w:szCs w:val="22"/>
        </w:rPr>
        <w:t xml:space="preserve"> </w:t>
      </w:r>
      <w:r w:rsidR="00280E54" w:rsidRPr="00ED5EDD">
        <w:rPr>
          <w:rFonts w:ascii="Arial" w:hAnsi="Arial" w:cs="Arial"/>
          <w:bCs/>
          <w:sz w:val="22"/>
          <w:szCs w:val="22"/>
        </w:rPr>
        <w:t xml:space="preserve">Auditorías financieras anuales del </w:t>
      </w:r>
      <w:r w:rsidR="00E21603" w:rsidRPr="00ED5EDD">
        <w:rPr>
          <w:rFonts w:ascii="Arial" w:hAnsi="Arial" w:cs="Arial"/>
          <w:bCs/>
          <w:sz w:val="22"/>
          <w:szCs w:val="22"/>
        </w:rPr>
        <w:t>programa</w:t>
      </w:r>
      <w:r w:rsidR="00280E54" w:rsidRPr="00ED5EDD">
        <w:rPr>
          <w:rFonts w:ascii="Arial" w:hAnsi="Arial" w:cs="Arial"/>
          <w:bCs/>
          <w:sz w:val="22"/>
          <w:szCs w:val="22"/>
        </w:rPr>
        <w:t>; </w:t>
      </w:r>
    </w:p>
    <w:p w14:paraId="41E0856A" w14:textId="77777777" w:rsidR="00280E54" w:rsidRPr="00ED5EDD" w:rsidRDefault="00280E54" w:rsidP="00A23751">
      <w:pPr>
        <w:pStyle w:val="subpar"/>
        <w:tabs>
          <w:tab w:val="clear" w:pos="2592"/>
          <w:tab w:val="num" w:pos="720"/>
        </w:tabs>
        <w:spacing w:before="0"/>
        <w:ind w:left="1166" w:hanging="446"/>
        <w:rPr>
          <w:rFonts w:ascii="Arial" w:hAnsi="Arial" w:cs="Arial"/>
          <w:bCs/>
          <w:sz w:val="22"/>
          <w:szCs w:val="22"/>
        </w:rPr>
      </w:pPr>
      <w:r w:rsidRPr="00ED5EDD">
        <w:rPr>
          <w:rFonts w:ascii="Arial" w:hAnsi="Arial" w:cs="Arial"/>
          <w:bCs/>
          <w:sz w:val="22"/>
          <w:szCs w:val="22"/>
        </w:rPr>
        <w:t>Evaluaciones de cumplimiento de Sostenibilidad y Salvaguardas Ambientales (ESG, por sus siglas en inglés); y  </w:t>
      </w:r>
    </w:p>
    <w:p w14:paraId="4AAFC9CC" w14:textId="77777777" w:rsidR="00280E54" w:rsidRPr="00ED5EDD" w:rsidRDefault="00280E54" w:rsidP="00A23751">
      <w:pPr>
        <w:pStyle w:val="subpar"/>
        <w:tabs>
          <w:tab w:val="clear" w:pos="2592"/>
          <w:tab w:val="num" w:pos="720"/>
        </w:tabs>
        <w:spacing w:before="0"/>
        <w:ind w:left="1166" w:hanging="446"/>
        <w:rPr>
          <w:rFonts w:ascii="Arial" w:hAnsi="Arial" w:cs="Arial"/>
          <w:bCs/>
          <w:sz w:val="22"/>
          <w:szCs w:val="22"/>
        </w:rPr>
      </w:pPr>
      <w:r w:rsidRPr="00ED5EDD">
        <w:rPr>
          <w:rFonts w:ascii="Arial" w:hAnsi="Arial" w:cs="Arial"/>
          <w:bCs/>
          <w:sz w:val="22"/>
          <w:szCs w:val="22"/>
        </w:rPr>
        <w:t xml:space="preserve">Análisis costo-beneficio </w:t>
      </w:r>
      <w:proofErr w:type="spellStart"/>
      <w:r w:rsidRPr="00ED5EDD">
        <w:rPr>
          <w:rFonts w:ascii="Arial" w:hAnsi="Arial" w:cs="Arial"/>
          <w:bCs/>
          <w:sz w:val="22"/>
          <w:szCs w:val="22"/>
        </w:rPr>
        <w:t>ex-post</w:t>
      </w:r>
      <w:proofErr w:type="spellEnd"/>
      <w:r w:rsidRPr="00ED5EDD">
        <w:rPr>
          <w:rFonts w:ascii="Arial" w:hAnsi="Arial" w:cs="Arial"/>
          <w:bCs/>
          <w:sz w:val="22"/>
          <w:szCs w:val="22"/>
        </w:rPr>
        <w:t> de los flujos de ingreso y egreso derivados de la intervención. </w:t>
      </w:r>
    </w:p>
    <w:p w14:paraId="28AFF46D" w14:textId="17BFB9C1" w:rsidR="00973CD9" w:rsidRPr="00ED5EDD" w:rsidRDefault="00CF4C52" w:rsidP="00973CD9">
      <w:pPr>
        <w:pStyle w:val="Paragraph"/>
        <w:ind w:left="720" w:hanging="720"/>
        <w:rPr>
          <w:rFonts w:ascii="Arial" w:hAnsi="Arial" w:cs="Arial"/>
          <w:sz w:val="22"/>
          <w:szCs w:val="22"/>
        </w:rPr>
      </w:pPr>
      <w:r w:rsidRPr="00ED5EDD">
        <w:rPr>
          <w:rFonts w:ascii="Arial" w:hAnsi="Arial" w:cs="Arial"/>
          <w:sz w:val="22"/>
          <w:szCs w:val="22"/>
        </w:rPr>
        <w:t xml:space="preserve">El </w:t>
      </w:r>
      <w:r w:rsidR="00EB56FC">
        <w:rPr>
          <w:rFonts w:ascii="Arial" w:hAnsi="Arial" w:cs="Arial"/>
          <w:sz w:val="22"/>
          <w:szCs w:val="22"/>
        </w:rPr>
        <w:t>OE</w:t>
      </w:r>
      <w:r w:rsidR="00973CD9" w:rsidRPr="00ED5EDD">
        <w:rPr>
          <w:rFonts w:ascii="Arial" w:hAnsi="Arial" w:cs="Arial"/>
          <w:sz w:val="22"/>
          <w:szCs w:val="22"/>
        </w:rPr>
        <w:t xml:space="preserve"> reportará al BID</w:t>
      </w:r>
      <w:r w:rsidR="006B664C" w:rsidRPr="00ED5EDD">
        <w:rPr>
          <w:rFonts w:ascii="Arial" w:hAnsi="Arial" w:cs="Arial"/>
          <w:sz w:val="22"/>
          <w:szCs w:val="22"/>
        </w:rPr>
        <w:t xml:space="preserve"> i</w:t>
      </w:r>
      <w:r w:rsidR="00973CD9" w:rsidRPr="00ED5EDD">
        <w:rPr>
          <w:rFonts w:ascii="Arial" w:hAnsi="Arial" w:cs="Arial"/>
          <w:sz w:val="22"/>
          <w:szCs w:val="22"/>
        </w:rPr>
        <w:t xml:space="preserve">nformes anuales, que deberán ser presentados a más tardar </w:t>
      </w:r>
      <w:r w:rsidR="00CF5284" w:rsidRPr="00ED5EDD">
        <w:rPr>
          <w:rFonts w:ascii="Arial" w:hAnsi="Arial" w:cs="Arial"/>
          <w:sz w:val="22"/>
          <w:szCs w:val="22"/>
        </w:rPr>
        <w:t>sesenta</w:t>
      </w:r>
      <w:r w:rsidR="00973CD9" w:rsidRPr="00ED5EDD">
        <w:rPr>
          <w:rFonts w:ascii="Arial" w:hAnsi="Arial" w:cs="Arial"/>
          <w:sz w:val="22"/>
          <w:szCs w:val="22"/>
        </w:rPr>
        <w:t xml:space="preserve"> (</w:t>
      </w:r>
      <w:r w:rsidR="005353B6" w:rsidRPr="00ED5EDD">
        <w:rPr>
          <w:rFonts w:ascii="Arial" w:hAnsi="Arial" w:cs="Arial"/>
          <w:sz w:val="22"/>
          <w:szCs w:val="22"/>
        </w:rPr>
        <w:t>60</w:t>
      </w:r>
      <w:r w:rsidR="00973CD9" w:rsidRPr="00ED5EDD">
        <w:rPr>
          <w:rFonts w:ascii="Arial" w:hAnsi="Arial" w:cs="Arial"/>
          <w:sz w:val="22"/>
          <w:szCs w:val="22"/>
        </w:rPr>
        <w:t xml:space="preserve">) días después del final de segundo semestre durante el plazo de desembolsos o sus extensiones. Estos informes además de la información de los informes semestrales deberán incluir, al menos, la siguiente información: </w:t>
      </w:r>
    </w:p>
    <w:p w14:paraId="7ED5AE66" w14:textId="11F0704B" w:rsidR="00973CD9" w:rsidRPr="00ED5EDD" w:rsidRDefault="00973CD9" w:rsidP="00B62845">
      <w:pPr>
        <w:pStyle w:val="subpar"/>
        <w:tabs>
          <w:tab w:val="clear" w:pos="2592"/>
          <w:tab w:val="num" w:pos="720"/>
        </w:tabs>
        <w:spacing w:before="20" w:after="20"/>
        <w:ind w:left="1170" w:hanging="450"/>
        <w:rPr>
          <w:rFonts w:ascii="Arial" w:hAnsi="Arial" w:cs="Arial"/>
          <w:bCs/>
          <w:sz w:val="22"/>
          <w:szCs w:val="22"/>
        </w:rPr>
      </w:pPr>
      <w:r w:rsidRPr="00ED5EDD">
        <w:rPr>
          <w:rFonts w:ascii="Arial" w:hAnsi="Arial" w:cs="Arial"/>
          <w:bCs/>
          <w:sz w:val="22"/>
          <w:szCs w:val="22"/>
        </w:rPr>
        <w:t xml:space="preserve">Información para verificar el cumplimiento de los requerimientos fiduciarios y financieros del </w:t>
      </w:r>
      <w:r w:rsidR="00D81631">
        <w:rPr>
          <w:rFonts w:ascii="Arial" w:hAnsi="Arial" w:cs="Arial"/>
          <w:bCs/>
          <w:sz w:val="22"/>
          <w:szCs w:val="22"/>
        </w:rPr>
        <w:t>p</w:t>
      </w:r>
      <w:r w:rsidR="00E21603" w:rsidRPr="00ED5EDD">
        <w:rPr>
          <w:rFonts w:ascii="Arial" w:hAnsi="Arial" w:cs="Arial"/>
          <w:bCs/>
          <w:sz w:val="22"/>
          <w:szCs w:val="22"/>
        </w:rPr>
        <w:t>rograma</w:t>
      </w:r>
      <w:r w:rsidRPr="00ED5EDD">
        <w:rPr>
          <w:rFonts w:ascii="Arial" w:hAnsi="Arial" w:cs="Arial"/>
          <w:bCs/>
          <w:sz w:val="22"/>
          <w:szCs w:val="22"/>
        </w:rPr>
        <w:t xml:space="preserve"> (incluyendo información sobre el monto y uso de los recursos del préstamo, del aporte local y de otras fuentes, si las hubiera, aplicados a los subpréstamos); </w:t>
      </w:r>
    </w:p>
    <w:p w14:paraId="5EB36B0F" w14:textId="439FC728" w:rsidR="00973CD9" w:rsidRPr="00ED5EDD" w:rsidRDefault="00973CD9" w:rsidP="00B62845">
      <w:pPr>
        <w:pStyle w:val="subpar"/>
        <w:tabs>
          <w:tab w:val="clear" w:pos="2592"/>
          <w:tab w:val="num" w:pos="720"/>
        </w:tabs>
        <w:spacing w:before="20" w:after="20"/>
        <w:ind w:left="1170" w:hanging="450"/>
        <w:rPr>
          <w:rFonts w:ascii="Arial" w:hAnsi="Arial" w:cs="Arial"/>
          <w:bCs/>
          <w:sz w:val="22"/>
          <w:szCs w:val="22"/>
        </w:rPr>
      </w:pPr>
      <w:r w:rsidRPr="00ED5EDD">
        <w:rPr>
          <w:rFonts w:ascii="Arial" w:hAnsi="Arial" w:cs="Arial"/>
          <w:bCs/>
          <w:sz w:val="22"/>
          <w:szCs w:val="22"/>
        </w:rPr>
        <w:t xml:space="preserve">Información sobre medidas correctivas aplicadas, incluyendo medidas para prevenir el acceso a financiamiento con cargo a recursos del préstamo en caso de incumplimiento con los requerimientos establecidos en este Reglamento; </w:t>
      </w:r>
    </w:p>
    <w:p w14:paraId="59480577" w14:textId="1EAF4175" w:rsidR="00973CD9" w:rsidRPr="00ED5EDD" w:rsidRDefault="00973CD9" w:rsidP="00B62845">
      <w:pPr>
        <w:pStyle w:val="subpar"/>
        <w:tabs>
          <w:tab w:val="clear" w:pos="2592"/>
          <w:tab w:val="num" w:pos="720"/>
        </w:tabs>
        <w:spacing w:before="20" w:after="20"/>
        <w:ind w:left="1170" w:hanging="450"/>
        <w:rPr>
          <w:rFonts w:ascii="Arial" w:hAnsi="Arial" w:cs="Arial"/>
          <w:bCs/>
          <w:sz w:val="22"/>
          <w:szCs w:val="22"/>
        </w:rPr>
      </w:pPr>
      <w:r w:rsidRPr="00ED5EDD">
        <w:rPr>
          <w:rFonts w:ascii="Arial" w:hAnsi="Arial" w:cs="Arial"/>
          <w:bCs/>
          <w:sz w:val="22"/>
          <w:szCs w:val="22"/>
        </w:rPr>
        <w:lastRenderedPageBreak/>
        <w:t>Lecciones aprendidas del periodo reportado y oportunidades de mejora.</w:t>
      </w:r>
      <w:r w:rsidR="00B848A9" w:rsidRPr="00ED5EDD">
        <w:rPr>
          <w:rFonts w:ascii="Arial" w:hAnsi="Arial" w:cs="Arial"/>
          <w:bCs/>
          <w:sz w:val="22"/>
          <w:szCs w:val="22"/>
        </w:rPr>
        <w:t xml:space="preserve"> Estos reportes deben incluir cuando menos la evolución y teoría del cambio de los indicadores incluidos en la matriz de resultados de este </w:t>
      </w:r>
      <w:r w:rsidR="00E21603" w:rsidRPr="00ED5EDD">
        <w:rPr>
          <w:rFonts w:ascii="Arial" w:hAnsi="Arial" w:cs="Arial"/>
          <w:bCs/>
          <w:sz w:val="22"/>
          <w:szCs w:val="22"/>
        </w:rPr>
        <w:t>programa</w:t>
      </w:r>
      <w:r w:rsidR="00B848A9" w:rsidRPr="00ED5EDD">
        <w:rPr>
          <w:rFonts w:ascii="Arial" w:hAnsi="Arial" w:cs="Arial"/>
          <w:bCs/>
          <w:sz w:val="22"/>
          <w:szCs w:val="22"/>
        </w:rPr>
        <w:t xml:space="preserve">, el avance en los subproyectos, detallando el valor de ventas y el número de empleos creados, entre otros.  </w:t>
      </w:r>
    </w:p>
    <w:p w14:paraId="37F35752" w14:textId="529DEB76" w:rsidR="002C3C78" w:rsidRPr="00ED5EDD" w:rsidRDefault="002C3C78" w:rsidP="00165F22">
      <w:pPr>
        <w:pStyle w:val="subpar"/>
        <w:tabs>
          <w:tab w:val="clear" w:pos="2592"/>
          <w:tab w:val="num" w:pos="720"/>
        </w:tabs>
        <w:spacing w:before="20" w:after="20"/>
        <w:ind w:left="1170" w:hanging="450"/>
        <w:rPr>
          <w:rFonts w:ascii="Arial" w:hAnsi="Arial" w:cs="Arial"/>
          <w:bCs/>
          <w:sz w:val="22"/>
          <w:szCs w:val="22"/>
        </w:rPr>
      </w:pPr>
      <w:r w:rsidRPr="00ED5EDD">
        <w:rPr>
          <w:rFonts w:ascii="Arial" w:hAnsi="Arial" w:cs="Arial"/>
          <w:bCs/>
          <w:sz w:val="22"/>
          <w:szCs w:val="22"/>
        </w:rPr>
        <w:t xml:space="preserve">Solicitud de información: El </w:t>
      </w:r>
      <w:r w:rsidR="00EB56FC">
        <w:rPr>
          <w:rFonts w:ascii="Arial" w:hAnsi="Arial" w:cs="Arial"/>
          <w:bCs/>
          <w:sz w:val="22"/>
          <w:szCs w:val="22"/>
        </w:rPr>
        <w:t>OE</w:t>
      </w:r>
      <w:r w:rsidRPr="00ED5EDD">
        <w:rPr>
          <w:rFonts w:ascii="Arial" w:hAnsi="Arial" w:cs="Arial"/>
          <w:bCs/>
          <w:sz w:val="22"/>
          <w:szCs w:val="22"/>
        </w:rPr>
        <w:t xml:space="preserve"> se compromete a llevar a cabo informes periódicos de seguimiento de la cartera fondeada </w:t>
      </w:r>
      <w:r w:rsidR="00CF5284" w:rsidRPr="00ED5EDD">
        <w:rPr>
          <w:rFonts w:ascii="Arial" w:hAnsi="Arial" w:cs="Arial"/>
          <w:bCs/>
          <w:sz w:val="22"/>
          <w:szCs w:val="22"/>
        </w:rPr>
        <w:t xml:space="preserve">y/o garantizada </w:t>
      </w:r>
      <w:r w:rsidRPr="00ED5EDD">
        <w:rPr>
          <w:rFonts w:ascii="Arial" w:hAnsi="Arial" w:cs="Arial"/>
          <w:bCs/>
          <w:sz w:val="22"/>
          <w:szCs w:val="22"/>
        </w:rPr>
        <w:t xml:space="preserve">con los recursos del presente programa. </w:t>
      </w:r>
      <w:r w:rsidR="00A714FD" w:rsidRPr="00ED5EDD">
        <w:rPr>
          <w:rFonts w:ascii="Arial" w:hAnsi="Arial" w:cs="Arial"/>
          <w:bCs/>
          <w:sz w:val="22"/>
          <w:szCs w:val="22"/>
        </w:rPr>
        <w:t xml:space="preserve">El OE solicitará a las IFI elegibles la información que considere necesaria para la ejecución del </w:t>
      </w:r>
      <w:r w:rsidR="00D81631">
        <w:rPr>
          <w:rFonts w:ascii="Arial" w:hAnsi="Arial" w:cs="Arial"/>
          <w:bCs/>
          <w:sz w:val="22"/>
          <w:szCs w:val="22"/>
        </w:rPr>
        <w:t>p</w:t>
      </w:r>
      <w:r w:rsidR="00A714FD" w:rsidRPr="00ED5EDD">
        <w:rPr>
          <w:rFonts w:ascii="Arial" w:hAnsi="Arial" w:cs="Arial"/>
          <w:bCs/>
          <w:sz w:val="22"/>
          <w:szCs w:val="22"/>
        </w:rPr>
        <w:t xml:space="preserve">rograma. </w:t>
      </w:r>
      <w:r w:rsidRPr="00ED5EDD">
        <w:rPr>
          <w:rFonts w:ascii="Arial" w:hAnsi="Arial" w:cs="Arial"/>
          <w:bCs/>
          <w:sz w:val="22"/>
          <w:szCs w:val="22"/>
        </w:rPr>
        <w:t xml:space="preserve">El análisis deberá contener el detalle individual de los </w:t>
      </w:r>
      <w:r w:rsidR="00ED5EDD" w:rsidRPr="00ED5EDD">
        <w:rPr>
          <w:rFonts w:ascii="Arial" w:hAnsi="Arial" w:cs="Arial"/>
          <w:bCs/>
          <w:sz w:val="22"/>
          <w:szCs w:val="22"/>
        </w:rPr>
        <w:t xml:space="preserve">subpréstamos y/o garantías otorgados </w:t>
      </w:r>
      <w:r w:rsidR="00E73F16" w:rsidRPr="00ED5EDD">
        <w:rPr>
          <w:rFonts w:ascii="Arial" w:hAnsi="Arial" w:cs="Arial"/>
          <w:bCs/>
          <w:sz w:val="22"/>
          <w:szCs w:val="22"/>
        </w:rPr>
        <w:t xml:space="preserve">con recursos del </w:t>
      </w:r>
      <w:r w:rsidR="00D81631">
        <w:rPr>
          <w:rFonts w:ascii="Arial" w:hAnsi="Arial" w:cs="Arial"/>
          <w:bCs/>
          <w:sz w:val="22"/>
          <w:szCs w:val="22"/>
        </w:rPr>
        <w:t>p</w:t>
      </w:r>
      <w:r w:rsidR="00E73F16" w:rsidRPr="00ED5EDD">
        <w:rPr>
          <w:rFonts w:ascii="Arial" w:hAnsi="Arial" w:cs="Arial"/>
          <w:bCs/>
          <w:sz w:val="22"/>
          <w:szCs w:val="22"/>
        </w:rPr>
        <w:t>rograma</w:t>
      </w:r>
      <w:r w:rsidRPr="00ED5EDD">
        <w:rPr>
          <w:rFonts w:ascii="Arial" w:hAnsi="Arial" w:cs="Arial"/>
          <w:bCs/>
          <w:sz w:val="22"/>
          <w:szCs w:val="22"/>
        </w:rPr>
        <w:t xml:space="preserve">, </w:t>
      </w:r>
      <w:r w:rsidR="009E5F39" w:rsidRPr="00ED5EDD">
        <w:rPr>
          <w:rFonts w:ascii="Arial" w:hAnsi="Arial" w:cs="Arial"/>
          <w:bCs/>
          <w:sz w:val="22"/>
          <w:szCs w:val="22"/>
        </w:rPr>
        <w:t>incluyendo,</w:t>
      </w:r>
      <w:r w:rsidRPr="00ED5EDD">
        <w:rPr>
          <w:rFonts w:ascii="Arial" w:hAnsi="Arial" w:cs="Arial"/>
          <w:bCs/>
          <w:sz w:val="22"/>
          <w:szCs w:val="22"/>
        </w:rPr>
        <w:t xml:space="preserve"> pero no restringiéndose a:</w:t>
      </w:r>
    </w:p>
    <w:p w14:paraId="10CC8F2A" w14:textId="6EB6F37B" w:rsidR="00F52CAF"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Monto total</w:t>
      </w:r>
    </w:p>
    <w:p w14:paraId="7BA7A5B3" w14:textId="1FDF76BB" w:rsidR="00AF4AEF" w:rsidRPr="00ED5EDD" w:rsidRDefault="00AF4AEF" w:rsidP="00CD66CF">
      <w:pPr>
        <w:pStyle w:val="subpar"/>
        <w:numPr>
          <w:ilvl w:val="3"/>
          <w:numId w:val="8"/>
        </w:numPr>
        <w:tabs>
          <w:tab w:val="clear" w:pos="3024"/>
        </w:tabs>
        <w:spacing w:before="20" w:after="20"/>
        <w:ind w:left="1620" w:hanging="468"/>
        <w:rPr>
          <w:rFonts w:ascii="Arial" w:hAnsi="Arial" w:cs="Arial"/>
          <w:bCs/>
          <w:sz w:val="22"/>
          <w:szCs w:val="22"/>
        </w:rPr>
      </w:pPr>
      <w:r>
        <w:rPr>
          <w:rFonts w:ascii="Arial" w:hAnsi="Arial" w:cs="Arial"/>
          <w:bCs/>
          <w:sz w:val="22"/>
          <w:szCs w:val="22"/>
        </w:rPr>
        <w:t>Destino de los recursos</w:t>
      </w:r>
    </w:p>
    <w:p w14:paraId="5301D0B1" w14:textId="77777777"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Plazo original</w:t>
      </w:r>
    </w:p>
    <w:p w14:paraId="07B00007" w14:textId="77777777"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Plazo remanente</w:t>
      </w:r>
    </w:p>
    <w:p w14:paraId="05FDCB56" w14:textId="77777777"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Tasa de interés pactada con el cliente</w:t>
      </w:r>
    </w:p>
    <w:p w14:paraId="746E5DF5" w14:textId="33F762FC"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Mora</w:t>
      </w:r>
      <w:r w:rsidR="002565E0">
        <w:rPr>
          <w:rFonts w:ascii="Arial" w:hAnsi="Arial" w:cs="Arial"/>
          <w:bCs/>
          <w:sz w:val="22"/>
          <w:szCs w:val="22"/>
        </w:rPr>
        <w:t xml:space="preserve"> de la cartera de</w:t>
      </w:r>
      <w:r w:rsidR="00F26377">
        <w:rPr>
          <w:rFonts w:ascii="Arial" w:hAnsi="Arial" w:cs="Arial"/>
          <w:bCs/>
          <w:sz w:val="22"/>
          <w:szCs w:val="22"/>
        </w:rPr>
        <w:t xml:space="preserve"> financiamiento </w:t>
      </w:r>
      <w:r w:rsidR="009D3A41">
        <w:rPr>
          <w:rFonts w:ascii="Arial" w:hAnsi="Arial" w:cs="Arial"/>
          <w:bCs/>
          <w:sz w:val="22"/>
          <w:szCs w:val="22"/>
        </w:rPr>
        <w:t>a la MIPYME beneficiaria de</w:t>
      </w:r>
      <w:r w:rsidR="002565E0">
        <w:rPr>
          <w:rFonts w:ascii="Arial" w:hAnsi="Arial" w:cs="Arial"/>
          <w:bCs/>
          <w:sz w:val="22"/>
          <w:szCs w:val="22"/>
        </w:rPr>
        <w:t>l programa</w:t>
      </w:r>
    </w:p>
    <w:p w14:paraId="619A3926" w14:textId="1C054909" w:rsidR="00845488" w:rsidRPr="00845488"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Monto de garantía</w:t>
      </w:r>
    </w:p>
    <w:p w14:paraId="24483251" w14:textId="11CF9C03" w:rsidR="002C3C78"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Tipo de garantía</w:t>
      </w:r>
    </w:p>
    <w:p w14:paraId="4EA3012A" w14:textId="3D3281CD" w:rsidR="001206E8" w:rsidRPr="00D30E8F" w:rsidRDefault="00845488" w:rsidP="00CD66CF">
      <w:pPr>
        <w:pStyle w:val="subpar"/>
        <w:numPr>
          <w:ilvl w:val="3"/>
          <w:numId w:val="8"/>
        </w:numPr>
        <w:tabs>
          <w:tab w:val="clear" w:pos="3024"/>
        </w:tabs>
        <w:spacing w:before="20" w:after="20"/>
        <w:ind w:left="1620" w:hanging="468"/>
        <w:rPr>
          <w:rFonts w:ascii="Arial" w:hAnsi="Arial" w:cs="Arial"/>
          <w:bCs/>
          <w:sz w:val="22"/>
          <w:szCs w:val="22"/>
        </w:rPr>
      </w:pPr>
      <w:r w:rsidRPr="00D30E8F">
        <w:rPr>
          <w:rFonts w:ascii="Arial" w:hAnsi="Arial" w:cs="Arial"/>
          <w:bCs/>
          <w:sz w:val="22"/>
          <w:szCs w:val="22"/>
        </w:rPr>
        <w:t>Para garantías respaldadas con el programa: monto</w:t>
      </w:r>
      <w:r w:rsidR="00D30E8F" w:rsidRPr="00D30E8F">
        <w:rPr>
          <w:rFonts w:ascii="Arial" w:hAnsi="Arial" w:cs="Arial"/>
          <w:bCs/>
          <w:sz w:val="22"/>
          <w:szCs w:val="22"/>
        </w:rPr>
        <w:t xml:space="preserve">, cobertura, plazo, </w:t>
      </w:r>
      <w:r w:rsidR="00AF4AEF">
        <w:rPr>
          <w:rFonts w:ascii="Arial" w:hAnsi="Arial" w:cs="Arial"/>
          <w:bCs/>
          <w:sz w:val="22"/>
          <w:szCs w:val="22"/>
        </w:rPr>
        <w:t xml:space="preserve">y </w:t>
      </w:r>
      <w:r w:rsidR="00D30E8F">
        <w:rPr>
          <w:rFonts w:ascii="Arial" w:hAnsi="Arial" w:cs="Arial"/>
          <w:bCs/>
          <w:sz w:val="22"/>
          <w:szCs w:val="22"/>
        </w:rPr>
        <w:t>c</w:t>
      </w:r>
      <w:r w:rsidRPr="00D30E8F">
        <w:rPr>
          <w:rFonts w:ascii="Arial" w:hAnsi="Arial" w:cs="Arial"/>
          <w:bCs/>
          <w:sz w:val="22"/>
          <w:szCs w:val="22"/>
        </w:rPr>
        <w:t>omisiones</w:t>
      </w:r>
      <w:r w:rsidR="001206E8" w:rsidRPr="00D30E8F">
        <w:rPr>
          <w:rFonts w:ascii="Arial" w:hAnsi="Arial" w:cs="Arial"/>
          <w:bCs/>
          <w:sz w:val="22"/>
          <w:szCs w:val="22"/>
        </w:rPr>
        <w:t xml:space="preserve"> aplicadas</w:t>
      </w:r>
      <w:r w:rsidR="00AF4AEF">
        <w:rPr>
          <w:rFonts w:ascii="Arial" w:hAnsi="Arial" w:cs="Arial"/>
          <w:bCs/>
          <w:sz w:val="22"/>
          <w:szCs w:val="22"/>
        </w:rPr>
        <w:t xml:space="preserve"> a la </w:t>
      </w:r>
      <w:r w:rsidR="00E51FA1">
        <w:rPr>
          <w:rFonts w:ascii="Arial" w:hAnsi="Arial" w:cs="Arial"/>
          <w:bCs/>
          <w:sz w:val="22"/>
          <w:szCs w:val="22"/>
        </w:rPr>
        <w:t>garantía</w:t>
      </w:r>
      <w:r w:rsidR="00D30E8F">
        <w:rPr>
          <w:rFonts w:ascii="Arial" w:hAnsi="Arial" w:cs="Arial"/>
          <w:bCs/>
          <w:sz w:val="22"/>
          <w:szCs w:val="22"/>
        </w:rPr>
        <w:t>,</w:t>
      </w:r>
      <w:r w:rsidR="00AF4AEF">
        <w:rPr>
          <w:rFonts w:ascii="Arial" w:hAnsi="Arial" w:cs="Arial"/>
          <w:bCs/>
          <w:sz w:val="22"/>
          <w:szCs w:val="22"/>
        </w:rPr>
        <w:t xml:space="preserve"> y detalles de</w:t>
      </w:r>
      <w:r w:rsidR="00D65EEF">
        <w:rPr>
          <w:rFonts w:ascii="Arial" w:hAnsi="Arial" w:cs="Arial"/>
          <w:bCs/>
          <w:sz w:val="22"/>
          <w:szCs w:val="22"/>
        </w:rPr>
        <w:t xml:space="preserve">l </w:t>
      </w:r>
      <w:r w:rsidR="00E51FA1">
        <w:rPr>
          <w:rFonts w:ascii="Arial" w:hAnsi="Arial" w:cs="Arial"/>
          <w:bCs/>
          <w:sz w:val="22"/>
          <w:szCs w:val="22"/>
        </w:rPr>
        <w:t>crédito</w:t>
      </w:r>
      <w:r w:rsidR="00D65EEF">
        <w:rPr>
          <w:rFonts w:ascii="Arial" w:hAnsi="Arial" w:cs="Arial"/>
          <w:bCs/>
          <w:sz w:val="22"/>
          <w:szCs w:val="22"/>
        </w:rPr>
        <w:t xml:space="preserve"> garantizado (monto, destino de los recursos, plazo, tasa de interés,</w:t>
      </w:r>
      <w:r w:rsidR="00F04871">
        <w:rPr>
          <w:rFonts w:ascii="Arial" w:hAnsi="Arial" w:cs="Arial"/>
          <w:bCs/>
          <w:sz w:val="22"/>
          <w:szCs w:val="22"/>
        </w:rPr>
        <w:t xml:space="preserve"> mora, siniestralidad).</w:t>
      </w:r>
      <w:r w:rsidR="00D65EEF">
        <w:rPr>
          <w:rFonts w:ascii="Arial" w:hAnsi="Arial" w:cs="Arial"/>
          <w:bCs/>
          <w:sz w:val="22"/>
          <w:szCs w:val="22"/>
        </w:rPr>
        <w:t xml:space="preserve"> </w:t>
      </w:r>
    </w:p>
    <w:p w14:paraId="00BF1E81" w14:textId="77777777"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Clasificación de riesgo del cliente al momento del otorgamiento</w:t>
      </w:r>
    </w:p>
    <w:p w14:paraId="3F01DC82" w14:textId="4B18BFC1" w:rsidR="002C3C78" w:rsidRPr="00ED5EDD" w:rsidRDefault="00A714FD"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Ventanilla</w:t>
      </w:r>
      <w:r w:rsidR="002C3C78" w:rsidRPr="00ED5EDD">
        <w:rPr>
          <w:rFonts w:ascii="Arial" w:hAnsi="Arial" w:cs="Arial"/>
          <w:bCs/>
          <w:sz w:val="22"/>
          <w:szCs w:val="22"/>
        </w:rPr>
        <w:t xml:space="preserve"> destino de los créditos</w:t>
      </w:r>
    </w:p>
    <w:p w14:paraId="4575300F" w14:textId="77777777"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Municipio en el que se otorga el crédito</w:t>
      </w:r>
    </w:p>
    <w:p w14:paraId="3BC183AB" w14:textId="630C95A8"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Variable de género</w:t>
      </w:r>
      <w:r w:rsidR="00FF791A" w:rsidRPr="00ED5EDD">
        <w:rPr>
          <w:rStyle w:val="FootnoteReference"/>
          <w:rFonts w:ascii="Arial" w:hAnsi="Arial" w:cs="Arial"/>
          <w:bCs/>
          <w:sz w:val="22"/>
          <w:szCs w:val="22"/>
        </w:rPr>
        <w:footnoteReference w:id="5"/>
      </w:r>
    </w:p>
    <w:p w14:paraId="09E51742" w14:textId="77777777"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Variable de crédito de sostenibilidad</w:t>
      </w:r>
    </w:p>
    <w:p w14:paraId="34B9F42D" w14:textId="3845346F"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Ventas anuales</w:t>
      </w:r>
      <w:r w:rsidR="004343E1">
        <w:rPr>
          <w:rFonts w:ascii="Arial" w:hAnsi="Arial" w:cs="Arial"/>
          <w:bCs/>
          <w:sz w:val="22"/>
          <w:szCs w:val="22"/>
        </w:rPr>
        <w:t xml:space="preserve"> de la MIPYME</w:t>
      </w:r>
      <w:r w:rsidR="00A44348">
        <w:rPr>
          <w:rFonts w:ascii="Arial" w:hAnsi="Arial" w:cs="Arial"/>
          <w:bCs/>
          <w:sz w:val="22"/>
          <w:szCs w:val="22"/>
        </w:rPr>
        <w:t xml:space="preserve"> beneficiaria</w:t>
      </w:r>
    </w:p>
    <w:p w14:paraId="5CD93AD6" w14:textId="4529875D"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Número de empleados</w:t>
      </w:r>
      <w:r w:rsidR="00A714FD" w:rsidRPr="00ED5EDD">
        <w:rPr>
          <w:rFonts w:ascii="Arial" w:hAnsi="Arial" w:cs="Arial"/>
          <w:bCs/>
          <w:sz w:val="22"/>
          <w:szCs w:val="22"/>
        </w:rPr>
        <w:t xml:space="preserve"> de la </w:t>
      </w:r>
      <w:r w:rsidR="00ED5EDD" w:rsidRPr="00ED5EDD">
        <w:rPr>
          <w:rFonts w:ascii="Arial" w:hAnsi="Arial" w:cs="Arial"/>
          <w:bCs/>
          <w:sz w:val="22"/>
          <w:szCs w:val="22"/>
        </w:rPr>
        <w:t>MIPYME</w:t>
      </w:r>
      <w:r w:rsidR="00A714FD" w:rsidRPr="00ED5EDD">
        <w:rPr>
          <w:rFonts w:ascii="Arial" w:hAnsi="Arial" w:cs="Arial"/>
          <w:bCs/>
          <w:sz w:val="22"/>
          <w:szCs w:val="22"/>
        </w:rPr>
        <w:t xml:space="preserve"> </w:t>
      </w:r>
      <w:r w:rsidR="004343E1">
        <w:rPr>
          <w:rFonts w:ascii="Arial" w:hAnsi="Arial" w:cs="Arial"/>
          <w:bCs/>
          <w:sz w:val="22"/>
          <w:szCs w:val="22"/>
        </w:rPr>
        <w:t>beneficiaria</w:t>
      </w:r>
    </w:p>
    <w:p w14:paraId="1553DBFB" w14:textId="7D4BD9EE" w:rsidR="00F52CAF" w:rsidRPr="00ED5EDD" w:rsidRDefault="00F52CAF"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Clasificación</w:t>
      </w:r>
      <w:r w:rsidR="00D52C58" w:rsidRPr="00ED5EDD">
        <w:rPr>
          <w:rFonts w:ascii="Arial" w:hAnsi="Arial" w:cs="Arial"/>
          <w:bCs/>
          <w:sz w:val="22"/>
          <w:szCs w:val="22"/>
        </w:rPr>
        <w:t xml:space="preserve"> y subclasificación</w:t>
      </w:r>
      <w:r w:rsidRPr="00ED5EDD">
        <w:rPr>
          <w:rFonts w:ascii="Arial" w:hAnsi="Arial" w:cs="Arial"/>
          <w:bCs/>
          <w:sz w:val="22"/>
          <w:szCs w:val="22"/>
        </w:rPr>
        <w:t xml:space="preserve"> </w:t>
      </w:r>
      <w:r w:rsidR="002565E0">
        <w:rPr>
          <w:rFonts w:ascii="Arial" w:hAnsi="Arial" w:cs="Arial"/>
          <w:bCs/>
          <w:sz w:val="22"/>
          <w:szCs w:val="22"/>
        </w:rPr>
        <w:t xml:space="preserve">de </w:t>
      </w:r>
      <w:r w:rsidR="00ED5EDD" w:rsidRPr="00ED5EDD">
        <w:rPr>
          <w:rFonts w:ascii="Arial" w:hAnsi="Arial" w:cs="Arial"/>
          <w:bCs/>
          <w:sz w:val="22"/>
          <w:szCs w:val="22"/>
        </w:rPr>
        <w:t>MIPYME</w:t>
      </w:r>
      <w:r w:rsidRPr="00ED5EDD">
        <w:rPr>
          <w:rFonts w:ascii="Arial" w:hAnsi="Arial" w:cs="Arial"/>
          <w:bCs/>
          <w:sz w:val="22"/>
          <w:szCs w:val="22"/>
        </w:rPr>
        <w:t xml:space="preserve"> de </w:t>
      </w:r>
      <w:r w:rsidR="00C627FB">
        <w:rPr>
          <w:rFonts w:ascii="Arial" w:hAnsi="Arial" w:cs="Arial"/>
          <w:bCs/>
          <w:sz w:val="22"/>
          <w:szCs w:val="22"/>
        </w:rPr>
        <w:t xml:space="preserve">sector de actividad económica asociada al turismo de </w:t>
      </w:r>
      <w:r w:rsidRPr="00ED5EDD">
        <w:rPr>
          <w:rFonts w:ascii="Arial" w:hAnsi="Arial" w:cs="Arial"/>
          <w:bCs/>
          <w:sz w:val="22"/>
          <w:szCs w:val="22"/>
        </w:rPr>
        <w:t xml:space="preserve">conformidad con la </w:t>
      </w:r>
      <w:r w:rsidR="00C627FB">
        <w:rPr>
          <w:rFonts w:ascii="Arial" w:hAnsi="Arial" w:cs="Arial"/>
          <w:bCs/>
          <w:sz w:val="22"/>
          <w:szCs w:val="22"/>
        </w:rPr>
        <w:t xml:space="preserve">legislación nacional </w:t>
      </w:r>
      <w:r w:rsidRPr="00ED5EDD">
        <w:rPr>
          <w:rFonts w:ascii="Arial" w:hAnsi="Arial" w:cs="Arial"/>
          <w:bCs/>
          <w:sz w:val="22"/>
          <w:szCs w:val="22"/>
        </w:rPr>
        <w:t>vigente</w:t>
      </w:r>
      <w:r w:rsidR="00EA1691">
        <w:rPr>
          <w:rStyle w:val="FootnoteReference"/>
          <w:rFonts w:ascii="Arial" w:hAnsi="Arial" w:cs="Arial"/>
          <w:bCs/>
          <w:sz w:val="22"/>
          <w:szCs w:val="22"/>
        </w:rPr>
        <w:footnoteReference w:id="6"/>
      </w:r>
      <w:r w:rsidR="00566360">
        <w:rPr>
          <w:rFonts w:ascii="Arial" w:hAnsi="Arial" w:cs="Arial"/>
          <w:bCs/>
          <w:sz w:val="22"/>
          <w:szCs w:val="22"/>
        </w:rPr>
        <w:t>.</w:t>
      </w:r>
    </w:p>
    <w:p w14:paraId="14B31171" w14:textId="42FBF516" w:rsidR="002C3C78" w:rsidRPr="00ED5EDD" w:rsidRDefault="002C3C78" w:rsidP="00CD66CF">
      <w:pPr>
        <w:pStyle w:val="subpar"/>
        <w:numPr>
          <w:ilvl w:val="3"/>
          <w:numId w:val="8"/>
        </w:numPr>
        <w:tabs>
          <w:tab w:val="clear" w:pos="3024"/>
        </w:tabs>
        <w:spacing w:before="20" w:after="20"/>
        <w:ind w:left="1620" w:hanging="468"/>
        <w:rPr>
          <w:rFonts w:ascii="Arial" w:hAnsi="Arial" w:cs="Arial"/>
          <w:bCs/>
          <w:sz w:val="22"/>
          <w:szCs w:val="22"/>
        </w:rPr>
      </w:pPr>
      <w:r w:rsidRPr="00ED5EDD">
        <w:rPr>
          <w:rFonts w:ascii="Arial" w:hAnsi="Arial" w:cs="Arial"/>
          <w:bCs/>
          <w:sz w:val="22"/>
          <w:szCs w:val="22"/>
        </w:rPr>
        <w:t>Otros que se pacten con el BID</w:t>
      </w:r>
      <w:r w:rsidR="00C627FB">
        <w:rPr>
          <w:rFonts w:ascii="Arial" w:hAnsi="Arial" w:cs="Arial"/>
          <w:bCs/>
          <w:sz w:val="22"/>
          <w:szCs w:val="22"/>
        </w:rPr>
        <w:t xml:space="preserve"> en el marco de</w:t>
      </w:r>
      <w:r w:rsidR="00845488">
        <w:rPr>
          <w:rFonts w:ascii="Arial" w:hAnsi="Arial" w:cs="Arial"/>
          <w:bCs/>
          <w:sz w:val="22"/>
          <w:szCs w:val="22"/>
        </w:rPr>
        <w:t>l Plan de Monitoreo y Evaluación.</w:t>
      </w:r>
      <w:r w:rsidR="00C627FB">
        <w:rPr>
          <w:rFonts w:ascii="Arial" w:hAnsi="Arial" w:cs="Arial"/>
          <w:bCs/>
          <w:sz w:val="22"/>
          <w:szCs w:val="22"/>
        </w:rPr>
        <w:t xml:space="preserve"> </w:t>
      </w:r>
    </w:p>
    <w:p w14:paraId="490BE718" w14:textId="77777777" w:rsidR="002C3C78" w:rsidRPr="00ED5EDD" w:rsidRDefault="002C3C78" w:rsidP="00165F22">
      <w:pPr>
        <w:pStyle w:val="subpar"/>
        <w:numPr>
          <w:ilvl w:val="0"/>
          <w:numId w:val="0"/>
        </w:numPr>
        <w:spacing w:before="20" w:after="20"/>
        <w:ind w:left="3024"/>
        <w:rPr>
          <w:rFonts w:ascii="Arial" w:hAnsi="Arial" w:cs="Arial"/>
          <w:bCs/>
          <w:sz w:val="22"/>
          <w:szCs w:val="22"/>
        </w:rPr>
      </w:pPr>
    </w:p>
    <w:p w14:paraId="36CD51C3" w14:textId="08F9CCD3" w:rsidR="00973CD9" w:rsidRPr="00ED5EDD" w:rsidRDefault="009E6B48" w:rsidP="00A10146">
      <w:pPr>
        <w:pStyle w:val="Paragraph"/>
        <w:ind w:left="720" w:hanging="720"/>
        <w:rPr>
          <w:rFonts w:ascii="Arial" w:hAnsi="Arial" w:cs="Arial"/>
          <w:sz w:val="22"/>
          <w:szCs w:val="22"/>
        </w:rPr>
      </w:pPr>
      <w:r w:rsidRPr="00ED5EDD">
        <w:rPr>
          <w:rFonts w:ascii="Arial" w:hAnsi="Arial" w:cs="Arial"/>
          <w:sz w:val="22"/>
          <w:szCs w:val="22"/>
        </w:rPr>
        <w:t>El OE</w:t>
      </w:r>
      <w:r w:rsidR="00973CD9" w:rsidRPr="00ED5EDD">
        <w:rPr>
          <w:rFonts w:ascii="Arial" w:hAnsi="Arial" w:cs="Arial"/>
          <w:sz w:val="22"/>
          <w:szCs w:val="22"/>
        </w:rPr>
        <w:t xml:space="preserve"> deberá </w:t>
      </w:r>
      <w:r w:rsidR="00280E54" w:rsidRPr="00ED5EDD">
        <w:rPr>
          <w:rFonts w:ascii="Arial" w:hAnsi="Arial" w:cs="Arial"/>
          <w:sz w:val="22"/>
          <w:szCs w:val="22"/>
        </w:rPr>
        <w:t xml:space="preserve">seguir los procedimientos establecidos </w:t>
      </w:r>
      <w:r w:rsidR="00280E54" w:rsidRPr="007C4CA7">
        <w:rPr>
          <w:rFonts w:ascii="Arial" w:hAnsi="Arial" w:cs="Arial"/>
          <w:sz w:val="22"/>
          <w:szCs w:val="22"/>
        </w:rPr>
        <w:t xml:space="preserve">en </w:t>
      </w:r>
      <w:r w:rsidR="00280E54" w:rsidRPr="00F72023">
        <w:rPr>
          <w:rFonts w:ascii="Arial" w:hAnsi="Arial" w:cs="Arial"/>
          <w:sz w:val="22"/>
          <w:szCs w:val="22"/>
        </w:rPr>
        <w:t xml:space="preserve">el </w:t>
      </w:r>
      <w:hyperlink r:id="rId25" w:history="1">
        <w:r w:rsidR="00E21603" w:rsidRPr="00F72023">
          <w:rPr>
            <w:rStyle w:val="Hyperlink"/>
            <w:rFonts w:ascii="Arial" w:hAnsi="Arial" w:cs="Arial"/>
            <w:sz w:val="22"/>
            <w:szCs w:val="22"/>
          </w:rPr>
          <w:t>Plan</w:t>
        </w:r>
        <w:r w:rsidR="00280E54" w:rsidRPr="00F72023">
          <w:rPr>
            <w:rStyle w:val="Hyperlink"/>
            <w:rFonts w:ascii="Arial" w:hAnsi="Arial" w:cs="Arial"/>
            <w:sz w:val="22"/>
            <w:szCs w:val="22"/>
          </w:rPr>
          <w:t xml:space="preserve"> de Monitore</w:t>
        </w:r>
        <w:r w:rsidR="00845488" w:rsidRPr="00F72023">
          <w:rPr>
            <w:rStyle w:val="Hyperlink"/>
            <w:rFonts w:ascii="Arial" w:hAnsi="Arial" w:cs="Arial"/>
            <w:sz w:val="22"/>
            <w:szCs w:val="22"/>
          </w:rPr>
          <w:t xml:space="preserve">o y </w:t>
        </w:r>
        <w:r w:rsidR="00123205" w:rsidRPr="00F72023">
          <w:rPr>
            <w:rStyle w:val="Hyperlink"/>
            <w:rFonts w:ascii="Arial" w:hAnsi="Arial" w:cs="Arial"/>
            <w:sz w:val="22"/>
            <w:szCs w:val="22"/>
          </w:rPr>
          <w:t>Evaluación</w:t>
        </w:r>
      </w:hyperlink>
      <w:r w:rsidR="00B20BE0" w:rsidRPr="007C4CA7">
        <w:rPr>
          <w:rFonts w:ascii="Arial" w:hAnsi="Arial" w:cs="Arial"/>
          <w:sz w:val="22"/>
          <w:szCs w:val="22"/>
        </w:rPr>
        <w:t xml:space="preserve"> para el </w:t>
      </w:r>
      <w:r w:rsidR="00D81631" w:rsidRPr="007C4CA7">
        <w:rPr>
          <w:rFonts w:ascii="Arial" w:hAnsi="Arial" w:cs="Arial"/>
          <w:sz w:val="22"/>
          <w:szCs w:val="22"/>
        </w:rPr>
        <w:t>p</w:t>
      </w:r>
      <w:r w:rsidR="00E21603" w:rsidRPr="007C4CA7">
        <w:rPr>
          <w:rFonts w:ascii="Arial" w:hAnsi="Arial" w:cs="Arial"/>
          <w:sz w:val="22"/>
          <w:szCs w:val="22"/>
        </w:rPr>
        <w:t>rograma</w:t>
      </w:r>
      <w:r w:rsidR="00973CD9" w:rsidRPr="007C4CA7">
        <w:rPr>
          <w:rFonts w:ascii="Arial" w:hAnsi="Arial" w:cs="Arial"/>
          <w:sz w:val="22"/>
          <w:szCs w:val="22"/>
        </w:rPr>
        <w:t>.</w:t>
      </w:r>
      <w:r w:rsidR="00B20BE0" w:rsidRPr="007C4CA7">
        <w:rPr>
          <w:rFonts w:ascii="Arial" w:hAnsi="Arial" w:cs="Arial"/>
          <w:sz w:val="22"/>
          <w:szCs w:val="22"/>
        </w:rPr>
        <w:t xml:space="preserve"> En particular, se seguirán los</w:t>
      </w:r>
      <w:r w:rsidR="00B20BE0" w:rsidRPr="00ED5EDD">
        <w:rPr>
          <w:rFonts w:ascii="Arial" w:hAnsi="Arial" w:cs="Arial"/>
          <w:sz w:val="22"/>
          <w:szCs w:val="22"/>
        </w:rPr>
        <w:t xml:space="preserve"> procedimientos y actividades establecidas en el Numeral 3 del mencionado documento</w:t>
      </w:r>
      <w:r w:rsidR="00982B37" w:rsidRPr="00ED5EDD">
        <w:rPr>
          <w:rFonts w:ascii="Arial" w:hAnsi="Arial" w:cs="Arial"/>
          <w:sz w:val="22"/>
          <w:szCs w:val="22"/>
        </w:rPr>
        <w:t xml:space="preserve">, incluyendo </w:t>
      </w:r>
      <w:r w:rsidR="00982B37" w:rsidRPr="00ED5EDD">
        <w:rPr>
          <w:rFonts w:ascii="Arial" w:hAnsi="Arial" w:cs="Arial"/>
          <w:sz w:val="22"/>
          <w:szCs w:val="22"/>
        </w:rPr>
        <w:lastRenderedPageBreak/>
        <w:t>aquellos relativos al conteo de las operaciones de empresas propiedad de mujeres con el fin de cumplir con lo estipulado en el Componente Único</w:t>
      </w:r>
      <w:r w:rsidR="00B20BE0" w:rsidRPr="00ED5EDD">
        <w:rPr>
          <w:rFonts w:ascii="Arial" w:hAnsi="Arial" w:cs="Arial"/>
          <w:sz w:val="22"/>
          <w:szCs w:val="22"/>
        </w:rPr>
        <w:t xml:space="preserve"> </w:t>
      </w:r>
      <w:r w:rsidR="00973CD9" w:rsidRPr="00ED5EDD">
        <w:rPr>
          <w:rFonts w:ascii="Arial" w:hAnsi="Arial" w:cs="Arial"/>
          <w:sz w:val="22"/>
          <w:szCs w:val="22"/>
        </w:rPr>
        <w:t xml:space="preserve"> </w:t>
      </w:r>
    </w:p>
    <w:p w14:paraId="3F9390A3" w14:textId="4D82ECA0" w:rsidR="00374341" w:rsidRPr="00ED5EDD" w:rsidRDefault="009E6B48" w:rsidP="00374341">
      <w:pPr>
        <w:pStyle w:val="Paragraph"/>
        <w:ind w:left="720" w:hanging="720"/>
        <w:rPr>
          <w:rFonts w:ascii="Arial" w:hAnsi="Arial" w:cs="Arial"/>
          <w:sz w:val="22"/>
          <w:szCs w:val="22"/>
        </w:rPr>
      </w:pPr>
      <w:r w:rsidRPr="00ED5EDD">
        <w:rPr>
          <w:rFonts w:ascii="Arial" w:hAnsi="Arial" w:cs="Arial"/>
          <w:sz w:val="22"/>
          <w:szCs w:val="22"/>
        </w:rPr>
        <w:t>El OE</w:t>
      </w:r>
      <w:r w:rsidR="00374341" w:rsidRPr="00ED5EDD">
        <w:rPr>
          <w:rFonts w:ascii="Arial" w:hAnsi="Arial" w:cs="Arial"/>
          <w:sz w:val="22"/>
          <w:szCs w:val="22"/>
        </w:rPr>
        <w:t xml:space="preserve"> acordará con el BID, durante el período de desembolso del préstamo del BID, la celebración de una reunión </w:t>
      </w:r>
      <w:r w:rsidR="00A714FD" w:rsidRPr="00ED5EDD">
        <w:rPr>
          <w:rFonts w:ascii="Arial" w:hAnsi="Arial" w:cs="Arial"/>
          <w:sz w:val="22"/>
          <w:szCs w:val="22"/>
        </w:rPr>
        <w:t xml:space="preserve">bimestral </w:t>
      </w:r>
      <w:r w:rsidR="00374341" w:rsidRPr="00ED5EDD">
        <w:rPr>
          <w:rFonts w:ascii="Arial" w:hAnsi="Arial" w:cs="Arial"/>
          <w:sz w:val="22"/>
          <w:szCs w:val="22"/>
        </w:rPr>
        <w:t xml:space="preserve">de seguimiento, en la que se debatirá: (i) el progreso de las actividades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de emergencia</w:t>
      </w:r>
      <w:r w:rsidR="00300CD8">
        <w:rPr>
          <w:rFonts w:ascii="Arial" w:hAnsi="Arial" w:cs="Arial"/>
          <w:sz w:val="22"/>
          <w:szCs w:val="22"/>
        </w:rPr>
        <w:t>; y</w:t>
      </w:r>
      <w:r w:rsidR="00374341" w:rsidRPr="00ED5EDD">
        <w:rPr>
          <w:rFonts w:ascii="Arial" w:hAnsi="Arial" w:cs="Arial"/>
          <w:sz w:val="22"/>
          <w:szCs w:val="22"/>
        </w:rPr>
        <w:t xml:space="preserve"> (</w:t>
      </w:r>
      <w:proofErr w:type="spellStart"/>
      <w:r w:rsidR="00374341" w:rsidRPr="00ED5EDD">
        <w:rPr>
          <w:rFonts w:ascii="Arial" w:hAnsi="Arial" w:cs="Arial"/>
          <w:sz w:val="22"/>
          <w:szCs w:val="22"/>
        </w:rPr>
        <w:t>ii</w:t>
      </w:r>
      <w:proofErr w:type="spellEnd"/>
      <w:r w:rsidR="00374341" w:rsidRPr="00ED5EDD">
        <w:rPr>
          <w:rFonts w:ascii="Arial" w:hAnsi="Arial" w:cs="Arial"/>
          <w:sz w:val="22"/>
          <w:szCs w:val="22"/>
        </w:rPr>
        <w:t xml:space="preserve">) el nivel de cumplimiento de </w:t>
      </w:r>
      <w:bookmarkStart w:id="82" w:name="_Hlk507496451"/>
      <w:r w:rsidR="00374341" w:rsidRPr="00ED5EDD">
        <w:rPr>
          <w:rFonts w:ascii="Arial" w:hAnsi="Arial" w:cs="Arial"/>
          <w:sz w:val="22"/>
          <w:szCs w:val="22"/>
        </w:rPr>
        <w:t>los indicadores establecidos en la matriz de resultados</w:t>
      </w:r>
      <w:bookmarkEnd w:id="82"/>
      <w:r w:rsidR="00374341" w:rsidRPr="00ED5EDD">
        <w:rPr>
          <w:rFonts w:ascii="Arial" w:hAnsi="Arial" w:cs="Arial"/>
          <w:sz w:val="22"/>
          <w:szCs w:val="22"/>
        </w:rPr>
        <w:t>.</w:t>
      </w:r>
    </w:p>
    <w:p w14:paraId="5CB19460" w14:textId="5F456F7D" w:rsidR="00CE7D2F" w:rsidRPr="00ED5EDD" w:rsidRDefault="00CE7D2F" w:rsidP="00A613F7">
      <w:pPr>
        <w:pStyle w:val="Chapter"/>
        <w:tabs>
          <w:tab w:val="clear" w:pos="1440"/>
        </w:tabs>
        <w:spacing w:before="0"/>
        <w:ind w:left="1350" w:hanging="540"/>
        <w:jc w:val="left"/>
        <w:rPr>
          <w:rFonts w:ascii="Arial" w:hAnsi="Arial" w:cs="Arial"/>
          <w:szCs w:val="24"/>
        </w:rPr>
      </w:pPr>
      <w:bookmarkStart w:id="83" w:name="_Toc42960885"/>
      <w:r w:rsidRPr="00ED5EDD">
        <w:rPr>
          <w:rFonts w:ascii="Arial" w:hAnsi="Arial" w:cs="Arial"/>
          <w:szCs w:val="24"/>
        </w:rPr>
        <w:t>Acuerdos Para La Gestión Financiera del Programa</w:t>
      </w:r>
      <w:bookmarkEnd w:id="83"/>
    </w:p>
    <w:p w14:paraId="23961818" w14:textId="2C615BC4" w:rsidR="00CE7D2F" w:rsidRPr="00ED5EDD" w:rsidRDefault="00CE7D2F" w:rsidP="005E66B6">
      <w:pPr>
        <w:pStyle w:val="Paragraph"/>
        <w:ind w:left="720" w:hanging="720"/>
        <w:rPr>
          <w:rFonts w:ascii="Arial" w:hAnsi="Arial" w:cs="Arial"/>
          <w:sz w:val="22"/>
          <w:szCs w:val="22"/>
        </w:rPr>
      </w:pPr>
      <w:r w:rsidRPr="00ED5EDD">
        <w:rPr>
          <w:rFonts w:ascii="Arial" w:hAnsi="Arial" w:cs="Arial"/>
          <w:b/>
          <w:sz w:val="22"/>
          <w:szCs w:val="22"/>
        </w:rPr>
        <w:t xml:space="preserve">Recursos y Sistemas Administrativos. </w:t>
      </w:r>
      <w:r w:rsidR="009E6B48" w:rsidRPr="00ED5EDD">
        <w:rPr>
          <w:rFonts w:ascii="Arial" w:hAnsi="Arial" w:cs="Arial"/>
          <w:sz w:val="22"/>
          <w:szCs w:val="22"/>
        </w:rPr>
        <w:t>El OE</w:t>
      </w:r>
      <w:r w:rsidRPr="00ED5EDD">
        <w:rPr>
          <w:rFonts w:ascii="Arial" w:hAnsi="Arial" w:cs="Arial"/>
          <w:sz w:val="22"/>
          <w:szCs w:val="22"/>
        </w:rPr>
        <w:t xml:space="preserve"> utilizará sus recursos y sistemas administrativos, financieros y contables para el registro y la administración de las operaciones </w:t>
      </w:r>
      <w:r w:rsidR="0021691D" w:rsidRPr="00ED5EDD">
        <w:rPr>
          <w:rFonts w:ascii="Arial" w:hAnsi="Arial" w:cs="Arial"/>
          <w:sz w:val="22"/>
          <w:szCs w:val="22"/>
        </w:rPr>
        <w:t xml:space="preserve">de subpréstamo y garantía </w:t>
      </w:r>
      <w:r w:rsidRPr="00ED5EDD">
        <w:rPr>
          <w:rFonts w:ascii="Arial" w:hAnsi="Arial" w:cs="Arial"/>
          <w:sz w:val="22"/>
          <w:szCs w:val="22"/>
        </w:rPr>
        <w:t xml:space="preserve">que se administren con los recursos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de acuerdo </w:t>
      </w:r>
      <w:r w:rsidR="00B62845" w:rsidRPr="00ED5EDD">
        <w:rPr>
          <w:rFonts w:ascii="Arial" w:hAnsi="Arial" w:cs="Arial"/>
          <w:sz w:val="22"/>
          <w:szCs w:val="22"/>
        </w:rPr>
        <w:t>con</w:t>
      </w:r>
      <w:r w:rsidRPr="00ED5EDD">
        <w:rPr>
          <w:rFonts w:ascii="Arial" w:hAnsi="Arial" w:cs="Arial"/>
          <w:sz w:val="22"/>
          <w:szCs w:val="22"/>
        </w:rPr>
        <w:t xml:space="preserve"> la regulación financiera vigente aplicable para esa entidad</w:t>
      </w:r>
      <w:r w:rsidR="00D71D14" w:rsidRPr="00ED5EDD">
        <w:rPr>
          <w:rFonts w:ascii="Arial" w:hAnsi="Arial" w:cs="Arial"/>
          <w:sz w:val="22"/>
          <w:szCs w:val="22"/>
        </w:rPr>
        <w:t xml:space="preserve"> y en consistencia con la Política de Gestión Financiera para Proyectos Financiados por el BID</w:t>
      </w:r>
      <w:r w:rsidR="00031BEE" w:rsidRPr="00ED5EDD">
        <w:rPr>
          <w:rFonts w:ascii="Arial" w:hAnsi="Arial" w:cs="Arial"/>
          <w:sz w:val="22"/>
          <w:szCs w:val="22"/>
        </w:rPr>
        <w:t xml:space="preserve"> (OP-273-12)</w:t>
      </w:r>
      <w:r w:rsidRPr="00ED5EDD">
        <w:rPr>
          <w:rFonts w:ascii="Arial" w:hAnsi="Arial" w:cs="Arial"/>
          <w:sz w:val="22"/>
          <w:szCs w:val="22"/>
        </w:rPr>
        <w:t>.</w:t>
      </w:r>
    </w:p>
    <w:p w14:paraId="502715CD" w14:textId="161B9344" w:rsidR="00CE7D2F" w:rsidRPr="00ED5EDD" w:rsidRDefault="00831FB6" w:rsidP="005E66B6">
      <w:pPr>
        <w:pStyle w:val="Paragraph"/>
        <w:ind w:left="720" w:hanging="720"/>
        <w:rPr>
          <w:rFonts w:ascii="Arial" w:hAnsi="Arial" w:cs="Arial"/>
          <w:sz w:val="22"/>
          <w:szCs w:val="22"/>
        </w:rPr>
      </w:pPr>
      <w:r w:rsidRPr="00ED5EDD">
        <w:rPr>
          <w:rFonts w:ascii="Arial" w:hAnsi="Arial" w:cs="Arial"/>
          <w:b/>
          <w:sz w:val="22"/>
          <w:szCs w:val="22"/>
        </w:rPr>
        <w:t>Identificación de los Recursos</w:t>
      </w:r>
      <w:r w:rsidRPr="00ED5EDD">
        <w:rPr>
          <w:rFonts w:ascii="Arial" w:hAnsi="Arial" w:cs="Arial"/>
          <w:sz w:val="22"/>
          <w:szCs w:val="22"/>
        </w:rPr>
        <w:t xml:space="preserve">. </w:t>
      </w:r>
      <w:r w:rsidR="009E6B48" w:rsidRPr="00ED5EDD">
        <w:rPr>
          <w:rFonts w:ascii="Arial" w:hAnsi="Arial" w:cs="Arial"/>
          <w:sz w:val="22"/>
          <w:szCs w:val="22"/>
        </w:rPr>
        <w:t>El OE</w:t>
      </w:r>
      <w:r w:rsidRPr="00ED5EDD">
        <w:rPr>
          <w:rFonts w:ascii="Arial" w:hAnsi="Arial" w:cs="Arial"/>
          <w:sz w:val="22"/>
          <w:szCs w:val="22"/>
        </w:rPr>
        <w:t xml:space="preserve"> parametrizará en su sistema de </w:t>
      </w:r>
      <w:proofErr w:type="spellStart"/>
      <w:r w:rsidRPr="00ED5EDD">
        <w:rPr>
          <w:rFonts w:ascii="Arial" w:hAnsi="Arial" w:cs="Arial"/>
          <w:i/>
          <w:sz w:val="22"/>
          <w:szCs w:val="22"/>
        </w:rPr>
        <w:t>core</w:t>
      </w:r>
      <w:proofErr w:type="spellEnd"/>
      <w:r w:rsidRPr="00ED5EDD">
        <w:rPr>
          <w:rFonts w:ascii="Arial" w:hAnsi="Arial" w:cs="Arial"/>
          <w:i/>
          <w:sz w:val="22"/>
          <w:szCs w:val="22"/>
        </w:rPr>
        <w:t xml:space="preserve"> </w:t>
      </w:r>
      <w:r w:rsidRPr="00ED5EDD">
        <w:rPr>
          <w:rFonts w:ascii="Arial" w:hAnsi="Arial" w:cs="Arial"/>
          <w:sz w:val="22"/>
          <w:szCs w:val="22"/>
        </w:rPr>
        <w:t xml:space="preserve">bancario la identificación de los recursos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con la finalidad de distinguirlos a nivel presupuestario, contable y de tesorería, durante toda la vida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y conforme a la Política de Gestión Financiera para Proyectos Financiados por el BID</w:t>
      </w:r>
      <w:r w:rsidR="00031BEE" w:rsidRPr="00ED5EDD">
        <w:rPr>
          <w:rFonts w:ascii="Arial" w:hAnsi="Arial" w:cs="Arial"/>
          <w:sz w:val="22"/>
          <w:szCs w:val="22"/>
        </w:rPr>
        <w:t xml:space="preserve"> (OP-273-12)</w:t>
      </w:r>
      <w:r w:rsidR="00CE7D2F" w:rsidRPr="00ED5EDD">
        <w:rPr>
          <w:rFonts w:ascii="Arial" w:hAnsi="Arial" w:cs="Arial"/>
          <w:sz w:val="22"/>
          <w:szCs w:val="22"/>
        </w:rPr>
        <w:t>.</w:t>
      </w:r>
    </w:p>
    <w:p w14:paraId="067C4573" w14:textId="3C5E75E7" w:rsidR="00CE7D2F" w:rsidRPr="00ED5EDD" w:rsidRDefault="00682AE8" w:rsidP="005E66B6">
      <w:pPr>
        <w:pStyle w:val="Paragraph"/>
        <w:ind w:left="720" w:hanging="720"/>
        <w:rPr>
          <w:rFonts w:ascii="Arial" w:hAnsi="Arial" w:cs="Arial"/>
          <w:sz w:val="22"/>
          <w:szCs w:val="22"/>
        </w:rPr>
      </w:pPr>
      <w:r w:rsidRPr="00ED5EDD">
        <w:rPr>
          <w:rFonts w:ascii="Arial" w:hAnsi="Arial" w:cs="Arial"/>
          <w:b/>
          <w:sz w:val="22"/>
          <w:szCs w:val="22"/>
        </w:rPr>
        <w:t>Desembolsos y Flujos de Caja</w:t>
      </w:r>
      <w:r w:rsidRPr="00300CD8">
        <w:rPr>
          <w:rFonts w:ascii="Arial" w:hAnsi="Arial" w:cs="Arial"/>
          <w:b/>
          <w:bCs/>
          <w:sz w:val="22"/>
          <w:szCs w:val="22"/>
        </w:rPr>
        <w:t>.</w:t>
      </w:r>
      <w:r w:rsidRPr="00ED5EDD">
        <w:rPr>
          <w:rFonts w:ascii="Arial" w:hAnsi="Arial" w:cs="Arial"/>
          <w:sz w:val="22"/>
          <w:szCs w:val="22"/>
        </w:rPr>
        <w:t xml:space="preserve"> El BID desembolsará los recursos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bajo cualquiera de las modalidades definidas en la Política de Gestión Financiera para Proyectos Financiados por el BID</w:t>
      </w:r>
      <w:r w:rsidR="00031BEE" w:rsidRPr="00ED5EDD">
        <w:rPr>
          <w:rFonts w:ascii="Arial" w:hAnsi="Arial" w:cs="Arial"/>
          <w:sz w:val="22"/>
          <w:szCs w:val="22"/>
        </w:rPr>
        <w:t xml:space="preserve"> (OP-273-12)</w:t>
      </w:r>
      <w:r w:rsidRPr="00ED5EDD">
        <w:rPr>
          <w:rFonts w:ascii="Arial" w:hAnsi="Arial" w:cs="Arial"/>
          <w:sz w:val="22"/>
          <w:szCs w:val="22"/>
        </w:rPr>
        <w:t xml:space="preserve">.  </w:t>
      </w:r>
    </w:p>
    <w:p w14:paraId="6880F66F" w14:textId="48E9A69F" w:rsidR="00CE7D2F" w:rsidRPr="00ED5EDD" w:rsidRDefault="00807209" w:rsidP="005E66B6">
      <w:pPr>
        <w:pStyle w:val="Paragraph"/>
        <w:ind w:left="720" w:hanging="720"/>
        <w:rPr>
          <w:rFonts w:ascii="Arial" w:hAnsi="Arial" w:cs="Arial"/>
          <w:sz w:val="22"/>
          <w:szCs w:val="22"/>
        </w:rPr>
      </w:pPr>
      <w:r w:rsidRPr="00ED5EDD">
        <w:rPr>
          <w:rFonts w:ascii="Arial" w:hAnsi="Arial" w:cs="Arial"/>
          <w:b/>
          <w:sz w:val="22"/>
          <w:szCs w:val="22"/>
        </w:rPr>
        <w:t>Cuenta Operativa</w:t>
      </w:r>
      <w:r w:rsidRPr="00300CD8">
        <w:rPr>
          <w:rFonts w:ascii="Arial" w:hAnsi="Arial" w:cs="Arial"/>
          <w:b/>
          <w:bCs/>
          <w:sz w:val="22"/>
          <w:szCs w:val="22"/>
        </w:rPr>
        <w:t>.</w:t>
      </w:r>
      <w:r w:rsidRPr="00ED5EDD">
        <w:rPr>
          <w:rFonts w:ascii="Arial" w:hAnsi="Arial" w:cs="Arial"/>
          <w:sz w:val="22"/>
          <w:szCs w:val="22"/>
        </w:rPr>
        <w:t xml:space="preserve"> </w:t>
      </w:r>
      <w:r w:rsidR="009E6B48" w:rsidRPr="00ED5EDD">
        <w:rPr>
          <w:rFonts w:ascii="Arial" w:hAnsi="Arial" w:cs="Arial"/>
          <w:sz w:val="22"/>
          <w:szCs w:val="22"/>
        </w:rPr>
        <w:t>El OE</w:t>
      </w:r>
      <w:r w:rsidRPr="00ED5EDD">
        <w:rPr>
          <w:rFonts w:ascii="Arial" w:hAnsi="Arial" w:cs="Arial"/>
          <w:sz w:val="22"/>
          <w:szCs w:val="22"/>
        </w:rPr>
        <w:t xml:space="preserve"> mantendrá una </w:t>
      </w:r>
      <w:r w:rsidR="00ED5EDD" w:rsidRPr="00ED5EDD">
        <w:rPr>
          <w:rFonts w:ascii="Arial" w:hAnsi="Arial" w:cs="Arial"/>
          <w:sz w:val="22"/>
          <w:szCs w:val="22"/>
        </w:rPr>
        <w:t xml:space="preserve">o más </w:t>
      </w:r>
      <w:r w:rsidRPr="00ED5EDD">
        <w:rPr>
          <w:rFonts w:ascii="Arial" w:hAnsi="Arial" w:cs="Arial"/>
          <w:sz w:val="22"/>
          <w:szCs w:val="22"/>
        </w:rPr>
        <w:t>cuenta</w:t>
      </w:r>
      <w:r w:rsidR="00ED5EDD" w:rsidRPr="00ED5EDD">
        <w:rPr>
          <w:rFonts w:ascii="Arial" w:hAnsi="Arial" w:cs="Arial"/>
          <w:sz w:val="22"/>
          <w:szCs w:val="22"/>
        </w:rPr>
        <w:t>s</w:t>
      </w:r>
      <w:r w:rsidRPr="00ED5EDD">
        <w:rPr>
          <w:rFonts w:ascii="Arial" w:hAnsi="Arial" w:cs="Arial"/>
          <w:sz w:val="22"/>
          <w:szCs w:val="22"/>
        </w:rPr>
        <w:t xml:space="preserve"> especial</w:t>
      </w:r>
      <w:r w:rsidR="00ED5EDD" w:rsidRPr="00ED5EDD">
        <w:rPr>
          <w:rFonts w:ascii="Arial" w:hAnsi="Arial" w:cs="Arial"/>
          <w:sz w:val="22"/>
          <w:szCs w:val="22"/>
        </w:rPr>
        <w:t>es</w:t>
      </w:r>
      <w:r w:rsidRPr="00ED5EDD">
        <w:rPr>
          <w:rFonts w:ascii="Arial" w:hAnsi="Arial" w:cs="Arial"/>
          <w:sz w:val="22"/>
          <w:szCs w:val="22"/>
        </w:rPr>
        <w:t xml:space="preserve"> separada</w:t>
      </w:r>
      <w:r w:rsidR="00ED5EDD" w:rsidRPr="00ED5EDD">
        <w:rPr>
          <w:rFonts w:ascii="Arial" w:hAnsi="Arial" w:cs="Arial"/>
          <w:sz w:val="22"/>
          <w:szCs w:val="22"/>
        </w:rPr>
        <w:t>s</w:t>
      </w:r>
      <w:r w:rsidRPr="00ED5EDD">
        <w:rPr>
          <w:rFonts w:ascii="Arial" w:hAnsi="Arial" w:cs="Arial"/>
          <w:sz w:val="22"/>
          <w:szCs w:val="22"/>
        </w:rPr>
        <w:t xml:space="preserve"> e identificada</w:t>
      </w:r>
      <w:r w:rsidR="00ED5EDD" w:rsidRPr="00ED5EDD">
        <w:rPr>
          <w:rFonts w:ascii="Arial" w:hAnsi="Arial" w:cs="Arial"/>
          <w:sz w:val="22"/>
          <w:szCs w:val="22"/>
        </w:rPr>
        <w:t>s</w:t>
      </w:r>
      <w:r w:rsidRPr="00ED5EDD">
        <w:rPr>
          <w:rFonts w:ascii="Arial" w:hAnsi="Arial" w:cs="Arial"/>
          <w:sz w:val="22"/>
          <w:szCs w:val="22"/>
        </w:rPr>
        <w:t xml:space="preserve"> contable y operacionalmente para el manejo exclusivo de los recursos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w:t>
      </w:r>
      <w:r w:rsidR="00C53C25" w:rsidRPr="00ED5EDD">
        <w:rPr>
          <w:rFonts w:ascii="Arial" w:hAnsi="Arial" w:cs="Arial"/>
          <w:sz w:val="22"/>
          <w:szCs w:val="22"/>
        </w:rPr>
        <w:t>–</w:t>
      </w:r>
      <w:r w:rsidRPr="00ED5EDD">
        <w:rPr>
          <w:rFonts w:ascii="Arial" w:hAnsi="Arial" w:cs="Arial"/>
          <w:sz w:val="22"/>
          <w:szCs w:val="22"/>
        </w:rPr>
        <w:t>ya sea provenientes del financiamiento del repago</w:t>
      </w:r>
      <w:r w:rsidR="00C53C25" w:rsidRPr="00ED5EDD">
        <w:rPr>
          <w:rFonts w:ascii="Arial" w:hAnsi="Arial" w:cs="Arial"/>
          <w:sz w:val="22"/>
          <w:szCs w:val="22"/>
        </w:rPr>
        <w:t>–</w:t>
      </w:r>
      <w:r w:rsidRPr="00ED5EDD">
        <w:rPr>
          <w:rFonts w:ascii="Arial" w:hAnsi="Arial" w:cs="Arial"/>
          <w:sz w:val="22"/>
          <w:szCs w:val="22"/>
        </w:rPr>
        <w:t>, desde donde se realizarán los desembolsos correspondientes</w:t>
      </w:r>
      <w:r w:rsidR="00582C8A">
        <w:rPr>
          <w:rFonts w:ascii="Arial" w:hAnsi="Arial" w:cs="Arial"/>
          <w:sz w:val="22"/>
          <w:szCs w:val="22"/>
        </w:rPr>
        <w:t xml:space="preserve"> de </w:t>
      </w:r>
      <w:proofErr w:type="spellStart"/>
      <w:r w:rsidR="00582C8A">
        <w:rPr>
          <w:rFonts w:ascii="Arial" w:hAnsi="Arial" w:cs="Arial"/>
          <w:sz w:val="22"/>
          <w:szCs w:val="22"/>
        </w:rPr>
        <w:t>subprestamos</w:t>
      </w:r>
      <w:proofErr w:type="spellEnd"/>
      <w:r w:rsidR="00582C8A">
        <w:rPr>
          <w:rFonts w:ascii="Arial" w:hAnsi="Arial" w:cs="Arial"/>
          <w:sz w:val="22"/>
          <w:szCs w:val="22"/>
        </w:rPr>
        <w:t xml:space="preserve"> y</w:t>
      </w:r>
      <w:r w:rsidR="00B6396B">
        <w:rPr>
          <w:rFonts w:ascii="Arial" w:hAnsi="Arial" w:cs="Arial"/>
          <w:sz w:val="22"/>
          <w:szCs w:val="22"/>
        </w:rPr>
        <w:t xml:space="preserve"> </w:t>
      </w:r>
      <w:r w:rsidR="00305AC3">
        <w:rPr>
          <w:rFonts w:ascii="Arial" w:hAnsi="Arial" w:cs="Arial"/>
          <w:sz w:val="22"/>
          <w:szCs w:val="22"/>
        </w:rPr>
        <w:t>ejecución de garantías</w:t>
      </w:r>
      <w:r w:rsidRPr="00ED5EDD">
        <w:rPr>
          <w:rFonts w:ascii="Arial" w:hAnsi="Arial" w:cs="Arial"/>
          <w:sz w:val="22"/>
          <w:szCs w:val="22"/>
        </w:rPr>
        <w:t>.</w:t>
      </w:r>
      <w:r w:rsidR="00343044" w:rsidRPr="00ED5EDD">
        <w:rPr>
          <w:rFonts w:ascii="Arial" w:hAnsi="Arial" w:cs="Arial"/>
          <w:sz w:val="22"/>
          <w:szCs w:val="22"/>
        </w:rPr>
        <w:t xml:space="preserve"> Así mismo ca</w:t>
      </w:r>
      <w:r w:rsidR="009E43AE" w:rsidRPr="00ED5EDD">
        <w:rPr>
          <w:rFonts w:ascii="Arial" w:hAnsi="Arial" w:cs="Arial"/>
          <w:sz w:val="22"/>
          <w:szCs w:val="22"/>
        </w:rPr>
        <w:t xml:space="preserve">da IFI intermediaria de los recursos del </w:t>
      </w:r>
      <w:r w:rsidR="00D81631">
        <w:rPr>
          <w:rFonts w:ascii="Arial" w:hAnsi="Arial" w:cs="Arial"/>
          <w:sz w:val="22"/>
          <w:szCs w:val="22"/>
        </w:rPr>
        <w:t>p</w:t>
      </w:r>
      <w:r w:rsidR="00ED5EDD" w:rsidRPr="00ED5EDD">
        <w:rPr>
          <w:rFonts w:ascii="Arial" w:hAnsi="Arial" w:cs="Arial"/>
          <w:sz w:val="22"/>
          <w:szCs w:val="22"/>
        </w:rPr>
        <w:t xml:space="preserve">rograma </w:t>
      </w:r>
      <w:r w:rsidR="009E43AE" w:rsidRPr="00ED5EDD">
        <w:rPr>
          <w:rFonts w:ascii="Arial" w:hAnsi="Arial" w:cs="Arial"/>
          <w:sz w:val="22"/>
          <w:szCs w:val="22"/>
        </w:rPr>
        <w:t>deberá mantener informaci</w:t>
      </w:r>
      <w:r w:rsidR="002F4037" w:rsidRPr="00ED5EDD">
        <w:rPr>
          <w:rFonts w:ascii="Arial" w:hAnsi="Arial" w:cs="Arial"/>
          <w:sz w:val="22"/>
          <w:szCs w:val="22"/>
        </w:rPr>
        <w:t>ó</w:t>
      </w:r>
      <w:r w:rsidR="009E43AE" w:rsidRPr="00ED5EDD">
        <w:rPr>
          <w:rFonts w:ascii="Arial" w:hAnsi="Arial" w:cs="Arial"/>
          <w:sz w:val="22"/>
          <w:szCs w:val="22"/>
        </w:rPr>
        <w:t>n</w:t>
      </w:r>
      <w:r w:rsidR="002F4037" w:rsidRPr="00ED5EDD">
        <w:rPr>
          <w:rFonts w:ascii="Arial" w:hAnsi="Arial" w:cs="Arial"/>
          <w:sz w:val="22"/>
          <w:szCs w:val="22"/>
        </w:rPr>
        <w:t xml:space="preserve"> separada y de manera individual de cada </w:t>
      </w:r>
      <w:r w:rsidR="008E509D" w:rsidRPr="00ED5EDD">
        <w:rPr>
          <w:rFonts w:ascii="Arial" w:hAnsi="Arial" w:cs="Arial"/>
          <w:sz w:val="22"/>
          <w:szCs w:val="22"/>
        </w:rPr>
        <w:t>beneficiario</w:t>
      </w:r>
      <w:r w:rsidR="002F4037" w:rsidRPr="00ED5EDD">
        <w:rPr>
          <w:rFonts w:ascii="Arial" w:hAnsi="Arial" w:cs="Arial"/>
          <w:sz w:val="22"/>
          <w:szCs w:val="22"/>
        </w:rPr>
        <w:t xml:space="preserve"> </w:t>
      </w:r>
      <w:r w:rsidR="008E509D" w:rsidRPr="00ED5EDD">
        <w:rPr>
          <w:rFonts w:ascii="Arial" w:hAnsi="Arial" w:cs="Arial"/>
          <w:sz w:val="22"/>
          <w:szCs w:val="22"/>
        </w:rPr>
        <w:t xml:space="preserve">final del </w:t>
      </w:r>
      <w:r w:rsidR="00D81631">
        <w:rPr>
          <w:rFonts w:ascii="Arial" w:hAnsi="Arial" w:cs="Arial"/>
          <w:sz w:val="22"/>
          <w:szCs w:val="22"/>
        </w:rPr>
        <w:t>p</w:t>
      </w:r>
      <w:r w:rsidR="008E509D" w:rsidRPr="00ED5EDD">
        <w:rPr>
          <w:rFonts w:ascii="Arial" w:hAnsi="Arial" w:cs="Arial"/>
          <w:sz w:val="22"/>
          <w:szCs w:val="22"/>
        </w:rPr>
        <w:t>rograma.</w:t>
      </w:r>
      <w:r w:rsidR="002F4037" w:rsidRPr="00ED5EDD">
        <w:rPr>
          <w:rFonts w:ascii="Arial" w:hAnsi="Arial" w:cs="Arial"/>
          <w:sz w:val="22"/>
          <w:szCs w:val="22"/>
        </w:rPr>
        <w:t xml:space="preserve"> </w:t>
      </w:r>
      <w:r w:rsidRPr="00ED5EDD">
        <w:rPr>
          <w:rFonts w:ascii="Arial" w:hAnsi="Arial" w:cs="Arial"/>
          <w:sz w:val="22"/>
          <w:szCs w:val="22"/>
        </w:rPr>
        <w:t xml:space="preserve"> De conformidad con lo establecido en la Política de Gestión Financiera para Proyectos Financiados por el BID</w:t>
      </w:r>
      <w:r w:rsidR="00031BEE" w:rsidRPr="00ED5EDD">
        <w:rPr>
          <w:rFonts w:ascii="Arial" w:hAnsi="Arial" w:cs="Arial"/>
          <w:sz w:val="22"/>
          <w:szCs w:val="22"/>
        </w:rPr>
        <w:t xml:space="preserve"> (OP-273-12)</w:t>
      </w:r>
      <w:r w:rsidRPr="00ED5EDD">
        <w:rPr>
          <w:rFonts w:ascii="Arial" w:hAnsi="Arial" w:cs="Arial"/>
          <w:sz w:val="22"/>
          <w:szCs w:val="22"/>
        </w:rPr>
        <w:t xml:space="preserve">, se </w:t>
      </w:r>
      <w:r w:rsidRPr="00ED5EDD">
        <w:rPr>
          <w:rFonts w:ascii="Arial" w:hAnsi="Arial" w:cs="Arial"/>
          <w:b/>
          <w:bCs/>
          <w:sz w:val="22"/>
          <w:szCs w:val="22"/>
        </w:rPr>
        <w:t>realizarán desembolsos sobre la base de las necesidades de liquidez,</w:t>
      </w:r>
      <w:r w:rsidRPr="00ED5EDD">
        <w:rPr>
          <w:rFonts w:ascii="Arial" w:hAnsi="Arial" w:cs="Arial"/>
          <w:sz w:val="22"/>
          <w:szCs w:val="22"/>
        </w:rPr>
        <w:t xml:space="preserve"> para lo cual </w:t>
      </w:r>
      <w:r w:rsidR="009E6B48" w:rsidRPr="00ED5EDD">
        <w:rPr>
          <w:rFonts w:ascii="Arial" w:hAnsi="Arial" w:cs="Arial"/>
          <w:sz w:val="22"/>
          <w:szCs w:val="22"/>
        </w:rPr>
        <w:t>el OE</w:t>
      </w:r>
      <w:r w:rsidRPr="00ED5EDD">
        <w:rPr>
          <w:rFonts w:ascii="Arial" w:hAnsi="Arial" w:cs="Arial"/>
          <w:sz w:val="22"/>
          <w:szCs w:val="22"/>
        </w:rPr>
        <w:t xml:space="preserve"> preparará un plan financiero, que servirá de base para los anticipos u otra modalidad de desembolso que se estime apropiada</w:t>
      </w:r>
      <w:r w:rsidR="00CE7D2F" w:rsidRPr="00ED5EDD">
        <w:rPr>
          <w:rFonts w:ascii="Arial" w:hAnsi="Arial" w:cs="Arial"/>
          <w:sz w:val="22"/>
          <w:szCs w:val="22"/>
        </w:rPr>
        <w:t>.</w:t>
      </w:r>
    </w:p>
    <w:p w14:paraId="367B003A" w14:textId="2B4AFF9B" w:rsidR="00EA1FA0" w:rsidRPr="00ED5EDD" w:rsidRDefault="00575BE4" w:rsidP="005E66B6">
      <w:pPr>
        <w:pStyle w:val="Paragraph"/>
        <w:ind w:left="720" w:hanging="720"/>
        <w:rPr>
          <w:rFonts w:ascii="Arial" w:hAnsi="Arial" w:cs="Arial"/>
          <w:sz w:val="22"/>
          <w:szCs w:val="22"/>
        </w:rPr>
      </w:pPr>
      <w:r w:rsidRPr="00ED5EDD">
        <w:rPr>
          <w:rFonts w:ascii="Arial" w:hAnsi="Arial" w:cs="Arial"/>
          <w:b/>
          <w:sz w:val="22"/>
          <w:szCs w:val="22"/>
        </w:rPr>
        <w:t>Supervisión</w:t>
      </w:r>
      <w:r w:rsidRPr="004B0B79">
        <w:rPr>
          <w:rFonts w:ascii="Arial" w:hAnsi="Arial" w:cs="Arial"/>
          <w:b/>
          <w:bCs/>
          <w:sz w:val="22"/>
          <w:szCs w:val="22"/>
        </w:rPr>
        <w:t>.</w:t>
      </w:r>
      <w:r w:rsidRPr="00ED5EDD">
        <w:rPr>
          <w:rFonts w:ascii="Arial" w:hAnsi="Arial" w:cs="Arial"/>
          <w:sz w:val="22"/>
          <w:szCs w:val="22"/>
        </w:rPr>
        <w:t xml:space="preserve"> Para el monitoreo financiero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se utilizarán los informes financieros (no auditados) producidos por los sistemas </w:t>
      </w:r>
      <w:r w:rsidR="009E6B48" w:rsidRPr="00ED5EDD">
        <w:rPr>
          <w:rFonts w:ascii="Arial" w:hAnsi="Arial" w:cs="Arial"/>
          <w:sz w:val="22"/>
          <w:szCs w:val="22"/>
        </w:rPr>
        <w:t>del OE</w:t>
      </w:r>
      <w:r w:rsidRPr="00ED5EDD">
        <w:rPr>
          <w:rFonts w:ascii="Arial" w:hAnsi="Arial" w:cs="Arial"/>
          <w:sz w:val="22"/>
          <w:szCs w:val="22"/>
        </w:rPr>
        <w:t xml:space="preserve"> y la desagregación necesaria se detallará en las notas correspondientes e información financiera complementaria. Preliminarmente, estos informes se requerirán semestralmente pudiendo ajustarse la frecuencia posteriormente. Las notas explicativas de la información financiera se diseñarán de manera que sean consistentes con la política y herramientas de monitoreo del BID (Instructivo de Informes Financieros y Gestión de Auditoría Externa de las Operaciones Financiadas por el BID)</w:t>
      </w:r>
      <w:r w:rsidR="00EA1FA0" w:rsidRPr="00ED5EDD">
        <w:rPr>
          <w:rFonts w:ascii="Arial" w:hAnsi="Arial" w:cs="Arial"/>
          <w:sz w:val="22"/>
          <w:szCs w:val="22"/>
        </w:rPr>
        <w:t xml:space="preserve">. </w:t>
      </w:r>
    </w:p>
    <w:p w14:paraId="27C48D3C" w14:textId="00D2AA97" w:rsidR="00EA1FA0" w:rsidRPr="00ED5EDD" w:rsidRDefault="00EA1FA0" w:rsidP="005E66B6">
      <w:pPr>
        <w:pStyle w:val="Paragraph"/>
        <w:ind w:left="720" w:hanging="720"/>
        <w:rPr>
          <w:rFonts w:ascii="Arial" w:hAnsi="Arial" w:cs="Arial"/>
          <w:sz w:val="22"/>
          <w:szCs w:val="22"/>
        </w:rPr>
      </w:pPr>
      <w:r w:rsidRPr="00ED5EDD">
        <w:rPr>
          <w:rFonts w:ascii="Arial" w:hAnsi="Arial" w:cs="Arial"/>
          <w:b/>
          <w:sz w:val="22"/>
          <w:szCs w:val="22"/>
        </w:rPr>
        <w:t xml:space="preserve">Supervisión Fiduciaria del BID. </w:t>
      </w:r>
      <w:r w:rsidRPr="00ED5EDD">
        <w:rPr>
          <w:rFonts w:ascii="Arial" w:hAnsi="Arial" w:cs="Arial"/>
          <w:sz w:val="22"/>
          <w:szCs w:val="22"/>
        </w:rPr>
        <w:t xml:space="preserve">El especialista financiero del BID podrá llevar a cabo revisiones “in situ” y realizará revisiones de “escritorio” sobre los estados financieros anuales y finales auditados del </w:t>
      </w:r>
      <w:r w:rsidR="00E21603" w:rsidRPr="00ED5EDD">
        <w:rPr>
          <w:rFonts w:ascii="Arial" w:hAnsi="Arial" w:cs="Arial"/>
          <w:sz w:val="22"/>
          <w:szCs w:val="22"/>
        </w:rPr>
        <w:t>programa</w:t>
      </w:r>
      <w:r w:rsidRPr="00ED5EDD">
        <w:rPr>
          <w:rFonts w:ascii="Arial" w:hAnsi="Arial" w:cs="Arial"/>
          <w:sz w:val="22"/>
          <w:szCs w:val="22"/>
        </w:rPr>
        <w:t xml:space="preserve">. </w:t>
      </w:r>
      <w:r w:rsidR="00E2105E" w:rsidRPr="00ED5EDD">
        <w:rPr>
          <w:rFonts w:ascii="Arial" w:hAnsi="Arial" w:cs="Arial"/>
          <w:sz w:val="22"/>
          <w:szCs w:val="22"/>
        </w:rPr>
        <w:t xml:space="preserve">Los mismos se detallarán </w:t>
      </w:r>
      <w:r w:rsidR="00E2105E" w:rsidRPr="00ED5EDD">
        <w:rPr>
          <w:rFonts w:ascii="Arial" w:hAnsi="Arial" w:cs="Arial"/>
          <w:sz w:val="22"/>
          <w:szCs w:val="22"/>
        </w:rPr>
        <w:lastRenderedPageBreak/>
        <w:t xml:space="preserve">dentro de las notas a los estados financieros periódicos del </w:t>
      </w:r>
      <w:r w:rsidR="009E6B48" w:rsidRPr="00ED5EDD">
        <w:rPr>
          <w:rFonts w:ascii="Arial" w:hAnsi="Arial" w:cs="Arial"/>
          <w:sz w:val="22"/>
          <w:szCs w:val="22"/>
        </w:rPr>
        <w:t>OE</w:t>
      </w:r>
      <w:r w:rsidR="00E2105E" w:rsidRPr="00ED5EDD">
        <w:rPr>
          <w:rFonts w:ascii="Arial" w:hAnsi="Arial" w:cs="Arial"/>
          <w:sz w:val="22"/>
          <w:szCs w:val="22"/>
        </w:rPr>
        <w:t xml:space="preserve">. </w:t>
      </w:r>
      <w:r w:rsidRPr="00ED5EDD">
        <w:rPr>
          <w:rFonts w:ascii="Arial" w:hAnsi="Arial" w:cs="Arial"/>
          <w:sz w:val="22"/>
          <w:szCs w:val="22"/>
        </w:rPr>
        <w:t xml:space="preserve">Las visitas de supervisión fiduciaria en gestión financiera incluirán la verificación de los arreglos financieros y contables utilizados para la administración del </w:t>
      </w:r>
      <w:r w:rsidR="00D81631">
        <w:rPr>
          <w:rFonts w:ascii="Arial" w:hAnsi="Arial" w:cs="Arial"/>
          <w:sz w:val="22"/>
          <w:szCs w:val="22"/>
        </w:rPr>
        <w:t>p</w:t>
      </w:r>
      <w:r w:rsidR="00ED5EDD" w:rsidRPr="00ED5EDD">
        <w:rPr>
          <w:rFonts w:ascii="Arial" w:hAnsi="Arial" w:cs="Arial"/>
          <w:sz w:val="22"/>
          <w:szCs w:val="22"/>
        </w:rPr>
        <w:t xml:space="preserve">rograma </w:t>
      </w:r>
      <w:r w:rsidRPr="00ED5EDD">
        <w:rPr>
          <w:rFonts w:ascii="Arial" w:hAnsi="Arial" w:cs="Arial"/>
          <w:sz w:val="22"/>
          <w:szCs w:val="22"/>
        </w:rPr>
        <w:t xml:space="preserve">y el seguimiento a la implementación de las recomendaciones que pueda emitir el auditor independiente del presente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entre otros. El auditor verificará que los recursos se </w:t>
      </w:r>
      <w:r w:rsidR="00B33C8F" w:rsidRPr="00ED5EDD">
        <w:rPr>
          <w:rFonts w:ascii="Arial" w:hAnsi="Arial" w:cs="Arial"/>
          <w:sz w:val="22"/>
          <w:szCs w:val="22"/>
        </w:rPr>
        <w:t>hayan dirigido a</w:t>
      </w:r>
      <w:r w:rsidRPr="00ED5EDD">
        <w:rPr>
          <w:rFonts w:ascii="Arial" w:hAnsi="Arial" w:cs="Arial"/>
          <w:sz w:val="22"/>
          <w:szCs w:val="22"/>
        </w:rPr>
        <w:t xml:space="preserve"> beneficiarios finales, según las condiciones estipuladas en este </w:t>
      </w:r>
      <w:r w:rsidR="00B7106F">
        <w:rPr>
          <w:rFonts w:ascii="Arial" w:hAnsi="Arial" w:cs="Arial"/>
          <w:sz w:val="22"/>
          <w:szCs w:val="22"/>
        </w:rPr>
        <w:t>RC</w:t>
      </w:r>
      <w:r w:rsidR="00B33C8F" w:rsidRPr="00ED5EDD">
        <w:rPr>
          <w:rFonts w:ascii="Arial" w:hAnsi="Arial" w:cs="Arial"/>
          <w:sz w:val="22"/>
          <w:szCs w:val="22"/>
        </w:rPr>
        <w:t>. Finalmente</w:t>
      </w:r>
      <w:r w:rsidRPr="00ED5EDD">
        <w:rPr>
          <w:rFonts w:ascii="Arial" w:hAnsi="Arial" w:cs="Arial"/>
          <w:sz w:val="22"/>
          <w:szCs w:val="22"/>
        </w:rPr>
        <w:t>,</w:t>
      </w:r>
      <w:r w:rsidR="00B33C8F" w:rsidRPr="00ED5EDD">
        <w:rPr>
          <w:rFonts w:ascii="Arial" w:hAnsi="Arial" w:cs="Arial"/>
          <w:sz w:val="22"/>
          <w:szCs w:val="22"/>
        </w:rPr>
        <w:t xml:space="preserve"> dentro de sus potestades está la de</w:t>
      </w:r>
      <w:r w:rsidRPr="00ED5EDD">
        <w:rPr>
          <w:rFonts w:ascii="Arial" w:hAnsi="Arial" w:cs="Arial"/>
          <w:sz w:val="22"/>
          <w:szCs w:val="22"/>
        </w:rPr>
        <w:t xml:space="preserve"> realizar visitas de inspección a los beneficiarios finales.</w:t>
      </w:r>
    </w:p>
    <w:p w14:paraId="3A6AFA4F" w14:textId="3A2AD737" w:rsidR="00EA1FA0" w:rsidRPr="00ED5EDD" w:rsidRDefault="00EA1FA0" w:rsidP="005E66B6">
      <w:pPr>
        <w:pStyle w:val="Paragraph"/>
        <w:ind w:left="720" w:hanging="720"/>
        <w:rPr>
          <w:rFonts w:ascii="Arial" w:hAnsi="Arial" w:cs="Arial"/>
          <w:sz w:val="22"/>
          <w:szCs w:val="22"/>
        </w:rPr>
      </w:pPr>
      <w:r w:rsidRPr="00ED5EDD">
        <w:rPr>
          <w:rFonts w:ascii="Arial" w:hAnsi="Arial" w:cs="Arial"/>
          <w:b/>
          <w:sz w:val="22"/>
          <w:szCs w:val="22"/>
        </w:rPr>
        <w:t>Control Interno</w:t>
      </w:r>
      <w:r w:rsidRPr="004B0B79">
        <w:rPr>
          <w:rFonts w:ascii="Arial" w:hAnsi="Arial" w:cs="Arial"/>
          <w:b/>
          <w:bCs/>
          <w:sz w:val="22"/>
          <w:szCs w:val="22"/>
        </w:rPr>
        <w:t>.</w:t>
      </w:r>
      <w:r w:rsidRPr="00ED5EDD">
        <w:rPr>
          <w:rFonts w:ascii="Arial" w:hAnsi="Arial" w:cs="Arial"/>
          <w:sz w:val="22"/>
          <w:szCs w:val="22"/>
        </w:rPr>
        <w:t xml:space="preserve"> </w:t>
      </w:r>
      <w:r w:rsidR="009E6B48" w:rsidRPr="00ED5EDD">
        <w:rPr>
          <w:rFonts w:ascii="Arial" w:hAnsi="Arial" w:cs="Arial"/>
          <w:sz w:val="22"/>
          <w:szCs w:val="22"/>
        </w:rPr>
        <w:t>El OE</w:t>
      </w:r>
      <w:r w:rsidRPr="00ED5EDD">
        <w:rPr>
          <w:rFonts w:ascii="Arial" w:hAnsi="Arial" w:cs="Arial"/>
          <w:sz w:val="22"/>
          <w:szCs w:val="22"/>
        </w:rPr>
        <w:t xml:space="preserve"> aplicará su normativa propia y la gestión de su Comité de Auditoría</w:t>
      </w:r>
      <w:r w:rsidR="00B85C19" w:rsidRPr="00ED5EDD">
        <w:rPr>
          <w:rFonts w:ascii="Arial" w:hAnsi="Arial" w:cs="Arial"/>
          <w:sz w:val="22"/>
          <w:szCs w:val="22"/>
        </w:rPr>
        <w:t xml:space="preserve"> Interna</w:t>
      </w:r>
      <w:r w:rsidRPr="00ED5EDD">
        <w:rPr>
          <w:rFonts w:ascii="Arial" w:hAnsi="Arial" w:cs="Arial"/>
          <w:sz w:val="22"/>
          <w:szCs w:val="22"/>
        </w:rPr>
        <w:t xml:space="preserve">, Comité de Crédito </w:t>
      </w:r>
      <w:r w:rsidR="00B85C19" w:rsidRPr="00ED5EDD">
        <w:rPr>
          <w:rFonts w:ascii="Arial" w:hAnsi="Arial" w:cs="Arial"/>
          <w:sz w:val="22"/>
          <w:szCs w:val="22"/>
        </w:rPr>
        <w:t xml:space="preserve">y el </w:t>
      </w:r>
      <w:r w:rsidRPr="00ED5EDD">
        <w:rPr>
          <w:rFonts w:ascii="Arial" w:hAnsi="Arial" w:cs="Arial"/>
          <w:sz w:val="22"/>
          <w:szCs w:val="22"/>
        </w:rPr>
        <w:t>Comité de Riesgo para llevar a cabo el control interno de</w:t>
      </w:r>
      <w:r w:rsidR="00ED5EDD" w:rsidRPr="00ED5EDD">
        <w:rPr>
          <w:rFonts w:ascii="Arial" w:hAnsi="Arial" w:cs="Arial"/>
          <w:sz w:val="22"/>
          <w:szCs w:val="22"/>
        </w:rPr>
        <w:t xml:space="preserve">l </w:t>
      </w:r>
      <w:r w:rsidR="00D81631">
        <w:rPr>
          <w:rFonts w:ascii="Arial" w:hAnsi="Arial" w:cs="Arial"/>
          <w:sz w:val="22"/>
          <w:szCs w:val="22"/>
        </w:rPr>
        <w:t>p</w:t>
      </w:r>
      <w:r w:rsidR="00ED5EDD" w:rsidRPr="00ED5EDD">
        <w:rPr>
          <w:rFonts w:ascii="Arial" w:hAnsi="Arial" w:cs="Arial"/>
          <w:sz w:val="22"/>
          <w:szCs w:val="22"/>
        </w:rPr>
        <w:t>rograma</w:t>
      </w:r>
      <w:r w:rsidRPr="00ED5EDD">
        <w:rPr>
          <w:rFonts w:ascii="Arial" w:hAnsi="Arial" w:cs="Arial"/>
          <w:sz w:val="22"/>
          <w:szCs w:val="22"/>
        </w:rPr>
        <w:t>.</w:t>
      </w:r>
    </w:p>
    <w:p w14:paraId="038F4850" w14:textId="13800F71" w:rsidR="0000066C" w:rsidRPr="00ED5EDD" w:rsidRDefault="0000066C" w:rsidP="0000066C">
      <w:pPr>
        <w:pStyle w:val="Paragraph"/>
        <w:ind w:left="720" w:hanging="720"/>
        <w:rPr>
          <w:rFonts w:ascii="Arial" w:hAnsi="Arial" w:cs="Arial"/>
          <w:sz w:val="22"/>
          <w:szCs w:val="22"/>
        </w:rPr>
      </w:pPr>
      <w:r w:rsidRPr="00ED5EDD">
        <w:rPr>
          <w:rFonts w:ascii="Arial" w:hAnsi="Arial" w:cs="Arial"/>
          <w:sz w:val="22"/>
          <w:szCs w:val="22"/>
        </w:rPr>
        <w:t xml:space="preserve">De acuerdo con lo establecido en las Normas Generales y en Contrato de Préstamo, se permitirá que el BID inspeccione en cualquier momento el estado de ejecución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xml:space="preserve"> y verifique el cumplimiento de los requerimientos establecidos para el uso de los recursos del préstamo. En este sentido: (i) El Auditor Interno de</w:t>
      </w:r>
      <w:r w:rsidR="009E6B48" w:rsidRPr="00ED5EDD">
        <w:rPr>
          <w:rFonts w:ascii="Arial" w:hAnsi="Arial" w:cs="Arial"/>
          <w:sz w:val="22"/>
          <w:szCs w:val="22"/>
        </w:rPr>
        <w:t>l</w:t>
      </w:r>
      <w:r w:rsidRPr="00ED5EDD">
        <w:rPr>
          <w:rFonts w:ascii="Arial" w:hAnsi="Arial" w:cs="Arial"/>
          <w:sz w:val="22"/>
          <w:szCs w:val="22"/>
        </w:rPr>
        <w:t xml:space="preserve"> </w:t>
      </w:r>
      <w:r w:rsidR="009E6B48" w:rsidRPr="00ED5EDD">
        <w:rPr>
          <w:rFonts w:ascii="Arial" w:hAnsi="Arial" w:cs="Arial"/>
          <w:sz w:val="22"/>
          <w:szCs w:val="22"/>
        </w:rPr>
        <w:t>OE</w:t>
      </w:r>
      <w:r w:rsidRPr="00ED5EDD">
        <w:rPr>
          <w:rFonts w:ascii="Arial" w:hAnsi="Arial" w:cs="Arial"/>
          <w:sz w:val="22"/>
          <w:szCs w:val="22"/>
        </w:rPr>
        <w:t xml:space="preserve"> o su delegado, podrá acceder a toda la información relevante que se requiera dentro del marco del </w:t>
      </w:r>
      <w:r w:rsidR="00B7106F">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w:t>
      </w:r>
      <w:proofErr w:type="spellStart"/>
      <w:r w:rsidRPr="00ED5EDD">
        <w:rPr>
          <w:rFonts w:ascii="Arial" w:hAnsi="Arial" w:cs="Arial"/>
          <w:sz w:val="22"/>
          <w:szCs w:val="22"/>
        </w:rPr>
        <w:t>ii</w:t>
      </w:r>
      <w:proofErr w:type="spellEnd"/>
      <w:r w:rsidRPr="00ED5EDD">
        <w:rPr>
          <w:rFonts w:ascii="Arial" w:hAnsi="Arial" w:cs="Arial"/>
          <w:sz w:val="22"/>
          <w:szCs w:val="22"/>
        </w:rPr>
        <w:t xml:space="preserve">) el BID podrá inspeccionar en cualquier momento el estado de ejecución del </w:t>
      </w:r>
      <w:r w:rsidR="00D81631">
        <w:rPr>
          <w:rFonts w:ascii="Arial" w:hAnsi="Arial" w:cs="Arial"/>
          <w:sz w:val="22"/>
          <w:szCs w:val="22"/>
        </w:rPr>
        <w:t>p</w:t>
      </w:r>
      <w:r w:rsidR="00E21603" w:rsidRPr="00ED5EDD">
        <w:rPr>
          <w:rFonts w:ascii="Arial" w:hAnsi="Arial" w:cs="Arial"/>
          <w:sz w:val="22"/>
          <w:szCs w:val="22"/>
        </w:rPr>
        <w:t>rograma</w:t>
      </w:r>
      <w:r w:rsidRPr="00ED5EDD">
        <w:rPr>
          <w:rFonts w:ascii="Arial" w:hAnsi="Arial" w:cs="Arial"/>
          <w:sz w:val="22"/>
          <w:szCs w:val="22"/>
        </w:rPr>
        <w:t>, y revisar los registros y documentos relacionados a su ejecución; y (</w:t>
      </w:r>
      <w:proofErr w:type="spellStart"/>
      <w:r w:rsidRPr="00ED5EDD">
        <w:rPr>
          <w:rFonts w:ascii="Arial" w:hAnsi="Arial" w:cs="Arial"/>
          <w:sz w:val="22"/>
          <w:szCs w:val="22"/>
        </w:rPr>
        <w:t>i</w:t>
      </w:r>
      <w:r w:rsidR="00B85C19" w:rsidRPr="00ED5EDD">
        <w:rPr>
          <w:rFonts w:ascii="Arial" w:hAnsi="Arial" w:cs="Arial"/>
          <w:sz w:val="22"/>
          <w:szCs w:val="22"/>
        </w:rPr>
        <w:t>ii</w:t>
      </w:r>
      <w:proofErr w:type="spellEnd"/>
      <w:r w:rsidRPr="00ED5EDD">
        <w:rPr>
          <w:rFonts w:ascii="Arial" w:hAnsi="Arial" w:cs="Arial"/>
          <w:sz w:val="22"/>
          <w:szCs w:val="22"/>
        </w:rPr>
        <w:t xml:space="preserve">) </w:t>
      </w:r>
      <w:r w:rsidR="009E6B48" w:rsidRPr="00ED5EDD">
        <w:rPr>
          <w:rFonts w:ascii="Arial" w:hAnsi="Arial" w:cs="Arial"/>
          <w:sz w:val="22"/>
          <w:szCs w:val="22"/>
        </w:rPr>
        <w:t>el OE</w:t>
      </w:r>
      <w:r w:rsidRPr="00ED5EDD">
        <w:rPr>
          <w:rFonts w:ascii="Arial" w:hAnsi="Arial" w:cs="Arial"/>
          <w:sz w:val="22"/>
          <w:szCs w:val="22"/>
        </w:rPr>
        <w:t xml:space="preserve"> deberá prestar su plena cooperación a esta actividad. </w:t>
      </w:r>
    </w:p>
    <w:p w14:paraId="79D2B06F" w14:textId="45A14941" w:rsidR="00EA1FA0" w:rsidRPr="00ED5EDD" w:rsidRDefault="006E03E9" w:rsidP="005E66B6">
      <w:pPr>
        <w:pStyle w:val="Paragraph"/>
        <w:ind w:left="720" w:hanging="720"/>
        <w:rPr>
          <w:rFonts w:ascii="Arial" w:hAnsi="Arial" w:cs="Arial"/>
          <w:sz w:val="22"/>
          <w:szCs w:val="22"/>
        </w:rPr>
      </w:pPr>
      <w:r w:rsidRPr="00ED5EDD">
        <w:rPr>
          <w:rFonts w:ascii="Arial" w:hAnsi="Arial" w:cs="Arial"/>
          <w:b/>
          <w:sz w:val="22"/>
          <w:szCs w:val="22"/>
        </w:rPr>
        <w:t>Control externo e informes</w:t>
      </w:r>
      <w:r w:rsidRPr="004B0B79">
        <w:rPr>
          <w:rFonts w:ascii="Arial" w:hAnsi="Arial" w:cs="Arial"/>
          <w:b/>
          <w:bCs/>
          <w:sz w:val="22"/>
          <w:szCs w:val="22"/>
        </w:rPr>
        <w:t>.</w:t>
      </w:r>
      <w:r w:rsidRPr="00ED5EDD">
        <w:rPr>
          <w:rFonts w:ascii="Arial" w:hAnsi="Arial" w:cs="Arial"/>
          <w:sz w:val="22"/>
          <w:szCs w:val="22"/>
        </w:rPr>
        <w:t xml:space="preserve"> El control externo del </w:t>
      </w:r>
      <w:r w:rsidR="00E21603" w:rsidRPr="00ED5EDD">
        <w:rPr>
          <w:rFonts w:ascii="Arial" w:hAnsi="Arial" w:cs="Arial"/>
          <w:sz w:val="22"/>
          <w:szCs w:val="22"/>
        </w:rPr>
        <w:t>programa</w:t>
      </w:r>
      <w:r w:rsidRPr="00ED5EDD">
        <w:rPr>
          <w:rFonts w:ascii="Arial" w:hAnsi="Arial" w:cs="Arial"/>
          <w:sz w:val="22"/>
          <w:szCs w:val="22"/>
        </w:rPr>
        <w:t xml:space="preserve"> se encargará a una firma de auditores independientes aceptable al BID. La contratación quedará a cargo del </w:t>
      </w:r>
      <w:r w:rsidR="009E6B48" w:rsidRPr="00ED5EDD">
        <w:rPr>
          <w:rFonts w:ascii="Arial" w:hAnsi="Arial" w:cs="Arial"/>
          <w:sz w:val="22"/>
          <w:szCs w:val="22"/>
        </w:rPr>
        <w:t>OE</w:t>
      </w:r>
      <w:r w:rsidRPr="00ED5EDD">
        <w:rPr>
          <w:rFonts w:ascii="Arial" w:hAnsi="Arial" w:cs="Arial"/>
          <w:sz w:val="22"/>
          <w:szCs w:val="22"/>
        </w:rPr>
        <w:t xml:space="preserve"> y la firma podrá ser la misma que audita los Estados Financieros de la entidad, siempre y cuando esté en la lista de firmas elegibles para el BID. En caso de realizarse un proceso competitivo deberán seguirse los lineamientos establecidos en el Instructivo de Informes Financieros y Gestión de Auditoría Externa de las Operaciones Financiadas por el BID. Los términos de referencia deberán ser acordados previamente con el BID, y el proceso de contratación será revisado de manera </w:t>
      </w:r>
      <w:r w:rsidRPr="004B0B79">
        <w:rPr>
          <w:rFonts w:ascii="Arial" w:hAnsi="Arial" w:cs="Arial"/>
          <w:sz w:val="22"/>
          <w:szCs w:val="22"/>
        </w:rPr>
        <w:t>ex ante</w:t>
      </w:r>
      <w:r w:rsidRPr="00ED5EDD">
        <w:rPr>
          <w:rFonts w:ascii="Arial" w:hAnsi="Arial" w:cs="Arial"/>
          <w:sz w:val="22"/>
          <w:szCs w:val="22"/>
        </w:rPr>
        <w:t>. Los estados financieros anuales se prepararán de conformidad con la Guía de Informes Financieros y Auditoría del BID. Para garantizar la efectividad de la labor de auditoría, la firma responsable deberá estar contratada a más tardar en el mes de septiembre del ejercicio fiscal en ejecución y sujeto a ser auditado</w:t>
      </w:r>
      <w:r w:rsidR="00EA1FA0" w:rsidRPr="00ED5EDD">
        <w:rPr>
          <w:rFonts w:ascii="Arial" w:hAnsi="Arial" w:cs="Arial"/>
          <w:sz w:val="22"/>
          <w:szCs w:val="22"/>
        </w:rPr>
        <w:t>.</w:t>
      </w:r>
    </w:p>
    <w:p w14:paraId="2B61CAC7" w14:textId="1CC0C129" w:rsidR="00C13C56" w:rsidRPr="00ED5EDD" w:rsidRDefault="00C13C56" w:rsidP="005E66B6">
      <w:pPr>
        <w:pStyle w:val="Paragraph"/>
        <w:ind w:left="720" w:hanging="720"/>
        <w:rPr>
          <w:rFonts w:ascii="Arial" w:hAnsi="Arial" w:cs="Arial"/>
          <w:sz w:val="22"/>
          <w:szCs w:val="22"/>
        </w:rPr>
      </w:pPr>
      <w:r w:rsidRPr="00ED5EDD">
        <w:rPr>
          <w:rFonts w:ascii="Arial" w:hAnsi="Arial" w:cs="Arial"/>
          <w:b/>
          <w:sz w:val="22"/>
          <w:szCs w:val="22"/>
        </w:rPr>
        <w:t>Mantenimiento de razones regulatorias</w:t>
      </w:r>
      <w:r w:rsidRPr="004B0B79">
        <w:rPr>
          <w:rFonts w:ascii="Arial" w:hAnsi="Arial" w:cs="Arial"/>
          <w:b/>
          <w:bCs/>
          <w:sz w:val="22"/>
          <w:szCs w:val="22"/>
        </w:rPr>
        <w:t>.</w:t>
      </w:r>
      <w:r w:rsidRPr="00ED5EDD">
        <w:rPr>
          <w:rFonts w:ascii="Arial" w:hAnsi="Arial" w:cs="Arial"/>
          <w:sz w:val="22"/>
          <w:szCs w:val="22"/>
        </w:rPr>
        <w:t xml:space="preserve"> El </w:t>
      </w:r>
      <w:r w:rsidR="009E6B48" w:rsidRPr="00ED5EDD">
        <w:rPr>
          <w:rFonts w:ascii="Arial" w:hAnsi="Arial" w:cs="Arial"/>
          <w:sz w:val="22"/>
          <w:szCs w:val="22"/>
        </w:rPr>
        <w:t xml:space="preserve">OE </w:t>
      </w:r>
      <w:r w:rsidRPr="00ED5EDD">
        <w:rPr>
          <w:rFonts w:ascii="Arial" w:hAnsi="Arial" w:cs="Arial"/>
          <w:sz w:val="22"/>
          <w:szCs w:val="22"/>
        </w:rPr>
        <w:t xml:space="preserve">se compromete a mantener las razones de solvencia y liquidez </w:t>
      </w:r>
      <w:r w:rsidR="0004115B" w:rsidRPr="00ED5EDD">
        <w:rPr>
          <w:rFonts w:ascii="Arial" w:hAnsi="Arial" w:cs="Arial"/>
          <w:sz w:val="22"/>
          <w:szCs w:val="22"/>
        </w:rPr>
        <w:t>por encima de los mínimos regulatorios establecidos</w:t>
      </w:r>
      <w:r w:rsidR="00BA5DF9" w:rsidRPr="00ED5EDD">
        <w:rPr>
          <w:rFonts w:ascii="Arial" w:hAnsi="Arial" w:cs="Arial"/>
          <w:sz w:val="22"/>
          <w:szCs w:val="22"/>
        </w:rPr>
        <w:t xml:space="preserve"> en todo momento</w:t>
      </w:r>
      <w:r w:rsidR="0004115B" w:rsidRPr="00ED5EDD">
        <w:rPr>
          <w:rFonts w:ascii="Arial" w:hAnsi="Arial" w:cs="Arial"/>
          <w:sz w:val="22"/>
          <w:szCs w:val="22"/>
        </w:rPr>
        <w:t xml:space="preserve">. Para tal fin, deberá remitir, junto con los Estados Financieros, un apartado en donde se muestre </w:t>
      </w:r>
      <w:r w:rsidR="00BA5DF9" w:rsidRPr="00ED5EDD">
        <w:rPr>
          <w:rFonts w:ascii="Arial" w:hAnsi="Arial" w:cs="Arial"/>
          <w:sz w:val="22"/>
          <w:szCs w:val="22"/>
        </w:rPr>
        <w:t xml:space="preserve">la evolución mensual de los mismos. </w:t>
      </w:r>
    </w:p>
    <w:p w14:paraId="75CDAA50" w14:textId="5C2D4CCA" w:rsidR="0000066C" w:rsidRPr="00ED5EDD" w:rsidRDefault="00EA1FA0" w:rsidP="0000066C">
      <w:pPr>
        <w:pStyle w:val="Paragraph"/>
        <w:ind w:left="720" w:hanging="720"/>
        <w:rPr>
          <w:rFonts w:ascii="Arial" w:hAnsi="Arial" w:cs="Arial"/>
          <w:sz w:val="22"/>
          <w:szCs w:val="22"/>
        </w:rPr>
      </w:pPr>
      <w:r w:rsidRPr="00ED5EDD">
        <w:rPr>
          <w:rFonts w:ascii="Arial" w:hAnsi="Arial" w:cs="Arial"/>
          <w:b/>
          <w:sz w:val="22"/>
          <w:szCs w:val="22"/>
        </w:rPr>
        <w:t xml:space="preserve">Informe Auditoría Externa. </w:t>
      </w:r>
      <w:r w:rsidRPr="00ED5EDD">
        <w:rPr>
          <w:rFonts w:ascii="Arial" w:hAnsi="Arial" w:cs="Arial"/>
          <w:sz w:val="22"/>
          <w:szCs w:val="22"/>
        </w:rPr>
        <w:t xml:space="preserve">El auditor externo presentará un informe </w:t>
      </w:r>
      <w:r w:rsidR="00C04011" w:rsidRPr="00ED5EDD">
        <w:rPr>
          <w:rFonts w:ascii="Arial" w:hAnsi="Arial" w:cs="Arial"/>
          <w:sz w:val="22"/>
          <w:szCs w:val="22"/>
        </w:rPr>
        <w:t xml:space="preserve">en el que se detalla que los recursos del </w:t>
      </w:r>
      <w:r w:rsidR="00B7106F">
        <w:rPr>
          <w:rFonts w:ascii="Arial" w:hAnsi="Arial" w:cs="Arial"/>
          <w:sz w:val="22"/>
          <w:szCs w:val="22"/>
        </w:rPr>
        <w:t>p</w:t>
      </w:r>
      <w:r w:rsidR="00C04011" w:rsidRPr="00ED5EDD">
        <w:rPr>
          <w:rFonts w:ascii="Arial" w:hAnsi="Arial" w:cs="Arial"/>
          <w:sz w:val="22"/>
          <w:szCs w:val="22"/>
        </w:rPr>
        <w:t xml:space="preserve">rograma se han utilizado para los fines y propósitos definidos, para lo cual podrá verificar: (i) la existencia de los préstamos financiados bajo el </w:t>
      </w:r>
      <w:r w:rsidR="00B7106F">
        <w:rPr>
          <w:rFonts w:ascii="Arial" w:hAnsi="Arial" w:cs="Arial"/>
          <w:sz w:val="22"/>
          <w:szCs w:val="22"/>
        </w:rPr>
        <w:t>p</w:t>
      </w:r>
      <w:r w:rsidR="00C04011" w:rsidRPr="00ED5EDD">
        <w:rPr>
          <w:rFonts w:ascii="Arial" w:hAnsi="Arial" w:cs="Arial"/>
          <w:sz w:val="22"/>
          <w:szCs w:val="22"/>
        </w:rPr>
        <w:t>rograma; (</w:t>
      </w:r>
      <w:proofErr w:type="spellStart"/>
      <w:r w:rsidR="00C04011" w:rsidRPr="00ED5EDD">
        <w:rPr>
          <w:rFonts w:ascii="Arial" w:hAnsi="Arial" w:cs="Arial"/>
          <w:sz w:val="22"/>
          <w:szCs w:val="22"/>
        </w:rPr>
        <w:t>ii</w:t>
      </w:r>
      <w:proofErr w:type="spellEnd"/>
      <w:r w:rsidR="00C04011" w:rsidRPr="00ED5EDD">
        <w:rPr>
          <w:rFonts w:ascii="Arial" w:hAnsi="Arial" w:cs="Arial"/>
          <w:sz w:val="22"/>
          <w:szCs w:val="22"/>
        </w:rPr>
        <w:t xml:space="preserve">) que los recursos se canalicen a través de las IFI a los beneficiarios finales, según las estipulaciones en el reglamento de crédito del </w:t>
      </w:r>
      <w:r w:rsidR="00B7106F">
        <w:rPr>
          <w:rFonts w:ascii="Arial" w:hAnsi="Arial" w:cs="Arial"/>
          <w:sz w:val="22"/>
          <w:szCs w:val="22"/>
        </w:rPr>
        <w:t>p</w:t>
      </w:r>
      <w:r w:rsidR="00C04011" w:rsidRPr="00ED5EDD">
        <w:rPr>
          <w:rFonts w:ascii="Arial" w:hAnsi="Arial" w:cs="Arial"/>
          <w:sz w:val="22"/>
          <w:szCs w:val="22"/>
        </w:rPr>
        <w:t xml:space="preserve">rograma; también podrá realizar visitas de inspección (físicas) tanto a las IFI, como a los beneficiarios finales de los proyectos financiados bajo el </w:t>
      </w:r>
      <w:r w:rsidR="00B7106F">
        <w:rPr>
          <w:rFonts w:ascii="Arial" w:hAnsi="Arial" w:cs="Arial"/>
          <w:sz w:val="22"/>
          <w:szCs w:val="22"/>
        </w:rPr>
        <w:t>p</w:t>
      </w:r>
      <w:r w:rsidR="00C04011" w:rsidRPr="00ED5EDD">
        <w:rPr>
          <w:rFonts w:ascii="Arial" w:hAnsi="Arial" w:cs="Arial"/>
          <w:sz w:val="22"/>
          <w:szCs w:val="22"/>
        </w:rPr>
        <w:t>rograma (</w:t>
      </w:r>
      <w:r w:rsidR="00ED5EDD" w:rsidRPr="00ED5EDD">
        <w:rPr>
          <w:rFonts w:ascii="Arial" w:hAnsi="Arial" w:cs="Arial"/>
          <w:sz w:val="22"/>
          <w:szCs w:val="22"/>
        </w:rPr>
        <w:t>MIPYME</w:t>
      </w:r>
      <w:r w:rsidR="00C04011" w:rsidRPr="00ED5EDD">
        <w:rPr>
          <w:rFonts w:ascii="Arial" w:hAnsi="Arial" w:cs="Arial"/>
          <w:sz w:val="22"/>
          <w:szCs w:val="22"/>
        </w:rPr>
        <w:t>).</w:t>
      </w:r>
      <w:r w:rsidR="004B0B79">
        <w:rPr>
          <w:rFonts w:ascii="Arial" w:hAnsi="Arial" w:cs="Arial"/>
          <w:sz w:val="22"/>
          <w:szCs w:val="22"/>
        </w:rPr>
        <w:t xml:space="preserve"> </w:t>
      </w:r>
      <w:r w:rsidR="00C04011" w:rsidRPr="00ED5EDD">
        <w:rPr>
          <w:rFonts w:ascii="Arial" w:hAnsi="Arial" w:cs="Arial"/>
          <w:sz w:val="22"/>
          <w:szCs w:val="22"/>
        </w:rPr>
        <w:t>Lo anterior</w:t>
      </w:r>
      <w:r w:rsidRPr="00ED5EDD">
        <w:rPr>
          <w:rFonts w:ascii="Arial" w:hAnsi="Arial" w:cs="Arial"/>
          <w:sz w:val="22"/>
          <w:szCs w:val="22"/>
        </w:rPr>
        <w:t xml:space="preserve">, según las condiciones estipuladas en este </w:t>
      </w:r>
      <w:r w:rsidR="00B7106F">
        <w:rPr>
          <w:rFonts w:ascii="Arial" w:hAnsi="Arial" w:cs="Arial"/>
          <w:sz w:val="22"/>
          <w:szCs w:val="22"/>
        </w:rPr>
        <w:t>RC</w:t>
      </w:r>
      <w:r w:rsidR="00B85C19" w:rsidRPr="00ED5EDD">
        <w:rPr>
          <w:rFonts w:ascii="Arial" w:hAnsi="Arial" w:cs="Arial"/>
          <w:sz w:val="22"/>
          <w:szCs w:val="22"/>
        </w:rPr>
        <w:t>. A</w:t>
      </w:r>
      <w:r w:rsidRPr="00ED5EDD">
        <w:rPr>
          <w:rFonts w:ascii="Arial" w:hAnsi="Arial" w:cs="Arial"/>
          <w:sz w:val="22"/>
          <w:szCs w:val="22"/>
        </w:rPr>
        <w:t xml:space="preserve">demás, </w:t>
      </w:r>
      <w:r w:rsidRPr="00ED5EDD">
        <w:rPr>
          <w:rFonts w:ascii="Arial" w:hAnsi="Arial" w:cs="Arial"/>
          <w:sz w:val="22"/>
          <w:szCs w:val="22"/>
        </w:rPr>
        <w:lastRenderedPageBreak/>
        <w:t>realizará visitas de inspección a los beneficiarios finales. Los estados financieros auditados del proyecto serán enviados al BID a más tardar cuatro (4) meses después de finalizado el ejercicio fiscal correspondiente.</w:t>
      </w:r>
      <w:r w:rsidR="0065028A" w:rsidRPr="00ED5EDD">
        <w:rPr>
          <w:rFonts w:ascii="Arial" w:hAnsi="Arial" w:cs="Arial"/>
          <w:sz w:val="22"/>
          <w:szCs w:val="22"/>
        </w:rPr>
        <w:t xml:space="preserve"> </w:t>
      </w:r>
      <w:r w:rsidR="0000066C" w:rsidRPr="00ED5EDD">
        <w:rPr>
          <w:rFonts w:ascii="Arial" w:hAnsi="Arial" w:cs="Arial"/>
          <w:sz w:val="22"/>
          <w:szCs w:val="22"/>
        </w:rPr>
        <w:t xml:space="preserve"> </w:t>
      </w:r>
      <w:r w:rsidR="009E6B48" w:rsidRPr="00ED5EDD">
        <w:rPr>
          <w:rFonts w:ascii="Arial" w:hAnsi="Arial" w:cs="Arial"/>
          <w:sz w:val="22"/>
          <w:szCs w:val="22"/>
        </w:rPr>
        <w:t>El OE</w:t>
      </w:r>
      <w:r w:rsidR="0000066C" w:rsidRPr="00ED5EDD">
        <w:rPr>
          <w:rFonts w:ascii="Arial" w:hAnsi="Arial" w:cs="Arial"/>
          <w:sz w:val="22"/>
          <w:szCs w:val="22"/>
        </w:rPr>
        <w:t xml:space="preserve"> deberá asegurarse que los fondos correspondientes a los servicios de auditoría están disponibles y han sido retenidos y guardados hasta la fecha de cierre del </w:t>
      </w:r>
      <w:r w:rsidR="00B7106F">
        <w:rPr>
          <w:rFonts w:ascii="Arial" w:hAnsi="Arial" w:cs="Arial"/>
          <w:sz w:val="22"/>
          <w:szCs w:val="22"/>
        </w:rPr>
        <w:t>programa</w:t>
      </w:r>
      <w:r w:rsidR="0000066C" w:rsidRPr="00ED5EDD">
        <w:rPr>
          <w:rFonts w:ascii="Arial" w:hAnsi="Arial" w:cs="Arial"/>
          <w:sz w:val="22"/>
          <w:szCs w:val="22"/>
        </w:rPr>
        <w:t>.</w:t>
      </w:r>
    </w:p>
    <w:p w14:paraId="5F8AE6B4" w14:textId="46027D44" w:rsidR="00111DC4" w:rsidRPr="00ED5EDD" w:rsidRDefault="00111DC4" w:rsidP="00A613F7">
      <w:pPr>
        <w:pStyle w:val="Chapter"/>
        <w:tabs>
          <w:tab w:val="clear" w:pos="1440"/>
        </w:tabs>
        <w:spacing w:before="0"/>
        <w:ind w:left="1350" w:hanging="540"/>
        <w:jc w:val="left"/>
        <w:rPr>
          <w:rFonts w:ascii="Arial" w:hAnsi="Arial" w:cs="Arial"/>
          <w:szCs w:val="24"/>
        </w:rPr>
      </w:pPr>
      <w:bookmarkStart w:id="84" w:name="_Toc42960886"/>
      <w:r w:rsidRPr="00ED5EDD">
        <w:rPr>
          <w:rFonts w:ascii="Arial" w:hAnsi="Arial" w:cs="Arial"/>
          <w:szCs w:val="24"/>
        </w:rPr>
        <w:t xml:space="preserve">Modificación de Disposiciones Legales y de </w:t>
      </w:r>
      <w:r w:rsidR="00096DC8" w:rsidRPr="00ED5EDD">
        <w:rPr>
          <w:rFonts w:ascii="Arial" w:hAnsi="Arial" w:cs="Arial"/>
          <w:szCs w:val="24"/>
        </w:rPr>
        <w:t>e</w:t>
      </w:r>
      <w:r w:rsidRPr="00ED5EDD">
        <w:rPr>
          <w:rFonts w:ascii="Arial" w:hAnsi="Arial" w:cs="Arial"/>
          <w:szCs w:val="24"/>
        </w:rPr>
        <w:t xml:space="preserve">ste </w:t>
      </w:r>
      <w:r w:rsidR="00525A40" w:rsidRPr="00ED5EDD">
        <w:rPr>
          <w:rFonts w:ascii="Arial" w:hAnsi="Arial" w:cs="Arial"/>
          <w:szCs w:val="24"/>
        </w:rPr>
        <w:t>R</w:t>
      </w:r>
      <w:r w:rsidRPr="00ED5EDD">
        <w:rPr>
          <w:rFonts w:ascii="Arial" w:hAnsi="Arial" w:cs="Arial"/>
          <w:szCs w:val="24"/>
        </w:rPr>
        <w:t>eglamento</w:t>
      </w:r>
      <w:bookmarkEnd w:id="84"/>
      <w:r w:rsidRPr="00ED5EDD">
        <w:rPr>
          <w:rFonts w:ascii="Arial" w:hAnsi="Arial" w:cs="Arial"/>
          <w:szCs w:val="24"/>
        </w:rPr>
        <w:t xml:space="preserve"> </w:t>
      </w:r>
    </w:p>
    <w:p w14:paraId="3835D1DE" w14:textId="05DEA0AD" w:rsidR="00F931EB" w:rsidRPr="00ED5EDD" w:rsidRDefault="009E6B48" w:rsidP="00BD5540">
      <w:pPr>
        <w:pStyle w:val="Paragraph"/>
        <w:ind w:left="720" w:hanging="720"/>
        <w:rPr>
          <w:rFonts w:ascii="Arial" w:hAnsi="Arial" w:cs="Arial"/>
          <w:bCs/>
          <w:sz w:val="22"/>
          <w:szCs w:val="22"/>
        </w:rPr>
      </w:pPr>
      <w:bookmarkStart w:id="85" w:name="cap9_2"/>
      <w:bookmarkStart w:id="86" w:name="ESSectionPages"/>
      <w:bookmarkEnd w:id="85"/>
      <w:bookmarkEnd w:id="86"/>
      <w:r w:rsidRPr="00ED5EDD">
        <w:rPr>
          <w:rFonts w:ascii="Arial" w:hAnsi="Arial" w:cs="Arial"/>
          <w:bCs/>
          <w:sz w:val="22"/>
          <w:szCs w:val="22"/>
        </w:rPr>
        <w:t>E</w:t>
      </w:r>
      <w:r w:rsidR="00B62845" w:rsidRPr="00ED5EDD">
        <w:rPr>
          <w:rFonts w:ascii="Arial" w:hAnsi="Arial" w:cs="Arial"/>
          <w:bCs/>
          <w:sz w:val="22"/>
          <w:szCs w:val="22"/>
        </w:rPr>
        <w:t>l</w:t>
      </w:r>
      <w:r w:rsidRPr="00ED5EDD">
        <w:rPr>
          <w:rFonts w:ascii="Arial" w:hAnsi="Arial" w:cs="Arial"/>
          <w:bCs/>
          <w:sz w:val="22"/>
          <w:szCs w:val="22"/>
        </w:rPr>
        <w:t xml:space="preserve"> OE</w:t>
      </w:r>
      <w:r w:rsidR="00111DC4" w:rsidRPr="00ED5EDD">
        <w:rPr>
          <w:rFonts w:ascii="Arial" w:hAnsi="Arial" w:cs="Arial"/>
          <w:bCs/>
          <w:sz w:val="22"/>
          <w:szCs w:val="22"/>
        </w:rPr>
        <w:t xml:space="preserve"> puede sugerir a la modificación del presente </w:t>
      </w:r>
      <w:r w:rsidR="00C04011" w:rsidRPr="00ED5EDD">
        <w:rPr>
          <w:rFonts w:ascii="Arial" w:hAnsi="Arial" w:cs="Arial"/>
          <w:bCs/>
          <w:sz w:val="22"/>
          <w:szCs w:val="22"/>
        </w:rPr>
        <w:t xml:space="preserve">RC </w:t>
      </w:r>
      <w:r w:rsidR="00111DC4" w:rsidRPr="00ED5EDD">
        <w:rPr>
          <w:rFonts w:ascii="Arial" w:hAnsi="Arial" w:cs="Arial"/>
          <w:bCs/>
          <w:sz w:val="22"/>
          <w:szCs w:val="22"/>
        </w:rPr>
        <w:t xml:space="preserve">que la adapte a las nuevas circunstancias o condiciones que puedan estar presentes en el curso de su aplicación. Cualquier cambio material en el </w:t>
      </w:r>
      <w:r w:rsidR="00B7106F">
        <w:rPr>
          <w:rFonts w:ascii="Arial" w:hAnsi="Arial" w:cs="Arial"/>
          <w:bCs/>
          <w:sz w:val="22"/>
          <w:szCs w:val="22"/>
        </w:rPr>
        <w:t>RC</w:t>
      </w:r>
      <w:r w:rsidR="00C04011" w:rsidRPr="00ED5EDD">
        <w:rPr>
          <w:rFonts w:ascii="Arial" w:hAnsi="Arial" w:cs="Arial"/>
          <w:bCs/>
          <w:sz w:val="22"/>
          <w:szCs w:val="22"/>
        </w:rPr>
        <w:t xml:space="preserve"> </w:t>
      </w:r>
      <w:r w:rsidR="00111DC4" w:rsidRPr="00ED5EDD">
        <w:rPr>
          <w:rFonts w:ascii="Arial" w:hAnsi="Arial" w:cs="Arial"/>
          <w:bCs/>
          <w:sz w:val="22"/>
          <w:szCs w:val="22"/>
        </w:rPr>
        <w:t xml:space="preserve">que se aplique al </w:t>
      </w:r>
      <w:r w:rsidR="00B7106F">
        <w:rPr>
          <w:rFonts w:ascii="Arial" w:hAnsi="Arial" w:cs="Arial"/>
          <w:bCs/>
          <w:sz w:val="22"/>
          <w:szCs w:val="22"/>
        </w:rPr>
        <w:t>p</w:t>
      </w:r>
      <w:r w:rsidR="00E21603" w:rsidRPr="00ED5EDD">
        <w:rPr>
          <w:rFonts w:ascii="Arial" w:hAnsi="Arial" w:cs="Arial"/>
          <w:bCs/>
          <w:sz w:val="22"/>
          <w:szCs w:val="22"/>
        </w:rPr>
        <w:t>rograma</w:t>
      </w:r>
      <w:r w:rsidR="00111DC4" w:rsidRPr="00ED5EDD">
        <w:rPr>
          <w:rFonts w:ascii="Arial" w:hAnsi="Arial" w:cs="Arial"/>
          <w:bCs/>
          <w:sz w:val="22"/>
          <w:szCs w:val="22"/>
        </w:rPr>
        <w:t xml:space="preserve"> deberá contar con el consentimiento por escrito del BID. Si alguna disposición de este </w:t>
      </w:r>
      <w:r w:rsidR="00B7106F">
        <w:rPr>
          <w:rFonts w:ascii="Arial" w:hAnsi="Arial" w:cs="Arial"/>
          <w:bCs/>
          <w:sz w:val="22"/>
          <w:szCs w:val="22"/>
        </w:rPr>
        <w:t>RC</w:t>
      </w:r>
      <w:r w:rsidR="00111DC4" w:rsidRPr="00ED5EDD">
        <w:rPr>
          <w:rFonts w:ascii="Arial" w:hAnsi="Arial" w:cs="Arial"/>
          <w:bCs/>
          <w:sz w:val="22"/>
          <w:szCs w:val="22"/>
        </w:rPr>
        <w:t xml:space="preserve"> no mantiene consonancia o está en contradicción con las provisiones del contrato de préstamo con el BID, las provisiones del contrato de préstamo del BID prevalecerán.</w:t>
      </w:r>
    </w:p>
    <w:p w14:paraId="03C1062C" w14:textId="77777777" w:rsidR="00F931EB" w:rsidRPr="00ED5EDD" w:rsidRDefault="00F931EB" w:rsidP="00431EEA">
      <w:pPr>
        <w:rPr>
          <w:rFonts w:ascii="Arial" w:hAnsi="Arial" w:cs="Arial"/>
          <w:sz w:val="22"/>
          <w:szCs w:val="22"/>
        </w:rPr>
        <w:sectPr w:rsidR="00F931EB" w:rsidRPr="00ED5EDD" w:rsidSect="00D410AB">
          <w:headerReference w:type="default" r:id="rId26"/>
          <w:headerReference w:type="first" r:id="rId27"/>
          <w:footerReference w:type="first" r:id="rId28"/>
          <w:type w:val="continuous"/>
          <w:pgSz w:w="12240" w:h="15840"/>
          <w:pgMar w:top="1440" w:right="1800" w:bottom="1440" w:left="1800" w:header="720" w:footer="720" w:gutter="0"/>
          <w:cols w:space="720"/>
          <w:titlePg/>
          <w:docGrid w:linePitch="272"/>
        </w:sectPr>
      </w:pPr>
    </w:p>
    <w:p w14:paraId="3A58FF29" w14:textId="6A95003D" w:rsidR="008070F0" w:rsidRPr="00ED5EDD" w:rsidRDefault="0000066C" w:rsidP="009C75F7">
      <w:pPr>
        <w:pStyle w:val="Chapter"/>
        <w:numPr>
          <w:ilvl w:val="0"/>
          <w:numId w:val="0"/>
        </w:numPr>
        <w:jc w:val="left"/>
        <w:rPr>
          <w:rFonts w:ascii="Arial" w:hAnsi="Arial" w:cs="Arial"/>
          <w:szCs w:val="24"/>
        </w:rPr>
      </w:pPr>
      <w:bookmarkStart w:id="87" w:name="_Toc42960887"/>
      <w:bookmarkStart w:id="88" w:name="_Toc217379138"/>
      <w:r w:rsidRPr="00ED5EDD">
        <w:rPr>
          <w:rFonts w:ascii="Arial" w:hAnsi="Arial" w:cs="Arial"/>
          <w:szCs w:val="24"/>
        </w:rPr>
        <w:lastRenderedPageBreak/>
        <w:t xml:space="preserve">Anexo </w:t>
      </w:r>
      <w:r w:rsidR="00B85C19" w:rsidRPr="00ED5EDD">
        <w:rPr>
          <w:rFonts w:ascii="Arial" w:hAnsi="Arial" w:cs="Arial"/>
          <w:szCs w:val="24"/>
        </w:rPr>
        <w:t>1</w:t>
      </w:r>
      <w:r w:rsidRPr="00ED5EDD">
        <w:rPr>
          <w:rFonts w:ascii="Arial" w:hAnsi="Arial" w:cs="Arial"/>
          <w:szCs w:val="24"/>
        </w:rPr>
        <w:t xml:space="preserve">: </w:t>
      </w:r>
      <w:r w:rsidR="004263BB" w:rsidRPr="00ED5EDD">
        <w:rPr>
          <w:rFonts w:ascii="Arial" w:hAnsi="Arial" w:cs="Arial"/>
          <w:szCs w:val="24"/>
        </w:rPr>
        <w:t>Lista de exclusión</w:t>
      </w:r>
      <w:bookmarkEnd w:id="87"/>
      <w:r w:rsidR="005102F7">
        <w:rPr>
          <w:rFonts w:ascii="Arial" w:hAnsi="Arial" w:cs="Arial"/>
          <w:szCs w:val="24"/>
        </w:rPr>
        <w:t xml:space="preserve"> del Programa</w:t>
      </w:r>
    </w:p>
    <w:p w14:paraId="3664E7AB" w14:textId="10990D22" w:rsidR="005102F7" w:rsidRDefault="005102F7" w:rsidP="005102F7">
      <w:pPr>
        <w:widowControl w:val="0"/>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Las MIPYME prestatarios y recipientes de recursos del proyecto no podrán adquirir créditos que: (i) incluyan financiamiento para la producción directa, el comercio o el uso final (incluido en proyectos) de productos, sustancias o actividades enumeradas a continuación; o (</w:t>
      </w:r>
      <w:proofErr w:type="spellStart"/>
      <w:r w:rsidRPr="005C4E66">
        <w:rPr>
          <w:rFonts w:ascii="Arial" w:hAnsi="Arial" w:cs="Arial"/>
          <w:bCs/>
          <w:sz w:val="22"/>
          <w:szCs w:val="22"/>
          <w:lang w:val="es-ES_tradnl"/>
        </w:rPr>
        <w:t>ii</w:t>
      </w:r>
      <w:proofErr w:type="spellEnd"/>
      <w:r w:rsidRPr="005C4E66">
        <w:rPr>
          <w:rFonts w:ascii="Arial" w:hAnsi="Arial" w:cs="Arial"/>
          <w:bCs/>
          <w:sz w:val="22"/>
          <w:szCs w:val="22"/>
          <w:lang w:val="es-ES_tradnl"/>
        </w:rPr>
        <w:t>) cuyos sujetos sean personas naturales o jurídicas cuyas actividades que tengan que ver con los productos, las sustancias o las actividades enumeradas a continuación:</w:t>
      </w:r>
    </w:p>
    <w:p w14:paraId="581858AC" w14:textId="77777777" w:rsidR="005102F7" w:rsidRPr="005C4E66" w:rsidRDefault="005102F7" w:rsidP="005102F7">
      <w:pPr>
        <w:widowControl w:val="0"/>
        <w:autoSpaceDE w:val="0"/>
        <w:autoSpaceDN w:val="0"/>
        <w:adjustRightInd w:val="0"/>
        <w:ind w:right="-86"/>
        <w:jc w:val="both"/>
        <w:rPr>
          <w:rFonts w:ascii="Arial" w:hAnsi="Arial" w:cs="Arial"/>
          <w:bCs/>
          <w:sz w:val="22"/>
          <w:szCs w:val="22"/>
          <w:lang w:val="es-ES_tradnl"/>
        </w:rPr>
      </w:pPr>
    </w:p>
    <w:p w14:paraId="390E9840"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7FF399F3"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Utilización de formas peligrosas o de explotación de trabajo forzado o trabajo infantil.</w:t>
      </w:r>
      <w:r w:rsidRPr="005C4E66">
        <w:rPr>
          <w:rStyle w:val="FootnoteReference"/>
          <w:rFonts w:ascii="Arial" w:hAnsi="Arial" w:cs="Arial"/>
          <w:bCs/>
          <w:sz w:val="22"/>
          <w:szCs w:val="22"/>
        </w:rPr>
        <w:footnoteReference w:id="7"/>
      </w:r>
    </w:p>
    <w:p w14:paraId="3F660327"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Armas y municiones.</w:t>
      </w:r>
    </w:p>
    <w:p w14:paraId="4793BD05"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Tabaco.</w:t>
      </w:r>
    </w:p>
    <w:p w14:paraId="09C73818"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Apuestas, casinos y empresas equivalentes.</w:t>
      </w:r>
    </w:p>
    <w:p w14:paraId="3ABFAAF0"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Animales o plantas silvestres o productos de animales o plantas silvestres protegidos por la CITES</w:t>
      </w:r>
      <w:r w:rsidRPr="005C4E66">
        <w:rPr>
          <w:rStyle w:val="FootnoteReference"/>
          <w:rFonts w:ascii="Arial" w:hAnsi="Arial" w:cs="Arial"/>
          <w:bCs/>
          <w:sz w:val="22"/>
          <w:szCs w:val="22"/>
        </w:rPr>
        <w:footnoteReference w:id="8"/>
      </w:r>
      <w:r w:rsidRPr="005C4E66">
        <w:rPr>
          <w:rFonts w:ascii="Arial" w:hAnsi="Arial" w:cs="Arial"/>
          <w:bCs/>
          <w:sz w:val="22"/>
          <w:szCs w:val="22"/>
          <w:lang w:val="es-ES_tradnl"/>
        </w:rPr>
        <w:t>.</w:t>
      </w:r>
    </w:p>
    <w:p w14:paraId="660D9832"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Materiales radioactivos.</w:t>
      </w:r>
    </w:p>
    <w:p w14:paraId="32949C4B"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Fibras de amianto (asbesto) sin </w:t>
      </w:r>
      <w:proofErr w:type="spellStart"/>
      <w:r w:rsidRPr="005C4E66">
        <w:rPr>
          <w:rFonts w:ascii="Arial" w:hAnsi="Arial" w:cs="Arial"/>
          <w:bCs/>
          <w:sz w:val="22"/>
          <w:szCs w:val="22"/>
          <w:lang w:val="es-ES_tradnl"/>
        </w:rPr>
        <w:t>aglutinatura</w:t>
      </w:r>
      <w:proofErr w:type="spellEnd"/>
      <w:r w:rsidRPr="005C4E66">
        <w:rPr>
          <w:rFonts w:ascii="Arial" w:hAnsi="Arial" w:cs="Arial"/>
          <w:bCs/>
          <w:sz w:val="22"/>
          <w:szCs w:val="22"/>
          <w:lang w:val="es-ES_tradnl"/>
        </w:rPr>
        <w:t>. Esto no aplica a la compra y uso de láminas de cemento con amianto (asbesto) en donde el contenido de amianto (asbesto) sea menor del 20%.</w:t>
      </w:r>
    </w:p>
    <w:p w14:paraId="0A3CB2D4"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Operaciones madereras comerciales o la compra de equipos de explotación forestal para uso en bosques tropicales húmedos y bosques primarios</w:t>
      </w:r>
      <w:r w:rsidRPr="005C4E66">
        <w:rPr>
          <w:rStyle w:val="FootnoteReference"/>
          <w:rFonts w:ascii="Arial" w:hAnsi="Arial" w:cs="Arial"/>
          <w:bCs/>
          <w:sz w:val="22"/>
          <w:szCs w:val="22"/>
        </w:rPr>
        <w:footnoteReference w:id="9"/>
      </w:r>
      <w:r w:rsidRPr="005C4E66">
        <w:rPr>
          <w:rFonts w:ascii="Arial" w:hAnsi="Arial" w:cs="Arial"/>
          <w:bCs/>
          <w:sz w:val="22"/>
          <w:szCs w:val="22"/>
          <w:lang w:val="es-ES_tradnl"/>
        </w:rPr>
        <w:t xml:space="preserve">. </w:t>
      </w:r>
    </w:p>
    <w:p w14:paraId="55A530BA"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3D4B34E0"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Pr="005C4E66">
        <w:rPr>
          <w:rStyle w:val="FootnoteReference"/>
          <w:rFonts w:ascii="Arial" w:hAnsi="Arial" w:cs="Arial"/>
          <w:bCs/>
          <w:sz w:val="22"/>
          <w:szCs w:val="22"/>
        </w:rPr>
        <w:footnoteReference w:id="10"/>
      </w:r>
      <w:r w:rsidRPr="005C4E66">
        <w:rPr>
          <w:rFonts w:ascii="Arial" w:hAnsi="Arial" w:cs="Arial"/>
          <w:bCs/>
          <w:sz w:val="22"/>
          <w:szCs w:val="22"/>
          <w:lang w:val="es-ES_tradnl"/>
        </w:rPr>
        <w:t xml:space="preserve">. </w:t>
      </w:r>
    </w:p>
    <w:p w14:paraId="09383F08"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lastRenderedPageBreak/>
        <w:t>Introducción de especies invasivas</w:t>
      </w:r>
      <w:r w:rsidRPr="005C4E66">
        <w:rPr>
          <w:rStyle w:val="FootnoteReference"/>
          <w:rFonts w:ascii="Arial" w:hAnsi="Arial" w:cs="Arial"/>
          <w:bCs/>
          <w:sz w:val="22"/>
          <w:szCs w:val="22"/>
        </w:rPr>
        <w:footnoteReference w:id="11"/>
      </w:r>
      <w:r w:rsidRPr="005C4E66">
        <w:rPr>
          <w:rFonts w:ascii="Arial" w:hAnsi="Arial" w:cs="Arial"/>
          <w:bCs/>
          <w:sz w:val="22"/>
          <w:szCs w:val="22"/>
          <w:lang w:val="es-ES_tradnl"/>
        </w:rPr>
        <w:t>.</w:t>
      </w:r>
    </w:p>
    <w:p w14:paraId="4DD6DE96"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Compuestos que contengan </w:t>
      </w:r>
      <w:proofErr w:type="spellStart"/>
      <w:r w:rsidRPr="005C4E66">
        <w:rPr>
          <w:rFonts w:ascii="Arial" w:hAnsi="Arial" w:cs="Arial"/>
          <w:bCs/>
          <w:sz w:val="22"/>
          <w:szCs w:val="22"/>
          <w:lang w:val="es-ES_tradnl"/>
        </w:rPr>
        <w:t>policlorinato</w:t>
      </w:r>
      <w:proofErr w:type="spellEnd"/>
      <w:r w:rsidRPr="005C4E66">
        <w:rPr>
          <w:rFonts w:ascii="Arial" w:hAnsi="Arial" w:cs="Arial"/>
          <w:bCs/>
          <w:sz w:val="22"/>
          <w:szCs w:val="22"/>
          <w:lang w:val="es-ES_tradnl"/>
        </w:rPr>
        <w:t xml:space="preserve"> de bifenilo (PCB)</w:t>
      </w:r>
      <w:r w:rsidRPr="005C4E66">
        <w:rPr>
          <w:rStyle w:val="FootnoteReference"/>
          <w:rFonts w:ascii="Arial" w:hAnsi="Arial" w:cs="Arial"/>
          <w:bCs/>
          <w:sz w:val="22"/>
          <w:szCs w:val="22"/>
        </w:rPr>
        <w:footnoteReference w:id="12"/>
      </w:r>
      <w:r w:rsidRPr="005C4E66">
        <w:rPr>
          <w:rFonts w:ascii="Arial" w:hAnsi="Arial" w:cs="Arial"/>
          <w:bCs/>
          <w:sz w:val="22"/>
          <w:szCs w:val="22"/>
          <w:lang w:val="es-ES_tradnl"/>
        </w:rPr>
        <w:t>.</w:t>
      </w:r>
    </w:p>
    <w:p w14:paraId="472601AD"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Fármacos sujetos a eliminación gradual o cese obligatorio de producción o prohibición de venta a nivel internacional</w:t>
      </w:r>
      <w:r w:rsidRPr="005C4E66">
        <w:rPr>
          <w:rStyle w:val="FootnoteReference"/>
          <w:rFonts w:ascii="Arial" w:hAnsi="Arial" w:cs="Arial"/>
          <w:bCs/>
          <w:sz w:val="22"/>
          <w:szCs w:val="22"/>
        </w:rPr>
        <w:footnoteReference w:id="13"/>
      </w:r>
      <w:r w:rsidRPr="005C4E66">
        <w:rPr>
          <w:rFonts w:ascii="Arial" w:hAnsi="Arial" w:cs="Arial"/>
          <w:bCs/>
          <w:sz w:val="22"/>
          <w:szCs w:val="22"/>
          <w:lang w:val="es-ES_tradnl"/>
        </w:rPr>
        <w:t>.</w:t>
      </w:r>
    </w:p>
    <w:p w14:paraId="181B13E1"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Pesticidas o herbicidas sujetos a eliminación gradual o cese obligatorio de producción o prohibición de venta a nivel internacional</w:t>
      </w:r>
      <w:r w:rsidRPr="005C4E66">
        <w:rPr>
          <w:rStyle w:val="FootnoteReference"/>
          <w:rFonts w:ascii="Arial" w:hAnsi="Arial" w:cs="Arial"/>
          <w:bCs/>
          <w:sz w:val="22"/>
          <w:szCs w:val="22"/>
        </w:rPr>
        <w:footnoteReference w:id="14"/>
      </w:r>
      <w:r w:rsidRPr="005C4E66">
        <w:rPr>
          <w:rFonts w:ascii="Arial" w:hAnsi="Arial" w:cs="Arial"/>
          <w:bCs/>
          <w:sz w:val="22"/>
          <w:szCs w:val="22"/>
          <w:lang w:val="es-ES_tradnl"/>
        </w:rPr>
        <w:t>.</w:t>
      </w:r>
    </w:p>
    <w:p w14:paraId="61D663E5"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Pesticidas tóxicos según la definición de la Organización Mundial de la Salud (OMS), clases </w:t>
      </w:r>
      <w:proofErr w:type="spellStart"/>
      <w:r w:rsidRPr="005C4E66">
        <w:rPr>
          <w:rFonts w:ascii="Arial" w:hAnsi="Arial" w:cs="Arial"/>
          <w:bCs/>
          <w:sz w:val="22"/>
          <w:szCs w:val="22"/>
          <w:lang w:val="es-ES_tradnl"/>
        </w:rPr>
        <w:t>Ia</w:t>
      </w:r>
      <w:proofErr w:type="spellEnd"/>
      <w:r w:rsidRPr="005C4E66">
        <w:rPr>
          <w:rFonts w:ascii="Arial" w:hAnsi="Arial" w:cs="Arial"/>
          <w:bCs/>
          <w:sz w:val="22"/>
          <w:szCs w:val="22"/>
          <w:lang w:val="es-ES_tradnl"/>
        </w:rPr>
        <w:t xml:space="preserve">, </w:t>
      </w:r>
      <w:proofErr w:type="spellStart"/>
      <w:r w:rsidRPr="005C4E66">
        <w:rPr>
          <w:rFonts w:ascii="Arial" w:hAnsi="Arial" w:cs="Arial"/>
          <w:bCs/>
          <w:sz w:val="22"/>
          <w:szCs w:val="22"/>
          <w:lang w:val="es-ES_tradnl"/>
        </w:rPr>
        <w:t>Ib</w:t>
      </w:r>
      <w:proofErr w:type="spellEnd"/>
      <w:r w:rsidRPr="005C4E66">
        <w:rPr>
          <w:rFonts w:ascii="Arial" w:hAnsi="Arial" w:cs="Arial"/>
          <w:bCs/>
          <w:sz w:val="22"/>
          <w:szCs w:val="22"/>
          <w:lang w:val="es-ES_tradnl"/>
        </w:rPr>
        <w:t xml:space="preserve"> y II.</w:t>
      </w:r>
    </w:p>
    <w:p w14:paraId="78C33B21"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Contaminantes orgánicos persistentes (COP)</w:t>
      </w:r>
      <w:r w:rsidRPr="005C4E66">
        <w:rPr>
          <w:rStyle w:val="FootnoteReference"/>
          <w:rFonts w:ascii="Arial" w:hAnsi="Arial" w:cs="Arial"/>
          <w:bCs/>
          <w:sz w:val="22"/>
          <w:szCs w:val="22"/>
        </w:rPr>
        <w:footnoteReference w:id="15"/>
      </w:r>
      <w:r w:rsidRPr="005C4E66">
        <w:rPr>
          <w:rFonts w:ascii="Arial" w:hAnsi="Arial" w:cs="Arial"/>
          <w:bCs/>
          <w:sz w:val="22"/>
          <w:szCs w:val="22"/>
          <w:lang w:val="es-ES_tradnl"/>
        </w:rPr>
        <w:t xml:space="preserve">. </w:t>
      </w:r>
    </w:p>
    <w:p w14:paraId="74C05340"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ODS sujetos a cese obligatorio de producción o prohibición de venta a nivel internacional</w:t>
      </w:r>
      <w:r w:rsidRPr="005C4E66">
        <w:rPr>
          <w:rStyle w:val="FootnoteReference"/>
          <w:rFonts w:ascii="Arial" w:hAnsi="Arial" w:cs="Arial"/>
          <w:bCs/>
          <w:sz w:val="22"/>
          <w:szCs w:val="22"/>
        </w:rPr>
        <w:footnoteReference w:id="16"/>
      </w:r>
      <w:r w:rsidRPr="005C4E66">
        <w:rPr>
          <w:rFonts w:ascii="Arial" w:hAnsi="Arial" w:cs="Arial"/>
          <w:bCs/>
          <w:sz w:val="22"/>
          <w:szCs w:val="22"/>
          <w:lang w:val="es-ES_tradnl"/>
        </w:rPr>
        <w:t xml:space="preserve">. </w:t>
      </w:r>
    </w:p>
    <w:p w14:paraId="1146BE9B"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Comercio transfronterizo (internacional) de desechos o productos de desechos</w:t>
      </w:r>
      <w:r w:rsidRPr="005C4E66">
        <w:rPr>
          <w:rStyle w:val="FootnoteReference"/>
          <w:rFonts w:ascii="Arial" w:hAnsi="Arial" w:cs="Arial"/>
          <w:bCs/>
          <w:sz w:val="22"/>
          <w:szCs w:val="22"/>
        </w:rPr>
        <w:footnoteReference w:id="17"/>
      </w:r>
      <w:r w:rsidRPr="005C4E66">
        <w:rPr>
          <w:rFonts w:ascii="Arial" w:hAnsi="Arial" w:cs="Arial"/>
          <w:bCs/>
          <w:sz w:val="22"/>
          <w:szCs w:val="22"/>
          <w:lang w:val="es-ES_tradnl"/>
        </w:rPr>
        <w:t>, exceptuando desechos no peligrosos destinados al reciclaje.</w:t>
      </w:r>
    </w:p>
    <w:p w14:paraId="620AF9A1"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Incumplimiento de los principios fundamentales de los trabajadores y de los derechos en el trabajo</w:t>
      </w:r>
      <w:r w:rsidRPr="005C4E66">
        <w:rPr>
          <w:rStyle w:val="FootnoteReference"/>
          <w:rFonts w:ascii="Arial" w:hAnsi="Arial" w:cs="Arial"/>
          <w:bCs/>
          <w:sz w:val="22"/>
          <w:szCs w:val="22"/>
        </w:rPr>
        <w:footnoteReference w:id="18"/>
      </w:r>
    </w:p>
    <w:p w14:paraId="5A176D9A"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Actividades que impliquen reasentamiento involuntario físico o económico de personas.</w:t>
      </w:r>
    </w:p>
    <w:p w14:paraId="4FD49E29"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Actividades que tengan impacto negativo sobre grupos indígenas.</w:t>
      </w:r>
    </w:p>
    <w:p w14:paraId="2AC47658" w14:textId="77777777" w:rsidR="005102F7" w:rsidRPr="005C4E66" w:rsidRDefault="005102F7" w:rsidP="00CD66CF">
      <w:pPr>
        <w:pStyle w:val="ListParagraph"/>
        <w:widowControl w:val="0"/>
        <w:numPr>
          <w:ilvl w:val="0"/>
          <w:numId w:val="6"/>
        </w:numPr>
        <w:autoSpaceDE w:val="0"/>
        <w:autoSpaceDN w:val="0"/>
        <w:adjustRightInd w:val="0"/>
        <w:ind w:right="-86"/>
        <w:jc w:val="both"/>
        <w:rPr>
          <w:rFonts w:ascii="Arial" w:hAnsi="Arial" w:cs="Arial"/>
          <w:bCs/>
          <w:sz w:val="22"/>
          <w:szCs w:val="22"/>
          <w:lang w:val="es-ES_tradnl"/>
        </w:rPr>
      </w:pPr>
      <w:r w:rsidRPr="005C4E66">
        <w:rPr>
          <w:rFonts w:ascii="Arial" w:hAnsi="Arial" w:cs="Arial"/>
          <w:bCs/>
          <w:sz w:val="22"/>
          <w:szCs w:val="22"/>
          <w:lang w:val="es-ES_tradnl"/>
        </w:rPr>
        <w:t xml:space="preserve">Actividades que puedan dañar sitios culturales o sitios culturales críticos. </w:t>
      </w:r>
    </w:p>
    <w:p w14:paraId="4DFCD394" w14:textId="231220C5" w:rsidR="005102F7" w:rsidRPr="005C4E66" w:rsidRDefault="005102F7" w:rsidP="00CD66CF">
      <w:pPr>
        <w:pStyle w:val="ListParagraph"/>
        <w:widowControl w:val="0"/>
        <w:numPr>
          <w:ilvl w:val="0"/>
          <w:numId w:val="6"/>
        </w:numPr>
        <w:autoSpaceDE w:val="0"/>
        <w:autoSpaceDN w:val="0"/>
        <w:adjustRightInd w:val="0"/>
        <w:spacing w:after="142"/>
        <w:ind w:right="-86"/>
        <w:jc w:val="both"/>
        <w:rPr>
          <w:rFonts w:ascii="Arial" w:hAnsi="Arial" w:cs="Arial"/>
          <w:sz w:val="22"/>
          <w:szCs w:val="22"/>
          <w:lang w:val="es-ES_tradnl"/>
        </w:rPr>
      </w:pPr>
      <w:r w:rsidRPr="005C4E66">
        <w:rPr>
          <w:rFonts w:ascii="Arial" w:hAnsi="Arial" w:cs="Arial"/>
          <w:sz w:val="22"/>
          <w:szCs w:val="22"/>
          <w:lang w:val="es-ES_tradnl"/>
        </w:rPr>
        <w:t xml:space="preserve">Actividades </w:t>
      </w:r>
      <w:r w:rsidR="006F5C47">
        <w:rPr>
          <w:rFonts w:ascii="Arial" w:hAnsi="Arial" w:cs="Arial"/>
          <w:sz w:val="22"/>
          <w:szCs w:val="22"/>
          <w:lang w:val="es-ES_tradnl"/>
        </w:rPr>
        <w:t xml:space="preserve">de sector </w:t>
      </w:r>
      <w:r w:rsidRPr="005C4E66">
        <w:rPr>
          <w:rFonts w:ascii="Arial" w:hAnsi="Arial" w:cs="Arial"/>
          <w:sz w:val="22"/>
          <w:szCs w:val="22"/>
          <w:lang w:val="es-ES_tradnl"/>
        </w:rPr>
        <w:t>primari</w:t>
      </w:r>
      <w:r w:rsidR="006F5C47">
        <w:rPr>
          <w:rFonts w:ascii="Arial" w:hAnsi="Arial" w:cs="Arial"/>
          <w:sz w:val="22"/>
          <w:szCs w:val="22"/>
          <w:lang w:val="es-ES_tradnl"/>
        </w:rPr>
        <w:t>o</w:t>
      </w:r>
      <w:r w:rsidRPr="005C4E66">
        <w:rPr>
          <w:rFonts w:ascii="Arial" w:hAnsi="Arial" w:cs="Arial"/>
          <w:sz w:val="22"/>
          <w:szCs w:val="22"/>
          <w:lang w:val="es-ES_tradnl"/>
        </w:rPr>
        <w:t xml:space="preserve"> y se</w:t>
      </w:r>
      <w:r>
        <w:rPr>
          <w:rFonts w:ascii="Arial" w:hAnsi="Arial" w:cs="Arial"/>
          <w:sz w:val="22"/>
          <w:szCs w:val="22"/>
          <w:lang w:val="es-ES_tradnl"/>
        </w:rPr>
        <w:t>c</w:t>
      </w:r>
      <w:r w:rsidRPr="005C4E66">
        <w:rPr>
          <w:rFonts w:ascii="Arial" w:hAnsi="Arial" w:cs="Arial"/>
          <w:sz w:val="22"/>
          <w:szCs w:val="22"/>
          <w:lang w:val="es-ES_tradnl"/>
        </w:rPr>
        <w:t>undari</w:t>
      </w:r>
      <w:r w:rsidR="006F5C47">
        <w:rPr>
          <w:rFonts w:ascii="Arial" w:hAnsi="Arial" w:cs="Arial"/>
          <w:sz w:val="22"/>
          <w:szCs w:val="22"/>
          <w:lang w:val="es-ES_tradnl"/>
        </w:rPr>
        <w:t>o</w:t>
      </w:r>
      <w:r w:rsidRPr="005C4E66">
        <w:rPr>
          <w:rFonts w:ascii="Arial" w:hAnsi="Arial" w:cs="Arial"/>
          <w:sz w:val="22"/>
          <w:szCs w:val="22"/>
          <w:lang w:val="es-ES_tradnl"/>
        </w:rPr>
        <w:t>.</w:t>
      </w:r>
    </w:p>
    <w:p w14:paraId="080059CF" w14:textId="77777777" w:rsidR="008070F0" w:rsidRPr="00ED5EDD" w:rsidRDefault="008070F0" w:rsidP="008070F0">
      <w:pPr>
        <w:jc w:val="both"/>
        <w:rPr>
          <w:rFonts w:ascii="Arial" w:hAnsi="Arial" w:cs="Arial"/>
          <w:sz w:val="22"/>
          <w:szCs w:val="22"/>
          <w:lang w:val="es-ES_tradnl"/>
        </w:rPr>
      </w:pPr>
    </w:p>
    <w:p w14:paraId="762DC12B" w14:textId="77777777" w:rsidR="008070F0" w:rsidRPr="00ED5EDD" w:rsidRDefault="008070F0" w:rsidP="008070F0">
      <w:pPr>
        <w:jc w:val="center"/>
        <w:rPr>
          <w:rFonts w:ascii="Arial" w:hAnsi="Arial" w:cs="Arial"/>
          <w:b/>
          <w:sz w:val="22"/>
          <w:szCs w:val="22"/>
          <w:lang w:val="es-ES"/>
        </w:rPr>
      </w:pPr>
    </w:p>
    <w:bookmarkEnd w:id="88"/>
    <w:p w14:paraId="3A0F3ADA" w14:textId="77777777" w:rsidR="00FC3D5E" w:rsidRPr="00ED5EDD" w:rsidRDefault="00FC3D5E">
      <w:pPr>
        <w:rPr>
          <w:rFonts w:ascii="Arial" w:hAnsi="Arial" w:cs="Arial"/>
          <w:b/>
          <w:smallCaps/>
          <w:sz w:val="24"/>
          <w:szCs w:val="24"/>
          <w:lang w:val="es-419"/>
        </w:rPr>
      </w:pPr>
      <w:r w:rsidRPr="00ED5EDD">
        <w:rPr>
          <w:rFonts w:ascii="Arial" w:hAnsi="Arial" w:cs="Arial"/>
          <w:szCs w:val="24"/>
          <w:lang w:val="es-419"/>
        </w:rPr>
        <w:br w:type="page"/>
      </w:r>
    </w:p>
    <w:p w14:paraId="2FFC2A45" w14:textId="552F8867" w:rsidR="00A01E8C" w:rsidRPr="00ED5EDD" w:rsidRDefault="00A01E8C" w:rsidP="00A276EA">
      <w:pPr>
        <w:pStyle w:val="Chapter"/>
        <w:numPr>
          <w:ilvl w:val="0"/>
          <w:numId w:val="0"/>
        </w:numPr>
        <w:jc w:val="left"/>
        <w:rPr>
          <w:rFonts w:ascii="Arial" w:hAnsi="Arial" w:cs="Arial"/>
          <w:szCs w:val="24"/>
          <w:lang w:val="pt-BR"/>
        </w:rPr>
      </w:pPr>
      <w:bookmarkStart w:id="89" w:name="_Toc42960888"/>
      <w:r w:rsidRPr="00ED5EDD">
        <w:rPr>
          <w:rFonts w:ascii="Arial" w:hAnsi="Arial" w:cs="Arial"/>
          <w:szCs w:val="24"/>
          <w:lang w:val="pt-BR"/>
        </w:rPr>
        <w:lastRenderedPageBreak/>
        <w:t>Anexo 2</w:t>
      </w:r>
      <w:r w:rsidR="00ED5EDD" w:rsidRPr="00ED5EDD">
        <w:rPr>
          <w:rFonts w:ascii="Arial" w:hAnsi="Arial" w:cs="Arial"/>
          <w:szCs w:val="24"/>
          <w:lang w:val="pt-BR"/>
        </w:rPr>
        <w:t>:</w:t>
      </w:r>
      <w:r w:rsidRPr="00ED5EDD">
        <w:rPr>
          <w:rFonts w:ascii="Arial" w:hAnsi="Arial" w:cs="Arial"/>
          <w:szCs w:val="24"/>
          <w:lang w:val="pt-BR"/>
        </w:rPr>
        <w:t xml:space="preserve"> Reporte de </w:t>
      </w:r>
      <w:proofErr w:type="spellStart"/>
      <w:r w:rsidRPr="00ED5EDD">
        <w:rPr>
          <w:rFonts w:ascii="Arial" w:hAnsi="Arial" w:cs="Arial"/>
          <w:szCs w:val="24"/>
          <w:lang w:val="pt-BR"/>
        </w:rPr>
        <w:t>desempe</w:t>
      </w:r>
      <w:r w:rsidR="00525A40" w:rsidRPr="00ED5EDD">
        <w:rPr>
          <w:rFonts w:ascii="Arial" w:hAnsi="Arial" w:cs="Arial"/>
          <w:szCs w:val="24"/>
          <w:lang w:val="pt-BR"/>
        </w:rPr>
        <w:t>ñ</w:t>
      </w:r>
      <w:r w:rsidRPr="00ED5EDD">
        <w:rPr>
          <w:rFonts w:ascii="Arial" w:hAnsi="Arial" w:cs="Arial"/>
          <w:szCs w:val="24"/>
          <w:lang w:val="pt-BR"/>
        </w:rPr>
        <w:t>o</w:t>
      </w:r>
      <w:proofErr w:type="spellEnd"/>
      <w:r w:rsidRPr="00ED5EDD">
        <w:rPr>
          <w:rFonts w:ascii="Arial" w:hAnsi="Arial" w:cs="Arial"/>
          <w:szCs w:val="24"/>
          <w:lang w:val="pt-BR"/>
        </w:rPr>
        <w:t xml:space="preserve"> socioambiental semestral</w:t>
      </w:r>
      <w:bookmarkEnd w:id="89"/>
      <w:r w:rsidRPr="00ED5EDD">
        <w:rPr>
          <w:rFonts w:ascii="Arial" w:hAnsi="Arial" w:cs="Arial"/>
          <w:szCs w:val="24"/>
          <w:lang w:val="pt-BR"/>
        </w:rPr>
        <w:t xml:space="preserve"> </w:t>
      </w:r>
    </w:p>
    <w:p w14:paraId="0E540724" w14:textId="77777777" w:rsidR="00A01E8C" w:rsidRPr="00ED5EDD" w:rsidRDefault="00A01E8C" w:rsidP="00A276EA">
      <w:pPr>
        <w:rPr>
          <w:rFonts w:ascii="Arial" w:hAnsi="Arial" w:cs="Arial"/>
          <w:b/>
          <w:bCs/>
          <w:sz w:val="22"/>
          <w:szCs w:val="22"/>
          <w:lang w:val="pt-BR"/>
        </w:rPr>
      </w:pPr>
    </w:p>
    <w:p w14:paraId="48A2B83C" w14:textId="77777777" w:rsidR="00A01E8C" w:rsidRPr="00ED5EDD" w:rsidRDefault="00A01E8C" w:rsidP="00A01E8C">
      <w:pPr>
        <w:jc w:val="center"/>
        <w:rPr>
          <w:rFonts w:ascii="Arial" w:hAnsi="Arial" w:cs="Arial"/>
          <w:b/>
          <w:bCs/>
          <w:sz w:val="22"/>
          <w:szCs w:val="22"/>
          <w:lang w:val="pt-BR"/>
        </w:rPr>
      </w:pPr>
    </w:p>
    <w:p w14:paraId="2582AC91" w14:textId="1A535FF1" w:rsidR="00A01E8C" w:rsidRPr="00ED5EDD" w:rsidRDefault="00A01E8C" w:rsidP="00A01E8C">
      <w:pPr>
        <w:jc w:val="both"/>
        <w:rPr>
          <w:rFonts w:ascii="Arial" w:eastAsia="Arial" w:hAnsi="Arial" w:cs="Arial"/>
          <w:lang w:val="es-ES"/>
        </w:rPr>
      </w:pPr>
      <w:r w:rsidRPr="00ED5EDD">
        <w:rPr>
          <w:rFonts w:ascii="Arial" w:eastAsia="Arial" w:hAnsi="Arial" w:cs="Arial"/>
          <w:lang w:val="es-ES"/>
        </w:rPr>
        <w:t xml:space="preserve">El </w:t>
      </w:r>
      <w:r w:rsidR="00136A11">
        <w:rPr>
          <w:rFonts w:ascii="Arial" w:eastAsia="Arial" w:hAnsi="Arial" w:cs="Arial"/>
          <w:lang w:val="es-ES"/>
        </w:rPr>
        <w:t>ejecutor</w:t>
      </w:r>
      <w:r w:rsidR="00525A40" w:rsidRPr="00ED5EDD">
        <w:rPr>
          <w:rFonts w:ascii="Arial" w:eastAsia="Arial" w:hAnsi="Arial" w:cs="Arial"/>
          <w:lang w:val="es-ES"/>
        </w:rPr>
        <w:t xml:space="preserve"> </w:t>
      </w:r>
      <w:r w:rsidRPr="00ED5EDD">
        <w:rPr>
          <w:rFonts w:ascii="Arial" w:eastAsia="Arial" w:hAnsi="Arial" w:cs="Arial"/>
          <w:lang w:val="es-ES"/>
        </w:rPr>
        <w:t xml:space="preserve">deberá presentar semestralmente – dentro de las fechas limites establecidas para el ingreso del </w:t>
      </w:r>
      <w:proofErr w:type="spellStart"/>
      <w:r w:rsidRPr="00ED5EDD">
        <w:rPr>
          <w:rFonts w:ascii="Arial" w:eastAsia="Arial" w:hAnsi="Arial" w:cs="Arial"/>
          <w:lang w:val="es-ES"/>
        </w:rPr>
        <w:t>Progress</w:t>
      </w:r>
      <w:proofErr w:type="spellEnd"/>
      <w:r w:rsidRPr="00ED5EDD">
        <w:rPr>
          <w:rFonts w:ascii="Arial" w:eastAsia="Arial" w:hAnsi="Arial" w:cs="Arial"/>
          <w:lang w:val="es-ES"/>
        </w:rPr>
        <w:t xml:space="preserve"> </w:t>
      </w:r>
      <w:proofErr w:type="spellStart"/>
      <w:r w:rsidRPr="00ED5EDD">
        <w:rPr>
          <w:rFonts w:ascii="Arial" w:eastAsia="Arial" w:hAnsi="Arial" w:cs="Arial"/>
          <w:lang w:val="es-ES"/>
        </w:rPr>
        <w:t>Monitoring</w:t>
      </w:r>
      <w:proofErr w:type="spellEnd"/>
      <w:r w:rsidRPr="00ED5EDD">
        <w:rPr>
          <w:rFonts w:ascii="Arial" w:eastAsia="Arial" w:hAnsi="Arial" w:cs="Arial"/>
          <w:lang w:val="es-ES"/>
        </w:rPr>
        <w:t xml:space="preserve"> </w:t>
      </w:r>
      <w:proofErr w:type="spellStart"/>
      <w:r w:rsidRPr="00ED5EDD">
        <w:rPr>
          <w:rFonts w:ascii="Arial" w:eastAsia="Arial" w:hAnsi="Arial" w:cs="Arial"/>
          <w:lang w:val="es-ES"/>
        </w:rPr>
        <w:t>Report</w:t>
      </w:r>
      <w:proofErr w:type="spellEnd"/>
      <w:r w:rsidRPr="00ED5EDD">
        <w:rPr>
          <w:rFonts w:ascii="Arial" w:eastAsia="Arial" w:hAnsi="Arial" w:cs="Arial"/>
          <w:lang w:val="es-ES"/>
        </w:rPr>
        <w:t xml:space="preserve"> (PMR) – un Informe de Cumplimiento de Gestión de Riesgos Socioambientales que integre la información siguiente</w:t>
      </w:r>
    </w:p>
    <w:p w14:paraId="2122F731" w14:textId="77777777" w:rsidR="00A01E8C" w:rsidRPr="00ED5EDD" w:rsidRDefault="00A01E8C" w:rsidP="00A01E8C">
      <w:pPr>
        <w:jc w:val="both"/>
        <w:rPr>
          <w:rFonts w:ascii="Arial" w:eastAsia="Arial" w:hAnsi="Arial" w:cs="Arial"/>
          <w:lang w:val="es-ES"/>
        </w:rPr>
      </w:pPr>
      <w:r w:rsidRPr="00ED5EDD">
        <w:rPr>
          <w:rFonts w:ascii="Arial" w:eastAsia="Arial" w:hAnsi="Arial" w:cs="Arial"/>
          <w:lang w:val="es-ES"/>
        </w:rPr>
        <w:t xml:space="preserve"> </w:t>
      </w:r>
    </w:p>
    <w:p w14:paraId="5571D556" w14:textId="77777777" w:rsidR="00A01E8C" w:rsidRPr="00ED5EDD" w:rsidRDefault="00A01E8C" w:rsidP="00A01E8C">
      <w:pPr>
        <w:pStyle w:val="ListParagraph"/>
        <w:numPr>
          <w:ilvl w:val="0"/>
          <w:numId w:val="1"/>
        </w:numPr>
        <w:rPr>
          <w:rFonts w:ascii="Arial" w:eastAsia="Arial" w:hAnsi="Arial" w:cs="Arial"/>
          <w:lang w:val="es-ES"/>
        </w:rPr>
      </w:pPr>
      <w:r w:rsidRPr="00ED5EDD">
        <w:rPr>
          <w:rFonts w:ascii="Arial" w:eastAsia="Arial" w:hAnsi="Arial" w:cs="Arial"/>
          <w:lang w:val="es-ES"/>
        </w:rPr>
        <w:t xml:space="preserve">Montos desembolsados y repartición por sector </w:t>
      </w:r>
    </w:p>
    <w:p w14:paraId="0B122979" w14:textId="77777777" w:rsidR="00A01E8C" w:rsidRPr="00ED5EDD" w:rsidRDefault="00A01E8C" w:rsidP="00A01E8C">
      <w:pPr>
        <w:pStyle w:val="ListParagraph"/>
        <w:numPr>
          <w:ilvl w:val="0"/>
          <w:numId w:val="1"/>
        </w:numPr>
        <w:rPr>
          <w:rFonts w:ascii="Arial" w:eastAsia="Arial" w:hAnsi="Arial" w:cs="Arial"/>
          <w:lang w:val="es-ES"/>
        </w:rPr>
      </w:pPr>
      <w:r w:rsidRPr="00ED5EDD">
        <w:rPr>
          <w:rFonts w:ascii="Arial" w:eastAsia="Arial" w:hAnsi="Arial" w:cs="Arial"/>
          <w:lang w:val="es-ES"/>
        </w:rPr>
        <w:t>Monto promedio de financiamiento total y por sector</w:t>
      </w:r>
    </w:p>
    <w:p w14:paraId="52CDC9A4" w14:textId="0B19BD1A" w:rsidR="00A01E8C" w:rsidRPr="00ED5EDD" w:rsidRDefault="00A01E8C" w:rsidP="00A01E8C">
      <w:pPr>
        <w:pStyle w:val="ListParagraph"/>
        <w:numPr>
          <w:ilvl w:val="0"/>
          <w:numId w:val="1"/>
        </w:numPr>
        <w:rPr>
          <w:rFonts w:ascii="Arial" w:eastAsia="Arial" w:hAnsi="Arial" w:cs="Arial"/>
          <w:lang w:val="es-ES"/>
        </w:rPr>
      </w:pPr>
      <w:r w:rsidRPr="00ED5EDD">
        <w:rPr>
          <w:rFonts w:ascii="Arial" w:eastAsia="Arial" w:hAnsi="Arial" w:cs="Arial"/>
          <w:lang w:val="es-ES"/>
        </w:rPr>
        <w:t xml:space="preserve">Información relevante sobre temas socioambientales relacionados a </w:t>
      </w:r>
      <w:r w:rsidR="00ED5EDD" w:rsidRPr="00ED5EDD">
        <w:rPr>
          <w:rFonts w:ascii="Arial" w:eastAsia="Arial" w:hAnsi="Arial" w:cs="Arial"/>
          <w:lang w:val="es-ES"/>
        </w:rPr>
        <w:t>MIPYME</w:t>
      </w:r>
      <w:r w:rsidRPr="00ED5EDD">
        <w:rPr>
          <w:rFonts w:ascii="Arial" w:eastAsia="Arial" w:hAnsi="Arial" w:cs="Arial"/>
          <w:lang w:val="es-ES"/>
        </w:rPr>
        <w:t xml:space="preserve"> beneficiarias del </w:t>
      </w:r>
      <w:r w:rsidR="00E21603" w:rsidRPr="00ED5EDD">
        <w:rPr>
          <w:rFonts w:ascii="Arial" w:eastAsia="Arial" w:hAnsi="Arial" w:cs="Arial"/>
          <w:lang w:val="es-ES"/>
        </w:rPr>
        <w:t>p</w:t>
      </w:r>
      <w:r w:rsidRPr="00ED5EDD">
        <w:rPr>
          <w:rFonts w:ascii="Arial" w:eastAsia="Arial" w:hAnsi="Arial" w:cs="Arial"/>
          <w:lang w:val="es-ES"/>
        </w:rPr>
        <w:t>rograma (en caso la hubiese)</w:t>
      </w:r>
    </w:p>
    <w:p w14:paraId="64E45A44" w14:textId="1BA1097C" w:rsidR="00A276EA" w:rsidRPr="00ED5EDD" w:rsidRDefault="00A01E8C" w:rsidP="00C00205">
      <w:pPr>
        <w:pStyle w:val="ListParagraph"/>
        <w:numPr>
          <w:ilvl w:val="0"/>
          <w:numId w:val="1"/>
        </w:numPr>
        <w:rPr>
          <w:rFonts w:ascii="Arial" w:eastAsia="Arial" w:hAnsi="Arial" w:cs="Arial"/>
          <w:lang w:val="es-ES"/>
        </w:rPr>
      </w:pPr>
      <w:r w:rsidRPr="00ED5EDD">
        <w:rPr>
          <w:rFonts w:ascii="Arial" w:eastAsia="Arial" w:hAnsi="Arial" w:cs="Arial"/>
          <w:lang w:val="es-ES"/>
        </w:rPr>
        <w:t xml:space="preserve">Información relevante sobre temas socioambientales dentro de la institución (cambios organizacionales </w:t>
      </w:r>
      <w:r w:rsidR="00136A11" w:rsidRPr="00136A11">
        <w:rPr>
          <w:rFonts w:ascii="Arial" w:eastAsia="Arial" w:hAnsi="Arial" w:cs="Arial"/>
          <w:lang w:val="es-ES"/>
        </w:rPr>
        <w:t xml:space="preserve">e información sobre los avances del proyecto de SARAS </w:t>
      </w:r>
      <w:r w:rsidRPr="00ED5EDD">
        <w:rPr>
          <w:rFonts w:ascii="Arial" w:eastAsia="Arial" w:hAnsi="Arial" w:cs="Arial"/>
          <w:lang w:val="es-ES"/>
        </w:rPr>
        <w:t>etc.)</w:t>
      </w:r>
    </w:p>
    <w:p w14:paraId="2F8A4F05" w14:textId="3FCADF46" w:rsidR="00C00205" w:rsidRPr="00ED5EDD" w:rsidRDefault="00A01E8C" w:rsidP="00C00205">
      <w:pPr>
        <w:pStyle w:val="ListParagraph"/>
        <w:numPr>
          <w:ilvl w:val="0"/>
          <w:numId w:val="1"/>
        </w:numPr>
        <w:rPr>
          <w:rFonts w:ascii="Arial" w:eastAsia="Arial" w:hAnsi="Arial" w:cs="Arial"/>
          <w:lang w:val="es-ES"/>
        </w:rPr>
      </w:pPr>
      <w:r w:rsidRPr="00ED5EDD">
        <w:rPr>
          <w:rFonts w:ascii="Arial" w:eastAsia="Arial" w:hAnsi="Arial" w:cs="Arial"/>
          <w:lang w:val="es-ES"/>
        </w:rPr>
        <w:t>Información relevante de regulación nacional o subnacional (cambios regulatorios etc.)</w:t>
      </w:r>
    </w:p>
    <w:p w14:paraId="394C22C6" w14:textId="43640163" w:rsidR="00F51362" w:rsidRDefault="00F51362">
      <w:pPr>
        <w:rPr>
          <w:rFonts w:ascii="Arial" w:eastAsia="Batang" w:hAnsi="Arial" w:cs="Arial"/>
          <w:sz w:val="22"/>
          <w:szCs w:val="22"/>
          <w:lang w:val="es-ES_tradnl" w:eastAsia="es-ES_tradnl"/>
        </w:rPr>
      </w:pPr>
      <w:r>
        <w:rPr>
          <w:rFonts w:ascii="Arial" w:eastAsia="Batang" w:hAnsi="Arial" w:cs="Arial"/>
          <w:sz w:val="22"/>
          <w:szCs w:val="22"/>
          <w:lang w:val="es-ES_tradnl" w:eastAsia="es-ES_tradnl"/>
        </w:rPr>
        <w:br w:type="page"/>
      </w:r>
    </w:p>
    <w:p w14:paraId="0FB7D284" w14:textId="4A1D660F" w:rsidR="00F51362" w:rsidRPr="00F51362" w:rsidRDefault="00F51362" w:rsidP="00F51362">
      <w:pPr>
        <w:pStyle w:val="Chapter"/>
        <w:numPr>
          <w:ilvl w:val="0"/>
          <w:numId w:val="0"/>
        </w:numPr>
        <w:jc w:val="left"/>
        <w:rPr>
          <w:rFonts w:ascii="Arial" w:hAnsi="Arial" w:cs="Arial"/>
          <w:szCs w:val="24"/>
        </w:rPr>
      </w:pPr>
      <w:bookmarkStart w:id="90" w:name="_Toc40956718"/>
      <w:r w:rsidRPr="00F51362">
        <w:rPr>
          <w:rFonts w:ascii="Arial" w:hAnsi="Arial" w:cs="Arial"/>
          <w:szCs w:val="24"/>
        </w:rPr>
        <w:lastRenderedPageBreak/>
        <w:t xml:space="preserve">Anexo 3: </w:t>
      </w:r>
      <w:proofErr w:type="spellStart"/>
      <w:r w:rsidR="00634EB3">
        <w:rPr>
          <w:rFonts w:ascii="Arial" w:hAnsi="Arial" w:cs="Arial"/>
          <w:szCs w:val="24"/>
        </w:rPr>
        <w:t>Politica</w:t>
      </w:r>
      <w:proofErr w:type="spellEnd"/>
      <w:r w:rsidR="00634EB3">
        <w:rPr>
          <w:rFonts w:ascii="Arial" w:hAnsi="Arial" w:cs="Arial"/>
          <w:szCs w:val="24"/>
        </w:rPr>
        <w:t xml:space="preserve"> de cumplimiento del Banco y </w:t>
      </w:r>
      <w:r w:rsidRPr="00F51362">
        <w:rPr>
          <w:rFonts w:ascii="Arial" w:hAnsi="Arial" w:cs="Arial"/>
          <w:szCs w:val="24"/>
        </w:rPr>
        <w:t>Formato de notificación escrita para subpréstamos</w:t>
      </w:r>
      <w:bookmarkEnd w:id="90"/>
    </w:p>
    <w:p w14:paraId="483641DD" w14:textId="58B697E7" w:rsidR="005E0AAF" w:rsidRDefault="005E0AAF" w:rsidP="005E0AAF">
      <w:pPr>
        <w:pStyle w:val="ListParagraph"/>
        <w:numPr>
          <w:ilvl w:val="0"/>
          <w:numId w:val="11"/>
        </w:numPr>
        <w:ind w:left="0"/>
        <w:jc w:val="both"/>
        <w:rPr>
          <w:rFonts w:ascii="Arial" w:hAnsi="Arial" w:cs="Arial"/>
          <w:lang w:val="es-ES_tradnl"/>
        </w:rPr>
      </w:pPr>
      <w:r w:rsidRPr="00C61BC1">
        <w:rPr>
          <w:rFonts w:ascii="Arial" w:hAnsi="Arial" w:cs="Arial"/>
          <w:lang w:val="es-ES_tradnl"/>
        </w:rPr>
        <w:t xml:space="preserve">El BID exige el cumplimiento con el principio de integridad en </w:t>
      </w:r>
      <w:r w:rsidR="007A693B" w:rsidRPr="00C61BC1">
        <w:rPr>
          <w:rFonts w:ascii="Arial" w:hAnsi="Arial" w:cs="Arial"/>
          <w:lang w:val="es-ES_tradnl"/>
        </w:rPr>
        <w:t>las actividades</w:t>
      </w:r>
      <w:r w:rsidRPr="00C61BC1">
        <w:rPr>
          <w:rFonts w:ascii="Arial" w:hAnsi="Arial" w:cs="Arial"/>
          <w:lang w:val="es-ES_tradnl"/>
        </w:rPr>
        <w:t xml:space="preserve"> que financia. El principio de integridad se refiere al uso del financiamiento del BID según los fines previstos y a las prácticas de buena gobernanza; que los participantes se abstengan de incurrir en Prácticas Prohibidas; y que denuncien al BID todos los actos que puedan constituir una Práctica Prohibida.</w:t>
      </w:r>
      <w:r w:rsidRPr="007770B5">
        <w:rPr>
          <w:rFonts w:cs="Arial"/>
          <w:vertAlign w:val="superscript"/>
        </w:rPr>
        <w:footnoteReference w:id="19"/>
      </w:r>
      <w:r w:rsidRPr="00C61BC1">
        <w:rPr>
          <w:rFonts w:ascii="Arial" w:hAnsi="Arial" w:cs="Arial"/>
          <w:lang w:val="es-ES_tradnl"/>
        </w:rPr>
        <w:t xml:space="preserve"> </w:t>
      </w:r>
    </w:p>
    <w:p w14:paraId="648990A0" w14:textId="77777777" w:rsidR="005E0AAF" w:rsidRPr="00C61BC1" w:rsidRDefault="005E0AAF" w:rsidP="005E0AAF">
      <w:pPr>
        <w:pStyle w:val="ListParagraph"/>
        <w:ind w:left="0"/>
        <w:jc w:val="both"/>
        <w:rPr>
          <w:rFonts w:ascii="Arial" w:hAnsi="Arial" w:cs="Arial"/>
          <w:lang w:val="es-ES_tradnl"/>
        </w:rPr>
      </w:pPr>
    </w:p>
    <w:p w14:paraId="0C7E460F" w14:textId="77777777" w:rsidR="005E0AAF" w:rsidRDefault="005E0AAF" w:rsidP="005E0AAF">
      <w:pPr>
        <w:pStyle w:val="ListParagraph"/>
        <w:numPr>
          <w:ilvl w:val="0"/>
          <w:numId w:val="11"/>
        </w:numPr>
        <w:ind w:left="0"/>
        <w:jc w:val="both"/>
        <w:rPr>
          <w:rFonts w:ascii="Arial" w:hAnsi="Arial" w:cs="Arial"/>
          <w:lang w:val="es-ES_tradnl"/>
        </w:rPr>
      </w:pPr>
      <w:r w:rsidRPr="00C61BC1">
        <w:rPr>
          <w:rFonts w:ascii="Arial" w:hAnsi="Arial" w:cs="Arial"/>
          <w:lang w:val="es-ES_tradnl"/>
        </w:rPr>
        <w:t xml:space="preserve">El BID </w:t>
      </w:r>
      <w:r>
        <w:rPr>
          <w:rFonts w:ascii="Arial" w:hAnsi="Arial" w:cs="Arial"/>
          <w:lang w:val="es-ES_tradnl"/>
        </w:rPr>
        <w:t xml:space="preserve">ha establecido mecanismos para denunciar la supuesta comisión de Prácticas Prohibidas. Toda denuncia deberá ser remitida a la Oficina de Integridad Institucional (OII) del BID para que se investigue debidamente. El BID también ha adoptado procedimientos de sanción para la resolución de casos. Asimismo, el BID ha celebrado acuerdos con otras instituciones financieras internacionales a fin de dar un reconocimiento recíproco a las sanciones impuestas por sus respectivos órganos sancionadores. </w:t>
      </w:r>
    </w:p>
    <w:p w14:paraId="6352718F" w14:textId="77777777" w:rsidR="005E0AAF" w:rsidRDefault="005E0AAF" w:rsidP="005E0AAF">
      <w:pPr>
        <w:pStyle w:val="ListParagraph"/>
        <w:ind w:left="0"/>
        <w:jc w:val="both"/>
        <w:rPr>
          <w:rFonts w:ascii="Arial" w:hAnsi="Arial" w:cs="Arial"/>
          <w:lang w:val="es-ES_tradnl"/>
        </w:rPr>
      </w:pPr>
    </w:p>
    <w:p w14:paraId="6CDB590F" w14:textId="77777777" w:rsidR="005E0AAF" w:rsidRDefault="005E0AAF" w:rsidP="005E0AAF">
      <w:pPr>
        <w:pStyle w:val="ListParagraph"/>
        <w:numPr>
          <w:ilvl w:val="0"/>
          <w:numId w:val="11"/>
        </w:numPr>
        <w:ind w:left="0"/>
        <w:jc w:val="both"/>
        <w:rPr>
          <w:rFonts w:ascii="Arial" w:hAnsi="Arial" w:cs="Arial"/>
          <w:lang w:val="es-ES_tradnl"/>
        </w:rPr>
      </w:pPr>
      <w:r w:rsidRPr="00C61BC1">
        <w:rPr>
          <w:rFonts w:ascii="Arial" w:hAnsi="Arial" w:cs="Arial"/>
          <w:lang w:val="es-ES_tradnl"/>
        </w:rPr>
        <w:t xml:space="preserve">Cualquier información relacionada con un posible suceso de prácticas prohibidas en el Programa deberá ser comunicada a la menor brevedad posible a la Oficina de Integridad Institucional del BID por medio del correo electrónico </w:t>
      </w:r>
      <w:r w:rsidRPr="00C61BC1">
        <w:rPr>
          <w:rFonts w:ascii="Arial" w:hAnsi="Arial" w:cs="Arial"/>
          <w:color w:val="4F81BD" w:themeColor="accent1"/>
          <w:lang w:val="es-ES_tradnl"/>
        </w:rPr>
        <w:t>oii-reportfraud@iadb.org</w:t>
      </w:r>
      <w:r w:rsidRPr="00C61BC1">
        <w:rPr>
          <w:rFonts w:ascii="Arial" w:hAnsi="Arial" w:cs="Arial"/>
          <w:lang w:val="es-ES_tradnl"/>
        </w:rPr>
        <w:t xml:space="preserve"> o a través de la forma electrónica en </w:t>
      </w:r>
      <w:r w:rsidRPr="00C61BC1">
        <w:rPr>
          <w:rFonts w:ascii="Arial" w:hAnsi="Arial" w:cs="Arial"/>
          <w:color w:val="4F81BD" w:themeColor="accent1"/>
          <w:lang w:val="es-ES_tradnl"/>
        </w:rPr>
        <w:t>https://cuentame.iadb.org</w:t>
      </w:r>
      <w:r w:rsidRPr="00C61BC1">
        <w:rPr>
          <w:rFonts w:ascii="Arial" w:hAnsi="Arial" w:cs="Arial"/>
          <w:lang w:val="es-ES_tradnl"/>
        </w:rPr>
        <w:t xml:space="preserve">. Otros canales de reporte pueden encontrarse en la página web del BID </w:t>
      </w:r>
      <w:hyperlink r:id="rId29" w:history="1">
        <w:r w:rsidRPr="00C61BC1">
          <w:rPr>
            <w:rFonts w:ascii="Arial" w:hAnsi="Arial" w:cs="Arial"/>
            <w:color w:val="4F81BD" w:themeColor="accent1"/>
            <w:lang w:val="es-ES_tradnl"/>
          </w:rPr>
          <w:t>www.iadb.org/integridad</w:t>
        </w:r>
      </w:hyperlink>
      <w:r w:rsidRPr="00C61BC1">
        <w:rPr>
          <w:rFonts w:ascii="Arial" w:hAnsi="Arial" w:cs="Arial"/>
          <w:lang w:val="es-ES_tradnl"/>
        </w:rPr>
        <w:t>.</w:t>
      </w:r>
    </w:p>
    <w:p w14:paraId="35F473AF" w14:textId="77777777" w:rsidR="005E0AAF" w:rsidRDefault="005E0AAF" w:rsidP="005E0AAF">
      <w:pPr>
        <w:pStyle w:val="ListParagraph"/>
        <w:ind w:left="0"/>
        <w:jc w:val="both"/>
        <w:rPr>
          <w:rFonts w:ascii="Arial" w:hAnsi="Arial" w:cs="Arial"/>
          <w:lang w:val="es-ES_tradnl"/>
        </w:rPr>
      </w:pPr>
    </w:p>
    <w:p w14:paraId="7E06D551" w14:textId="1884E8B6" w:rsidR="005E0AAF" w:rsidRDefault="005E0AAF" w:rsidP="005E0AAF">
      <w:pPr>
        <w:pStyle w:val="ListParagraph"/>
        <w:numPr>
          <w:ilvl w:val="0"/>
          <w:numId w:val="11"/>
        </w:numPr>
        <w:ind w:left="0"/>
        <w:jc w:val="both"/>
        <w:rPr>
          <w:rFonts w:ascii="Arial" w:hAnsi="Arial" w:cs="Arial"/>
          <w:lang w:val="es-ES_tradnl"/>
        </w:rPr>
      </w:pPr>
      <w:r>
        <w:rPr>
          <w:rFonts w:ascii="Arial" w:hAnsi="Arial" w:cs="Arial"/>
          <w:lang w:val="es-ES_tradnl"/>
        </w:rPr>
        <w:t>El OE se asegurará que l</w:t>
      </w:r>
      <w:r w:rsidR="007A693B">
        <w:rPr>
          <w:rFonts w:ascii="Arial" w:hAnsi="Arial" w:cs="Arial"/>
          <w:lang w:val="es-ES_tradnl"/>
        </w:rPr>
        <w:t xml:space="preserve">as </w:t>
      </w:r>
      <w:proofErr w:type="spellStart"/>
      <w:r w:rsidR="007A693B">
        <w:rPr>
          <w:rFonts w:ascii="Arial" w:hAnsi="Arial" w:cs="Arial"/>
          <w:lang w:val="es-ES_tradnl"/>
        </w:rPr>
        <w:t>IFIs</w:t>
      </w:r>
      <w:proofErr w:type="spellEnd"/>
      <w:r w:rsidR="007A693B">
        <w:rPr>
          <w:rFonts w:ascii="Arial" w:hAnsi="Arial" w:cs="Arial"/>
          <w:lang w:val="es-ES_tradnl"/>
        </w:rPr>
        <w:t xml:space="preserve"> </w:t>
      </w:r>
      <w:r>
        <w:rPr>
          <w:rFonts w:ascii="Arial" w:hAnsi="Arial" w:cs="Arial"/>
          <w:lang w:val="es-ES_tradnl"/>
        </w:rPr>
        <w:t>comuniquen a los beneficiarios los requisitos de integridad del BID a través de la notificación incluida a continuación</w:t>
      </w:r>
      <w:r w:rsidR="007A693B">
        <w:rPr>
          <w:rFonts w:ascii="Arial" w:hAnsi="Arial" w:cs="Arial"/>
          <w:lang w:val="es-ES_tradnl"/>
        </w:rPr>
        <w:t xml:space="preserve"> y mencionada en el punto IX.1.a del presente reglamento de crédito</w:t>
      </w:r>
      <w:r w:rsidRPr="00C61BC1">
        <w:rPr>
          <w:rFonts w:ascii="Arial" w:hAnsi="Arial" w:cs="Arial"/>
          <w:lang w:val="es-ES_tradnl"/>
        </w:rPr>
        <w:t xml:space="preserve">. </w:t>
      </w:r>
    </w:p>
    <w:p w14:paraId="1A13D4B8" w14:textId="64E121AB" w:rsidR="00F51362" w:rsidRDefault="00F51362" w:rsidP="00F51362">
      <w:pPr>
        <w:spacing w:before="120" w:after="120"/>
        <w:rPr>
          <w:rFonts w:ascii="Arial" w:hAnsi="Arial" w:cs="Arial"/>
          <w:iCs/>
          <w:sz w:val="22"/>
          <w:szCs w:val="22"/>
          <w:lang w:val="es-419"/>
        </w:rPr>
      </w:pPr>
    </w:p>
    <w:p w14:paraId="2BD57D41" w14:textId="3833022D" w:rsidR="00634EB3" w:rsidRDefault="00634EB3" w:rsidP="00F51362">
      <w:pPr>
        <w:spacing w:before="120" w:after="120"/>
        <w:rPr>
          <w:rFonts w:ascii="Arial" w:hAnsi="Arial" w:cs="Arial"/>
          <w:iCs/>
          <w:sz w:val="22"/>
          <w:szCs w:val="22"/>
          <w:lang w:val="es-419"/>
        </w:rPr>
      </w:pPr>
    </w:p>
    <w:p w14:paraId="17E750D7" w14:textId="20150F71" w:rsidR="00634EB3" w:rsidRDefault="00634EB3" w:rsidP="00F51362">
      <w:pPr>
        <w:spacing w:before="120" w:after="120"/>
        <w:rPr>
          <w:rFonts w:ascii="Arial" w:hAnsi="Arial" w:cs="Arial"/>
          <w:iCs/>
          <w:sz w:val="22"/>
          <w:szCs w:val="22"/>
          <w:lang w:val="es-419"/>
        </w:rPr>
      </w:pPr>
    </w:p>
    <w:p w14:paraId="05D44441" w14:textId="70EB802D" w:rsidR="00F51362" w:rsidRPr="00094C76" w:rsidRDefault="007A693B" w:rsidP="00F51362">
      <w:pPr>
        <w:spacing w:before="120" w:after="120"/>
        <w:jc w:val="both"/>
        <w:rPr>
          <w:rFonts w:ascii="Arial" w:hAnsi="Arial" w:cs="Arial"/>
          <w:sz w:val="22"/>
          <w:szCs w:val="22"/>
          <w:lang w:val="es-419"/>
        </w:rPr>
      </w:pPr>
      <w:r>
        <w:rPr>
          <w:rFonts w:ascii="Arial" w:hAnsi="Arial" w:cs="Arial"/>
          <w:sz w:val="22"/>
          <w:szCs w:val="22"/>
          <w:lang w:val="es-419"/>
        </w:rPr>
        <w:t>[</w:t>
      </w:r>
      <w:r w:rsidR="00F51362" w:rsidRPr="00094C76">
        <w:rPr>
          <w:rFonts w:ascii="Arial" w:hAnsi="Arial" w:cs="Arial"/>
          <w:sz w:val="22"/>
          <w:szCs w:val="22"/>
          <w:lang w:val="es-419"/>
        </w:rPr>
        <w:t>Ciudad, fecha]</w:t>
      </w:r>
    </w:p>
    <w:p w14:paraId="3B4B27F0" w14:textId="77777777" w:rsidR="00F51362" w:rsidRPr="00094C76" w:rsidRDefault="00F51362" w:rsidP="00F51362">
      <w:pPr>
        <w:spacing w:before="120" w:after="120"/>
        <w:jc w:val="both"/>
        <w:rPr>
          <w:rFonts w:ascii="Arial" w:hAnsi="Arial" w:cs="Arial"/>
          <w:sz w:val="22"/>
          <w:szCs w:val="22"/>
          <w:lang w:val="es-419"/>
        </w:rPr>
      </w:pPr>
      <w:r w:rsidRPr="00094C76">
        <w:rPr>
          <w:rFonts w:ascii="Arial" w:hAnsi="Arial" w:cs="Arial"/>
          <w:sz w:val="22"/>
          <w:szCs w:val="22"/>
          <w:lang w:val="es-419"/>
        </w:rPr>
        <w:t xml:space="preserve">Asunto: Crédito financiado con recursos del Banco Interamericano de Desarrollo </w:t>
      </w:r>
    </w:p>
    <w:p w14:paraId="4D47F01D" w14:textId="77777777" w:rsidR="00F51362" w:rsidRPr="00094C76" w:rsidRDefault="00F51362" w:rsidP="00F51362">
      <w:pPr>
        <w:spacing w:before="120" w:after="120"/>
        <w:jc w:val="both"/>
        <w:rPr>
          <w:rFonts w:ascii="Arial" w:hAnsi="Arial" w:cs="Arial"/>
          <w:sz w:val="22"/>
          <w:szCs w:val="22"/>
          <w:lang w:val="es-419"/>
        </w:rPr>
      </w:pPr>
      <w:r w:rsidRPr="00094C76">
        <w:rPr>
          <w:rFonts w:ascii="Arial" w:hAnsi="Arial" w:cs="Arial"/>
          <w:sz w:val="22"/>
          <w:szCs w:val="22"/>
          <w:lang w:val="es-419"/>
        </w:rPr>
        <w:t xml:space="preserve">Estimados Señores, </w:t>
      </w:r>
    </w:p>
    <w:p w14:paraId="5BD35EC7" w14:textId="77777777" w:rsidR="00F51362" w:rsidRPr="00094C76" w:rsidRDefault="00F51362" w:rsidP="00F51362">
      <w:pPr>
        <w:spacing w:before="120" w:after="120"/>
        <w:jc w:val="both"/>
        <w:rPr>
          <w:rFonts w:ascii="Arial" w:hAnsi="Arial" w:cs="Arial"/>
          <w:sz w:val="22"/>
          <w:szCs w:val="22"/>
          <w:lang w:val="es-419"/>
        </w:rPr>
      </w:pPr>
      <w:r w:rsidRPr="00094C76">
        <w:rPr>
          <w:rFonts w:ascii="Arial" w:hAnsi="Arial" w:cs="Arial"/>
          <w:sz w:val="22"/>
          <w:szCs w:val="22"/>
          <w:lang w:val="es-419"/>
        </w:rPr>
        <w:t xml:space="preserve">Nos referimos al Pagaré No. XXXX firmado entre [institución financiera] y [nombre del beneficiario] (en adelante el “Pagaré”). </w:t>
      </w:r>
    </w:p>
    <w:p w14:paraId="56E7D4C1" w14:textId="1162BAC8" w:rsidR="00F51362" w:rsidRDefault="00F51362" w:rsidP="00F51362">
      <w:pPr>
        <w:spacing w:before="120" w:after="120"/>
        <w:jc w:val="both"/>
        <w:rPr>
          <w:rFonts w:ascii="Arial" w:hAnsi="Arial" w:cs="Arial"/>
          <w:sz w:val="22"/>
          <w:szCs w:val="22"/>
          <w:lang w:val="es-419"/>
        </w:rPr>
      </w:pPr>
      <w:r w:rsidRPr="00094C76">
        <w:rPr>
          <w:rFonts w:ascii="Arial" w:hAnsi="Arial" w:cs="Arial"/>
          <w:sz w:val="22"/>
          <w:szCs w:val="22"/>
          <w:lang w:val="es-419"/>
        </w:rPr>
        <w:t xml:space="preserve">Por medio de la presente le notificamos que los recursos del crédito a que se refiere el Pagaré han sido financiados por el Banco Interamericano de Desarrollo (en adelante “BID”) bajo el Contrato de Préstamo No. [XXX] para el Programa </w:t>
      </w:r>
      <w:r w:rsidR="00D81631" w:rsidRPr="00ED5EDD">
        <w:rPr>
          <w:rFonts w:ascii="Arial" w:hAnsi="Arial" w:cs="Arial"/>
          <w:sz w:val="22"/>
          <w:szCs w:val="22"/>
        </w:rPr>
        <w:t>Global de Crédito para la Defensa del Tejido Productivo y el Empleo</w:t>
      </w:r>
      <w:r w:rsidRPr="00094C76">
        <w:rPr>
          <w:rFonts w:ascii="Arial" w:hAnsi="Arial" w:cs="Arial"/>
          <w:sz w:val="22"/>
          <w:szCs w:val="22"/>
          <w:lang w:val="es-419"/>
        </w:rPr>
        <w:t xml:space="preserve">, y por ende están sujetos a las </w:t>
      </w:r>
      <w:r w:rsidRPr="00094C76">
        <w:rPr>
          <w:rFonts w:ascii="Arial" w:hAnsi="Arial" w:cs="Arial"/>
          <w:sz w:val="22"/>
          <w:szCs w:val="22"/>
          <w:lang w:val="es-ES_tradnl"/>
        </w:rPr>
        <w:t>políticas y Procedimientos de Sanciones del BID</w:t>
      </w:r>
      <w:r w:rsidRPr="00094C76">
        <w:rPr>
          <w:rFonts w:ascii="Arial" w:hAnsi="Arial" w:cs="Arial"/>
          <w:sz w:val="22"/>
          <w:szCs w:val="22"/>
          <w:lang w:val="es-419"/>
        </w:rPr>
        <w:t>.</w:t>
      </w:r>
      <w:r w:rsidRPr="00094C76">
        <w:rPr>
          <w:rStyle w:val="FootnoteReference"/>
          <w:rFonts w:ascii="Arial" w:hAnsi="Arial" w:cs="Arial"/>
          <w:sz w:val="22"/>
          <w:szCs w:val="22"/>
          <w:lang w:val="es-ES_tradnl"/>
        </w:rPr>
        <w:t xml:space="preserve"> </w:t>
      </w:r>
    </w:p>
    <w:p w14:paraId="16D9CF80" w14:textId="77777777" w:rsidR="00F51362" w:rsidRDefault="00F51362" w:rsidP="00F51362">
      <w:pPr>
        <w:spacing w:before="120" w:after="120"/>
        <w:jc w:val="both"/>
        <w:rPr>
          <w:rFonts w:ascii="Arial" w:hAnsi="Arial" w:cs="Arial"/>
          <w:sz w:val="22"/>
          <w:szCs w:val="22"/>
          <w:lang w:val="es-ES_tradnl"/>
        </w:rPr>
      </w:pPr>
      <w:r w:rsidRPr="00094C76">
        <w:rPr>
          <w:rFonts w:ascii="Arial" w:hAnsi="Arial" w:cs="Arial"/>
          <w:sz w:val="22"/>
          <w:szCs w:val="22"/>
          <w:lang w:val="es-419"/>
        </w:rPr>
        <w:t>E</w:t>
      </w:r>
      <w:r w:rsidRPr="00094C76">
        <w:rPr>
          <w:rFonts w:ascii="Arial" w:hAnsi="Arial" w:cs="Arial"/>
          <w:sz w:val="22"/>
          <w:szCs w:val="22"/>
          <w:lang w:val="es-ES_tradnl"/>
        </w:rPr>
        <w:t>l BID exige como parte de sus políticas que en todas las actividades que financia se observen los más altos niveles éticos y por tanto se denuncie al Banco todo acto sospechoso que pueda constituir una de las siguientes prácticas: fraude, colusión, corrupción, coerción, obstrucción y apropiación indebida, colectivamente llamadas “Prácticas Prohibidas”</w:t>
      </w:r>
      <w:r w:rsidRPr="00094C76">
        <w:rPr>
          <w:rStyle w:val="FootnoteReference"/>
          <w:rFonts w:ascii="Arial" w:hAnsi="Arial" w:cs="Arial"/>
          <w:sz w:val="22"/>
          <w:szCs w:val="22"/>
          <w:lang w:val="es-ES_tradnl"/>
        </w:rPr>
        <w:footnoteReference w:id="20"/>
      </w:r>
      <w:r w:rsidRPr="00094C76">
        <w:rPr>
          <w:rFonts w:ascii="Arial" w:hAnsi="Arial" w:cs="Arial"/>
          <w:sz w:val="22"/>
          <w:szCs w:val="22"/>
          <w:lang w:val="es-ES_tradnl"/>
        </w:rPr>
        <w:t xml:space="preserve">.  </w:t>
      </w:r>
    </w:p>
    <w:p w14:paraId="3CFA1DBE" w14:textId="77777777" w:rsidR="00F51362" w:rsidRDefault="00F51362" w:rsidP="00F51362">
      <w:pPr>
        <w:spacing w:before="120" w:after="120"/>
        <w:jc w:val="both"/>
        <w:rPr>
          <w:rFonts w:ascii="Arial" w:hAnsi="Arial" w:cs="Arial"/>
          <w:sz w:val="22"/>
          <w:szCs w:val="22"/>
          <w:lang w:val="es-ES_tradnl"/>
        </w:rPr>
      </w:pPr>
      <w:r w:rsidRPr="00094C76">
        <w:rPr>
          <w:rFonts w:ascii="Arial" w:hAnsi="Arial" w:cs="Arial"/>
          <w:sz w:val="22"/>
          <w:szCs w:val="22"/>
          <w:lang w:val="es-ES_tradnl"/>
        </w:rPr>
        <w:t>Consecuentemente, le informamos que el BID podrá investigar cualquier actividad sospechosa que se derive de una denuncia o información que reciba el Banco sobre la ocurrencia de Prácticas Prohibidas en conexión con el uso de los recursos del Pagaré. Si el BID comprueba la ocurrencia de una práctica prohibida, el BID podrá imponer las sanciones correspondientes de conformidad con las políticas del BID, sin perjuicio de las acciones civiles, penales o de otra índole a que hubiere lugar, de acuerdo con las normas nacionales aplicables.</w:t>
      </w:r>
    </w:p>
    <w:p w14:paraId="6253DD5C" w14:textId="77777777" w:rsidR="00F51362" w:rsidRPr="00094C76" w:rsidRDefault="00F51362" w:rsidP="00F51362">
      <w:pPr>
        <w:spacing w:before="120" w:after="120"/>
        <w:rPr>
          <w:rFonts w:ascii="Arial" w:eastAsia="Arial" w:hAnsi="Arial" w:cs="Arial"/>
          <w:sz w:val="22"/>
          <w:szCs w:val="22"/>
          <w:lang w:val="es-ES"/>
        </w:rPr>
      </w:pPr>
      <w:r w:rsidRPr="00094C76">
        <w:rPr>
          <w:rFonts w:ascii="Arial" w:hAnsi="Arial" w:cs="Arial"/>
          <w:sz w:val="22"/>
          <w:szCs w:val="22"/>
          <w:lang w:val="es-ES_tradnl"/>
        </w:rPr>
        <w:t>Lo anterior no modifica las condiciones del crédito representadas en este Pagaré emitido por [institución].</w:t>
      </w:r>
      <w:r w:rsidRPr="00094C76">
        <w:rPr>
          <w:rFonts w:ascii="Arial" w:hAnsi="Arial" w:cs="Arial"/>
          <w:iCs/>
          <w:sz w:val="22"/>
          <w:szCs w:val="22"/>
          <w:lang w:val="es-419"/>
        </w:rPr>
        <w:t xml:space="preserve"> </w:t>
      </w:r>
    </w:p>
    <w:p w14:paraId="6E961BDD" w14:textId="77777777" w:rsidR="00146AA8" w:rsidRPr="00ED5EDD" w:rsidRDefault="00146AA8" w:rsidP="00D81631">
      <w:pPr>
        <w:rPr>
          <w:rFonts w:ascii="Arial" w:eastAsia="Batang" w:hAnsi="Arial" w:cs="Arial"/>
          <w:sz w:val="22"/>
          <w:szCs w:val="22"/>
          <w:lang w:val="es-ES_tradnl" w:eastAsia="es-ES_tradnl"/>
        </w:rPr>
      </w:pPr>
    </w:p>
    <w:sectPr w:rsidR="00146AA8" w:rsidRPr="00ED5EDD" w:rsidSect="009E0BE8">
      <w:headerReference w:type="default" r:id="rId30"/>
      <w:headerReference w:type="first" r:id="rId31"/>
      <w:footerReference w:type="first" r:id="rId32"/>
      <w:pgSz w:w="12240" w:h="15840"/>
      <w:pgMar w:top="1440" w:right="1800" w:bottom="1440" w:left="180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84DF68" w14:textId="77777777" w:rsidR="000C47C0" w:rsidRDefault="000C47C0" w:rsidP="00FA548F">
      <w:r>
        <w:separator/>
      </w:r>
    </w:p>
  </w:endnote>
  <w:endnote w:type="continuationSeparator" w:id="0">
    <w:p w14:paraId="2D3C6BAF" w14:textId="77777777" w:rsidR="000C47C0" w:rsidRDefault="000C47C0" w:rsidP="00FA548F">
      <w:r>
        <w:continuationSeparator/>
      </w:r>
    </w:p>
  </w:endnote>
  <w:endnote w:type="continuationNotice" w:id="1">
    <w:p w14:paraId="38D4C696" w14:textId="77777777" w:rsidR="000C47C0" w:rsidRDefault="000C47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24E61" w14:textId="77777777" w:rsidR="00ED5EDD" w:rsidRDefault="00ED5E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25A7C6" w14:textId="77777777" w:rsidR="00ED5EDD" w:rsidRDefault="00ED5E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8209510"/>
      <w:docPartObj>
        <w:docPartGallery w:val="Page Numbers (Bottom of Page)"/>
        <w:docPartUnique/>
      </w:docPartObj>
    </w:sdtPr>
    <w:sdtEndPr>
      <w:rPr>
        <w:rFonts w:ascii="Arial" w:hAnsi="Arial" w:cs="Arial"/>
        <w:noProof/>
        <w:sz w:val="18"/>
        <w:szCs w:val="18"/>
      </w:rPr>
    </w:sdtEndPr>
    <w:sdtContent>
      <w:p w14:paraId="2F7914D6" w14:textId="793639EE" w:rsidR="00ED5EDD" w:rsidRPr="00D410AB" w:rsidRDefault="00ED5EDD">
        <w:pPr>
          <w:pStyle w:val="Footer"/>
          <w:jc w:val="center"/>
          <w:rPr>
            <w:rFonts w:ascii="Arial" w:hAnsi="Arial" w:cs="Arial"/>
            <w:sz w:val="18"/>
            <w:szCs w:val="18"/>
          </w:rPr>
        </w:pPr>
        <w:r w:rsidRPr="00D410AB">
          <w:rPr>
            <w:rFonts w:ascii="Arial" w:hAnsi="Arial" w:cs="Arial"/>
            <w:sz w:val="18"/>
            <w:szCs w:val="18"/>
          </w:rPr>
          <w:fldChar w:fldCharType="begin"/>
        </w:r>
        <w:r w:rsidRPr="00D410AB">
          <w:rPr>
            <w:rFonts w:ascii="Arial" w:hAnsi="Arial" w:cs="Arial"/>
            <w:sz w:val="18"/>
            <w:szCs w:val="18"/>
          </w:rPr>
          <w:instrText xml:space="preserve"> PAGE   \* MERGEFORMAT </w:instrText>
        </w:r>
        <w:r w:rsidRPr="00D410AB">
          <w:rPr>
            <w:rFonts w:ascii="Arial" w:hAnsi="Arial" w:cs="Arial"/>
            <w:sz w:val="18"/>
            <w:szCs w:val="18"/>
          </w:rPr>
          <w:fldChar w:fldCharType="separate"/>
        </w:r>
        <w:r>
          <w:rPr>
            <w:rFonts w:ascii="Arial" w:hAnsi="Arial" w:cs="Arial"/>
            <w:noProof/>
            <w:sz w:val="18"/>
            <w:szCs w:val="18"/>
          </w:rPr>
          <w:t>17</w:t>
        </w:r>
        <w:r w:rsidRPr="00D410AB">
          <w:rPr>
            <w:rFonts w:ascii="Arial" w:hAnsi="Arial" w:cs="Arial"/>
            <w:noProof/>
            <w:sz w:val="18"/>
            <w:szCs w:val="18"/>
          </w:rPr>
          <w:fldChar w:fldCharType="end"/>
        </w:r>
      </w:p>
    </w:sdtContent>
  </w:sdt>
  <w:p w14:paraId="53211A27" w14:textId="77777777" w:rsidR="00ED5EDD" w:rsidRDefault="00ED5ED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2F3C7126" w14:textId="77777777" w:rsidTr="009B1CBD">
      <w:tc>
        <w:tcPr>
          <w:tcW w:w="2880" w:type="dxa"/>
        </w:tcPr>
        <w:p w14:paraId="6C2F4471" w14:textId="7C638C7F" w:rsidR="00ED5EDD" w:rsidRDefault="00ED5EDD" w:rsidP="009B1CBD">
          <w:pPr>
            <w:pStyle w:val="Header"/>
            <w:ind w:left="-115"/>
          </w:pPr>
        </w:p>
      </w:tc>
      <w:tc>
        <w:tcPr>
          <w:tcW w:w="2880" w:type="dxa"/>
        </w:tcPr>
        <w:p w14:paraId="69EB96AF" w14:textId="36FE2DD1" w:rsidR="00ED5EDD" w:rsidRDefault="00ED5EDD" w:rsidP="009B1CBD">
          <w:pPr>
            <w:pStyle w:val="Header"/>
            <w:jc w:val="center"/>
          </w:pPr>
        </w:p>
      </w:tc>
      <w:tc>
        <w:tcPr>
          <w:tcW w:w="2880" w:type="dxa"/>
        </w:tcPr>
        <w:p w14:paraId="633494D3" w14:textId="289BA75F" w:rsidR="00ED5EDD" w:rsidRDefault="00ED5EDD" w:rsidP="009B1CBD">
          <w:pPr>
            <w:pStyle w:val="Header"/>
            <w:ind w:right="-115"/>
            <w:jc w:val="right"/>
          </w:pPr>
        </w:p>
      </w:tc>
    </w:tr>
  </w:tbl>
  <w:p w14:paraId="779E1B30" w14:textId="3235FAD0" w:rsidR="00ED5EDD" w:rsidRDefault="00ED5EDD" w:rsidP="009B1C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17916481" w14:textId="77777777" w:rsidTr="009B1CBD">
      <w:tc>
        <w:tcPr>
          <w:tcW w:w="2880" w:type="dxa"/>
        </w:tcPr>
        <w:p w14:paraId="086407AC" w14:textId="0ECA4541" w:rsidR="00ED5EDD" w:rsidRDefault="00ED5EDD" w:rsidP="009B1CBD">
          <w:pPr>
            <w:pStyle w:val="Header"/>
            <w:ind w:left="-115"/>
          </w:pPr>
        </w:p>
      </w:tc>
      <w:tc>
        <w:tcPr>
          <w:tcW w:w="2880" w:type="dxa"/>
        </w:tcPr>
        <w:p w14:paraId="1DCCA964" w14:textId="3D5F9844" w:rsidR="00ED5EDD" w:rsidRDefault="00ED5EDD" w:rsidP="009B1CBD">
          <w:pPr>
            <w:pStyle w:val="Header"/>
            <w:jc w:val="center"/>
          </w:pPr>
        </w:p>
      </w:tc>
      <w:tc>
        <w:tcPr>
          <w:tcW w:w="2880" w:type="dxa"/>
        </w:tcPr>
        <w:p w14:paraId="17C8731E" w14:textId="59C0CA4E" w:rsidR="00ED5EDD" w:rsidRDefault="00ED5EDD" w:rsidP="009B1CBD">
          <w:pPr>
            <w:pStyle w:val="Header"/>
            <w:ind w:right="-115"/>
            <w:jc w:val="right"/>
          </w:pPr>
        </w:p>
      </w:tc>
    </w:tr>
  </w:tbl>
  <w:p w14:paraId="3F26C107" w14:textId="10C53597" w:rsidR="00ED5EDD" w:rsidRDefault="00ED5EDD" w:rsidP="009B1C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3C6EF556" w14:textId="77777777" w:rsidTr="009B1CBD">
      <w:tc>
        <w:tcPr>
          <w:tcW w:w="2880" w:type="dxa"/>
        </w:tcPr>
        <w:p w14:paraId="4ED9A1FB" w14:textId="77777777" w:rsidR="00ED5EDD" w:rsidRDefault="00ED5EDD" w:rsidP="009B1CBD">
          <w:pPr>
            <w:pStyle w:val="Header"/>
            <w:ind w:left="-115"/>
          </w:pPr>
        </w:p>
      </w:tc>
      <w:tc>
        <w:tcPr>
          <w:tcW w:w="2880" w:type="dxa"/>
        </w:tcPr>
        <w:p w14:paraId="0E27F2D4" w14:textId="77777777" w:rsidR="00ED5EDD" w:rsidRDefault="00ED5EDD" w:rsidP="009B1CBD">
          <w:pPr>
            <w:pStyle w:val="Header"/>
            <w:jc w:val="center"/>
          </w:pPr>
        </w:p>
      </w:tc>
      <w:tc>
        <w:tcPr>
          <w:tcW w:w="2880" w:type="dxa"/>
        </w:tcPr>
        <w:p w14:paraId="2D9B5DEC" w14:textId="77777777" w:rsidR="00ED5EDD" w:rsidRDefault="00ED5EDD" w:rsidP="009B1CBD">
          <w:pPr>
            <w:pStyle w:val="Header"/>
            <w:ind w:right="-115"/>
            <w:jc w:val="right"/>
          </w:pPr>
        </w:p>
      </w:tc>
    </w:tr>
  </w:tbl>
  <w:p w14:paraId="07C6AC7A" w14:textId="77777777" w:rsidR="00ED5EDD" w:rsidRDefault="00ED5EDD" w:rsidP="009B1CB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04C256EA" w14:textId="77777777" w:rsidTr="009B1CBD">
      <w:tc>
        <w:tcPr>
          <w:tcW w:w="2880" w:type="dxa"/>
        </w:tcPr>
        <w:p w14:paraId="0BE8041C" w14:textId="5EF482D2" w:rsidR="00ED5EDD" w:rsidRDefault="00ED5EDD" w:rsidP="009B1CBD">
          <w:pPr>
            <w:pStyle w:val="Header"/>
            <w:ind w:left="-115"/>
          </w:pPr>
        </w:p>
      </w:tc>
      <w:tc>
        <w:tcPr>
          <w:tcW w:w="2880" w:type="dxa"/>
        </w:tcPr>
        <w:p w14:paraId="6C0891E3" w14:textId="50EBD6CC" w:rsidR="00ED5EDD" w:rsidRDefault="00ED5EDD" w:rsidP="009B1CBD">
          <w:pPr>
            <w:pStyle w:val="Header"/>
            <w:jc w:val="center"/>
          </w:pPr>
        </w:p>
      </w:tc>
      <w:tc>
        <w:tcPr>
          <w:tcW w:w="2880" w:type="dxa"/>
        </w:tcPr>
        <w:p w14:paraId="1B955525" w14:textId="0EC00329" w:rsidR="00ED5EDD" w:rsidRDefault="00ED5EDD" w:rsidP="009B1CBD">
          <w:pPr>
            <w:pStyle w:val="Header"/>
            <w:ind w:right="-115"/>
            <w:jc w:val="right"/>
          </w:pPr>
        </w:p>
      </w:tc>
    </w:tr>
  </w:tbl>
  <w:p w14:paraId="74C81F09" w14:textId="786B907C" w:rsidR="00ED5EDD" w:rsidRDefault="00ED5EDD" w:rsidP="009B1CB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320"/>
      <w:gridCol w:w="4320"/>
      <w:gridCol w:w="4320"/>
    </w:tblGrid>
    <w:tr w:rsidR="00ED5EDD" w14:paraId="328485E0" w14:textId="77777777" w:rsidTr="009B1CBD">
      <w:tc>
        <w:tcPr>
          <w:tcW w:w="4320" w:type="dxa"/>
        </w:tcPr>
        <w:p w14:paraId="51A72846" w14:textId="70EB96A2" w:rsidR="00ED5EDD" w:rsidRDefault="00ED5EDD" w:rsidP="009B1CBD">
          <w:pPr>
            <w:pStyle w:val="Header"/>
            <w:ind w:left="-115"/>
          </w:pPr>
        </w:p>
      </w:tc>
      <w:tc>
        <w:tcPr>
          <w:tcW w:w="4320" w:type="dxa"/>
        </w:tcPr>
        <w:p w14:paraId="68F1A3F6" w14:textId="4BF89A64" w:rsidR="00ED5EDD" w:rsidRDefault="00ED5EDD" w:rsidP="009B1CBD">
          <w:pPr>
            <w:pStyle w:val="Header"/>
            <w:jc w:val="center"/>
          </w:pPr>
        </w:p>
      </w:tc>
      <w:tc>
        <w:tcPr>
          <w:tcW w:w="4320" w:type="dxa"/>
        </w:tcPr>
        <w:p w14:paraId="4E3EFDBC" w14:textId="7698D63F" w:rsidR="00ED5EDD" w:rsidRDefault="00ED5EDD" w:rsidP="009B1CBD">
          <w:pPr>
            <w:pStyle w:val="Header"/>
            <w:ind w:right="-115"/>
            <w:jc w:val="right"/>
          </w:pPr>
        </w:p>
      </w:tc>
    </w:tr>
  </w:tbl>
  <w:p w14:paraId="69588198" w14:textId="7C4649BB" w:rsidR="00ED5EDD" w:rsidRDefault="00ED5EDD" w:rsidP="009B1C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15A70" w14:textId="77777777" w:rsidR="000C47C0" w:rsidRDefault="000C47C0" w:rsidP="00FA548F">
      <w:r>
        <w:separator/>
      </w:r>
    </w:p>
  </w:footnote>
  <w:footnote w:type="continuationSeparator" w:id="0">
    <w:p w14:paraId="31B239B2" w14:textId="77777777" w:rsidR="000C47C0" w:rsidRDefault="000C47C0" w:rsidP="00FA548F">
      <w:r>
        <w:continuationSeparator/>
      </w:r>
    </w:p>
  </w:footnote>
  <w:footnote w:type="continuationNotice" w:id="1">
    <w:p w14:paraId="75A01E54" w14:textId="77777777" w:rsidR="000C47C0" w:rsidRDefault="000C47C0"/>
  </w:footnote>
  <w:footnote w:id="2">
    <w:p w14:paraId="3886E830" w14:textId="00795C6E" w:rsidR="00ED5EDD" w:rsidRPr="0065573C" w:rsidRDefault="00ED5EDD" w:rsidP="005D6BCD">
      <w:pPr>
        <w:pStyle w:val="FootnoteText"/>
        <w:spacing w:after="0"/>
        <w:ind w:left="274" w:hanging="274"/>
        <w:rPr>
          <w:rFonts w:ascii="Arial" w:hAnsi="Arial" w:cs="Arial"/>
          <w:sz w:val="18"/>
          <w:szCs w:val="18"/>
        </w:rPr>
      </w:pPr>
      <w:r w:rsidRPr="0065573C">
        <w:rPr>
          <w:rStyle w:val="FootnoteReference"/>
          <w:rFonts w:ascii="Arial" w:hAnsi="Arial" w:cs="Arial"/>
          <w:sz w:val="18"/>
          <w:szCs w:val="18"/>
        </w:rPr>
        <w:footnoteRef/>
      </w:r>
      <w:r w:rsidRPr="0065573C">
        <w:rPr>
          <w:rFonts w:ascii="Arial" w:hAnsi="Arial" w:cs="Arial"/>
          <w:sz w:val="18"/>
          <w:szCs w:val="18"/>
        </w:rPr>
        <w:t xml:space="preserve"> </w:t>
      </w:r>
      <w:r w:rsidRPr="0065573C">
        <w:rPr>
          <w:rFonts w:ascii="Arial" w:hAnsi="Arial" w:cs="Arial"/>
          <w:sz w:val="18"/>
          <w:szCs w:val="18"/>
        </w:rPr>
        <w:tab/>
      </w:r>
      <w:r w:rsidRPr="0065573C">
        <w:rPr>
          <w:rFonts w:ascii="Arial" w:hAnsi="Arial" w:cs="Arial"/>
          <w:sz w:val="18"/>
          <w:szCs w:val="18"/>
          <w:lang w:val="es-ES"/>
        </w:rPr>
        <w:t>Para efectos de clasificación según tamaño de empresas, el programa de préstamo utilizará las definiciones vigentes y emitidas por</w:t>
      </w:r>
      <w:r w:rsidR="003D016F" w:rsidRPr="0065573C">
        <w:rPr>
          <w:rFonts w:ascii="Arial" w:hAnsi="Arial" w:cs="Arial"/>
          <w:sz w:val="18"/>
          <w:szCs w:val="18"/>
          <w:lang w:val="es-ES"/>
        </w:rPr>
        <w:t xml:space="preserve"> Ley (Decreto 135-2008).</w:t>
      </w:r>
    </w:p>
  </w:footnote>
  <w:footnote w:id="3">
    <w:p w14:paraId="3B42FF4F" w14:textId="77777777" w:rsidR="00B20877" w:rsidRPr="001046BA" w:rsidRDefault="00B20877" w:rsidP="00B20877">
      <w:pPr>
        <w:pStyle w:val="FootnoteText"/>
        <w:spacing w:after="40"/>
        <w:rPr>
          <w:rFonts w:ascii="Arial" w:hAnsi="Arial" w:cs="Arial"/>
          <w:sz w:val="18"/>
          <w:szCs w:val="18"/>
        </w:rPr>
      </w:pPr>
      <w:r w:rsidRPr="00583119">
        <w:rPr>
          <w:rStyle w:val="FootnoteReference"/>
          <w:rFonts w:ascii="Arial" w:hAnsi="Arial" w:cs="Arial"/>
          <w:sz w:val="18"/>
          <w:szCs w:val="18"/>
        </w:rPr>
        <w:footnoteRef/>
      </w:r>
      <w:r w:rsidRPr="00583119">
        <w:rPr>
          <w:rFonts w:ascii="Arial" w:hAnsi="Arial" w:cs="Arial"/>
          <w:sz w:val="18"/>
          <w:szCs w:val="18"/>
        </w:rPr>
        <w:t xml:space="preserve"> </w:t>
      </w:r>
      <w:r w:rsidRPr="00583119">
        <w:rPr>
          <w:rFonts w:ascii="Arial" w:hAnsi="Arial" w:cs="Arial"/>
          <w:sz w:val="18"/>
          <w:szCs w:val="18"/>
        </w:rPr>
        <w:tab/>
      </w:r>
      <w:r w:rsidRPr="001046BA">
        <w:rPr>
          <w:rFonts w:ascii="Arial" w:hAnsi="Arial" w:cs="Arial"/>
          <w:sz w:val="18"/>
          <w:szCs w:val="18"/>
        </w:rPr>
        <w:t xml:space="preserve">Las IFI reportarán a BANHPROVI la actividad económica de la MIPYME para evaluar su elegibilidad bajo el programa según el </w:t>
      </w:r>
      <w:hyperlink r:id="rId1" w:history="1">
        <w:r w:rsidRPr="00583119">
          <w:rPr>
            <w:rStyle w:val="Hyperlink"/>
            <w:rFonts w:ascii="Arial" w:hAnsi="Arial" w:cs="Arial"/>
            <w:sz w:val="18"/>
            <w:szCs w:val="18"/>
          </w:rPr>
          <w:t>Clasificador Nacional de Actividades Económicas</w:t>
        </w:r>
      </w:hyperlink>
      <w:r w:rsidRPr="00583119">
        <w:rPr>
          <w:rFonts w:ascii="Arial" w:hAnsi="Arial" w:cs="Arial"/>
          <w:sz w:val="18"/>
          <w:szCs w:val="18"/>
        </w:rPr>
        <w:t>.</w:t>
      </w:r>
    </w:p>
  </w:footnote>
  <w:footnote w:id="4">
    <w:p w14:paraId="5DA526E0" w14:textId="03AAB1EC" w:rsidR="00F51362" w:rsidRPr="00384CDE" w:rsidRDefault="00F51362" w:rsidP="00F51362">
      <w:pPr>
        <w:pStyle w:val="FootnoteText"/>
        <w:spacing w:after="40"/>
        <w:rPr>
          <w:rFonts w:ascii="Arial" w:hAnsi="Arial" w:cs="Arial"/>
          <w:sz w:val="18"/>
          <w:szCs w:val="18"/>
        </w:rPr>
      </w:pPr>
      <w:r w:rsidRPr="00CA3FF2">
        <w:rPr>
          <w:rStyle w:val="FootnoteReference"/>
          <w:rFonts w:ascii="Arial" w:hAnsi="Arial" w:cs="Arial"/>
          <w:sz w:val="18"/>
          <w:szCs w:val="18"/>
        </w:rPr>
        <w:footnoteRef/>
      </w:r>
      <w:r w:rsidRPr="00CA3FF2">
        <w:rPr>
          <w:rFonts w:ascii="Arial" w:hAnsi="Arial" w:cs="Arial"/>
          <w:sz w:val="18"/>
          <w:szCs w:val="18"/>
        </w:rPr>
        <w:t xml:space="preserve"> </w:t>
      </w:r>
      <w:r w:rsidRPr="00CA3FF2">
        <w:rPr>
          <w:rFonts w:ascii="Arial" w:hAnsi="Arial" w:cs="Arial"/>
          <w:sz w:val="18"/>
          <w:szCs w:val="18"/>
        </w:rPr>
        <w:tab/>
        <w:t xml:space="preserve">El programa tiene un enfoque amplio de apoyo al sector turismo en el que se incluyen todos los subsectores turísticos de hospedaje, organizadores de eventos, guías turísticos, agencias de viajes, </w:t>
      </w:r>
      <w:r w:rsidR="007C4CA7">
        <w:rPr>
          <w:rFonts w:ascii="Arial" w:hAnsi="Arial" w:cs="Arial"/>
          <w:sz w:val="18"/>
          <w:szCs w:val="18"/>
        </w:rPr>
        <w:t xml:space="preserve">y </w:t>
      </w:r>
      <w:r w:rsidRPr="00CA3FF2">
        <w:rPr>
          <w:rFonts w:ascii="Arial" w:hAnsi="Arial" w:cs="Arial"/>
          <w:sz w:val="18"/>
          <w:szCs w:val="18"/>
        </w:rPr>
        <w:t xml:space="preserve">también </w:t>
      </w:r>
      <w:r w:rsidR="007C4CA7">
        <w:rPr>
          <w:rFonts w:ascii="Arial" w:hAnsi="Arial" w:cs="Arial"/>
          <w:sz w:val="18"/>
          <w:szCs w:val="18"/>
        </w:rPr>
        <w:t xml:space="preserve">subsectores de </w:t>
      </w:r>
      <w:r w:rsidRPr="00CA3FF2">
        <w:rPr>
          <w:rFonts w:ascii="Arial" w:hAnsi="Arial" w:cs="Arial"/>
          <w:sz w:val="18"/>
          <w:szCs w:val="18"/>
        </w:rPr>
        <w:t xml:space="preserve">servicios asociados al turismo como por ejemplo </w:t>
      </w:r>
      <w:r w:rsidR="007C4CA7">
        <w:rPr>
          <w:rFonts w:ascii="Arial" w:hAnsi="Arial" w:cs="Arial"/>
          <w:sz w:val="18"/>
          <w:szCs w:val="18"/>
        </w:rPr>
        <w:t>gastronomía</w:t>
      </w:r>
      <w:r w:rsidR="007C4CA7" w:rsidRPr="00CA3FF2">
        <w:rPr>
          <w:rFonts w:ascii="Arial" w:hAnsi="Arial" w:cs="Arial"/>
          <w:sz w:val="18"/>
          <w:szCs w:val="18"/>
        </w:rPr>
        <w:t xml:space="preserve"> </w:t>
      </w:r>
      <w:r w:rsidRPr="00CA3FF2">
        <w:rPr>
          <w:rFonts w:ascii="Arial" w:hAnsi="Arial" w:cs="Arial"/>
          <w:sz w:val="18"/>
          <w:szCs w:val="18"/>
        </w:rPr>
        <w:t>y comercio minorista que tenga</w:t>
      </w:r>
      <w:r w:rsidR="007C4CA7">
        <w:rPr>
          <w:rFonts w:ascii="Arial" w:hAnsi="Arial" w:cs="Arial"/>
          <w:sz w:val="18"/>
          <w:szCs w:val="18"/>
        </w:rPr>
        <w:t>n</w:t>
      </w:r>
      <w:r w:rsidRPr="00CA3FF2">
        <w:rPr>
          <w:rFonts w:ascii="Arial" w:hAnsi="Arial" w:cs="Arial"/>
          <w:sz w:val="18"/>
          <w:szCs w:val="18"/>
        </w:rPr>
        <w:t xml:space="preserve"> su actividad en las principales zonas turísticas del país y/o que la generación de sus ingresos</w:t>
      </w:r>
      <w:r w:rsidR="007C4CA7">
        <w:rPr>
          <w:rFonts w:ascii="Arial" w:hAnsi="Arial" w:cs="Arial"/>
          <w:sz w:val="18"/>
          <w:szCs w:val="18"/>
        </w:rPr>
        <w:t xml:space="preserve"> por ventas</w:t>
      </w:r>
      <w:r w:rsidRPr="00CA3FF2">
        <w:rPr>
          <w:rFonts w:ascii="Arial" w:hAnsi="Arial" w:cs="Arial"/>
          <w:sz w:val="18"/>
          <w:szCs w:val="18"/>
        </w:rPr>
        <w:t xml:space="preserve"> dependa directamente de la actividad turística.</w:t>
      </w:r>
    </w:p>
  </w:footnote>
  <w:footnote w:id="5">
    <w:p w14:paraId="74D63C66" w14:textId="031658A3" w:rsidR="00ED5EDD" w:rsidRPr="00300CD8" w:rsidRDefault="00ED5EDD" w:rsidP="000A0C86">
      <w:pPr>
        <w:pStyle w:val="FootnoteText"/>
        <w:spacing w:after="40"/>
        <w:rPr>
          <w:rFonts w:ascii="Arial" w:hAnsi="Arial" w:cs="Arial"/>
          <w:sz w:val="18"/>
          <w:szCs w:val="18"/>
        </w:rPr>
      </w:pPr>
      <w:r w:rsidRPr="00300CD8">
        <w:rPr>
          <w:rStyle w:val="FootnoteReference"/>
          <w:rFonts w:ascii="Arial" w:hAnsi="Arial" w:cs="Arial"/>
          <w:sz w:val="18"/>
          <w:szCs w:val="18"/>
        </w:rPr>
        <w:footnoteRef/>
      </w:r>
      <w:r w:rsidRPr="00300CD8">
        <w:rPr>
          <w:rFonts w:ascii="Arial" w:hAnsi="Arial" w:cs="Arial"/>
          <w:sz w:val="18"/>
          <w:szCs w:val="18"/>
        </w:rPr>
        <w:t xml:space="preserve"> </w:t>
      </w:r>
      <w:r w:rsidRPr="00300CD8">
        <w:rPr>
          <w:rFonts w:ascii="Arial" w:hAnsi="Arial" w:cs="Arial"/>
          <w:sz w:val="18"/>
          <w:szCs w:val="18"/>
        </w:rPr>
        <w:tab/>
        <w:t xml:space="preserve">Se entiende que una empresa es propiedad de mujeres si más del 50% es propiedad de una mujer, o ella es la propietaria absoluta o es quien administra o gerencia la empresa. También si la empresa cuenta con participación de mujeres en la propiedad y la gerencia o administración. Para efectos del presente programa se utilizarán los </w:t>
      </w:r>
      <w:r w:rsidRPr="00D12081">
        <w:rPr>
          <w:rFonts w:ascii="Arial" w:hAnsi="Arial" w:cs="Arial"/>
          <w:sz w:val="18"/>
          <w:szCs w:val="18"/>
        </w:rPr>
        <w:t>parám</w:t>
      </w:r>
      <w:r w:rsidRPr="00300CD8">
        <w:rPr>
          <w:rFonts w:ascii="Arial" w:hAnsi="Arial" w:cs="Arial"/>
          <w:sz w:val="18"/>
          <w:szCs w:val="18"/>
        </w:rPr>
        <w:t>etros de medición de las mejores prácticas internacionales.</w:t>
      </w:r>
    </w:p>
  </w:footnote>
  <w:footnote w:id="6">
    <w:p w14:paraId="61F4776B" w14:textId="48D7C343" w:rsidR="00EA1691" w:rsidRPr="003E525C" w:rsidRDefault="00EA1691" w:rsidP="008B70E9">
      <w:pPr>
        <w:pStyle w:val="FootnoteText"/>
        <w:rPr>
          <w:rStyle w:val="Hyperlink"/>
          <w:bCs/>
          <w:color w:val="auto"/>
          <w:lang w:val="es-ES"/>
        </w:rPr>
      </w:pPr>
      <w:r w:rsidRPr="00EA1691">
        <w:rPr>
          <w:rStyle w:val="FootnoteReference"/>
          <w:rFonts w:ascii="Arial" w:hAnsi="Arial" w:cs="Arial"/>
          <w:sz w:val="18"/>
          <w:szCs w:val="18"/>
        </w:rPr>
        <w:footnoteRef/>
      </w:r>
      <w:r w:rsidR="008B70E9">
        <w:rPr>
          <w:rFonts w:ascii="Arial" w:hAnsi="Arial" w:cs="Arial"/>
          <w:sz w:val="18"/>
          <w:szCs w:val="18"/>
        </w:rPr>
        <w:t xml:space="preserve"> </w:t>
      </w:r>
      <w:hyperlink r:id="rId2" w:history="1">
        <w:r w:rsidR="00002A4F" w:rsidRPr="003E525C">
          <w:rPr>
            <w:rStyle w:val="Hyperlink"/>
            <w:rFonts w:ascii="Arial" w:hAnsi="Arial" w:cs="Arial"/>
            <w:bCs/>
            <w:color w:val="0000FF"/>
            <w:sz w:val="18"/>
            <w:szCs w:val="18"/>
            <w:lang w:val="es-ES"/>
          </w:rPr>
          <w:t>https://www.ine.gob.hn/V3/imag-doc/2019/07/Clasificador-de-Actividades-Economicas-Honduras-2018_PDF-1.pdf</w:t>
        </w:r>
      </w:hyperlink>
    </w:p>
  </w:footnote>
  <w:footnote w:id="7">
    <w:p w14:paraId="774DA4C9" w14:textId="77777777" w:rsidR="005102F7" w:rsidRPr="005F6F30" w:rsidRDefault="005102F7" w:rsidP="005102F7">
      <w:pPr>
        <w:pStyle w:val="FootnoteText"/>
        <w:tabs>
          <w:tab w:val="left" w:pos="360"/>
        </w:tabs>
        <w:ind w:left="360" w:hanging="36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8">
    <w:p w14:paraId="78B7B2EB" w14:textId="77777777" w:rsidR="005102F7" w:rsidRPr="005F6F30" w:rsidRDefault="005102F7" w:rsidP="005102F7">
      <w:pPr>
        <w:pStyle w:val="FootnoteText"/>
        <w:tabs>
          <w:tab w:val="left" w:pos="360"/>
        </w:tabs>
        <w:ind w:left="360" w:hanging="36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Convención sobre el Comercio Internacional de Especies Amenazadas de Fauna y Flora Silvestres (www.cites.org).</w:t>
      </w:r>
    </w:p>
  </w:footnote>
  <w:footnote w:id="9">
    <w:p w14:paraId="3A57E3F9" w14:textId="77777777" w:rsidR="005102F7" w:rsidRPr="005F6F30" w:rsidRDefault="005102F7" w:rsidP="005102F7">
      <w:pPr>
        <w:pStyle w:val="FootnoteText"/>
        <w:tabs>
          <w:tab w:val="left" w:pos="360"/>
        </w:tabs>
        <w:ind w:left="360" w:hanging="36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r>
        <w:rPr>
          <w:rFonts w:ascii="Arial" w:hAnsi="Arial" w:cs="Arial"/>
          <w:sz w:val="16"/>
          <w:szCs w:val="16"/>
          <w:lang w:val="es-ES_tradnl"/>
        </w:rPr>
        <w:t>m</w:t>
      </w:r>
      <w:r w:rsidRPr="005F6F30">
        <w:rPr>
          <w:rFonts w:ascii="Arial" w:hAnsi="Arial" w:cs="Arial"/>
          <w:sz w:val="16"/>
          <w:szCs w:val="16"/>
          <w:lang w:val="es-ES_tradnl"/>
        </w:rPr>
        <w:t>m. de lluvia por mes durante dos de cada tres años con una temperatura media anual de 240 C o más.</w:t>
      </w:r>
    </w:p>
  </w:footnote>
  <w:footnote w:id="10">
    <w:p w14:paraId="58D19202" w14:textId="77777777" w:rsidR="005102F7" w:rsidRPr="005F6F30" w:rsidRDefault="005102F7" w:rsidP="005102F7">
      <w:pPr>
        <w:pStyle w:val="FootnoteText"/>
        <w:tabs>
          <w:tab w:val="left" w:pos="360"/>
        </w:tabs>
        <w:ind w:left="360" w:hanging="36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país, otras áreas incluyen </w:t>
      </w:r>
      <w:r>
        <w:rPr>
          <w:rFonts w:ascii="Arial" w:hAnsi="Arial" w:cs="Arial"/>
          <w:sz w:val="16"/>
          <w:szCs w:val="16"/>
          <w:lang w:val="es-ES_tradnl"/>
        </w:rPr>
        <w:t xml:space="preserve">(i) </w:t>
      </w:r>
      <w:r w:rsidRPr="005F6F30">
        <w:rPr>
          <w:rFonts w:ascii="Arial" w:hAnsi="Arial" w:cs="Arial"/>
          <w:sz w:val="16"/>
          <w:szCs w:val="16"/>
          <w:lang w:val="es-ES_tradnl"/>
        </w:rPr>
        <w:t xml:space="preserve">sitios de patrimonio mundial natural (definidos por la Convención sobre la Protección del Patrimonio Mundial http://whc.unesco.org), </w:t>
      </w:r>
      <w:r>
        <w:rPr>
          <w:rFonts w:ascii="Arial" w:hAnsi="Arial" w:cs="Arial"/>
          <w:sz w:val="16"/>
          <w:szCs w:val="16"/>
          <w:lang w:val="es-ES_tradnl"/>
        </w:rPr>
        <w:t xml:space="preserve">(ii) </w:t>
      </w:r>
      <w:r w:rsidRPr="005F6F30">
        <w:rPr>
          <w:rFonts w:ascii="Arial" w:hAnsi="Arial" w:cs="Arial"/>
          <w:sz w:val="16"/>
          <w:szCs w:val="16"/>
          <w:lang w:val="es-ES_tradnl"/>
        </w:rPr>
        <w:t xml:space="preserve">Lista de Parques Nacionales y Áreas Protegidas, de las Naciones Unidas, </w:t>
      </w:r>
      <w:r>
        <w:rPr>
          <w:rFonts w:ascii="Arial" w:hAnsi="Arial" w:cs="Arial"/>
          <w:sz w:val="16"/>
          <w:szCs w:val="16"/>
          <w:lang w:val="es-ES_tradnl"/>
        </w:rPr>
        <w:t xml:space="preserve">(iii) </w:t>
      </w:r>
      <w:r w:rsidRPr="005F6F30">
        <w:rPr>
          <w:rFonts w:ascii="Arial" w:hAnsi="Arial" w:cs="Arial"/>
          <w:sz w:val="16"/>
          <w:szCs w:val="16"/>
          <w:lang w:val="es-ES_tradnl"/>
        </w:rPr>
        <w:t xml:space="preserve">humedales designados de importancia internacional (definidos por la Convención de RAMSAR. www.ramsar.org), o </w:t>
      </w:r>
      <w:r>
        <w:rPr>
          <w:rFonts w:ascii="Arial" w:hAnsi="Arial" w:cs="Arial"/>
          <w:sz w:val="16"/>
          <w:szCs w:val="16"/>
          <w:lang w:val="es-ES_tradnl"/>
        </w:rPr>
        <w:t xml:space="preserve">(iv) </w:t>
      </w:r>
      <w:r w:rsidRPr="005F6F30">
        <w:rPr>
          <w:rFonts w:ascii="Arial" w:hAnsi="Arial" w:cs="Arial"/>
          <w:sz w:val="16"/>
          <w:szCs w:val="16"/>
          <w:lang w:val="es-ES_tradnl"/>
        </w:rPr>
        <w:t>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11">
    <w:p w14:paraId="7ADB4CA9" w14:textId="77777777" w:rsidR="005102F7" w:rsidRPr="005F6F30" w:rsidRDefault="005102F7" w:rsidP="005102F7">
      <w:pPr>
        <w:pStyle w:val="FootnoteText"/>
        <w:tabs>
          <w:tab w:val="left" w:pos="360"/>
        </w:tabs>
        <w:ind w:left="360" w:hanging="36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12">
    <w:p w14:paraId="4A18EBDA" w14:textId="77777777" w:rsidR="005102F7" w:rsidRPr="00534EA6" w:rsidRDefault="005102F7" w:rsidP="005102F7">
      <w:pPr>
        <w:pStyle w:val="FootnoteText"/>
        <w:tabs>
          <w:tab w:val="left" w:pos="360"/>
        </w:tabs>
        <w:ind w:left="360" w:hanging="36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PCBs son bifeniles polielorinados -un grupo de químicos altamente tóxicos. Los PCBs son comúnmente hallados en los transformadores eléctricos que emplean aceite, y</w:t>
      </w:r>
      <w:r>
        <w:rPr>
          <w:rFonts w:ascii="Arial" w:hAnsi="Arial" w:cs="Arial"/>
          <w:sz w:val="16"/>
          <w:szCs w:val="16"/>
          <w:lang w:val="es-ES_tradnl"/>
        </w:rPr>
        <w:t xml:space="preserve"> </w:t>
      </w:r>
      <w:r w:rsidRPr="005F6F30">
        <w:rPr>
          <w:rFonts w:ascii="Arial" w:hAnsi="Arial" w:cs="Arial"/>
          <w:sz w:val="16"/>
          <w:szCs w:val="16"/>
          <w:lang w:val="es-ES_tradnl"/>
        </w:rPr>
        <w:t>en los capacitadores y aditamentos eléctricos construidos entre 1950 y 1985.</w:t>
      </w:r>
    </w:p>
  </w:footnote>
  <w:footnote w:id="13">
    <w:p w14:paraId="391CD8CC" w14:textId="77777777" w:rsidR="005102F7" w:rsidRPr="005102F7" w:rsidRDefault="005102F7" w:rsidP="005102F7">
      <w:pPr>
        <w:pStyle w:val="FootnoteText"/>
        <w:tabs>
          <w:tab w:val="left" w:pos="360"/>
        </w:tabs>
        <w:ind w:left="360" w:hanging="270"/>
        <w:rPr>
          <w:rFonts w:ascii="Arial" w:hAnsi="Arial" w:cs="Arial"/>
          <w:sz w:val="16"/>
          <w:szCs w:val="16"/>
          <w:lang w:val="en-US"/>
        </w:rPr>
      </w:pPr>
      <w:r w:rsidRPr="005F6F30">
        <w:rPr>
          <w:rStyle w:val="FootnoteReference"/>
          <w:rFonts w:ascii="Arial" w:hAnsi="Arial" w:cs="Arial"/>
          <w:sz w:val="16"/>
          <w:szCs w:val="16"/>
        </w:rPr>
        <w:footnoteRef/>
      </w:r>
      <w:r w:rsidRPr="005102F7">
        <w:rPr>
          <w:rFonts w:ascii="Arial" w:hAnsi="Arial" w:cs="Arial"/>
          <w:sz w:val="16"/>
          <w:szCs w:val="16"/>
          <w:lang w:val="en-US"/>
        </w:rPr>
        <w:t xml:space="preserve"> </w:t>
      </w:r>
      <w:r w:rsidRPr="005102F7">
        <w:rPr>
          <w:rFonts w:ascii="Arial" w:hAnsi="Arial" w:cs="Arial"/>
          <w:sz w:val="16"/>
          <w:szCs w:val="16"/>
          <w:lang w:val="en-US"/>
        </w:rPr>
        <w:tab/>
        <w:t>Productos farmacéuticos incluidos en el libro titulado ‘United Nations, Banned Products: Consolidated List of Products Whose Consumption and/or Sale Have Been Banned, Withdrawn, Severely Restricted or no, Approved by Governments)’ última versión 2003</w:t>
      </w:r>
    </w:p>
  </w:footnote>
  <w:footnote w:id="14">
    <w:p w14:paraId="22B5D258" w14:textId="77777777" w:rsidR="005102F7" w:rsidRPr="005F6F30" w:rsidRDefault="005102F7" w:rsidP="005102F7">
      <w:pPr>
        <w:pStyle w:val="FootnoteText"/>
        <w:tabs>
          <w:tab w:val="left" w:pos="360"/>
        </w:tabs>
        <w:ind w:left="360" w:hanging="27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Pesticidas y Herbicidas incluidos en el Convenio de Rotterdam (www.wipo.int) y el Convenio de Estocolmo (www.wipo.int).</w:t>
      </w:r>
    </w:p>
  </w:footnote>
  <w:footnote w:id="15">
    <w:p w14:paraId="34533158" w14:textId="77777777" w:rsidR="005102F7" w:rsidRPr="005F6F30" w:rsidRDefault="005102F7" w:rsidP="005102F7">
      <w:pPr>
        <w:pStyle w:val="FootnoteText"/>
        <w:tabs>
          <w:tab w:val="left" w:pos="360"/>
        </w:tabs>
        <w:ind w:left="360" w:hanging="27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Definidos por el Convenio Internacional sobre la reducción o eliminación de los contaminantes orgánicos persistentes (POP) (septiembre de 1999) e incluyen actualmente los pesticidas aldrina, clordano, dieldrina, endrina, heptacloro, mirex y toxafeno, así como el compuesto químico industrial clorobenceno (</w:t>
      </w:r>
      <w:hyperlink r:id="rId3" w:history="1">
        <w:r w:rsidRPr="005F6F30">
          <w:rPr>
            <w:rStyle w:val="Hyperlink"/>
            <w:rFonts w:ascii="Arial" w:hAnsi="Arial" w:cs="Arial"/>
            <w:sz w:val="16"/>
            <w:szCs w:val="16"/>
            <w:lang w:val="es-ES_tradnl"/>
          </w:rPr>
          <w:t>www.pops.int/</w:t>
        </w:r>
      </w:hyperlink>
      <w:r w:rsidRPr="005F6F30">
        <w:rPr>
          <w:rFonts w:ascii="Arial" w:hAnsi="Arial" w:cs="Arial"/>
          <w:sz w:val="16"/>
          <w:szCs w:val="16"/>
          <w:lang w:val="es-ES_tradnl"/>
        </w:rPr>
        <w:t>)</w:t>
      </w:r>
    </w:p>
  </w:footnote>
  <w:footnote w:id="16">
    <w:p w14:paraId="7698B95C" w14:textId="77777777" w:rsidR="005102F7" w:rsidRPr="005F6F30" w:rsidRDefault="005102F7" w:rsidP="005102F7">
      <w:pPr>
        <w:pStyle w:val="FootnoteText"/>
        <w:tabs>
          <w:tab w:val="left" w:pos="360"/>
        </w:tabs>
        <w:ind w:left="360" w:hanging="27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t>O</w:t>
      </w:r>
      <w:r w:rsidRPr="005F6F30">
        <w:rPr>
          <w:rFonts w:ascii="Arial" w:hAnsi="Arial" w:cs="Arial"/>
          <w:sz w:val="16"/>
          <w:szCs w:val="16"/>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7">
    <w:p w14:paraId="5C0BE7B2" w14:textId="77777777" w:rsidR="005102F7" w:rsidRPr="005F6F30" w:rsidRDefault="005102F7" w:rsidP="005102F7">
      <w:pPr>
        <w:pStyle w:val="FootnoteText"/>
        <w:tabs>
          <w:tab w:val="left" w:pos="360"/>
        </w:tabs>
        <w:ind w:left="360" w:hanging="270"/>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 en el Convenio de Basilea (www.basel.int)</w:t>
      </w:r>
    </w:p>
  </w:footnote>
  <w:footnote w:id="18">
    <w:p w14:paraId="4FC47972" w14:textId="77777777" w:rsidR="005102F7" w:rsidRPr="005F6F30" w:rsidRDefault="005102F7" w:rsidP="005102F7">
      <w:pPr>
        <w:pStyle w:val="Defaul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w:t>
      </w:r>
      <w:r>
        <w:rPr>
          <w:rFonts w:ascii="Arial" w:hAnsi="Arial" w:cs="Arial"/>
          <w:sz w:val="16"/>
          <w:szCs w:val="16"/>
          <w:lang w:val="es-ES_tradnl"/>
        </w:rPr>
        <w:t>)</w:t>
      </w:r>
      <w:r w:rsidRPr="005F6F30">
        <w:rPr>
          <w:rFonts w:ascii="Arial" w:hAnsi="Arial" w:cs="Arial"/>
          <w:sz w:val="16"/>
          <w:szCs w:val="16"/>
          <w:lang w:val="es-ES_tradnl"/>
        </w:rPr>
        <w:t xml:space="preserve">. </w:t>
      </w:r>
    </w:p>
    <w:p w14:paraId="3F73E5D4" w14:textId="77777777" w:rsidR="005102F7" w:rsidRPr="00307787" w:rsidRDefault="005102F7" w:rsidP="005102F7">
      <w:pPr>
        <w:pStyle w:val="FootnoteText"/>
        <w:tabs>
          <w:tab w:val="left" w:pos="360"/>
        </w:tabs>
        <w:ind w:left="360" w:hanging="270"/>
        <w:rPr>
          <w:lang w:val="es-ES_tradnl"/>
        </w:rPr>
      </w:pPr>
    </w:p>
  </w:footnote>
  <w:footnote w:id="19">
    <w:p w14:paraId="67326EF9" w14:textId="77777777" w:rsidR="005E0AAF" w:rsidRDefault="005E0AAF" w:rsidP="005E0AAF">
      <w:pPr>
        <w:pStyle w:val="FootnoteText"/>
        <w:rPr>
          <w:rFonts w:ascii="Arial" w:hAnsi="Arial" w:cs="Arial"/>
        </w:rPr>
      </w:pPr>
      <w:r>
        <w:rPr>
          <w:rStyle w:val="FootnoteReference"/>
          <w:rFonts w:ascii="Arial" w:hAnsi="Arial" w:cs="Arial"/>
        </w:rPr>
        <w:footnoteRef/>
      </w:r>
      <w:r>
        <w:rPr>
          <w:rFonts w:ascii="Arial" w:hAnsi="Arial" w:cs="Arial"/>
        </w:rPr>
        <w:t xml:space="preserve"> El BID prohíbe las siguientes prácticas: </w:t>
      </w:r>
    </w:p>
    <w:p w14:paraId="14D82BB0" w14:textId="77777777" w:rsidR="005E0AAF" w:rsidRDefault="005E0AAF" w:rsidP="005E0AAF">
      <w:pPr>
        <w:autoSpaceDE w:val="0"/>
        <w:autoSpaceDN w:val="0"/>
        <w:adjustRightInd w:val="0"/>
        <w:rPr>
          <w:rFonts w:ascii="Calibri" w:eastAsia="Calibri" w:hAnsi="Calibri" w:cs="Calibri"/>
          <w:color w:val="000000"/>
          <w:lang w:val="es-419" w:eastAsia="en-US"/>
        </w:rPr>
      </w:pPr>
      <w:r>
        <w:rPr>
          <w:rFonts w:ascii="Calibri" w:eastAsia="Calibri" w:hAnsi="Calibri" w:cs="Calibri"/>
          <w:i/>
          <w:iCs/>
          <w:color w:val="000000"/>
          <w:lang w:val="es-419" w:eastAsia="en-US"/>
        </w:rPr>
        <w:t xml:space="preserve">(i) Una práctica corrupta </w:t>
      </w:r>
      <w:r>
        <w:rPr>
          <w:rFonts w:ascii="Calibri" w:eastAsia="Calibri" w:hAnsi="Calibri" w:cs="Calibri"/>
          <w:color w:val="000000"/>
          <w:lang w:val="es-419" w:eastAsia="en-US"/>
        </w:rPr>
        <w:t xml:space="preserve">consiste en ofrecer, dar, recibir, o solicitar, directa o indirectamente, cualquier cosa de valor para influenciar indebidamente las acciones de otra parte; </w:t>
      </w:r>
    </w:p>
    <w:p w14:paraId="4410C1A0" w14:textId="77777777" w:rsidR="005E0AAF" w:rsidRDefault="005E0AAF" w:rsidP="005E0AAF">
      <w:pPr>
        <w:autoSpaceDE w:val="0"/>
        <w:autoSpaceDN w:val="0"/>
        <w:adjustRightInd w:val="0"/>
        <w:rPr>
          <w:rFonts w:ascii="Calibri" w:eastAsia="Calibri" w:hAnsi="Calibri" w:cs="Calibri"/>
          <w:color w:val="000000"/>
          <w:lang w:val="es-419" w:eastAsia="en-US"/>
        </w:rPr>
      </w:pPr>
      <w:r>
        <w:rPr>
          <w:rFonts w:ascii="Calibri" w:eastAsia="Calibri" w:hAnsi="Calibri" w:cs="Calibri"/>
          <w:color w:val="000000"/>
          <w:lang w:val="es-419" w:eastAsia="en-US"/>
        </w:rPr>
        <w:t>(</w:t>
      </w:r>
      <w:proofErr w:type="spellStart"/>
      <w:r>
        <w:rPr>
          <w:rFonts w:ascii="Calibri" w:eastAsia="Calibri" w:hAnsi="Calibri" w:cs="Calibri"/>
          <w:color w:val="000000"/>
          <w:lang w:val="es-419" w:eastAsia="en-US"/>
        </w:rPr>
        <w:t>ii</w:t>
      </w:r>
      <w:proofErr w:type="spellEnd"/>
      <w:r>
        <w:rPr>
          <w:rFonts w:ascii="Calibri" w:eastAsia="Calibri" w:hAnsi="Calibri" w:cs="Calibri"/>
          <w:color w:val="000000"/>
          <w:lang w:val="es-419" w:eastAsia="en-US"/>
        </w:rPr>
        <w:t xml:space="preserve">) </w:t>
      </w:r>
      <w:r>
        <w:rPr>
          <w:rFonts w:ascii="Calibri" w:eastAsia="Calibri" w:hAnsi="Calibri" w:cs="Calibri"/>
          <w:i/>
          <w:iCs/>
          <w:color w:val="000000"/>
          <w:lang w:val="es-419" w:eastAsia="en-US"/>
        </w:rPr>
        <w:t xml:space="preserve">Una práctica fraudulenta </w:t>
      </w:r>
      <w:r>
        <w:rPr>
          <w:rFonts w:ascii="Calibri" w:eastAsia="Calibri" w:hAnsi="Calibri" w:cs="Calibri"/>
          <w:color w:val="000000"/>
          <w:lang w:val="es-419" w:eastAsia="en-US"/>
        </w:rPr>
        <w:t xml:space="preserve">es cualquier acto u omisión, incluida la tergiversación de hechos y circunstancias, que deliberada o imprudentemente engañen, o intenten engañar, a alguna parte para obtener un beneficio financiero o de otra naturaleza o para evadir una obligación; </w:t>
      </w:r>
    </w:p>
    <w:p w14:paraId="51E0E3ED" w14:textId="77777777" w:rsidR="005E0AAF" w:rsidRDefault="005E0AAF" w:rsidP="005E0AAF">
      <w:pPr>
        <w:autoSpaceDE w:val="0"/>
        <w:autoSpaceDN w:val="0"/>
        <w:adjustRightInd w:val="0"/>
        <w:rPr>
          <w:rFonts w:ascii="Calibri" w:eastAsia="Calibri" w:hAnsi="Calibri" w:cs="Calibri"/>
          <w:color w:val="000000"/>
          <w:lang w:val="es-419" w:eastAsia="en-US"/>
        </w:rPr>
      </w:pPr>
      <w:r>
        <w:rPr>
          <w:rFonts w:ascii="Calibri" w:eastAsia="Calibri" w:hAnsi="Calibri" w:cs="Calibri"/>
          <w:color w:val="000000"/>
          <w:lang w:val="es-419" w:eastAsia="en-US"/>
        </w:rPr>
        <w:t>(</w:t>
      </w:r>
      <w:proofErr w:type="spellStart"/>
      <w:r>
        <w:rPr>
          <w:rFonts w:ascii="Calibri" w:eastAsia="Calibri" w:hAnsi="Calibri" w:cs="Calibri"/>
          <w:color w:val="000000"/>
          <w:lang w:val="es-419" w:eastAsia="en-US"/>
        </w:rPr>
        <w:t>iii</w:t>
      </w:r>
      <w:proofErr w:type="spellEnd"/>
      <w:r>
        <w:rPr>
          <w:rFonts w:ascii="Calibri" w:eastAsia="Calibri" w:hAnsi="Calibri" w:cs="Calibri"/>
          <w:color w:val="000000"/>
          <w:lang w:val="es-419" w:eastAsia="en-US"/>
        </w:rPr>
        <w:t xml:space="preserve">) </w:t>
      </w:r>
      <w:r>
        <w:rPr>
          <w:rFonts w:ascii="Calibri" w:eastAsia="Calibri" w:hAnsi="Calibri" w:cs="Calibri"/>
          <w:i/>
          <w:iCs/>
          <w:color w:val="000000"/>
          <w:lang w:val="es-419" w:eastAsia="en-US"/>
        </w:rPr>
        <w:t xml:space="preserve">Una práctica coercitiva </w:t>
      </w:r>
      <w:r>
        <w:rPr>
          <w:rFonts w:ascii="Calibri" w:eastAsia="Calibri" w:hAnsi="Calibri" w:cs="Calibri"/>
          <w:color w:val="000000"/>
          <w:lang w:val="es-419" w:eastAsia="en-US"/>
        </w:rPr>
        <w:t xml:space="preserve">consiste en perjudicar o causar daño, o amenazar con perjudicar o causar daño, directa o indirectamente, a cualquier parte o a sus bienes para influenciar indebidamente las acciones de una parte; </w:t>
      </w:r>
    </w:p>
    <w:p w14:paraId="3B94DBE8" w14:textId="77777777" w:rsidR="005E0AAF" w:rsidRDefault="005E0AAF" w:rsidP="005E0AAF">
      <w:pPr>
        <w:autoSpaceDE w:val="0"/>
        <w:autoSpaceDN w:val="0"/>
        <w:adjustRightInd w:val="0"/>
        <w:rPr>
          <w:rFonts w:ascii="Calibri" w:eastAsia="Calibri" w:hAnsi="Calibri" w:cs="Calibri"/>
          <w:color w:val="000000"/>
          <w:lang w:val="es-419" w:eastAsia="en-US"/>
        </w:rPr>
      </w:pPr>
      <w:r>
        <w:rPr>
          <w:rFonts w:ascii="Calibri" w:eastAsia="Calibri" w:hAnsi="Calibri" w:cs="Calibri"/>
          <w:color w:val="000000"/>
          <w:lang w:val="es-419" w:eastAsia="en-US"/>
        </w:rPr>
        <w:t>(</w:t>
      </w:r>
      <w:proofErr w:type="spellStart"/>
      <w:r>
        <w:rPr>
          <w:rFonts w:ascii="Calibri" w:eastAsia="Calibri" w:hAnsi="Calibri" w:cs="Calibri"/>
          <w:color w:val="000000"/>
          <w:lang w:val="es-419" w:eastAsia="en-US"/>
        </w:rPr>
        <w:t>iv</w:t>
      </w:r>
      <w:proofErr w:type="spellEnd"/>
      <w:r>
        <w:rPr>
          <w:rFonts w:ascii="Calibri" w:eastAsia="Calibri" w:hAnsi="Calibri" w:cs="Calibri"/>
          <w:color w:val="000000"/>
          <w:lang w:val="es-419" w:eastAsia="en-US"/>
        </w:rPr>
        <w:t xml:space="preserve">) </w:t>
      </w:r>
      <w:r>
        <w:rPr>
          <w:rFonts w:ascii="Calibri" w:eastAsia="Calibri" w:hAnsi="Calibri" w:cs="Calibri"/>
          <w:i/>
          <w:iCs/>
          <w:color w:val="000000"/>
          <w:lang w:val="es-419" w:eastAsia="en-US"/>
        </w:rPr>
        <w:t>Una p</w:t>
      </w:r>
      <w:r>
        <w:rPr>
          <w:rFonts w:ascii="Calibri" w:eastAsia="Calibri" w:hAnsi="Calibri" w:cs="Calibri"/>
          <w:color w:val="000000"/>
          <w:lang w:val="es-419" w:eastAsia="en-US"/>
        </w:rPr>
        <w:t>r</w:t>
      </w:r>
      <w:r>
        <w:rPr>
          <w:rFonts w:ascii="Calibri" w:eastAsia="Calibri" w:hAnsi="Calibri" w:cs="Calibri"/>
          <w:i/>
          <w:iCs/>
          <w:color w:val="000000"/>
          <w:lang w:val="es-419" w:eastAsia="en-US"/>
        </w:rPr>
        <w:t xml:space="preserve">áctica colusoria </w:t>
      </w:r>
      <w:r>
        <w:rPr>
          <w:rFonts w:ascii="Calibri" w:eastAsia="Calibri" w:hAnsi="Calibri" w:cs="Calibri"/>
          <w:color w:val="000000"/>
          <w:lang w:val="es-419" w:eastAsia="en-US"/>
        </w:rPr>
        <w:t xml:space="preserve">es un acuerdo entre dos o más partes realizado con la intención de alcanzar un propósito inapropiado, lo que incluye influenciar en forma inapropiada las acciones de otra parte; </w:t>
      </w:r>
    </w:p>
    <w:p w14:paraId="58C520D5" w14:textId="77777777" w:rsidR="005E0AAF" w:rsidRDefault="005E0AAF" w:rsidP="005E0AAF">
      <w:pPr>
        <w:autoSpaceDE w:val="0"/>
        <w:autoSpaceDN w:val="0"/>
        <w:adjustRightInd w:val="0"/>
        <w:rPr>
          <w:rFonts w:ascii="Calibri" w:eastAsia="Calibri" w:hAnsi="Calibri" w:cs="Calibri"/>
          <w:color w:val="000000"/>
          <w:lang w:val="es-419" w:eastAsia="en-US"/>
        </w:rPr>
      </w:pPr>
      <w:r>
        <w:rPr>
          <w:rFonts w:ascii="Calibri" w:eastAsia="Calibri" w:hAnsi="Calibri" w:cs="Calibri"/>
          <w:color w:val="000000"/>
          <w:lang w:val="es-419" w:eastAsia="en-US"/>
        </w:rPr>
        <w:t xml:space="preserve">(v) </w:t>
      </w:r>
      <w:r>
        <w:rPr>
          <w:rFonts w:ascii="Calibri" w:eastAsia="Calibri" w:hAnsi="Calibri" w:cs="Calibri"/>
          <w:i/>
          <w:iCs/>
          <w:color w:val="000000"/>
          <w:lang w:val="es-419" w:eastAsia="en-US"/>
        </w:rPr>
        <w:t xml:space="preserve">Una práctica obstructiva </w:t>
      </w:r>
      <w:r>
        <w:rPr>
          <w:rFonts w:ascii="Calibri" w:eastAsia="Calibri" w:hAnsi="Calibri" w:cs="Calibri"/>
          <w:color w:val="000000"/>
          <w:lang w:val="es-419" w:eastAsia="en-US"/>
        </w:rPr>
        <w:t xml:space="preserve">consiste en </w:t>
      </w:r>
    </w:p>
    <w:p w14:paraId="1D896525" w14:textId="77777777" w:rsidR="005E0AAF" w:rsidRDefault="005E0AAF" w:rsidP="005E0AAF">
      <w:pPr>
        <w:autoSpaceDE w:val="0"/>
        <w:autoSpaceDN w:val="0"/>
        <w:adjustRightInd w:val="0"/>
        <w:ind w:left="720"/>
        <w:rPr>
          <w:rFonts w:ascii="Calibri" w:eastAsia="Calibri" w:hAnsi="Calibri" w:cs="Calibri"/>
          <w:color w:val="000000"/>
          <w:lang w:val="es-419" w:eastAsia="en-US"/>
        </w:rPr>
      </w:pPr>
      <w:r>
        <w:rPr>
          <w:rFonts w:ascii="Calibri" w:eastAsia="Calibri" w:hAnsi="Calibri" w:cs="Calibri"/>
          <w:color w:val="000000"/>
          <w:lang w:val="es-419" w:eastAsia="en-US"/>
        </w:rPr>
        <w:t xml:space="preserve">(a) destruir, falsificar, alterar u ocultar evidencia significativa para una investigación del Grupo BID, o realizar declaraciones falsas ante los investigadores con la intención de impedir una investigación del Grupo BID; </w:t>
      </w:r>
    </w:p>
    <w:p w14:paraId="3AFA0725" w14:textId="77777777" w:rsidR="005E0AAF" w:rsidRDefault="005E0AAF" w:rsidP="005E0AAF">
      <w:pPr>
        <w:autoSpaceDE w:val="0"/>
        <w:autoSpaceDN w:val="0"/>
        <w:adjustRightInd w:val="0"/>
        <w:ind w:left="720"/>
        <w:rPr>
          <w:rFonts w:ascii="Calibri" w:eastAsia="Calibri" w:hAnsi="Calibri" w:cs="Calibri"/>
          <w:color w:val="000000"/>
          <w:lang w:val="es-419" w:eastAsia="en-US"/>
        </w:rPr>
      </w:pPr>
      <w:r>
        <w:rPr>
          <w:rFonts w:ascii="Calibri" w:eastAsia="Calibri" w:hAnsi="Calibri" w:cs="Calibri"/>
          <w:color w:val="000000"/>
          <w:lang w:val="es-419" w:eastAsia="en-US"/>
        </w:rPr>
        <w:t xml:space="preserve">(b) amenazar, hostigar o intimidar a cualquier parte para impedir que divulgue su conocimiento de asuntos que son importantes para una investigación del Grupo BID o que prosiga con la investigación; o </w:t>
      </w:r>
    </w:p>
    <w:p w14:paraId="24F0F3F4" w14:textId="77777777" w:rsidR="005E0AAF" w:rsidRDefault="005E0AAF" w:rsidP="005E0AAF">
      <w:pPr>
        <w:autoSpaceDE w:val="0"/>
        <w:autoSpaceDN w:val="0"/>
        <w:adjustRightInd w:val="0"/>
        <w:ind w:left="720"/>
        <w:rPr>
          <w:rFonts w:ascii="Calibri" w:eastAsia="Calibri" w:hAnsi="Calibri" w:cs="Calibri"/>
          <w:color w:val="000000"/>
          <w:lang w:val="es-419" w:eastAsia="en-US"/>
        </w:rPr>
      </w:pPr>
      <w:r>
        <w:rPr>
          <w:rFonts w:ascii="Calibri" w:eastAsia="Calibri" w:hAnsi="Calibri" w:cs="Calibri"/>
          <w:color w:val="000000"/>
          <w:lang w:val="es-419" w:eastAsia="en-US"/>
        </w:rPr>
        <w:t xml:space="preserve">(c) actos realizados con la intención de impedir el ejercicio de los derechos contractuales de auditoría e inspección del Grupo BID previstos en el párrafo 1.16 (f) de abajo, o sus derechos de acceso a la información; y </w:t>
      </w:r>
    </w:p>
    <w:p w14:paraId="4ACBA57E" w14:textId="77777777" w:rsidR="005E0AAF" w:rsidRDefault="005E0AAF" w:rsidP="005E0AAF">
      <w:pPr>
        <w:pStyle w:val="FootnoteText"/>
        <w:spacing w:after="0"/>
      </w:pPr>
      <w:r>
        <w:rPr>
          <w:rFonts w:ascii="Calibri" w:eastAsia="Calibri" w:hAnsi="Calibri" w:cs="Calibri"/>
          <w:color w:val="000000"/>
          <w:lang w:val="es-419" w:eastAsia="en-US"/>
        </w:rPr>
        <w:t xml:space="preserve">(vi) La </w:t>
      </w:r>
      <w:r>
        <w:rPr>
          <w:rFonts w:ascii="Calibri" w:eastAsia="Calibri" w:hAnsi="Calibri" w:cs="Calibri"/>
          <w:i/>
          <w:iCs/>
          <w:color w:val="000000"/>
          <w:lang w:val="es-419" w:eastAsia="en-US"/>
        </w:rPr>
        <w:t xml:space="preserve">apropiación indebida </w:t>
      </w:r>
      <w:r>
        <w:rPr>
          <w:rFonts w:ascii="Calibri" w:eastAsia="Calibri" w:hAnsi="Calibri" w:cs="Calibri"/>
          <w:color w:val="000000"/>
          <w:lang w:val="es-419" w:eastAsia="en-US"/>
        </w:rPr>
        <w:t>consiste en el uso de fondos o recursos del Grupo BID para un propósito indebido o para un propósito no autorizado, cometido de forma intencional o por negligencia grave</w:t>
      </w:r>
    </w:p>
  </w:footnote>
  <w:footnote w:id="20">
    <w:p w14:paraId="6B619C34" w14:textId="77777777" w:rsidR="00F51362" w:rsidRPr="00094C76" w:rsidRDefault="00F51362" w:rsidP="00F51362">
      <w:pPr>
        <w:pStyle w:val="FootnoteText"/>
        <w:rPr>
          <w:rFonts w:ascii="Arial" w:hAnsi="Arial" w:cs="Arial"/>
          <w:sz w:val="18"/>
          <w:szCs w:val="18"/>
          <w:lang w:val="es-ES_tradnl"/>
        </w:rPr>
      </w:pPr>
      <w:r w:rsidRPr="00094C76">
        <w:rPr>
          <w:rStyle w:val="FootnoteReference"/>
          <w:rFonts w:ascii="Arial" w:hAnsi="Arial" w:cs="Arial"/>
          <w:sz w:val="18"/>
          <w:szCs w:val="18"/>
        </w:rPr>
        <w:footnoteRef/>
      </w:r>
      <w:r w:rsidRPr="00094C76">
        <w:rPr>
          <w:rFonts w:ascii="Arial" w:hAnsi="Arial" w:cs="Arial"/>
          <w:sz w:val="18"/>
          <w:szCs w:val="18"/>
          <w:lang w:val="es-ES_tradnl"/>
        </w:rPr>
        <w:t xml:space="preserve"> </w:t>
      </w:r>
      <w:r>
        <w:rPr>
          <w:rFonts w:ascii="Arial" w:hAnsi="Arial" w:cs="Arial"/>
          <w:sz w:val="18"/>
          <w:szCs w:val="18"/>
          <w:lang w:val="es-ES_tradnl"/>
        </w:rPr>
        <w:tab/>
      </w:r>
      <w:r w:rsidRPr="00094C76">
        <w:rPr>
          <w:rFonts w:ascii="Arial" w:hAnsi="Arial" w:cs="Arial"/>
          <w:sz w:val="18"/>
          <w:szCs w:val="18"/>
          <w:lang w:val="es-ES_tradnl"/>
        </w:rPr>
        <w:t>En el sitio virtual del Banco (</w:t>
      </w:r>
      <w:hyperlink r:id="rId4" w:history="1">
        <w:r w:rsidRPr="00094C76">
          <w:rPr>
            <w:rStyle w:val="Hyperlink"/>
            <w:rFonts w:ascii="Arial" w:hAnsi="Arial" w:cs="Arial"/>
            <w:sz w:val="18"/>
            <w:szCs w:val="18"/>
            <w:lang w:val="es-ES_tradnl"/>
          </w:rPr>
          <w:t>www.iadb.or/integrity</w:t>
        </w:r>
      </w:hyperlink>
      <w:r w:rsidRPr="00094C76">
        <w:rPr>
          <w:rFonts w:ascii="Arial" w:hAnsi="Arial" w:cs="Arial"/>
          <w:sz w:val="18"/>
          <w:szCs w:val="18"/>
          <w:lang w:val="es-ES_tradnl"/>
        </w:rPr>
        <w:t>) se facilita información para la presentación de denuncias por la supuesta ocurrencia de prácticas prohibidas, las normas aplicables al proceso de investigación y sanción adelantado por el Banco y el convenio de reconocimiento recíproco de sanciones entre instituciones financieras internacionales.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F62DF" w14:textId="77777777" w:rsidR="00ED5EDD" w:rsidRDefault="00ED5EDD">
    <w:pPr>
      <w:pStyle w:val="Header"/>
      <w:jc w:val="center"/>
      <w:rPr>
        <w:rStyle w:val="PageNumber"/>
      </w:rPr>
    </w:pPr>
    <w:r>
      <w:rPr>
        <w:rStyle w:val="PageNumber"/>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320"/>
      <w:gridCol w:w="4320"/>
      <w:gridCol w:w="4320"/>
    </w:tblGrid>
    <w:tr w:rsidR="00ED5EDD" w14:paraId="4D1B591E" w14:textId="77777777" w:rsidTr="009B1CBD">
      <w:tc>
        <w:tcPr>
          <w:tcW w:w="4320" w:type="dxa"/>
        </w:tcPr>
        <w:p w14:paraId="0D263C22" w14:textId="783B15B1" w:rsidR="00ED5EDD" w:rsidRDefault="00ED5EDD" w:rsidP="009B1CBD">
          <w:pPr>
            <w:pStyle w:val="Header"/>
            <w:ind w:left="-115"/>
          </w:pPr>
        </w:p>
      </w:tc>
      <w:tc>
        <w:tcPr>
          <w:tcW w:w="4320" w:type="dxa"/>
        </w:tcPr>
        <w:p w14:paraId="64795FD2" w14:textId="3D4C8E66" w:rsidR="00ED5EDD" w:rsidRDefault="00ED5EDD" w:rsidP="009B1CBD">
          <w:pPr>
            <w:pStyle w:val="Header"/>
            <w:jc w:val="center"/>
          </w:pPr>
        </w:p>
      </w:tc>
      <w:tc>
        <w:tcPr>
          <w:tcW w:w="4320" w:type="dxa"/>
        </w:tcPr>
        <w:p w14:paraId="4A739425" w14:textId="72394FAF" w:rsidR="00ED5EDD" w:rsidRDefault="00ED5EDD" w:rsidP="009B1CBD">
          <w:pPr>
            <w:pStyle w:val="Header"/>
            <w:ind w:right="-115"/>
            <w:jc w:val="right"/>
          </w:pPr>
        </w:p>
      </w:tc>
    </w:tr>
  </w:tbl>
  <w:p w14:paraId="4485A0A6" w14:textId="1F6EDC52" w:rsidR="00ED5EDD" w:rsidRDefault="00ED5EDD" w:rsidP="009B1CB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8E1E2" w14:textId="77777777" w:rsidR="00ED5EDD" w:rsidRDefault="00ED5E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1CB16D2E" w14:textId="77777777" w:rsidTr="009B1CBD">
      <w:tc>
        <w:tcPr>
          <w:tcW w:w="2880" w:type="dxa"/>
        </w:tcPr>
        <w:p w14:paraId="2DE233CB" w14:textId="11FA6300" w:rsidR="00ED5EDD" w:rsidRDefault="00ED5EDD" w:rsidP="009B1CBD">
          <w:pPr>
            <w:pStyle w:val="Header"/>
            <w:ind w:left="-115"/>
          </w:pPr>
        </w:p>
      </w:tc>
      <w:tc>
        <w:tcPr>
          <w:tcW w:w="2880" w:type="dxa"/>
        </w:tcPr>
        <w:p w14:paraId="0871C134" w14:textId="36F52230" w:rsidR="00ED5EDD" w:rsidRDefault="00ED5EDD" w:rsidP="009B1CBD">
          <w:pPr>
            <w:pStyle w:val="Header"/>
            <w:jc w:val="center"/>
          </w:pPr>
        </w:p>
      </w:tc>
      <w:tc>
        <w:tcPr>
          <w:tcW w:w="2880" w:type="dxa"/>
        </w:tcPr>
        <w:p w14:paraId="209C3C42" w14:textId="5DF8629E" w:rsidR="00ED5EDD" w:rsidRDefault="00ED5EDD" w:rsidP="009B1CBD">
          <w:pPr>
            <w:pStyle w:val="Header"/>
            <w:ind w:right="-115"/>
            <w:jc w:val="right"/>
          </w:pPr>
        </w:p>
      </w:tc>
    </w:tr>
  </w:tbl>
  <w:p w14:paraId="7A92D1C1" w14:textId="2E73B6C0" w:rsidR="00ED5EDD" w:rsidRDefault="00ED5EDD" w:rsidP="009B1C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29A2DF22" w14:textId="77777777" w:rsidTr="009B1CBD">
      <w:tc>
        <w:tcPr>
          <w:tcW w:w="2880" w:type="dxa"/>
        </w:tcPr>
        <w:p w14:paraId="134EB2E5" w14:textId="1416D33C" w:rsidR="00ED5EDD" w:rsidRDefault="00ED5EDD" w:rsidP="009B1CBD">
          <w:pPr>
            <w:pStyle w:val="Header"/>
            <w:ind w:left="-115"/>
          </w:pPr>
        </w:p>
      </w:tc>
      <w:tc>
        <w:tcPr>
          <w:tcW w:w="2880" w:type="dxa"/>
        </w:tcPr>
        <w:p w14:paraId="0142598E" w14:textId="37CEA9CD" w:rsidR="00ED5EDD" w:rsidRDefault="00ED5EDD" w:rsidP="009B1CBD">
          <w:pPr>
            <w:pStyle w:val="Header"/>
            <w:jc w:val="center"/>
          </w:pPr>
        </w:p>
      </w:tc>
      <w:tc>
        <w:tcPr>
          <w:tcW w:w="2880" w:type="dxa"/>
        </w:tcPr>
        <w:p w14:paraId="2E6B61BD" w14:textId="39D16F78" w:rsidR="00ED5EDD" w:rsidRDefault="00ED5EDD" w:rsidP="009B1CBD">
          <w:pPr>
            <w:pStyle w:val="Header"/>
            <w:ind w:right="-115"/>
            <w:jc w:val="right"/>
          </w:pPr>
        </w:p>
      </w:tc>
    </w:tr>
  </w:tbl>
  <w:p w14:paraId="004B5655" w14:textId="306E98C7" w:rsidR="00ED5EDD" w:rsidRDefault="00ED5EDD" w:rsidP="009B1C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120C0588" w14:textId="77777777" w:rsidTr="009B1CBD">
      <w:tc>
        <w:tcPr>
          <w:tcW w:w="2880" w:type="dxa"/>
        </w:tcPr>
        <w:p w14:paraId="2BE87AFC" w14:textId="55EFB39E" w:rsidR="00ED5EDD" w:rsidRDefault="00ED5EDD" w:rsidP="009B1CBD">
          <w:pPr>
            <w:pStyle w:val="Header"/>
            <w:ind w:left="-115"/>
          </w:pPr>
        </w:p>
      </w:tc>
      <w:tc>
        <w:tcPr>
          <w:tcW w:w="2880" w:type="dxa"/>
        </w:tcPr>
        <w:p w14:paraId="5128B919" w14:textId="33828FBD" w:rsidR="00ED5EDD" w:rsidRDefault="00ED5EDD" w:rsidP="009B1CBD">
          <w:pPr>
            <w:pStyle w:val="Header"/>
            <w:jc w:val="center"/>
          </w:pPr>
        </w:p>
      </w:tc>
      <w:tc>
        <w:tcPr>
          <w:tcW w:w="2880" w:type="dxa"/>
        </w:tcPr>
        <w:p w14:paraId="25416947" w14:textId="072D4D3F" w:rsidR="00ED5EDD" w:rsidRDefault="00ED5EDD" w:rsidP="009B1CBD">
          <w:pPr>
            <w:pStyle w:val="Header"/>
            <w:ind w:right="-115"/>
            <w:jc w:val="right"/>
          </w:pPr>
        </w:p>
      </w:tc>
    </w:tr>
  </w:tbl>
  <w:p w14:paraId="45398761" w14:textId="541C93FB" w:rsidR="00ED5EDD" w:rsidRDefault="00ED5EDD" w:rsidP="009B1CB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23922E95" w14:textId="77777777" w:rsidTr="009B1CBD">
      <w:tc>
        <w:tcPr>
          <w:tcW w:w="2880" w:type="dxa"/>
        </w:tcPr>
        <w:p w14:paraId="4B87E110" w14:textId="5177B953" w:rsidR="00ED5EDD" w:rsidRDefault="00ED5EDD" w:rsidP="009B1CBD">
          <w:pPr>
            <w:pStyle w:val="Header"/>
            <w:ind w:left="-115"/>
          </w:pPr>
        </w:p>
      </w:tc>
      <w:tc>
        <w:tcPr>
          <w:tcW w:w="2880" w:type="dxa"/>
        </w:tcPr>
        <w:p w14:paraId="538F9D04" w14:textId="3D8CD40B" w:rsidR="00ED5EDD" w:rsidRDefault="00ED5EDD" w:rsidP="009B1CBD">
          <w:pPr>
            <w:pStyle w:val="Header"/>
            <w:jc w:val="center"/>
          </w:pPr>
        </w:p>
      </w:tc>
      <w:tc>
        <w:tcPr>
          <w:tcW w:w="2880" w:type="dxa"/>
        </w:tcPr>
        <w:p w14:paraId="689E076C" w14:textId="3E688872" w:rsidR="00ED5EDD" w:rsidRDefault="00ED5EDD" w:rsidP="009B1CBD">
          <w:pPr>
            <w:pStyle w:val="Header"/>
            <w:ind w:right="-115"/>
            <w:jc w:val="right"/>
          </w:pPr>
        </w:p>
      </w:tc>
    </w:tr>
  </w:tbl>
  <w:p w14:paraId="0DA8E5D4" w14:textId="11C6767F" w:rsidR="00ED5EDD" w:rsidRDefault="00ED5EDD" w:rsidP="009B1CB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5699276C" w14:textId="77777777" w:rsidTr="009B1CBD">
      <w:tc>
        <w:tcPr>
          <w:tcW w:w="2880" w:type="dxa"/>
        </w:tcPr>
        <w:p w14:paraId="4B408909" w14:textId="77777777" w:rsidR="00ED5EDD" w:rsidRDefault="00ED5EDD" w:rsidP="009B1CBD">
          <w:pPr>
            <w:pStyle w:val="Header"/>
            <w:ind w:left="-115"/>
          </w:pPr>
        </w:p>
      </w:tc>
      <w:tc>
        <w:tcPr>
          <w:tcW w:w="2880" w:type="dxa"/>
        </w:tcPr>
        <w:p w14:paraId="05D5FD35" w14:textId="77777777" w:rsidR="00ED5EDD" w:rsidRDefault="00ED5EDD" w:rsidP="009B1CBD">
          <w:pPr>
            <w:pStyle w:val="Header"/>
            <w:jc w:val="center"/>
          </w:pPr>
        </w:p>
      </w:tc>
      <w:tc>
        <w:tcPr>
          <w:tcW w:w="2880" w:type="dxa"/>
        </w:tcPr>
        <w:p w14:paraId="7D5F930C" w14:textId="77777777" w:rsidR="00ED5EDD" w:rsidRDefault="00ED5EDD" w:rsidP="009B1CBD">
          <w:pPr>
            <w:pStyle w:val="Header"/>
            <w:ind w:right="-115"/>
            <w:jc w:val="right"/>
          </w:pPr>
        </w:p>
      </w:tc>
    </w:tr>
  </w:tbl>
  <w:p w14:paraId="4C8A4202" w14:textId="77777777" w:rsidR="00ED5EDD" w:rsidRDefault="00ED5EDD" w:rsidP="009B1CB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78092515" w14:textId="77777777" w:rsidTr="009B1CBD">
      <w:tc>
        <w:tcPr>
          <w:tcW w:w="2880" w:type="dxa"/>
        </w:tcPr>
        <w:p w14:paraId="4F1F6674" w14:textId="77777777" w:rsidR="00ED5EDD" w:rsidRDefault="00ED5EDD" w:rsidP="009B1CBD">
          <w:pPr>
            <w:pStyle w:val="Header"/>
            <w:ind w:left="-115"/>
          </w:pPr>
        </w:p>
      </w:tc>
      <w:tc>
        <w:tcPr>
          <w:tcW w:w="2880" w:type="dxa"/>
        </w:tcPr>
        <w:p w14:paraId="02AA5DC4" w14:textId="77777777" w:rsidR="00ED5EDD" w:rsidRDefault="00ED5EDD" w:rsidP="009B1CBD">
          <w:pPr>
            <w:pStyle w:val="Header"/>
            <w:jc w:val="center"/>
          </w:pPr>
        </w:p>
      </w:tc>
      <w:tc>
        <w:tcPr>
          <w:tcW w:w="2880" w:type="dxa"/>
        </w:tcPr>
        <w:p w14:paraId="5CDBD1B6" w14:textId="77777777" w:rsidR="00ED5EDD" w:rsidRDefault="00ED5EDD" w:rsidP="009B1CBD">
          <w:pPr>
            <w:pStyle w:val="Header"/>
            <w:ind w:right="-115"/>
            <w:jc w:val="right"/>
          </w:pPr>
        </w:p>
      </w:tc>
    </w:tr>
  </w:tbl>
  <w:p w14:paraId="11E0920A" w14:textId="77777777" w:rsidR="00ED5EDD" w:rsidRDefault="00ED5EDD" w:rsidP="009B1CB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6F53320D" w14:textId="77777777" w:rsidTr="009B1CBD">
      <w:tc>
        <w:tcPr>
          <w:tcW w:w="2880" w:type="dxa"/>
        </w:tcPr>
        <w:p w14:paraId="1EB2B3C7" w14:textId="338FF38A" w:rsidR="00ED5EDD" w:rsidRDefault="00ED5EDD" w:rsidP="009B1CBD">
          <w:pPr>
            <w:pStyle w:val="Header"/>
            <w:ind w:left="-115"/>
          </w:pPr>
        </w:p>
      </w:tc>
      <w:tc>
        <w:tcPr>
          <w:tcW w:w="2880" w:type="dxa"/>
        </w:tcPr>
        <w:p w14:paraId="2F6B6289" w14:textId="1C0CC8FB" w:rsidR="00ED5EDD" w:rsidRDefault="00ED5EDD" w:rsidP="009B1CBD">
          <w:pPr>
            <w:pStyle w:val="Header"/>
            <w:jc w:val="center"/>
          </w:pPr>
        </w:p>
      </w:tc>
      <w:tc>
        <w:tcPr>
          <w:tcW w:w="2880" w:type="dxa"/>
        </w:tcPr>
        <w:p w14:paraId="1B08956E" w14:textId="2DF3235E" w:rsidR="00ED5EDD" w:rsidRDefault="00ED5EDD" w:rsidP="009B1CBD">
          <w:pPr>
            <w:pStyle w:val="Header"/>
            <w:ind w:right="-115"/>
            <w:jc w:val="right"/>
          </w:pPr>
        </w:p>
      </w:tc>
    </w:tr>
  </w:tbl>
  <w:p w14:paraId="20BE6CEB" w14:textId="1C4A00DD" w:rsidR="00ED5EDD" w:rsidRDefault="00ED5EDD" w:rsidP="009B1CB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880"/>
      <w:gridCol w:w="2880"/>
      <w:gridCol w:w="2880"/>
    </w:tblGrid>
    <w:tr w:rsidR="00ED5EDD" w14:paraId="2F889040" w14:textId="77777777" w:rsidTr="009B1CBD">
      <w:tc>
        <w:tcPr>
          <w:tcW w:w="2880" w:type="dxa"/>
        </w:tcPr>
        <w:p w14:paraId="5A3D649D" w14:textId="7E428598" w:rsidR="00ED5EDD" w:rsidRDefault="00ED5EDD" w:rsidP="009B1CBD">
          <w:pPr>
            <w:pStyle w:val="Header"/>
            <w:ind w:left="-115"/>
          </w:pPr>
        </w:p>
      </w:tc>
      <w:tc>
        <w:tcPr>
          <w:tcW w:w="2880" w:type="dxa"/>
        </w:tcPr>
        <w:p w14:paraId="04C028B2" w14:textId="1A3CF340" w:rsidR="00ED5EDD" w:rsidRDefault="00ED5EDD" w:rsidP="009B1CBD">
          <w:pPr>
            <w:pStyle w:val="Header"/>
            <w:jc w:val="center"/>
          </w:pPr>
        </w:p>
      </w:tc>
      <w:tc>
        <w:tcPr>
          <w:tcW w:w="2880" w:type="dxa"/>
        </w:tcPr>
        <w:p w14:paraId="6BC76018" w14:textId="04C68F91" w:rsidR="00ED5EDD" w:rsidRDefault="00ED5EDD" w:rsidP="009B1CBD">
          <w:pPr>
            <w:pStyle w:val="Header"/>
            <w:ind w:right="-115"/>
            <w:jc w:val="right"/>
          </w:pPr>
        </w:p>
      </w:tc>
    </w:tr>
  </w:tbl>
  <w:p w14:paraId="61314F93" w14:textId="02C8B5BC" w:rsidR="00ED5EDD" w:rsidRDefault="00ED5EDD" w:rsidP="009B1C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1441E"/>
    <w:multiLevelType w:val="multilevel"/>
    <w:tmpl w:val="DB4454F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bCs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7F721B"/>
    <w:multiLevelType w:val="hybridMultilevel"/>
    <w:tmpl w:val="7BE43F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4635C"/>
    <w:multiLevelType w:val="multilevel"/>
    <w:tmpl w:val="D2F20A78"/>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566"/>
        </w:tabs>
        <w:ind w:left="1566" w:hanging="1296"/>
      </w:pPr>
      <w:rPr>
        <w:rFonts w:ascii="Arial" w:hAnsi="Arial" w:cs="Arial" w:hint="default"/>
        <w:b w:val="0"/>
        <w:bCs w:val="0"/>
      </w:rPr>
    </w:lvl>
    <w:lvl w:ilvl="2">
      <w:start w:val="1"/>
      <w:numFmt w:val="lowerLetter"/>
      <w:pStyle w:val="subpar"/>
      <w:lvlText w:val="%3."/>
      <w:lvlJc w:val="left"/>
      <w:pPr>
        <w:tabs>
          <w:tab w:val="num" w:pos="2592"/>
        </w:tabs>
        <w:ind w:left="2592" w:hanging="432"/>
      </w:pPr>
      <w:rPr>
        <w:b w:val="0"/>
        <w:bCs/>
      </w:rPr>
    </w:lvl>
    <w:lvl w:ilvl="3">
      <w:start w:val="1"/>
      <w:numFmt w:val="lowerRoman"/>
      <w:lvlText w:val="%4."/>
      <w:lvlJc w:val="right"/>
      <w:pPr>
        <w:tabs>
          <w:tab w:val="num" w:pos="3024"/>
        </w:tabs>
        <w:ind w:left="3024" w:hanging="288"/>
      </w:pPr>
      <w:rPr>
        <w:rFonts w:ascii="Arial" w:hAnsi="Arial" w:cs="Arial" w:hint="default"/>
        <w:sz w:val="22"/>
        <w:szCs w:val="22"/>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41E64EAE"/>
    <w:multiLevelType w:val="multilevel"/>
    <w:tmpl w:val="D31EA94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15:restartNumberingAfterBreak="0">
    <w:nsid w:val="44594911"/>
    <w:multiLevelType w:val="multilevel"/>
    <w:tmpl w:val="26EC7048"/>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AE85A52"/>
    <w:multiLevelType w:val="hybridMultilevel"/>
    <w:tmpl w:val="E348E6B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DD42D1"/>
    <w:multiLevelType w:val="hybridMultilevel"/>
    <w:tmpl w:val="14D0F27E"/>
    <w:lvl w:ilvl="0" w:tplc="56CC4A72">
      <w:start w:val="1"/>
      <w:numFmt w:val="bullet"/>
      <w:lvlText w:val=""/>
      <w:lvlJc w:val="left"/>
      <w:pPr>
        <w:ind w:left="720" w:hanging="360"/>
      </w:pPr>
      <w:rPr>
        <w:rFonts w:ascii="Symbol" w:hAnsi="Symbol" w:hint="default"/>
      </w:rPr>
    </w:lvl>
    <w:lvl w:ilvl="1" w:tplc="8E1AF284">
      <w:start w:val="1"/>
      <w:numFmt w:val="bullet"/>
      <w:lvlText w:val="o"/>
      <w:lvlJc w:val="left"/>
      <w:pPr>
        <w:ind w:left="1440" w:hanging="360"/>
      </w:pPr>
      <w:rPr>
        <w:rFonts w:ascii="Courier New" w:hAnsi="Courier New" w:hint="default"/>
      </w:rPr>
    </w:lvl>
    <w:lvl w:ilvl="2" w:tplc="5EAC4E1E">
      <w:start w:val="1"/>
      <w:numFmt w:val="bullet"/>
      <w:lvlText w:val=""/>
      <w:lvlJc w:val="left"/>
      <w:pPr>
        <w:ind w:left="2160" w:hanging="360"/>
      </w:pPr>
      <w:rPr>
        <w:rFonts w:ascii="Wingdings" w:hAnsi="Wingdings" w:hint="default"/>
      </w:rPr>
    </w:lvl>
    <w:lvl w:ilvl="3" w:tplc="2F3A4AE0">
      <w:start w:val="1"/>
      <w:numFmt w:val="bullet"/>
      <w:lvlText w:val=""/>
      <w:lvlJc w:val="left"/>
      <w:pPr>
        <w:ind w:left="2880" w:hanging="360"/>
      </w:pPr>
      <w:rPr>
        <w:rFonts w:ascii="Symbol" w:hAnsi="Symbol" w:hint="default"/>
      </w:rPr>
    </w:lvl>
    <w:lvl w:ilvl="4" w:tplc="CE74E142">
      <w:start w:val="1"/>
      <w:numFmt w:val="bullet"/>
      <w:lvlText w:val="o"/>
      <w:lvlJc w:val="left"/>
      <w:pPr>
        <w:ind w:left="3600" w:hanging="360"/>
      </w:pPr>
      <w:rPr>
        <w:rFonts w:ascii="Courier New" w:hAnsi="Courier New" w:hint="default"/>
      </w:rPr>
    </w:lvl>
    <w:lvl w:ilvl="5" w:tplc="5E74E1DE">
      <w:start w:val="1"/>
      <w:numFmt w:val="bullet"/>
      <w:lvlText w:val=""/>
      <w:lvlJc w:val="left"/>
      <w:pPr>
        <w:ind w:left="4320" w:hanging="360"/>
      </w:pPr>
      <w:rPr>
        <w:rFonts w:ascii="Wingdings" w:hAnsi="Wingdings" w:hint="default"/>
      </w:rPr>
    </w:lvl>
    <w:lvl w:ilvl="6" w:tplc="A2646696">
      <w:start w:val="1"/>
      <w:numFmt w:val="bullet"/>
      <w:lvlText w:val=""/>
      <w:lvlJc w:val="left"/>
      <w:pPr>
        <w:ind w:left="5040" w:hanging="360"/>
      </w:pPr>
      <w:rPr>
        <w:rFonts w:ascii="Symbol" w:hAnsi="Symbol" w:hint="default"/>
      </w:rPr>
    </w:lvl>
    <w:lvl w:ilvl="7" w:tplc="01AA15EC">
      <w:start w:val="1"/>
      <w:numFmt w:val="bullet"/>
      <w:lvlText w:val="o"/>
      <w:lvlJc w:val="left"/>
      <w:pPr>
        <w:ind w:left="5760" w:hanging="360"/>
      </w:pPr>
      <w:rPr>
        <w:rFonts w:ascii="Courier New" w:hAnsi="Courier New" w:hint="default"/>
      </w:rPr>
    </w:lvl>
    <w:lvl w:ilvl="8" w:tplc="50C61E82">
      <w:start w:val="1"/>
      <w:numFmt w:val="bullet"/>
      <w:lvlText w:val=""/>
      <w:lvlJc w:val="left"/>
      <w:pPr>
        <w:ind w:left="6480" w:hanging="360"/>
      </w:pPr>
      <w:rPr>
        <w:rFonts w:ascii="Wingdings" w:hAnsi="Wingdings" w:hint="default"/>
      </w:rPr>
    </w:lvl>
  </w:abstractNum>
  <w:abstractNum w:abstractNumId="7" w15:restartNumberingAfterBreak="0">
    <w:nsid w:val="565137A9"/>
    <w:multiLevelType w:val="hybridMultilevel"/>
    <w:tmpl w:val="FF8A119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36725A"/>
    <w:multiLevelType w:val="hybridMultilevel"/>
    <w:tmpl w:val="3D566F70"/>
    <w:lvl w:ilvl="0" w:tplc="0C0A000B">
      <w:start w:val="1"/>
      <w:numFmt w:val="bullet"/>
      <w:lvlText w:val=""/>
      <w:lvlJc w:val="left"/>
      <w:pPr>
        <w:tabs>
          <w:tab w:val="num" w:pos="720"/>
        </w:tabs>
        <w:ind w:left="720" w:hanging="360"/>
      </w:pPr>
      <w:rPr>
        <w:rFonts w:ascii="Wingdings" w:hAnsi="Wingdings" w:hint="default"/>
      </w:rPr>
    </w:lvl>
    <w:lvl w:ilvl="1" w:tplc="85A48DDC">
      <w:start w:val="1"/>
      <w:numFmt w:val="lowerLetter"/>
      <w:pStyle w:val="Estilo1"/>
      <w:lvlText w:val="%2."/>
      <w:lvlJc w:val="left"/>
      <w:pPr>
        <w:tabs>
          <w:tab w:val="num" w:pos="1440"/>
        </w:tabs>
        <w:ind w:left="1440" w:hanging="360"/>
      </w:pPr>
    </w:lvl>
    <w:lvl w:ilvl="2" w:tplc="0C0A000B">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74C74592"/>
    <w:multiLevelType w:val="multilevel"/>
    <w:tmpl w:val="6392302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6"/>
  </w:num>
  <w:num w:numId="2">
    <w:abstractNumId w:val="9"/>
  </w:num>
  <w:num w:numId="3">
    <w:abstractNumId w:val="8"/>
  </w:num>
  <w:num w:numId="4">
    <w:abstractNumId w:val="3"/>
  </w:num>
  <w:num w:numId="5">
    <w:abstractNumId w:val="2"/>
  </w:num>
  <w:num w:numId="6">
    <w:abstractNumId w:val="7"/>
  </w:num>
  <w:num w:numId="7">
    <w:abstractNumId w:val="0"/>
  </w:num>
  <w:num w:numId="8">
    <w:abstractNumId w:val="2"/>
    <w:lvlOverride w:ilvl="0">
      <w:lvl w:ilvl="0">
        <w:start w:val="1"/>
        <w:numFmt w:val="upperRoman"/>
        <w:lvlRestart w:val="0"/>
        <w:pStyle w:val="Chapter"/>
        <w:lvlText w:val="%1."/>
        <w:lvlJc w:val="center"/>
        <w:pPr>
          <w:tabs>
            <w:tab w:val="num" w:pos="2088"/>
          </w:tabs>
          <w:ind w:left="1440" w:firstLine="288"/>
        </w:pPr>
        <w:rPr>
          <w:rFonts w:hint="default"/>
          <w:b/>
          <w:i w:val="0"/>
        </w:rPr>
      </w:lvl>
    </w:lvlOverride>
    <w:lvlOverride w:ilvl="1">
      <w:lvl w:ilvl="1">
        <w:start w:val="1"/>
        <w:numFmt w:val="decimal"/>
        <w:pStyle w:val="Paragraph"/>
        <w:lvlText w:val="%1.%2"/>
        <w:lvlJc w:val="left"/>
        <w:pPr>
          <w:tabs>
            <w:tab w:val="num" w:pos="2736"/>
          </w:tabs>
          <w:ind w:left="2736" w:hanging="1296"/>
        </w:pPr>
        <w:rPr>
          <w:rFonts w:ascii="Arial" w:hAnsi="Arial" w:cs="Arial" w:hint="default"/>
          <w:b w:val="0"/>
          <w:bCs w:val="0"/>
        </w:rPr>
      </w:lvl>
    </w:lvlOverride>
    <w:lvlOverride w:ilvl="2">
      <w:lvl w:ilvl="2">
        <w:start w:val="1"/>
        <w:numFmt w:val="lowerLetter"/>
        <w:pStyle w:val="subpar"/>
        <w:lvlText w:val="%3."/>
        <w:lvlJc w:val="left"/>
        <w:pPr>
          <w:tabs>
            <w:tab w:val="num" w:pos="2592"/>
          </w:tabs>
          <w:ind w:left="2592" w:hanging="432"/>
        </w:pPr>
        <w:rPr>
          <w:rFonts w:hint="default"/>
          <w:b w:val="0"/>
          <w:bCs/>
        </w:rPr>
      </w:lvl>
    </w:lvlOverride>
    <w:lvlOverride w:ilvl="3">
      <w:lvl w:ilvl="3">
        <w:start w:val="1"/>
        <w:numFmt w:val="lowerRoman"/>
        <w:lvlText w:val="%4."/>
        <w:lvlJc w:val="left"/>
        <w:pPr>
          <w:tabs>
            <w:tab w:val="num" w:pos="3024"/>
          </w:tabs>
          <w:ind w:left="3024" w:hanging="288"/>
        </w:pPr>
        <w:rPr>
          <w:rFonts w:ascii="Arial" w:hAnsi="Arial" w:cs="Arial" w:hint="default"/>
          <w:sz w:val="22"/>
          <w:szCs w:val="22"/>
        </w:rPr>
      </w:lvl>
    </w:lvlOverride>
    <w:lvlOverride w:ilvl="4">
      <w:lvl w:ilvl="4">
        <w:start w:val="1"/>
        <w:numFmt w:val="decimal"/>
        <w:lvlText w:val="%1.%2.%3.%4.%5"/>
        <w:lvlJc w:val="left"/>
        <w:pPr>
          <w:ind w:left="2448" w:hanging="1008"/>
        </w:pPr>
        <w:rPr>
          <w:rFonts w:hint="default"/>
        </w:rPr>
      </w:lvl>
    </w:lvlOverride>
    <w:lvlOverride w:ilvl="5">
      <w:lvl w:ilvl="5">
        <w:start w:val="1"/>
        <w:numFmt w:val="decimal"/>
        <w:lvlText w:val="%1.%2.%3.%4.%5.%6"/>
        <w:lvlJc w:val="left"/>
        <w:pPr>
          <w:ind w:left="2592" w:hanging="1152"/>
        </w:pPr>
        <w:rPr>
          <w:rFonts w:hint="default"/>
        </w:rPr>
      </w:lvl>
    </w:lvlOverride>
    <w:lvlOverride w:ilvl="6">
      <w:lvl w:ilvl="6">
        <w:start w:val="1"/>
        <w:numFmt w:val="decimal"/>
        <w:lvlText w:val="%1.%2.%3.%4.%5.%6.%7"/>
        <w:lvlJc w:val="left"/>
        <w:pPr>
          <w:ind w:left="2736" w:hanging="1296"/>
        </w:pPr>
        <w:rPr>
          <w:rFonts w:hint="default"/>
        </w:rPr>
      </w:lvl>
    </w:lvlOverride>
    <w:lvlOverride w:ilvl="7">
      <w:lvl w:ilvl="7">
        <w:start w:val="1"/>
        <w:numFmt w:val="decimal"/>
        <w:lvlText w:val="%1.%2.%3.%4.%5.%6.%7.%8"/>
        <w:lvlJc w:val="left"/>
        <w:pPr>
          <w:ind w:left="2880" w:hanging="1440"/>
        </w:pPr>
        <w:rPr>
          <w:rFonts w:hint="default"/>
        </w:rPr>
      </w:lvl>
    </w:lvlOverride>
    <w:lvlOverride w:ilvl="8">
      <w:lvl w:ilvl="8">
        <w:start w:val="1"/>
        <w:numFmt w:val="decimal"/>
        <w:lvlText w:val="%1.%2.%3.%4.%5.%6.%7.%8.%9"/>
        <w:lvlJc w:val="left"/>
        <w:pPr>
          <w:ind w:left="3024" w:hanging="1584"/>
        </w:pPr>
        <w:rPr>
          <w:rFonts w:hint="default"/>
        </w:rPr>
      </w:lvl>
    </w:lvlOverride>
  </w:num>
  <w:num w:numId="9">
    <w:abstractNumId w:val="4"/>
  </w:num>
  <w:num w:numId="10">
    <w:abstractNumId w:val="2"/>
  </w:num>
  <w:num w:numId="11">
    <w:abstractNumId w:val="1"/>
  </w:num>
  <w:num w:numId="1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3tjQyMzI1sjQzsjRR0lEKTi0uzszPAykwMqwFAIg27tstAAAA"/>
  </w:docVars>
  <w:rsids>
    <w:rsidRoot w:val="00FA548F"/>
    <w:rsid w:val="0000066C"/>
    <w:rsid w:val="00002A4F"/>
    <w:rsid w:val="0000389C"/>
    <w:rsid w:val="000177E5"/>
    <w:rsid w:val="00021D87"/>
    <w:rsid w:val="000231E7"/>
    <w:rsid w:val="000237DF"/>
    <w:rsid w:val="00024C08"/>
    <w:rsid w:val="000254C4"/>
    <w:rsid w:val="00026642"/>
    <w:rsid w:val="00026851"/>
    <w:rsid w:val="00027EE9"/>
    <w:rsid w:val="00031BEE"/>
    <w:rsid w:val="00033AE3"/>
    <w:rsid w:val="000345AC"/>
    <w:rsid w:val="0003616F"/>
    <w:rsid w:val="000367D0"/>
    <w:rsid w:val="0003713B"/>
    <w:rsid w:val="0004115B"/>
    <w:rsid w:val="00043913"/>
    <w:rsid w:val="000450B7"/>
    <w:rsid w:val="00045A12"/>
    <w:rsid w:val="000467FB"/>
    <w:rsid w:val="00051DB7"/>
    <w:rsid w:val="00054069"/>
    <w:rsid w:val="00054985"/>
    <w:rsid w:val="000577CB"/>
    <w:rsid w:val="00061C71"/>
    <w:rsid w:val="00063783"/>
    <w:rsid w:val="000649C4"/>
    <w:rsid w:val="00067663"/>
    <w:rsid w:val="00067845"/>
    <w:rsid w:val="00073C1D"/>
    <w:rsid w:val="00073D05"/>
    <w:rsid w:val="0008249A"/>
    <w:rsid w:val="00082630"/>
    <w:rsid w:val="00083ADA"/>
    <w:rsid w:val="00084827"/>
    <w:rsid w:val="00090501"/>
    <w:rsid w:val="00090A3F"/>
    <w:rsid w:val="00092507"/>
    <w:rsid w:val="00092CBA"/>
    <w:rsid w:val="00096DC8"/>
    <w:rsid w:val="000A08C1"/>
    <w:rsid w:val="000A0C86"/>
    <w:rsid w:val="000A4B76"/>
    <w:rsid w:val="000A6FF7"/>
    <w:rsid w:val="000B0A47"/>
    <w:rsid w:val="000B0EAB"/>
    <w:rsid w:val="000B13C3"/>
    <w:rsid w:val="000B26A7"/>
    <w:rsid w:val="000B331B"/>
    <w:rsid w:val="000B4989"/>
    <w:rsid w:val="000B4FA7"/>
    <w:rsid w:val="000C2C48"/>
    <w:rsid w:val="000C47C0"/>
    <w:rsid w:val="000D09F2"/>
    <w:rsid w:val="000D413C"/>
    <w:rsid w:val="000D63BD"/>
    <w:rsid w:val="000E022C"/>
    <w:rsid w:val="000E22F3"/>
    <w:rsid w:val="000E265F"/>
    <w:rsid w:val="000F1C78"/>
    <w:rsid w:val="000F4F46"/>
    <w:rsid w:val="000F7452"/>
    <w:rsid w:val="001000FF"/>
    <w:rsid w:val="00104166"/>
    <w:rsid w:val="001046BA"/>
    <w:rsid w:val="0011100D"/>
    <w:rsid w:val="00111DC4"/>
    <w:rsid w:val="00117562"/>
    <w:rsid w:val="001206E8"/>
    <w:rsid w:val="00123205"/>
    <w:rsid w:val="001239B3"/>
    <w:rsid w:val="00124928"/>
    <w:rsid w:val="001277BE"/>
    <w:rsid w:val="001278A3"/>
    <w:rsid w:val="001311FD"/>
    <w:rsid w:val="00133215"/>
    <w:rsid w:val="00133C00"/>
    <w:rsid w:val="00135F95"/>
    <w:rsid w:val="00136A11"/>
    <w:rsid w:val="00137F9C"/>
    <w:rsid w:val="001405AD"/>
    <w:rsid w:val="001409DC"/>
    <w:rsid w:val="00142BB4"/>
    <w:rsid w:val="00146AA8"/>
    <w:rsid w:val="00146DF6"/>
    <w:rsid w:val="001477B5"/>
    <w:rsid w:val="00147A53"/>
    <w:rsid w:val="00153DD0"/>
    <w:rsid w:val="00154BC7"/>
    <w:rsid w:val="00160A39"/>
    <w:rsid w:val="00163152"/>
    <w:rsid w:val="00165F22"/>
    <w:rsid w:val="001709A8"/>
    <w:rsid w:val="00176047"/>
    <w:rsid w:val="00177936"/>
    <w:rsid w:val="00180290"/>
    <w:rsid w:val="001821F8"/>
    <w:rsid w:val="00183E50"/>
    <w:rsid w:val="001875C6"/>
    <w:rsid w:val="00187863"/>
    <w:rsid w:val="00190476"/>
    <w:rsid w:val="00191610"/>
    <w:rsid w:val="00192789"/>
    <w:rsid w:val="001A02DB"/>
    <w:rsid w:val="001A074E"/>
    <w:rsid w:val="001A20C7"/>
    <w:rsid w:val="001A2EA2"/>
    <w:rsid w:val="001A7254"/>
    <w:rsid w:val="001A7914"/>
    <w:rsid w:val="001B4D64"/>
    <w:rsid w:val="001C5E74"/>
    <w:rsid w:val="001D42E8"/>
    <w:rsid w:val="001D47B2"/>
    <w:rsid w:val="001D6263"/>
    <w:rsid w:val="001D7F8F"/>
    <w:rsid w:val="001E39CE"/>
    <w:rsid w:val="001E41E5"/>
    <w:rsid w:val="001F06E3"/>
    <w:rsid w:val="001F381D"/>
    <w:rsid w:val="001F59EC"/>
    <w:rsid w:val="001F5C08"/>
    <w:rsid w:val="00204EF0"/>
    <w:rsid w:val="0020541C"/>
    <w:rsid w:val="002057EE"/>
    <w:rsid w:val="002101BF"/>
    <w:rsid w:val="002120CC"/>
    <w:rsid w:val="002129ED"/>
    <w:rsid w:val="00213550"/>
    <w:rsid w:val="002163F6"/>
    <w:rsid w:val="0021691D"/>
    <w:rsid w:val="002176B0"/>
    <w:rsid w:val="002250B2"/>
    <w:rsid w:val="0022565E"/>
    <w:rsid w:val="00232D58"/>
    <w:rsid w:val="00233BDB"/>
    <w:rsid w:val="00235780"/>
    <w:rsid w:val="00235F38"/>
    <w:rsid w:val="00236A7B"/>
    <w:rsid w:val="002379F7"/>
    <w:rsid w:val="00241789"/>
    <w:rsid w:val="002449C2"/>
    <w:rsid w:val="002509F1"/>
    <w:rsid w:val="002513CC"/>
    <w:rsid w:val="00251577"/>
    <w:rsid w:val="00251DB4"/>
    <w:rsid w:val="00252BF4"/>
    <w:rsid w:val="00253CFC"/>
    <w:rsid w:val="002565E0"/>
    <w:rsid w:val="002731AE"/>
    <w:rsid w:val="0027375D"/>
    <w:rsid w:val="0027721B"/>
    <w:rsid w:val="00280113"/>
    <w:rsid w:val="00280E54"/>
    <w:rsid w:val="00284C81"/>
    <w:rsid w:val="0028583B"/>
    <w:rsid w:val="00286B0C"/>
    <w:rsid w:val="00290558"/>
    <w:rsid w:val="00291280"/>
    <w:rsid w:val="002920AB"/>
    <w:rsid w:val="00292378"/>
    <w:rsid w:val="00296E81"/>
    <w:rsid w:val="00297B39"/>
    <w:rsid w:val="002A0B12"/>
    <w:rsid w:val="002A10B7"/>
    <w:rsid w:val="002A4DAF"/>
    <w:rsid w:val="002A50DB"/>
    <w:rsid w:val="002A6179"/>
    <w:rsid w:val="002B14B4"/>
    <w:rsid w:val="002B42C1"/>
    <w:rsid w:val="002C244C"/>
    <w:rsid w:val="002C3C78"/>
    <w:rsid w:val="002C7E4E"/>
    <w:rsid w:val="002D1422"/>
    <w:rsid w:val="002D32F9"/>
    <w:rsid w:val="002D6C03"/>
    <w:rsid w:val="002E1272"/>
    <w:rsid w:val="002E3A79"/>
    <w:rsid w:val="002E4D58"/>
    <w:rsid w:val="002E519F"/>
    <w:rsid w:val="002E60CF"/>
    <w:rsid w:val="002E64BF"/>
    <w:rsid w:val="002E741C"/>
    <w:rsid w:val="002F23E8"/>
    <w:rsid w:val="002F4037"/>
    <w:rsid w:val="002F52A2"/>
    <w:rsid w:val="002F632B"/>
    <w:rsid w:val="00300CD8"/>
    <w:rsid w:val="00300EF5"/>
    <w:rsid w:val="00300F38"/>
    <w:rsid w:val="00305AC3"/>
    <w:rsid w:val="00310022"/>
    <w:rsid w:val="003118C0"/>
    <w:rsid w:val="00311C29"/>
    <w:rsid w:val="0031555F"/>
    <w:rsid w:val="00317E5B"/>
    <w:rsid w:val="00323432"/>
    <w:rsid w:val="0032605C"/>
    <w:rsid w:val="00331960"/>
    <w:rsid w:val="003343BF"/>
    <w:rsid w:val="003349A8"/>
    <w:rsid w:val="00336863"/>
    <w:rsid w:val="00336C18"/>
    <w:rsid w:val="00340CC3"/>
    <w:rsid w:val="00343044"/>
    <w:rsid w:val="003442BE"/>
    <w:rsid w:val="00344F72"/>
    <w:rsid w:val="00351426"/>
    <w:rsid w:val="0035402E"/>
    <w:rsid w:val="00366B92"/>
    <w:rsid w:val="00366FDA"/>
    <w:rsid w:val="00370B7D"/>
    <w:rsid w:val="00374341"/>
    <w:rsid w:val="0038073E"/>
    <w:rsid w:val="00381360"/>
    <w:rsid w:val="00384BE6"/>
    <w:rsid w:val="00385024"/>
    <w:rsid w:val="00390661"/>
    <w:rsid w:val="003A234D"/>
    <w:rsid w:val="003A39B6"/>
    <w:rsid w:val="003A3AB9"/>
    <w:rsid w:val="003A4975"/>
    <w:rsid w:val="003A6D14"/>
    <w:rsid w:val="003A7BB7"/>
    <w:rsid w:val="003B2306"/>
    <w:rsid w:val="003B5723"/>
    <w:rsid w:val="003B72E2"/>
    <w:rsid w:val="003B7417"/>
    <w:rsid w:val="003C0281"/>
    <w:rsid w:val="003C08B0"/>
    <w:rsid w:val="003C1EDE"/>
    <w:rsid w:val="003D016F"/>
    <w:rsid w:val="003D0EE4"/>
    <w:rsid w:val="003D3358"/>
    <w:rsid w:val="003D5D4F"/>
    <w:rsid w:val="003D647F"/>
    <w:rsid w:val="003D7615"/>
    <w:rsid w:val="003E0723"/>
    <w:rsid w:val="003E3378"/>
    <w:rsid w:val="003E3771"/>
    <w:rsid w:val="003E3B02"/>
    <w:rsid w:val="003E4302"/>
    <w:rsid w:val="003E525C"/>
    <w:rsid w:val="003E530C"/>
    <w:rsid w:val="003E75AE"/>
    <w:rsid w:val="003E79B8"/>
    <w:rsid w:val="003F18AF"/>
    <w:rsid w:val="003F5BCD"/>
    <w:rsid w:val="003F717E"/>
    <w:rsid w:val="00400E69"/>
    <w:rsid w:val="00405D37"/>
    <w:rsid w:val="00406F84"/>
    <w:rsid w:val="00406FE3"/>
    <w:rsid w:val="00410896"/>
    <w:rsid w:val="00410A8F"/>
    <w:rsid w:val="004116C5"/>
    <w:rsid w:val="0041373F"/>
    <w:rsid w:val="00420D9C"/>
    <w:rsid w:val="004214D8"/>
    <w:rsid w:val="00421A0C"/>
    <w:rsid w:val="0042214E"/>
    <w:rsid w:val="0042244A"/>
    <w:rsid w:val="0042253A"/>
    <w:rsid w:val="00422C4C"/>
    <w:rsid w:val="00423C54"/>
    <w:rsid w:val="00425239"/>
    <w:rsid w:val="004262EF"/>
    <w:rsid w:val="004263BB"/>
    <w:rsid w:val="0043039E"/>
    <w:rsid w:val="00430D84"/>
    <w:rsid w:val="00431EEA"/>
    <w:rsid w:val="004343E1"/>
    <w:rsid w:val="004364F8"/>
    <w:rsid w:val="004373BB"/>
    <w:rsid w:val="004373DD"/>
    <w:rsid w:val="00440BCD"/>
    <w:rsid w:val="00442DEA"/>
    <w:rsid w:val="00445445"/>
    <w:rsid w:val="00445553"/>
    <w:rsid w:val="004461AA"/>
    <w:rsid w:val="00447B8A"/>
    <w:rsid w:val="00452377"/>
    <w:rsid w:val="0045416D"/>
    <w:rsid w:val="00455BBD"/>
    <w:rsid w:val="00456851"/>
    <w:rsid w:val="00457172"/>
    <w:rsid w:val="00460F92"/>
    <w:rsid w:val="00461279"/>
    <w:rsid w:val="004625BE"/>
    <w:rsid w:val="00464404"/>
    <w:rsid w:val="00464C51"/>
    <w:rsid w:val="0046558A"/>
    <w:rsid w:val="00466657"/>
    <w:rsid w:val="0047038D"/>
    <w:rsid w:val="0047786D"/>
    <w:rsid w:val="004807BB"/>
    <w:rsid w:val="00480C11"/>
    <w:rsid w:val="004827F2"/>
    <w:rsid w:val="0049309B"/>
    <w:rsid w:val="00493B03"/>
    <w:rsid w:val="00497CC2"/>
    <w:rsid w:val="004A202E"/>
    <w:rsid w:val="004A2350"/>
    <w:rsid w:val="004A25C1"/>
    <w:rsid w:val="004A67B1"/>
    <w:rsid w:val="004B0B79"/>
    <w:rsid w:val="004B15F7"/>
    <w:rsid w:val="004B3000"/>
    <w:rsid w:val="004C0EBE"/>
    <w:rsid w:val="004C224B"/>
    <w:rsid w:val="004D238D"/>
    <w:rsid w:val="004D54BE"/>
    <w:rsid w:val="004D5D79"/>
    <w:rsid w:val="004D7857"/>
    <w:rsid w:val="004E1224"/>
    <w:rsid w:val="004E1531"/>
    <w:rsid w:val="004E39AB"/>
    <w:rsid w:val="004E60E5"/>
    <w:rsid w:val="004E7353"/>
    <w:rsid w:val="004F29F5"/>
    <w:rsid w:val="004F66DC"/>
    <w:rsid w:val="004F7AF5"/>
    <w:rsid w:val="005019E3"/>
    <w:rsid w:val="00502725"/>
    <w:rsid w:val="005102F7"/>
    <w:rsid w:val="00514349"/>
    <w:rsid w:val="005172F9"/>
    <w:rsid w:val="00520DD5"/>
    <w:rsid w:val="005234DD"/>
    <w:rsid w:val="00524670"/>
    <w:rsid w:val="00525A40"/>
    <w:rsid w:val="00531232"/>
    <w:rsid w:val="00534D44"/>
    <w:rsid w:val="005353B6"/>
    <w:rsid w:val="00535BA3"/>
    <w:rsid w:val="00536312"/>
    <w:rsid w:val="00542C00"/>
    <w:rsid w:val="005437AF"/>
    <w:rsid w:val="00544673"/>
    <w:rsid w:val="005476B1"/>
    <w:rsid w:val="00553299"/>
    <w:rsid w:val="00554110"/>
    <w:rsid w:val="005542C8"/>
    <w:rsid w:val="00557A57"/>
    <w:rsid w:val="005603CC"/>
    <w:rsid w:val="0056455D"/>
    <w:rsid w:val="0056624E"/>
    <w:rsid w:val="00566360"/>
    <w:rsid w:val="0056686C"/>
    <w:rsid w:val="00567EB9"/>
    <w:rsid w:val="00572A60"/>
    <w:rsid w:val="0057456B"/>
    <w:rsid w:val="00575BE4"/>
    <w:rsid w:val="00580231"/>
    <w:rsid w:val="00581C1C"/>
    <w:rsid w:val="00582472"/>
    <w:rsid w:val="0058287C"/>
    <w:rsid w:val="00582C8A"/>
    <w:rsid w:val="00583119"/>
    <w:rsid w:val="00585345"/>
    <w:rsid w:val="005869B6"/>
    <w:rsid w:val="00587D46"/>
    <w:rsid w:val="0059100C"/>
    <w:rsid w:val="00597807"/>
    <w:rsid w:val="00597EA7"/>
    <w:rsid w:val="005A06BF"/>
    <w:rsid w:val="005A3FD2"/>
    <w:rsid w:val="005A6A11"/>
    <w:rsid w:val="005A6F6A"/>
    <w:rsid w:val="005B0FC7"/>
    <w:rsid w:val="005B14C2"/>
    <w:rsid w:val="005B2684"/>
    <w:rsid w:val="005B26A4"/>
    <w:rsid w:val="005B4609"/>
    <w:rsid w:val="005B471A"/>
    <w:rsid w:val="005B5C18"/>
    <w:rsid w:val="005B687A"/>
    <w:rsid w:val="005B6A83"/>
    <w:rsid w:val="005B6B79"/>
    <w:rsid w:val="005B76AA"/>
    <w:rsid w:val="005C196B"/>
    <w:rsid w:val="005C1F98"/>
    <w:rsid w:val="005C21E6"/>
    <w:rsid w:val="005C245B"/>
    <w:rsid w:val="005C3A3F"/>
    <w:rsid w:val="005C41A4"/>
    <w:rsid w:val="005C7ADB"/>
    <w:rsid w:val="005D09B6"/>
    <w:rsid w:val="005D1A96"/>
    <w:rsid w:val="005D5A3D"/>
    <w:rsid w:val="005D6562"/>
    <w:rsid w:val="005D6BCD"/>
    <w:rsid w:val="005D7750"/>
    <w:rsid w:val="005E0AAF"/>
    <w:rsid w:val="005E120E"/>
    <w:rsid w:val="005E122B"/>
    <w:rsid w:val="005E1C42"/>
    <w:rsid w:val="005E1CDE"/>
    <w:rsid w:val="005E66B6"/>
    <w:rsid w:val="005E73D6"/>
    <w:rsid w:val="005E7E64"/>
    <w:rsid w:val="005F140C"/>
    <w:rsid w:val="005F2D90"/>
    <w:rsid w:val="005F74A8"/>
    <w:rsid w:val="00600B41"/>
    <w:rsid w:val="006010C6"/>
    <w:rsid w:val="0060673E"/>
    <w:rsid w:val="00607300"/>
    <w:rsid w:val="00607400"/>
    <w:rsid w:val="0061131C"/>
    <w:rsid w:val="006148E8"/>
    <w:rsid w:val="00614BE0"/>
    <w:rsid w:val="00615715"/>
    <w:rsid w:val="00615C79"/>
    <w:rsid w:val="00634EB3"/>
    <w:rsid w:val="00635BF6"/>
    <w:rsid w:val="006364A9"/>
    <w:rsid w:val="00637EA1"/>
    <w:rsid w:val="00640616"/>
    <w:rsid w:val="006407C4"/>
    <w:rsid w:val="00646DD7"/>
    <w:rsid w:val="0065028A"/>
    <w:rsid w:val="006511BA"/>
    <w:rsid w:val="0065146C"/>
    <w:rsid w:val="00651EC9"/>
    <w:rsid w:val="006545FE"/>
    <w:rsid w:val="006551BC"/>
    <w:rsid w:val="0065573C"/>
    <w:rsid w:val="00656228"/>
    <w:rsid w:val="0065714F"/>
    <w:rsid w:val="006573CC"/>
    <w:rsid w:val="00661A49"/>
    <w:rsid w:val="006634C2"/>
    <w:rsid w:val="006668EE"/>
    <w:rsid w:val="0067129F"/>
    <w:rsid w:val="006720FF"/>
    <w:rsid w:val="0067227E"/>
    <w:rsid w:val="00680065"/>
    <w:rsid w:val="00682AE8"/>
    <w:rsid w:val="006844EE"/>
    <w:rsid w:val="0068535F"/>
    <w:rsid w:val="00686402"/>
    <w:rsid w:val="00686B62"/>
    <w:rsid w:val="006909B3"/>
    <w:rsid w:val="00690D98"/>
    <w:rsid w:val="00691809"/>
    <w:rsid w:val="00694486"/>
    <w:rsid w:val="00696648"/>
    <w:rsid w:val="00697D18"/>
    <w:rsid w:val="00697EF8"/>
    <w:rsid w:val="006A20B7"/>
    <w:rsid w:val="006A28F6"/>
    <w:rsid w:val="006A3DC5"/>
    <w:rsid w:val="006B0C42"/>
    <w:rsid w:val="006B1D70"/>
    <w:rsid w:val="006B1F51"/>
    <w:rsid w:val="006B1FCA"/>
    <w:rsid w:val="006B2549"/>
    <w:rsid w:val="006B2B79"/>
    <w:rsid w:val="006B5750"/>
    <w:rsid w:val="006B664C"/>
    <w:rsid w:val="006B6E76"/>
    <w:rsid w:val="006C0E2D"/>
    <w:rsid w:val="006C0FAC"/>
    <w:rsid w:val="006C27C6"/>
    <w:rsid w:val="006C4E00"/>
    <w:rsid w:val="006C63B6"/>
    <w:rsid w:val="006D0DFA"/>
    <w:rsid w:val="006D5748"/>
    <w:rsid w:val="006E03E9"/>
    <w:rsid w:val="006E49A0"/>
    <w:rsid w:val="006E5F22"/>
    <w:rsid w:val="006E641F"/>
    <w:rsid w:val="006F04ED"/>
    <w:rsid w:val="006F3D48"/>
    <w:rsid w:val="006F5C47"/>
    <w:rsid w:val="007024A0"/>
    <w:rsid w:val="007025CE"/>
    <w:rsid w:val="00705C71"/>
    <w:rsid w:val="00706B09"/>
    <w:rsid w:val="00712E51"/>
    <w:rsid w:val="00716E2A"/>
    <w:rsid w:val="007208ED"/>
    <w:rsid w:val="00720BB3"/>
    <w:rsid w:val="00726215"/>
    <w:rsid w:val="00726B8B"/>
    <w:rsid w:val="00741F1C"/>
    <w:rsid w:val="00743011"/>
    <w:rsid w:val="0074501A"/>
    <w:rsid w:val="0074656F"/>
    <w:rsid w:val="007502E1"/>
    <w:rsid w:val="00755512"/>
    <w:rsid w:val="007565AF"/>
    <w:rsid w:val="00767A9F"/>
    <w:rsid w:val="0077219D"/>
    <w:rsid w:val="00786E3C"/>
    <w:rsid w:val="00791F2F"/>
    <w:rsid w:val="007A0BED"/>
    <w:rsid w:val="007A26BE"/>
    <w:rsid w:val="007A2EBB"/>
    <w:rsid w:val="007A31CC"/>
    <w:rsid w:val="007A3A39"/>
    <w:rsid w:val="007A5632"/>
    <w:rsid w:val="007A62A3"/>
    <w:rsid w:val="007A693B"/>
    <w:rsid w:val="007B0060"/>
    <w:rsid w:val="007B1089"/>
    <w:rsid w:val="007B7228"/>
    <w:rsid w:val="007C2D6A"/>
    <w:rsid w:val="007C350A"/>
    <w:rsid w:val="007C4CA7"/>
    <w:rsid w:val="007C6C61"/>
    <w:rsid w:val="007D2C77"/>
    <w:rsid w:val="007D7C4B"/>
    <w:rsid w:val="007E0C86"/>
    <w:rsid w:val="007E2900"/>
    <w:rsid w:val="007E50D7"/>
    <w:rsid w:val="007E7614"/>
    <w:rsid w:val="007E778A"/>
    <w:rsid w:val="007F3566"/>
    <w:rsid w:val="007F450E"/>
    <w:rsid w:val="007F4B6B"/>
    <w:rsid w:val="007F6330"/>
    <w:rsid w:val="007F7C35"/>
    <w:rsid w:val="007F7D3F"/>
    <w:rsid w:val="008022B6"/>
    <w:rsid w:val="008038AF"/>
    <w:rsid w:val="0080491E"/>
    <w:rsid w:val="00805263"/>
    <w:rsid w:val="008055CE"/>
    <w:rsid w:val="008070A9"/>
    <w:rsid w:val="008070F0"/>
    <w:rsid w:val="00807209"/>
    <w:rsid w:val="00807944"/>
    <w:rsid w:val="00810049"/>
    <w:rsid w:val="00815B4A"/>
    <w:rsid w:val="00824002"/>
    <w:rsid w:val="00825B37"/>
    <w:rsid w:val="0083033A"/>
    <w:rsid w:val="00831FB6"/>
    <w:rsid w:val="00834CAD"/>
    <w:rsid w:val="00836CE8"/>
    <w:rsid w:val="008409EA"/>
    <w:rsid w:val="00842C64"/>
    <w:rsid w:val="00845488"/>
    <w:rsid w:val="00852ECD"/>
    <w:rsid w:val="008608CE"/>
    <w:rsid w:val="00863567"/>
    <w:rsid w:val="008653D7"/>
    <w:rsid w:val="00867555"/>
    <w:rsid w:val="00871F8B"/>
    <w:rsid w:val="00872862"/>
    <w:rsid w:val="00875011"/>
    <w:rsid w:val="0087684C"/>
    <w:rsid w:val="00882D6C"/>
    <w:rsid w:val="0088597A"/>
    <w:rsid w:val="00890AAC"/>
    <w:rsid w:val="008919BE"/>
    <w:rsid w:val="00892197"/>
    <w:rsid w:val="00893476"/>
    <w:rsid w:val="008A3929"/>
    <w:rsid w:val="008A6BE8"/>
    <w:rsid w:val="008B02D3"/>
    <w:rsid w:val="008B4AE6"/>
    <w:rsid w:val="008B541E"/>
    <w:rsid w:val="008B70E9"/>
    <w:rsid w:val="008C2A65"/>
    <w:rsid w:val="008C4E9E"/>
    <w:rsid w:val="008C6043"/>
    <w:rsid w:val="008C608E"/>
    <w:rsid w:val="008D23DB"/>
    <w:rsid w:val="008E17C0"/>
    <w:rsid w:val="008E2EC1"/>
    <w:rsid w:val="008E49C9"/>
    <w:rsid w:val="008E4CF9"/>
    <w:rsid w:val="008E509D"/>
    <w:rsid w:val="008E58E5"/>
    <w:rsid w:val="008F0899"/>
    <w:rsid w:val="008F1F10"/>
    <w:rsid w:val="008F238F"/>
    <w:rsid w:val="008F2F74"/>
    <w:rsid w:val="008F695D"/>
    <w:rsid w:val="009056AA"/>
    <w:rsid w:val="0090571E"/>
    <w:rsid w:val="00907949"/>
    <w:rsid w:val="00911A58"/>
    <w:rsid w:val="009156E4"/>
    <w:rsid w:val="00917D38"/>
    <w:rsid w:val="00921DE6"/>
    <w:rsid w:val="009231F9"/>
    <w:rsid w:val="0093470C"/>
    <w:rsid w:val="00934A88"/>
    <w:rsid w:val="00934C4C"/>
    <w:rsid w:val="00942C08"/>
    <w:rsid w:val="00945E11"/>
    <w:rsid w:val="00947D9D"/>
    <w:rsid w:val="009506B4"/>
    <w:rsid w:val="00951F0B"/>
    <w:rsid w:val="0095530B"/>
    <w:rsid w:val="00957211"/>
    <w:rsid w:val="009619A5"/>
    <w:rsid w:val="00966859"/>
    <w:rsid w:val="00966FA7"/>
    <w:rsid w:val="00970EBF"/>
    <w:rsid w:val="00973CD9"/>
    <w:rsid w:val="00973E88"/>
    <w:rsid w:val="00974785"/>
    <w:rsid w:val="00975C8E"/>
    <w:rsid w:val="00976183"/>
    <w:rsid w:val="00981717"/>
    <w:rsid w:val="00982B37"/>
    <w:rsid w:val="00983E37"/>
    <w:rsid w:val="00992109"/>
    <w:rsid w:val="0099496A"/>
    <w:rsid w:val="00996FC4"/>
    <w:rsid w:val="009977F4"/>
    <w:rsid w:val="009A0AB1"/>
    <w:rsid w:val="009A2017"/>
    <w:rsid w:val="009A2837"/>
    <w:rsid w:val="009A59F3"/>
    <w:rsid w:val="009A652B"/>
    <w:rsid w:val="009B0B2B"/>
    <w:rsid w:val="009B1A9E"/>
    <w:rsid w:val="009B1CBD"/>
    <w:rsid w:val="009B4FB4"/>
    <w:rsid w:val="009B73CE"/>
    <w:rsid w:val="009C2A13"/>
    <w:rsid w:val="009C3121"/>
    <w:rsid w:val="009C35E9"/>
    <w:rsid w:val="009C3E52"/>
    <w:rsid w:val="009C52AB"/>
    <w:rsid w:val="009C75F7"/>
    <w:rsid w:val="009C7BA6"/>
    <w:rsid w:val="009D0160"/>
    <w:rsid w:val="009D3A41"/>
    <w:rsid w:val="009D4E03"/>
    <w:rsid w:val="009D58A5"/>
    <w:rsid w:val="009D6F5A"/>
    <w:rsid w:val="009D709C"/>
    <w:rsid w:val="009E0BE8"/>
    <w:rsid w:val="009E0ECF"/>
    <w:rsid w:val="009E41F2"/>
    <w:rsid w:val="009E43AE"/>
    <w:rsid w:val="009E5F39"/>
    <w:rsid w:val="009E6B48"/>
    <w:rsid w:val="009F1BC0"/>
    <w:rsid w:val="009F2F68"/>
    <w:rsid w:val="009F4A75"/>
    <w:rsid w:val="009F5B10"/>
    <w:rsid w:val="009F6623"/>
    <w:rsid w:val="00A006CF"/>
    <w:rsid w:val="00A01E8C"/>
    <w:rsid w:val="00A0348B"/>
    <w:rsid w:val="00A10146"/>
    <w:rsid w:val="00A1094D"/>
    <w:rsid w:val="00A11E83"/>
    <w:rsid w:val="00A2013C"/>
    <w:rsid w:val="00A21E10"/>
    <w:rsid w:val="00A23751"/>
    <w:rsid w:val="00A25C06"/>
    <w:rsid w:val="00A276EA"/>
    <w:rsid w:val="00A328DD"/>
    <w:rsid w:val="00A3305E"/>
    <w:rsid w:val="00A334E4"/>
    <w:rsid w:val="00A35546"/>
    <w:rsid w:val="00A4345D"/>
    <w:rsid w:val="00A436AF"/>
    <w:rsid w:val="00A44348"/>
    <w:rsid w:val="00A44914"/>
    <w:rsid w:val="00A45007"/>
    <w:rsid w:val="00A455BE"/>
    <w:rsid w:val="00A45F28"/>
    <w:rsid w:val="00A46B46"/>
    <w:rsid w:val="00A54996"/>
    <w:rsid w:val="00A54DFA"/>
    <w:rsid w:val="00A55AD3"/>
    <w:rsid w:val="00A5610A"/>
    <w:rsid w:val="00A613F7"/>
    <w:rsid w:val="00A61A62"/>
    <w:rsid w:val="00A62931"/>
    <w:rsid w:val="00A62EF1"/>
    <w:rsid w:val="00A6360C"/>
    <w:rsid w:val="00A6413F"/>
    <w:rsid w:val="00A65465"/>
    <w:rsid w:val="00A65EB5"/>
    <w:rsid w:val="00A714FD"/>
    <w:rsid w:val="00A73683"/>
    <w:rsid w:val="00A74433"/>
    <w:rsid w:val="00A7510E"/>
    <w:rsid w:val="00A75820"/>
    <w:rsid w:val="00A77F6B"/>
    <w:rsid w:val="00A806FE"/>
    <w:rsid w:val="00A816E6"/>
    <w:rsid w:val="00A84D6F"/>
    <w:rsid w:val="00A910F9"/>
    <w:rsid w:val="00A92006"/>
    <w:rsid w:val="00A921F1"/>
    <w:rsid w:val="00A94F53"/>
    <w:rsid w:val="00A95EB7"/>
    <w:rsid w:val="00A979A5"/>
    <w:rsid w:val="00AA3F68"/>
    <w:rsid w:val="00AA7E91"/>
    <w:rsid w:val="00AB12E8"/>
    <w:rsid w:val="00AB68A4"/>
    <w:rsid w:val="00AC5D7B"/>
    <w:rsid w:val="00AD0735"/>
    <w:rsid w:val="00AD25CB"/>
    <w:rsid w:val="00AD34AA"/>
    <w:rsid w:val="00AD4F7A"/>
    <w:rsid w:val="00AD54BA"/>
    <w:rsid w:val="00AE0592"/>
    <w:rsid w:val="00AE145B"/>
    <w:rsid w:val="00AE490C"/>
    <w:rsid w:val="00AE77F9"/>
    <w:rsid w:val="00AF0DFB"/>
    <w:rsid w:val="00AF15AA"/>
    <w:rsid w:val="00AF20F5"/>
    <w:rsid w:val="00AF4AEF"/>
    <w:rsid w:val="00AF5012"/>
    <w:rsid w:val="00AF5E75"/>
    <w:rsid w:val="00B05116"/>
    <w:rsid w:val="00B072CE"/>
    <w:rsid w:val="00B1017A"/>
    <w:rsid w:val="00B105FE"/>
    <w:rsid w:val="00B12D55"/>
    <w:rsid w:val="00B1360C"/>
    <w:rsid w:val="00B13D1F"/>
    <w:rsid w:val="00B14562"/>
    <w:rsid w:val="00B16402"/>
    <w:rsid w:val="00B20877"/>
    <w:rsid w:val="00B20BE0"/>
    <w:rsid w:val="00B2220C"/>
    <w:rsid w:val="00B30E68"/>
    <w:rsid w:val="00B33C8F"/>
    <w:rsid w:val="00B34AE8"/>
    <w:rsid w:val="00B35E12"/>
    <w:rsid w:val="00B36843"/>
    <w:rsid w:val="00B37170"/>
    <w:rsid w:val="00B421D1"/>
    <w:rsid w:val="00B43E8A"/>
    <w:rsid w:val="00B43F60"/>
    <w:rsid w:val="00B4524D"/>
    <w:rsid w:val="00B609E8"/>
    <w:rsid w:val="00B6129E"/>
    <w:rsid w:val="00B62845"/>
    <w:rsid w:val="00B6396B"/>
    <w:rsid w:val="00B6526E"/>
    <w:rsid w:val="00B65582"/>
    <w:rsid w:val="00B66841"/>
    <w:rsid w:val="00B7106F"/>
    <w:rsid w:val="00B71319"/>
    <w:rsid w:val="00B72A5C"/>
    <w:rsid w:val="00B76CEA"/>
    <w:rsid w:val="00B77DE7"/>
    <w:rsid w:val="00B81C1A"/>
    <w:rsid w:val="00B833AC"/>
    <w:rsid w:val="00B834E4"/>
    <w:rsid w:val="00B83DF3"/>
    <w:rsid w:val="00B848A9"/>
    <w:rsid w:val="00B84BD0"/>
    <w:rsid w:val="00B84F06"/>
    <w:rsid w:val="00B85B86"/>
    <w:rsid w:val="00B85C19"/>
    <w:rsid w:val="00B904EC"/>
    <w:rsid w:val="00B948F8"/>
    <w:rsid w:val="00B96CA7"/>
    <w:rsid w:val="00BA32D9"/>
    <w:rsid w:val="00BA4083"/>
    <w:rsid w:val="00BA5DF9"/>
    <w:rsid w:val="00BB3A71"/>
    <w:rsid w:val="00BD0133"/>
    <w:rsid w:val="00BD1094"/>
    <w:rsid w:val="00BD4BD4"/>
    <w:rsid w:val="00BD5540"/>
    <w:rsid w:val="00BD6EEB"/>
    <w:rsid w:val="00BD7617"/>
    <w:rsid w:val="00BE103D"/>
    <w:rsid w:val="00BE4107"/>
    <w:rsid w:val="00BE54C3"/>
    <w:rsid w:val="00BF012A"/>
    <w:rsid w:val="00BF058F"/>
    <w:rsid w:val="00BF18B2"/>
    <w:rsid w:val="00BF23E8"/>
    <w:rsid w:val="00BF2FD9"/>
    <w:rsid w:val="00BF61EB"/>
    <w:rsid w:val="00BF75AD"/>
    <w:rsid w:val="00C00205"/>
    <w:rsid w:val="00C00720"/>
    <w:rsid w:val="00C03912"/>
    <w:rsid w:val="00C04011"/>
    <w:rsid w:val="00C06A91"/>
    <w:rsid w:val="00C13C56"/>
    <w:rsid w:val="00C14D0B"/>
    <w:rsid w:val="00C15D29"/>
    <w:rsid w:val="00C16B59"/>
    <w:rsid w:val="00C17DF1"/>
    <w:rsid w:val="00C20973"/>
    <w:rsid w:val="00C217CD"/>
    <w:rsid w:val="00C26189"/>
    <w:rsid w:val="00C32240"/>
    <w:rsid w:val="00C34CDC"/>
    <w:rsid w:val="00C36D9E"/>
    <w:rsid w:val="00C40CE8"/>
    <w:rsid w:val="00C43F9A"/>
    <w:rsid w:val="00C45E6D"/>
    <w:rsid w:val="00C50E88"/>
    <w:rsid w:val="00C53C25"/>
    <w:rsid w:val="00C5418F"/>
    <w:rsid w:val="00C5566F"/>
    <w:rsid w:val="00C57E98"/>
    <w:rsid w:val="00C627FB"/>
    <w:rsid w:val="00C640D8"/>
    <w:rsid w:val="00C64CD0"/>
    <w:rsid w:val="00C70129"/>
    <w:rsid w:val="00C71C30"/>
    <w:rsid w:val="00C75973"/>
    <w:rsid w:val="00C76C09"/>
    <w:rsid w:val="00C83689"/>
    <w:rsid w:val="00C83E45"/>
    <w:rsid w:val="00C85E68"/>
    <w:rsid w:val="00C90FDF"/>
    <w:rsid w:val="00C9221E"/>
    <w:rsid w:val="00C94AB7"/>
    <w:rsid w:val="00C97723"/>
    <w:rsid w:val="00CA31AE"/>
    <w:rsid w:val="00CA3713"/>
    <w:rsid w:val="00CA3B78"/>
    <w:rsid w:val="00CA3DA1"/>
    <w:rsid w:val="00CA79F3"/>
    <w:rsid w:val="00CB09AA"/>
    <w:rsid w:val="00CB10B5"/>
    <w:rsid w:val="00CB2F2E"/>
    <w:rsid w:val="00CB325C"/>
    <w:rsid w:val="00CB3897"/>
    <w:rsid w:val="00CB3E13"/>
    <w:rsid w:val="00CC1F40"/>
    <w:rsid w:val="00CC2E74"/>
    <w:rsid w:val="00CC397C"/>
    <w:rsid w:val="00CC72CE"/>
    <w:rsid w:val="00CD0608"/>
    <w:rsid w:val="00CD0FC0"/>
    <w:rsid w:val="00CD22F6"/>
    <w:rsid w:val="00CD2BB8"/>
    <w:rsid w:val="00CD66CF"/>
    <w:rsid w:val="00CD7170"/>
    <w:rsid w:val="00CE0FD8"/>
    <w:rsid w:val="00CE5B26"/>
    <w:rsid w:val="00CE6907"/>
    <w:rsid w:val="00CE7D2F"/>
    <w:rsid w:val="00CF1386"/>
    <w:rsid w:val="00CF4C52"/>
    <w:rsid w:val="00CF5284"/>
    <w:rsid w:val="00CF6080"/>
    <w:rsid w:val="00CF7D19"/>
    <w:rsid w:val="00D011D5"/>
    <w:rsid w:val="00D03B33"/>
    <w:rsid w:val="00D1099C"/>
    <w:rsid w:val="00D10DCF"/>
    <w:rsid w:val="00D12081"/>
    <w:rsid w:val="00D126C7"/>
    <w:rsid w:val="00D134C2"/>
    <w:rsid w:val="00D1382C"/>
    <w:rsid w:val="00D207F7"/>
    <w:rsid w:val="00D224B5"/>
    <w:rsid w:val="00D22950"/>
    <w:rsid w:val="00D22B9E"/>
    <w:rsid w:val="00D234B1"/>
    <w:rsid w:val="00D25596"/>
    <w:rsid w:val="00D25D01"/>
    <w:rsid w:val="00D26F0C"/>
    <w:rsid w:val="00D27876"/>
    <w:rsid w:val="00D30E8F"/>
    <w:rsid w:val="00D31C8D"/>
    <w:rsid w:val="00D33805"/>
    <w:rsid w:val="00D33985"/>
    <w:rsid w:val="00D33EC0"/>
    <w:rsid w:val="00D40A4E"/>
    <w:rsid w:val="00D410AB"/>
    <w:rsid w:val="00D412AC"/>
    <w:rsid w:val="00D41F2D"/>
    <w:rsid w:val="00D43E34"/>
    <w:rsid w:val="00D43FAE"/>
    <w:rsid w:val="00D45C96"/>
    <w:rsid w:val="00D4706C"/>
    <w:rsid w:val="00D50697"/>
    <w:rsid w:val="00D52B62"/>
    <w:rsid w:val="00D52C58"/>
    <w:rsid w:val="00D532FB"/>
    <w:rsid w:val="00D56C23"/>
    <w:rsid w:val="00D60291"/>
    <w:rsid w:val="00D607D3"/>
    <w:rsid w:val="00D65EEF"/>
    <w:rsid w:val="00D664B1"/>
    <w:rsid w:val="00D67D05"/>
    <w:rsid w:val="00D7070C"/>
    <w:rsid w:val="00D716D4"/>
    <w:rsid w:val="00D71CDF"/>
    <w:rsid w:val="00D71D14"/>
    <w:rsid w:val="00D76D41"/>
    <w:rsid w:val="00D81631"/>
    <w:rsid w:val="00D84B58"/>
    <w:rsid w:val="00D9122A"/>
    <w:rsid w:val="00D913E2"/>
    <w:rsid w:val="00D961FF"/>
    <w:rsid w:val="00DA5508"/>
    <w:rsid w:val="00DA6E18"/>
    <w:rsid w:val="00DA700A"/>
    <w:rsid w:val="00DA733C"/>
    <w:rsid w:val="00DA74A5"/>
    <w:rsid w:val="00DB09DC"/>
    <w:rsid w:val="00DB4BC8"/>
    <w:rsid w:val="00DB5FC1"/>
    <w:rsid w:val="00DC0D82"/>
    <w:rsid w:val="00DC0F8E"/>
    <w:rsid w:val="00DC17E7"/>
    <w:rsid w:val="00DC24A7"/>
    <w:rsid w:val="00DC2628"/>
    <w:rsid w:val="00DC2F26"/>
    <w:rsid w:val="00DC62FF"/>
    <w:rsid w:val="00DD4BF2"/>
    <w:rsid w:val="00DD4D76"/>
    <w:rsid w:val="00DD6ED1"/>
    <w:rsid w:val="00DE1944"/>
    <w:rsid w:val="00DE3655"/>
    <w:rsid w:val="00DF0BBA"/>
    <w:rsid w:val="00DF18B0"/>
    <w:rsid w:val="00E001B8"/>
    <w:rsid w:val="00E001CD"/>
    <w:rsid w:val="00E0560A"/>
    <w:rsid w:val="00E14A2E"/>
    <w:rsid w:val="00E174EF"/>
    <w:rsid w:val="00E2105E"/>
    <w:rsid w:val="00E21603"/>
    <w:rsid w:val="00E21865"/>
    <w:rsid w:val="00E21AD9"/>
    <w:rsid w:val="00E24F7E"/>
    <w:rsid w:val="00E25885"/>
    <w:rsid w:val="00E31487"/>
    <w:rsid w:val="00E31A6F"/>
    <w:rsid w:val="00E324AA"/>
    <w:rsid w:val="00E3433B"/>
    <w:rsid w:val="00E34758"/>
    <w:rsid w:val="00E36163"/>
    <w:rsid w:val="00E435A8"/>
    <w:rsid w:val="00E44F5D"/>
    <w:rsid w:val="00E453EF"/>
    <w:rsid w:val="00E47DE8"/>
    <w:rsid w:val="00E51FA1"/>
    <w:rsid w:val="00E530EA"/>
    <w:rsid w:val="00E54CC2"/>
    <w:rsid w:val="00E616CB"/>
    <w:rsid w:val="00E625AF"/>
    <w:rsid w:val="00E625F2"/>
    <w:rsid w:val="00E6528B"/>
    <w:rsid w:val="00E71CCE"/>
    <w:rsid w:val="00E73F16"/>
    <w:rsid w:val="00E80E41"/>
    <w:rsid w:val="00E81CDD"/>
    <w:rsid w:val="00E82257"/>
    <w:rsid w:val="00E85B4B"/>
    <w:rsid w:val="00E872F2"/>
    <w:rsid w:val="00E8749E"/>
    <w:rsid w:val="00E87874"/>
    <w:rsid w:val="00E9384B"/>
    <w:rsid w:val="00E94325"/>
    <w:rsid w:val="00E9651B"/>
    <w:rsid w:val="00E96530"/>
    <w:rsid w:val="00E96AE1"/>
    <w:rsid w:val="00E97847"/>
    <w:rsid w:val="00E97CF6"/>
    <w:rsid w:val="00E97EDF"/>
    <w:rsid w:val="00EA1083"/>
    <w:rsid w:val="00EA1640"/>
    <w:rsid w:val="00EA1691"/>
    <w:rsid w:val="00EA1FA0"/>
    <w:rsid w:val="00EA2B41"/>
    <w:rsid w:val="00EA58A8"/>
    <w:rsid w:val="00EB4CDB"/>
    <w:rsid w:val="00EB56FC"/>
    <w:rsid w:val="00EB7F8C"/>
    <w:rsid w:val="00EC49B7"/>
    <w:rsid w:val="00EC7C33"/>
    <w:rsid w:val="00ED39EB"/>
    <w:rsid w:val="00ED5EDD"/>
    <w:rsid w:val="00EE1542"/>
    <w:rsid w:val="00EE1999"/>
    <w:rsid w:val="00EE4F7D"/>
    <w:rsid w:val="00EE633C"/>
    <w:rsid w:val="00EF254A"/>
    <w:rsid w:val="00EF4A50"/>
    <w:rsid w:val="00EF4BA1"/>
    <w:rsid w:val="00EF614A"/>
    <w:rsid w:val="00F00A19"/>
    <w:rsid w:val="00F01A37"/>
    <w:rsid w:val="00F035EB"/>
    <w:rsid w:val="00F04131"/>
    <w:rsid w:val="00F046C2"/>
    <w:rsid w:val="00F04871"/>
    <w:rsid w:val="00F05754"/>
    <w:rsid w:val="00F0799A"/>
    <w:rsid w:val="00F109A6"/>
    <w:rsid w:val="00F11570"/>
    <w:rsid w:val="00F12590"/>
    <w:rsid w:val="00F128DF"/>
    <w:rsid w:val="00F12BB9"/>
    <w:rsid w:val="00F12C99"/>
    <w:rsid w:val="00F14864"/>
    <w:rsid w:val="00F1689C"/>
    <w:rsid w:val="00F17956"/>
    <w:rsid w:val="00F20033"/>
    <w:rsid w:val="00F20B3E"/>
    <w:rsid w:val="00F213BC"/>
    <w:rsid w:val="00F22719"/>
    <w:rsid w:val="00F258C5"/>
    <w:rsid w:val="00F259F2"/>
    <w:rsid w:val="00F26377"/>
    <w:rsid w:val="00F32621"/>
    <w:rsid w:val="00F3442E"/>
    <w:rsid w:val="00F42BF8"/>
    <w:rsid w:val="00F437B5"/>
    <w:rsid w:val="00F43DB1"/>
    <w:rsid w:val="00F47F4F"/>
    <w:rsid w:val="00F512F8"/>
    <w:rsid w:val="00F51362"/>
    <w:rsid w:val="00F52CAF"/>
    <w:rsid w:val="00F5482A"/>
    <w:rsid w:val="00F56825"/>
    <w:rsid w:val="00F60DB0"/>
    <w:rsid w:val="00F614BA"/>
    <w:rsid w:val="00F61944"/>
    <w:rsid w:val="00F61F7A"/>
    <w:rsid w:val="00F64C3D"/>
    <w:rsid w:val="00F714B0"/>
    <w:rsid w:val="00F72023"/>
    <w:rsid w:val="00F721AA"/>
    <w:rsid w:val="00F74FAF"/>
    <w:rsid w:val="00F76720"/>
    <w:rsid w:val="00F77E68"/>
    <w:rsid w:val="00F9249F"/>
    <w:rsid w:val="00F931EB"/>
    <w:rsid w:val="00F952E6"/>
    <w:rsid w:val="00F96081"/>
    <w:rsid w:val="00F9794E"/>
    <w:rsid w:val="00FA45CA"/>
    <w:rsid w:val="00FA548F"/>
    <w:rsid w:val="00FA79C7"/>
    <w:rsid w:val="00FB3E55"/>
    <w:rsid w:val="00FB50E0"/>
    <w:rsid w:val="00FC1592"/>
    <w:rsid w:val="00FC2F79"/>
    <w:rsid w:val="00FC3D5E"/>
    <w:rsid w:val="00FC53CA"/>
    <w:rsid w:val="00FC6CBD"/>
    <w:rsid w:val="00FC7271"/>
    <w:rsid w:val="00FC7E5E"/>
    <w:rsid w:val="00FD2A1C"/>
    <w:rsid w:val="00FD3CEA"/>
    <w:rsid w:val="00FD4DC7"/>
    <w:rsid w:val="00FE05D9"/>
    <w:rsid w:val="00FE135A"/>
    <w:rsid w:val="00FE2428"/>
    <w:rsid w:val="00FE3164"/>
    <w:rsid w:val="00FE4F7E"/>
    <w:rsid w:val="00FE6C60"/>
    <w:rsid w:val="00FF2602"/>
    <w:rsid w:val="00FF791A"/>
    <w:rsid w:val="035F0D77"/>
    <w:rsid w:val="0466474C"/>
    <w:rsid w:val="0E15EFBA"/>
    <w:rsid w:val="121DDE49"/>
    <w:rsid w:val="1851DB34"/>
    <w:rsid w:val="1C94B548"/>
    <w:rsid w:val="1EFA55A0"/>
    <w:rsid w:val="245BD07A"/>
    <w:rsid w:val="29C6B999"/>
    <w:rsid w:val="29F505E3"/>
    <w:rsid w:val="2CFE9759"/>
    <w:rsid w:val="305588AE"/>
    <w:rsid w:val="32CCBEA8"/>
    <w:rsid w:val="33EE8DA4"/>
    <w:rsid w:val="3569CE2D"/>
    <w:rsid w:val="39BBE9F8"/>
    <w:rsid w:val="3F1BACC0"/>
    <w:rsid w:val="41BD2193"/>
    <w:rsid w:val="4A003C36"/>
    <w:rsid w:val="4DF0AE1B"/>
    <w:rsid w:val="52DBCCFA"/>
    <w:rsid w:val="55365AA4"/>
    <w:rsid w:val="5A1EB02B"/>
    <w:rsid w:val="5A803077"/>
    <w:rsid w:val="5BC27E86"/>
    <w:rsid w:val="65BCDE30"/>
    <w:rsid w:val="67E7F8EA"/>
    <w:rsid w:val="7545568E"/>
    <w:rsid w:val="7B15385C"/>
    <w:rsid w:val="7CCFE8AD"/>
    <w:rsid w:val="7CFD03A7"/>
    <w:rsid w:val="7EDBF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BC0A"/>
  <w15:docId w15:val="{EFBB24DA-D1C4-4E33-9A49-D084C2F65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48F"/>
    <w:rPr>
      <w:rFonts w:ascii="Times New Roman" w:eastAsia="Times New Roman" w:hAnsi="Times New Roman"/>
      <w:lang w:val="es-MX" w:eastAsia="es-MX"/>
    </w:rPr>
  </w:style>
  <w:style w:type="paragraph" w:styleId="Heading1">
    <w:name w:val="heading 1"/>
    <w:basedOn w:val="Normal"/>
    <w:next w:val="Normal"/>
    <w:link w:val="Heading1Char"/>
    <w:qFormat/>
    <w:rsid w:val="005B4609"/>
    <w:pPr>
      <w:keepNext/>
      <w:numPr>
        <w:numId w:val="2"/>
      </w:numPr>
      <w:spacing w:before="240" w:after="60"/>
      <w:outlineLvl w:val="0"/>
    </w:pPr>
    <w:rPr>
      <w:rFonts w:ascii="Arial" w:hAnsi="Arial"/>
      <w:b/>
      <w:kern w:val="28"/>
      <w:sz w:val="28"/>
      <w:lang w:val="en-US" w:eastAsia="en-US"/>
    </w:rPr>
  </w:style>
  <w:style w:type="paragraph" w:styleId="Heading2">
    <w:name w:val="heading 2"/>
    <w:basedOn w:val="Normal"/>
    <w:next w:val="Normal"/>
    <w:link w:val="Heading2Char"/>
    <w:qFormat/>
    <w:rsid w:val="005B4609"/>
    <w:pPr>
      <w:keepNext/>
      <w:numPr>
        <w:ilvl w:val="1"/>
        <w:numId w:val="2"/>
      </w:numPr>
      <w:spacing w:before="240" w:after="60"/>
      <w:outlineLvl w:val="1"/>
    </w:pPr>
    <w:rPr>
      <w:rFonts w:ascii="Arial" w:hAnsi="Arial"/>
      <w:b/>
      <w:i/>
      <w:sz w:val="24"/>
      <w:lang w:val="en-US" w:eastAsia="en-US"/>
    </w:rPr>
  </w:style>
  <w:style w:type="paragraph" w:styleId="Heading3">
    <w:name w:val="heading 3"/>
    <w:basedOn w:val="Normal"/>
    <w:next w:val="Normal"/>
    <w:link w:val="Heading3Char"/>
    <w:qFormat/>
    <w:rsid w:val="005B4609"/>
    <w:pPr>
      <w:keepNext/>
      <w:numPr>
        <w:ilvl w:val="2"/>
        <w:numId w:val="2"/>
      </w:numPr>
      <w:spacing w:before="240" w:after="60"/>
      <w:outlineLvl w:val="2"/>
    </w:pPr>
    <w:rPr>
      <w:rFonts w:ascii="Arial" w:hAnsi="Arial"/>
      <w:sz w:val="24"/>
      <w:lang w:val="en-US" w:eastAsia="en-US"/>
    </w:rPr>
  </w:style>
  <w:style w:type="paragraph" w:styleId="Heading4">
    <w:name w:val="heading 4"/>
    <w:basedOn w:val="Normal"/>
    <w:next w:val="Normal"/>
    <w:link w:val="Heading4Char"/>
    <w:qFormat/>
    <w:rsid w:val="005B4609"/>
    <w:pPr>
      <w:keepNext/>
      <w:numPr>
        <w:ilvl w:val="3"/>
        <w:numId w:val="2"/>
      </w:numPr>
      <w:spacing w:before="240" w:after="60"/>
      <w:outlineLvl w:val="3"/>
    </w:pPr>
    <w:rPr>
      <w:rFonts w:ascii="Arial" w:hAnsi="Arial"/>
      <w:b/>
      <w:sz w:val="24"/>
      <w:lang w:val="en-US" w:eastAsia="en-US"/>
    </w:rPr>
  </w:style>
  <w:style w:type="paragraph" w:styleId="Heading5">
    <w:name w:val="heading 5"/>
    <w:basedOn w:val="Normal"/>
    <w:next w:val="Normal"/>
    <w:link w:val="Heading5Char"/>
    <w:uiPriority w:val="9"/>
    <w:semiHidden/>
    <w:unhideWhenUsed/>
    <w:qFormat/>
    <w:rsid w:val="00CA31A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A31A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A31A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31AE"/>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CA31AE"/>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link w:val="NewpageChar"/>
    <w:rsid w:val="00FA548F"/>
    <w:pPr>
      <w:tabs>
        <w:tab w:val="left" w:pos="1440"/>
        <w:tab w:val="left" w:pos="3060"/>
      </w:tabs>
      <w:jc w:val="center"/>
    </w:pPr>
    <w:rPr>
      <w:b/>
      <w:smallCaps/>
      <w:lang w:val="es-ES_tradnl"/>
    </w:rPr>
  </w:style>
  <w:style w:type="paragraph" w:customStyle="1" w:styleId="Chapter">
    <w:name w:val="Chapter"/>
    <w:basedOn w:val="Normal"/>
    <w:next w:val="Normal"/>
    <w:link w:val="ChapterChar"/>
    <w:qFormat/>
    <w:rsid w:val="00CA31AE"/>
    <w:pPr>
      <w:keepNext/>
      <w:numPr>
        <w:numId w:val="5"/>
      </w:numPr>
      <w:tabs>
        <w:tab w:val="left" w:pos="1440"/>
      </w:tabs>
      <w:spacing w:before="240" w:after="240"/>
      <w:jc w:val="center"/>
    </w:pPr>
    <w:rPr>
      <w:b/>
      <w:smallCaps/>
      <w:sz w:val="24"/>
      <w:lang w:val="es-ES_tradnl"/>
    </w:rPr>
  </w:style>
  <w:style w:type="paragraph" w:customStyle="1" w:styleId="FirstHeading">
    <w:name w:val="FirstHeading"/>
    <w:basedOn w:val="Normal"/>
    <w:next w:val="Normal"/>
    <w:rsid w:val="00CA31AE"/>
    <w:pPr>
      <w:keepNext/>
      <w:numPr>
        <w:numId w:val="4"/>
      </w:numPr>
      <w:tabs>
        <w:tab w:val="left" w:pos="0"/>
        <w:tab w:val="left" w:pos="86"/>
      </w:tabs>
      <w:spacing w:before="120" w:after="120"/>
      <w:ind w:left="720"/>
    </w:pPr>
    <w:rPr>
      <w:b/>
      <w:sz w:val="24"/>
      <w:lang w:val="es-ES_tradnl"/>
    </w:rPr>
  </w:style>
  <w:style w:type="paragraph" w:styleId="Footer">
    <w:name w:val="footer"/>
    <w:basedOn w:val="Normal"/>
    <w:link w:val="FooterChar"/>
    <w:uiPriority w:val="99"/>
    <w:rsid w:val="00FA548F"/>
    <w:pPr>
      <w:tabs>
        <w:tab w:val="center" w:pos="4320"/>
        <w:tab w:val="right" w:pos="8640"/>
      </w:tabs>
    </w:pPr>
  </w:style>
  <w:style w:type="character" w:customStyle="1" w:styleId="FooterChar">
    <w:name w:val="Footer Char"/>
    <w:link w:val="Footer"/>
    <w:uiPriority w:val="99"/>
    <w:rsid w:val="00FA548F"/>
    <w:rPr>
      <w:rFonts w:ascii="Times New Roman" w:eastAsia="Times New Roman" w:hAnsi="Times New Roman" w:cs="Times New Roman"/>
      <w:sz w:val="20"/>
      <w:szCs w:val="20"/>
      <w:lang w:val="es-MX" w:eastAsia="es-MX"/>
    </w:rPr>
  </w:style>
  <w:style w:type="paragraph" w:styleId="FootnoteText">
    <w:name w:val="footnote text"/>
    <w:aliases w:val="fn,Texto nota pie IIRSA,foottextfra,footnote,F,single space,texto de nota al pie,Texto nota pie Car Car Car Car Car Car Car Car,Texto nota pie Car Car Car,Footnote Text Char Char Char Char Char Char,Texto nota pie Car Car Car Car Car,Texto"/>
    <w:basedOn w:val="Normal"/>
    <w:link w:val="FootnoteTextChar"/>
    <w:uiPriority w:val="99"/>
    <w:qFormat/>
    <w:rsid w:val="00FA548F"/>
    <w:pPr>
      <w:keepNext/>
      <w:keepLines/>
      <w:spacing w:after="120"/>
      <w:ind w:left="288" w:hanging="288"/>
      <w:jc w:val="both"/>
    </w:pPr>
    <w:rPr>
      <w:spacing w:val="-3"/>
    </w:rPr>
  </w:style>
  <w:style w:type="character" w:customStyle="1" w:styleId="FootnoteTextChar">
    <w:name w:val="Footnote Text Char"/>
    <w:aliases w:val="fn Char,Texto nota pie IIRSA Char,foottextfra Char,footnote Char,F Char,single space Char,texto de nota al pie Char,Texto nota pie Car Car Car Car Car Car Car Car Char,Texto nota pie Car Car Car Char,Texto Char"/>
    <w:link w:val="FootnoteText"/>
    <w:uiPriority w:val="99"/>
    <w:rsid w:val="00FA548F"/>
    <w:rPr>
      <w:rFonts w:ascii="Times New Roman" w:eastAsia="Times New Roman" w:hAnsi="Times New Roman"/>
      <w:spacing w:val="-3"/>
      <w:lang w:val="es-MX" w:eastAsia="es-MX"/>
    </w:rPr>
  </w:style>
  <w:style w:type="paragraph" w:styleId="Header">
    <w:name w:val="header"/>
    <w:basedOn w:val="Normal"/>
    <w:link w:val="HeaderChar"/>
    <w:rsid w:val="00FA548F"/>
    <w:pPr>
      <w:tabs>
        <w:tab w:val="center" w:pos="4320"/>
        <w:tab w:val="right" w:pos="8640"/>
      </w:tabs>
    </w:pPr>
  </w:style>
  <w:style w:type="character" w:customStyle="1" w:styleId="HeaderChar">
    <w:name w:val="Header Char"/>
    <w:link w:val="Header"/>
    <w:rsid w:val="00FA548F"/>
    <w:rPr>
      <w:rFonts w:ascii="Times New Roman" w:eastAsia="Times New Roman" w:hAnsi="Times New Roman" w:cs="Times New Roman"/>
      <w:sz w:val="20"/>
      <w:szCs w:val="20"/>
      <w:lang w:val="es-MX" w:eastAsia="es-MX"/>
    </w:rPr>
  </w:style>
  <w:style w:type="character" w:styleId="PageNumber">
    <w:name w:val="page number"/>
    <w:rsid w:val="00FA548F"/>
  </w:style>
  <w:style w:type="paragraph" w:customStyle="1" w:styleId="Paragraph">
    <w:name w:val="Paragraph"/>
    <w:aliases w:val="paragraph,p,PARAGRAPH,PG,pa,at,at Char"/>
    <w:basedOn w:val="BodyTextIndent"/>
    <w:link w:val="ParagraphChar"/>
    <w:qFormat/>
    <w:rsid w:val="00CA31AE"/>
    <w:pPr>
      <w:numPr>
        <w:ilvl w:val="1"/>
        <w:numId w:val="5"/>
      </w:numPr>
      <w:spacing w:before="120"/>
      <w:jc w:val="both"/>
      <w:outlineLvl w:val="1"/>
    </w:pPr>
    <w:rPr>
      <w:lang w:val="es-ES_tradnl"/>
    </w:rPr>
  </w:style>
  <w:style w:type="paragraph" w:customStyle="1" w:styleId="SecHeading">
    <w:name w:val="SecHeading"/>
    <w:basedOn w:val="Normal"/>
    <w:next w:val="Paragraph"/>
    <w:rsid w:val="00CA31AE"/>
    <w:pPr>
      <w:keepNext/>
      <w:numPr>
        <w:ilvl w:val="1"/>
        <w:numId w:val="4"/>
      </w:numPr>
      <w:tabs>
        <w:tab w:val="clear" w:pos="5400"/>
        <w:tab w:val="num" w:pos="1296"/>
      </w:tabs>
      <w:spacing w:before="120" w:after="120"/>
      <w:ind w:left="1296"/>
    </w:pPr>
    <w:rPr>
      <w:b/>
      <w:sz w:val="24"/>
      <w:lang w:val="es-ES_tradnl"/>
    </w:rPr>
  </w:style>
  <w:style w:type="paragraph" w:customStyle="1" w:styleId="SubHeading1">
    <w:name w:val="SubHeading1"/>
    <w:basedOn w:val="SecHeading"/>
    <w:rsid w:val="00CA31AE"/>
    <w:pPr>
      <w:numPr>
        <w:ilvl w:val="2"/>
      </w:numPr>
      <w:tabs>
        <w:tab w:val="clear" w:pos="5976"/>
        <w:tab w:val="num" w:pos="1872"/>
      </w:tabs>
      <w:ind w:left="1872"/>
    </w:pPr>
  </w:style>
  <w:style w:type="paragraph" w:customStyle="1" w:styleId="Subheading2">
    <w:name w:val="Subheading2"/>
    <w:basedOn w:val="SecHeading"/>
    <w:rsid w:val="00CA31AE"/>
    <w:pPr>
      <w:numPr>
        <w:ilvl w:val="3"/>
      </w:numPr>
      <w:tabs>
        <w:tab w:val="clear" w:pos="6480"/>
        <w:tab w:val="num" w:pos="2376"/>
      </w:tabs>
      <w:ind w:left="2376"/>
    </w:pPr>
  </w:style>
  <w:style w:type="paragraph" w:customStyle="1" w:styleId="subpar">
    <w:name w:val="subpar"/>
    <w:basedOn w:val="BodyTextIndent3"/>
    <w:link w:val="subparChar"/>
    <w:rsid w:val="00CA31AE"/>
    <w:pPr>
      <w:numPr>
        <w:ilvl w:val="2"/>
        <w:numId w:val="5"/>
      </w:numPr>
      <w:spacing w:before="120"/>
      <w:jc w:val="both"/>
      <w:outlineLvl w:val="2"/>
    </w:pPr>
    <w:rPr>
      <w:szCs w:val="20"/>
      <w:lang w:val="es-ES_tradnl"/>
    </w:rPr>
  </w:style>
  <w:style w:type="paragraph" w:customStyle="1" w:styleId="SubSubPar">
    <w:name w:val="SubSubPar"/>
    <w:basedOn w:val="subpar"/>
    <w:link w:val="SubSubParChar"/>
    <w:uiPriority w:val="99"/>
    <w:rsid w:val="00CA31AE"/>
    <w:pPr>
      <w:numPr>
        <w:ilvl w:val="3"/>
        <w:numId w:val="0"/>
      </w:numPr>
      <w:tabs>
        <w:tab w:val="left" w:pos="0"/>
      </w:tabs>
    </w:pPr>
  </w:style>
  <w:style w:type="paragraph" w:styleId="TOC1">
    <w:name w:val="toc 1"/>
    <w:basedOn w:val="Normal"/>
    <w:next w:val="Normal"/>
    <w:autoRedefine/>
    <w:uiPriority w:val="39"/>
    <w:rsid w:val="009231F9"/>
    <w:pPr>
      <w:tabs>
        <w:tab w:val="right" w:leader="dot" w:pos="8741"/>
      </w:tabs>
      <w:spacing w:before="240" w:after="240"/>
      <w:ind w:left="547" w:hanging="547"/>
    </w:pPr>
    <w:rPr>
      <w:smallCaps/>
      <w:noProof/>
      <w:sz w:val="24"/>
    </w:rPr>
  </w:style>
  <w:style w:type="paragraph" w:styleId="TOC2">
    <w:name w:val="toc 2"/>
    <w:basedOn w:val="Normal"/>
    <w:next w:val="Normal"/>
    <w:autoRedefine/>
    <w:uiPriority w:val="39"/>
    <w:rsid w:val="00FA548F"/>
    <w:pPr>
      <w:tabs>
        <w:tab w:val="left" w:pos="1152"/>
        <w:tab w:val="right" w:leader="dot" w:pos="8741"/>
      </w:tabs>
      <w:ind w:left="1166" w:hanging="605"/>
    </w:pPr>
    <w:rPr>
      <w:noProof/>
      <w:sz w:val="24"/>
    </w:rPr>
  </w:style>
  <w:style w:type="paragraph" w:styleId="TOC3">
    <w:name w:val="toc 3"/>
    <w:basedOn w:val="Normal"/>
    <w:next w:val="Normal"/>
    <w:autoRedefine/>
    <w:uiPriority w:val="39"/>
    <w:rsid w:val="00FA548F"/>
    <w:pPr>
      <w:tabs>
        <w:tab w:val="left" w:pos="1728"/>
      </w:tabs>
      <w:ind w:left="1714" w:hanging="562"/>
    </w:pPr>
    <w:rPr>
      <w:noProof/>
      <w:sz w:val="24"/>
    </w:rPr>
  </w:style>
  <w:style w:type="character" w:styleId="FootnoteReference">
    <w:name w:val="footnote reference"/>
    <w:aliases w:val="ftref,Fußnotenzeichen DISS,16 Point,Superscript 6 Point,BVI fnr, BVI fnr,Знак сноски 1,referencia nota al pie,titulo 2,FC,Style 24,Style 2,Sty,Style,Footnote Referencefra,Ref. de nota al pie.,fr,Stinking Styles11,Texto de nota al pie"/>
    <w:link w:val="Char2"/>
    <w:uiPriority w:val="99"/>
    <w:qFormat/>
    <w:rsid w:val="00FA548F"/>
    <w:rPr>
      <w:vertAlign w:val="superscript"/>
    </w:rPr>
  </w:style>
  <w:style w:type="character" w:styleId="CommentReference">
    <w:name w:val="annotation reference"/>
    <w:uiPriority w:val="99"/>
    <w:rsid w:val="00FA548F"/>
    <w:rPr>
      <w:sz w:val="16"/>
      <w:szCs w:val="16"/>
    </w:rPr>
  </w:style>
  <w:style w:type="paragraph" w:styleId="CommentText">
    <w:name w:val="annotation text"/>
    <w:basedOn w:val="Normal"/>
    <w:link w:val="CommentTextChar"/>
    <w:uiPriority w:val="99"/>
    <w:rsid w:val="00FA548F"/>
    <w:rPr>
      <w:lang w:val="en-US" w:eastAsia="en-US"/>
    </w:rPr>
  </w:style>
  <w:style w:type="character" w:customStyle="1" w:styleId="CommentTextChar">
    <w:name w:val="Comment Text Char"/>
    <w:link w:val="CommentText"/>
    <w:uiPriority w:val="99"/>
    <w:rsid w:val="00FA548F"/>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FA548F"/>
    <w:pPr>
      <w:spacing w:after="120"/>
      <w:ind w:left="360"/>
    </w:pPr>
    <w:rPr>
      <w:sz w:val="24"/>
    </w:rPr>
  </w:style>
  <w:style w:type="character" w:customStyle="1" w:styleId="BodyTextIndentChar">
    <w:name w:val="Body Text Indent Char"/>
    <w:link w:val="BodyTextIndent"/>
    <w:rsid w:val="00FA548F"/>
    <w:rPr>
      <w:rFonts w:ascii="Times New Roman" w:eastAsia="Times New Roman" w:hAnsi="Times New Roman"/>
      <w:sz w:val="24"/>
      <w:lang w:val="es-MX" w:eastAsia="es-MX"/>
    </w:rPr>
  </w:style>
  <w:style w:type="paragraph" w:styleId="BodyTextIndent3">
    <w:name w:val="Body Text Indent 3"/>
    <w:basedOn w:val="Normal"/>
    <w:link w:val="BodyTextIndent3Char"/>
    <w:uiPriority w:val="99"/>
    <w:semiHidden/>
    <w:unhideWhenUsed/>
    <w:rsid w:val="00FA548F"/>
    <w:pPr>
      <w:spacing w:after="120"/>
      <w:ind w:left="360"/>
    </w:pPr>
    <w:rPr>
      <w:sz w:val="24"/>
      <w:szCs w:val="16"/>
    </w:rPr>
  </w:style>
  <w:style w:type="character" w:customStyle="1" w:styleId="BodyTextIndent3Char">
    <w:name w:val="Body Text Indent 3 Char"/>
    <w:link w:val="BodyTextIndent3"/>
    <w:uiPriority w:val="99"/>
    <w:semiHidden/>
    <w:rsid w:val="00FA548F"/>
    <w:rPr>
      <w:rFonts w:ascii="Times New Roman" w:eastAsia="Times New Roman" w:hAnsi="Times New Roman"/>
      <w:sz w:val="24"/>
      <w:szCs w:val="16"/>
      <w:lang w:val="es-MX" w:eastAsia="es-MX"/>
    </w:rPr>
  </w:style>
  <w:style w:type="paragraph" w:styleId="BalloonText">
    <w:name w:val="Balloon Text"/>
    <w:basedOn w:val="Normal"/>
    <w:link w:val="BalloonTextChar"/>
    <w:uiPriority w:val="99"/>
    <w:semiHidden/>
    <w:unhideWhenUsed/>
    <w:rsid w:val="00FA548F"/>
    <w:rPr>
      <w:rFonts w:ascii="Tahoma" w:hAnsi="Tahoma" w:cs="Tahoma"/>
      <w:sz w:val="16"/>
      <w:szCs w:val="16"/>
    </w:rPr>
  </w:style>
  <w:style w:type="character" w:customStyle="1" w:styleId="BalloonTextChar">
    <w:name w:val="Balloon Text Char"/>
    <w:link w:val="BalloonText"/>
    <w:uiPriority w:val="99"/>
    <w:semiHidden/>
    <w:rsid w:val="00FA548F"/>
    <w:rPr>
      <w:rFonts w:ascii="Tahoma" w:eastAsia="Times New Roman" w:hAnsi="Tahoma" w:cs="Tahoma"/>
      <w:sz w:val="16"/>
      <w:szCs w:val="16"/>
      <w:lang w:val="es-MX" w:eastAsia="es-MX"/>
    </w:rPr>
  </w:style>
  <w:style w:type="character" w:customStyle="1" w:styleId="ParagraphChar">
    <w:name w:val="Paragraph Char"/>
    <w:link w:val="Paragraph"/>
    <w:rsid w:val="00CA31AE"/>
    <w:rPr>
      <w:rFonts w:ascii="Times New Roman" w:eastAsia="Times New Roman" w:hAnsi="Times New Roman"/>
      <w:sz w:val="24"/>
      <w:lang w:val="es-ES_tradnl" w:eastAsia="es-MX"/>
    </w:rPr>
  </w:style>
  <w:style w:type="character" w:customStyle="1" w:styleId="Heading1Char">
    <w:name w:val="Heading 1 Char"/>
    <w:link w:val="Heading1"/>
    <w:rsid w:val="005B4609"/>
    <w:rPr>
      <w:rFonts w:ascii="Arial" w:eastAsia="Times New Roman" w:hAnsi="Arial"/>
      <w:b/>
      <w:kern w:val="28"/>
      <w:sz w:val="28"/>
    </w:rPr>
  </w:style>
  <w:style w:type="character" w:customStyle="1" w:styleId="Heading2Char">
    <w:name w:val="Heading 2 Char"/>
    <w:link w:val="Heading2"/>
    <w:rsid w:val="005B4609"/>
    <w:rPr>
      <w:rFonts w:ascii="Arial" w:eastAsia="Times New Roman" w:hAnsi="Arial"/>
      <w:b/>
      <w:i/>
      <w:sz w:val="24"/>
    </w:rPr>
  </w:style>
  <w:style w:type="character" w:customStyle="1" w:styleId="Heading3Char">
    <w:name w:val="Heading 3 Char"/>
    <w:link w:val="Heading3"/>
    <w:rsid w:val="005B4609"/>
    <w:rPr>
      <w:rFonts w:ascii="Arial" w:eastAsia="Times New Roman" w:hAnsi="Arial"/>
      <w:sz w:val="24"/>
    </w:rPr>
  </w:style>
  <w:style w:type="character" w:customStyle="1" w:styleId="Heading4Char">
    <w:name w:val="Heading 4 Char"/>
    <w:link w:val="Heading4"/>
    <w:rsid w:val="005B4609"/>
    <w:rPr>
      <w:rFonts w:ascii="Arial" w:eastAsia="Times New Roman" w:hAnsi="Arial"/>
      <w:b/>
      <w:sz w:val="24"/>
    </w:rPr>
  </w:style>
  <w:style w:type="character" w:customStyle="1" w:styleId="subparChar">
    <w:name w:val="subpar Char"/>
    <w:link w:val="subpar"/>
    <w:rsid w:val="00CA31AE"/>
    <w:rPr>
      <w:rFonts w:ascii="Times New Roman" w:eastAsia="Times New Roman" w:hAnsi="Times New Roman"/>
      <w:sz w:val="24"/>
      <w:lang w:val="es-ES_tradnl" w:eastAsia="es-MX"/>
    </w:rPr>
  </w:style>
  <w:style w:type="paragraph" w:styleId="CommentSubject">
    <w:name w:val="annotation subject"/>
    <w:basedOn w:val="CommentText"/>
    <w:next w:val="CommentText"/>
    <w:link w:val="CommentSubjectChar"/>
    <w:uiPriority w:val="99"/>
    <w:semiHidden/>
    <w:unhideWhenUsed/>
    <w:rsid w:val="00CB3E13"/>
    <w:rPr>
      <w:b/>
      <w:bCs/>
      <w:lang w:val="es-MX" w:eastAsia="es-MX"/>
    </w:rPr>
  </w:style>
  <w:style w:type="character" w:customStyle="1" w:styleId="CommentSubjectChar">
    <w:name w:val="Comment Subject Char"/>
    <w:link w:val="CommentSubject"/>
    <w:uiPriority w:val="99"/>
    <w:semiHidden/>
    <w:rsid w:val="00CB3E13"/>
    <w:rPr>
      <w:rFonts w:ascii="Times New Roman" w:eastAsia="Times New Roman" w:hAnsi="Times New Roman" w:cs="Times New Roman"/>
      <w:b/>
      <w:bCs/>
      <w:sz w:val="20"/>
      <w:szCs w:val="20"/>
      <w:lang w:val="es-MX" w:eastAsia="es-MX"/>
    </w:rPr>
  </w:style>
  <w:style w:type="character" w:styleId="Hyperlink">
    <w:name w:val="Hyperlink"/>
    <w:basedOn w:val="DefaultParagraphFont"/>
    <w:uiPriority w:val="99"/>
    <w:unhideWhenUsed/>
    <w:rsid w:val="00544673"/>
    <w:rPr>
      <w:color w:val="0000FF" w:themeColor="hyperlink"/>
      <w:u w:val="single"/>
    </w:rPr>
  </w:style>
  <w:style w:type="paragraph" w:styleId="NormalWeb">
    <w:name w:val="Normal (Web)"/>
    <w:basedOn w:val="Normal"/>
    <w:rsid w:val="009231F9"/>
    <w:pPr>
      <w:spacing w:before="270" w:after="100" w:afterAutospacing="1" w:line="360" w:lineRule="atLeast"/>
    </w:pPr>
    <w:rPr>
      <w:sz w:val="29"/>
      <w:szCs w:val="29"/>
      <w:lang w:val="es-ES" w:eastAsia="es-ES"/>
    </w:rPr>
  </w:style>
  <w:style w:type="paragraph" w:customStyle="1" w:styleId="Estilo1">
    <w:name w:val="Estilo1"/>
    <w:basedOn w:val="TOC4"/>
    <w:rsid w:val="009231F9"/>
    <w:pPr>
      <w:numPr>
        <w:ilvl w:val="1"/>
        <w:numId w:val="3"/>
      </w:numPr>
      <w:tabs>
        <w:tab w:val="clear" w:pos="1440"/>
        <w:tab w:val="num" w:pos="1080"/>
      </w:tabs>
      <w:autoSpaceDE w:val="0"/>
      <w:autoSpaceDN w:val="0"/>
      <w:adjustRightInd w:val="0"/>
      <w:spacing w:before="120"/>
      <w:ind w:left="720" w:firstLine="0"/>
      <w:jc w:val="both"/>
    </w:pPr>
    <w:rPr>
      <w:rFonts w:ascii="Arial" w:hAnsi="Arial" w:cs="Arial"/>
      <w:b/>
      <w:bCs/>
      <w:sz w:val="24"/>
      <w:szCs w:val="24"/>
      <w:lang w:val="es-ES" w:eastAsia="es-ES"/>
    </w:rPr>
  </w:style>
  <w:style w:type="paragraph" w:styleId="TOC4">
    <w:name w:val="toc 4"/>
    <w:basedOn w:val="Normal"/>
    <w:next w:val="Normal"/>
    <w:autoRedefine/>
    <w:uiPriority w:val="39"/>
    <w:semiHidden/>
    <w:unhideWhenUsed/>
    <w:rsid w:val="009231F9"/>
    <w:pPr>
      <w:ind w:left="600"/>
    </w:pPr>
  </w:style>
  <w:style w:type="paragraph" w:styleId="ListParagraph">
    <w:name w:val="List Paragraph"/>
    <w:aliases w:val="Bullets,References,List Paragraph1,Capítulo,titulo 5,Titulo parrafo,cS List Paragraph,TIT 2 IND,tEXTO,Lista vistosa - Énfasis 11"/>
    <w:basedOn w:val="Normal"/>
    <w:link w:val="ListParagraphChar"/>
    <w:uiPriority w:val="34"/>
    <w:qFormat/>
    <w:rsid w:val="00422C4C"/>
    <w:pPr>
      <w:ind w:left="720"/>
      <w:contextualSpacing/>
    </w:pPr>
  </w:style>
  <w:style w:type="paragraph" w:styleId="BodyText2">
    <w:name w:val="Body Text 2"/>
    <w:basedOn w:val="Normal"/>
    <w:link w:val="BodyText2Char"/>
    <w:rsid w:val="008070F0"/>
    <w:pPr>
      <w:spacing w:after="120" w:line="480" w:lineRule="auto"/>
    </w:pPr>
    <w:rPr>
      <w:sz w:val="24"/>
      <w:szCs w:val="24"/>
      <w:lang w:val="en-US" w:eastAsia="en-US"/>
    </w:rPr>
  </w:style>
  <w:style w:type="character" w:customStyle="1" w:styleId="BodyText2Char">
    <w:name w:val="Body Text 2 Char"/>
    <w:basedOn w:val="DefaultParagraphFont"/>
    <w:link w:val="BodyText2"/>
    <w:rsid w:val="008070F0"/>
    <w:rPr>
      <w:rFonts w:ascii="Times New Roman" w:eastAsia="Times New Roman" w:hAnsi="Times New Roman"/>
      <w:sz w:val="24"/>
      <w:szCs w:val="24"/>
    </w:rPr>
  </w:style>
  <w:style w:type="paragraph" w:styleId="Subtitle">
    <w:name w:val="Subtitle"/>
    <w:basedOn w:val="Normal"/>
    <w:next w:val="Normal"/>
    <w:link w:val="SubtitleChar"/>
    <w:uiPriority w:val="11"/>
    <w:qFormat/>
    <w:rsid w:val="008070F0"/>
    <w:pPr>
      <w:spacing w:after="60"/>
      <w:jc w:val="center"/>
      <w:outlineLvl w:val="1"/>
    </w:pPr>
    <w:rPr>
      <w:rFonts w:ascii="Cambria" w:hAnsi="Cambria"/>
      <w:sz w:val="24"/>
      <w:szCs w:val="24"/>
      <w:lang w:val="en-US" w:eastAsia="en-US" w:bidi="en-US"/>
    </w:rPr>
  </w:style>
  <w:style w:type="character" w:customStyle="1" w:styleId="SubtitleChar">
    <w:name w:val="Subtitle Char"/>
    <w:basedOn w:val="DefaultParagraphFont"/>
    <w:link w:val="Subtitle"/>
    <w:uiPriority w:val="11"/>
    <w:rsid w:val="008070F0"/>
    <w:rPr>
      <w:rFonts w:ascii="Cambria" w:eastAsia="Times New Roman" w:hAnsi="Cambria"/>
      <w:sz w:val="24"/>
      <w:szCs w:val="24"/>
      <w:lang w:bidi="en-US"/>
    </w:rPr>
  </w:style>
  <w:style w:type="paragraph" w:customStyle="1" w:styleId="Regtable">
    <w:name w:val="Regtable"/>
    <w:basedOn w:val="Normal"/>
    <w:link w:val="RegtableChar"/>
    <w:rsid w:val="00CA31AE"/>
    <w:pPr>
      <w:keepLines/>
      <w:framePr w:wrap="around" w:vAnchor="text" w:hAnchor="text" w:y="1"/>
      <w:spacing w:before="20" w:after="20"/>
    </w:pPr>
  </w:style>
  <w:style w:type="character" w:customStyle="1" w:styleId="RegtableChar">
    <w:name w:val="Regtable Char"/>
    <w:basedOn w:val="DefaultParagraphFont"/>
    <w:link w:val="Regtable"/>
    <w:rsid w:val="00CA31AE"/>
    <w:rPr>
      <w:rFonts w:ascii="Times New Roman" w:eastAsia="Times New Roman" w:hAnsi="Times New Roman"/>
      <w:lang w:val="es-MX" w:eastAsia="es-MX"/>
    </w:rPr>
  </w:style>
  <w:style w:type="paragraph" w:customStyle="1" w:styleId="TableTitle">
    <w:name w:val="TableTitle"/>
    <w:basedOn w:val="Normal"/>
    <w:link w:val="TableTitleChar"/>
    <w:rsid w:val="00CA31AE"/>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CA31AE"/>
    <w:rPr>
      <w:rFonts w:ascii="Times New Roman Bold" w:eastAsia="Times New Roman" w:hAnsi="Times New Roman Bold"/>
      <w:b/>
      <w:spacing w:val="-3"/>
      <w:lang w:val="es-MX" w:eastAsia="es-MX"/>
    </w:rPr>
  </w:style>
  <w:style w:type="character" w:customStyle="1" w:styleId="Heading5Char">
    <w:name w:val="Heading 5 Char"/>
    <w:basedOn w:val="DefaultParagraphFont"/>
    <w:link w:val="Heading5"/>
    <w:uiPriority w:val="9"/>
    <w:semiHidden/>
    <w:rsid w:val="00CA31AE"/>
    <w:rPr>
      <w:rFonts w:asciiTheme="majorHAnsi" w:eastAsiaTheme="majorEastAsia" w:hAnsiTheme="majorHAnsi" w:cstheme="majorBidi"/>
      <w:color w:val="243F60" w:themeColor="accent1" w:themeShade="7F"/>
      <w:lang w:val="es-MX" w:eastAsia="es-MX"/>
    </w:rPr>
  </w:style>
  <w:style w:type="character" w:customStyle="1" w:styleId="Heading6Char">
    <w:name w:val="Heading 6 Char"/>
    <w:basedOn w:val="DefaultParagraphFont"/>
    <w:link w:val="Heading6"/>
    <w:uiPriority w:val="9"/>
    <w:semiHidden/>
    <w:rsid w:val="00CA31AE"/>
    <w:rPr>
      <w:rFonts w:asciiTheme="majorHAnsi" w:eastAsiaTheme="majorEastAsia" w:hAnsiTheme="majorHAnsi" w:cstheme="majorBidi"/>
      <w:i/>
      <w:iCs/>
      <w:color w:val="243F60" w:themeColor="accent1" w:themeShade="7F"/>
      <w:lang w:val="es-MX" w:eastAsia="es-MX"/>
    </w:rPr>
  </w:style>
  <w:style w:type="character" w:customStyle="1" w:styleId="Heading7Char">
    <w:name w:val="Heading 7 Char"/>
    <w:basedOn w:val="DefaultParagraphFont"/>
    <w:link w:val="Heading7"/>
    <w:uiPriority w:val="9"/>
    <w:semiHidden/>
    <w:rsid w:val="00CA31AE"/>
    <w:rPr>
      <w:rFonts w:asciiTheme="majorHAnsi" w:eastAsiaTheme="majorEastAsia" w:hAnsiTheme="majorHAnsi" w:cstheme="majorBidi"/>
      <w:i/>
      <w:iCs/>
      <w:color w:val="404040" w:themeColor="text1" w:themeTint="BF"/>
      <w:lang w:val="es-MX" w:eastAsia="es-MX"/>
    </w:rPr>
  </w:style>
  <w:style w:type="character" w:customStyle="1" w:styleId="Heading8Char">
    <w:name w:val="Heading 8 Char"/>
    <w:basedOn w:val="DefaultParagraphFont"/>
    <w:link w:val="Heading8"/>
    <w:uiPriority w:val="9"/>
    <w:semiHidden/>
    <w:rsid w:val="00CA31AE"/>
    <w:rPr>
      <w:rFonts w:asciiTheme="majorHAnsi" w:eastAsiaTheme="majorEastAsia" w:hAnsiTheme="majorHAnsi" w:cstheme="majorBidi"/>
      <w:color w:val="404040" w:themeColor="text1" w:themeTint="BF"/>
      <w:lang w:val="es-MX" w:eastAsia="es-MX"/>
    </w:rPr>
  </w:style>
  <w:style w:type="character" w:customStyle="1" w:styleId="Heading9Char">
    <w:name w:val="Heading 9 Char"/>
    <w:basedOn w:val="DefaultParagraphFont"/>
    <w:link w:val="Heading9"/>
    <w:uiPriority w:val="9"/>
    <w:semiHidden/>
    <w:rsid w:val="00CA31AE"/>
    <w:rPr>
      <w:rFonts w:asciiTheme="majorHAnsi" w:eastAsiaTheme="majorEastAsia" w:hAnsiTheme="majorHAnsi" w:cstheme="majorBidi"/>
      <w:i/>
      <w:iCs/>
      <w:color w:val="404040" w:themeColor="text1" w:themeTint="BF"/>
      <w:lang w:val="es-MX" w:eastAsia="es-MX"/>
    </w:rPr>
  </w:style>
  <w:style w:type="paragraph" w:styleId="HTMLPreformatted">
    <w:name w:val="HTML Preformatted"/>
    <w:basedOn w:val="Normal"/>
    <w:link w:val="HTMLPreformattedChar"/>
    <w:uiPriority w:val="99"/>
    <w:semiHidden/>
    <w:unhideWhenUsed/>
    <w:rsid w:val="00FA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semiHidden/>
    <w:rsid w:val="00FA79C7"/>
    <w:rPr>
      <w:rFonts w:ascii="Courier New" w:eastAsia="Times New Roman" w:hAnsi="Courier New" w:cs="Courier New"/>
      <w:lang w:val="es-ES" w:eastAsia="es-ES"/>
    </w:rPr>
  </w:style>
  <w:style w:type="character" w:customStyle="1" w:styleId="ChapterChar">
    <w:name w:val="Chapter Char"/>
    <w:basedOn w:val="DefaultParagraphFont"/>
    <w:link w:val="Chapter"/>
    <w:rsid w:val="00AF0DFB"/>
    <w:rPr>
      <w:rFonts w:ascii="Times New Roman" w:eastAsia="Times New Roman" w:hAnsi="Times New Roman"/>
      <w:b/>
      <w:smallCaps/>
      <w:sz w:val="24"/>
      <w:lang w:val="es-ES_tradnl" w:eastAsia="es-MX"/>
    </w:rPr>
  </w:style>
  <w:style w:type="character" w:customStyle="1" w:styleId="ListParagraphChar">
    <w:name w:val="List Paragraph Char"/>
    <w:aliases w:val="Bullets Char,References Char,List Paragraph1 Char,Capítulo Char,titulo 5 Char,Titulo parrafo Char,cS List Paragraph Char,TIT 2 IND Char,tEXTO Char,Lista vistosa - Énfasis 11 Char"/>
    <w:link w:val="ListParagraph"/>
    <w:uiPriority w:val="34"/>
    <w:locked/>
    <w:rsid w:val="00842C64"/>
    <w:rPr>
      <w:rFonts w:ascii="Times New Roman" w:eastAsia="Times New Roman" w:hAnsi="Times New Roman"/>
      <w:lang w:val="es-MX" w:eastAsia="es-MX"/>
    </w:rPr>
  </w:style>
  <w:style w:type="character" w:customStyle="1" w:styleId="NewpageChar">
    <w:name w:val="Newpage Char"/>
    <w:basedOn w:val="DefaultParagraphFont"/>
    <w:link w:val="Newpage"/>
    <w:rsid w:val="00947D9D"/>
    <w:rPr>
      <w:rFonts w:ascii="Times New Roman" w:eastAsia="Times New Roman" w:hAnsi="Times New Roman"/>
      <w:b/>
      <w:smallCaps/>
      <w:lang w:val="es-ES_tradnl" w:eastAsia="es-MX"/>
    </w:rPr>
  </w:style>
  <w:style w:type="paragraph" w:customStyle="1" w:styleId="Default">
    <w:name w:val="Default"/>
    <w:rsid w:val="004263BB"/>
    <w:pPr>
      <w:widowControl w:val="0"/>
      <w:autoSpaceDE w:val="0"/>
      <w:autoSpaceDN w:val="0"/>
      <w:adjustRightInd w:val="0"/>
    </w:pPr>
    <w:rPr>
      <w:rFonts w:ascii="Times New Roman" w:eastAsiaTheme="minorEastAsia" w:hAnsi="Times New Roman"/>
      <w:color w:val="000000"/>
      <w:sz w:val="24"/>
      <w:szCs w:val="24"/>
    </w:rPr>
  </w:style>
  <w:style w:type="character" w:styleId="UnresolvedMention">
    <w:name w:val="Unresolved Mention"/>
    <w:basedOn w:val="DefaultParagraphFont"/>
    <w:uiPriority w:val="99"/>
    <w:semiHidden/>
    <w:unhideWhenUsed/>
    <w:rsid w:val="000D413C"/>
    <w:rPr>
      <w:color w:val="605E5C"/>
      <w:shd w:val="clear" w:color="auto" w:fill="E1DFDD"/>
    </w:rPr>
  </w:style>
  <w:style w:type="character" w:styleId="FollowedHyperlink">
    <w:name w:val="FollowedHyperlink"/>
    <w:basedOn w:val="DefaultParagraphFont"/>
    <w:uiPriority w:val="99"/>
    <w:semiHidden/>
    <w:unhideWhenUsed/>
    <w:rsid w:val="00D607D3"/>
    <w:rPr>
      <w:color w:val="800080" w:themeColor="followedHyperlink"/>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280E54"/>
  </w:style>
  <w:style w:type="character" w:customStyle="1" w:styleId="eop">
    <w:name w:val="eop"/>
    <w:basedOn w:val="DefaultParagraphFont"/>
    <w:rsid w:val="00280E54"/>
  </w:style>
  <w:style w:type="paragraph" w:styleId="Revision">
    <w:name w:val="Revision"/>
    <w:hidden/>
    <w:uiPriority w:val="99"/>
    <w:semiHidden/>
    <w:rsid w:val="004A25C1"/>
    <w:rPr>
      <w:rFonts w:ascii="Times New Roman" w:eastAsia="Times New Roman" w:hAnsi="Times New Roman"/>
      <w:lang w:val="es-MX" w:eastAsia="es-MX"/>
    </w:rPr>
  </w:style>
  <w:style w:type="paragraph" w:styleId="BodyText">
    <w:name w:val="Body Text"/>
    <w:basedOn w:val="Normal"/>
    <w:link w:val="BodyTextChar"/>
    <w:uiPriority w:val="99"/>
    <w:semiHidden/>
    <w:unhideWhenUsed/>
    <w:rsid w:val="00970EBF"/>
    <w:pPr>
      <w:spacing w:after="120"/>
    </w:pPr>
  </w:style>
  <w:style w:type="character" w:customStyle="1" w:styleId="BodyTextChar">
    <w:name w:val="Body Text Char"/>
    <w:basedOn w:val="DefaultParagraphFont"/>
    <w:link w:val="BodyText"/>
    <w:uiPriority w:val="99"/>
    <w:semiHidden/>
    <w:rsid w:val="00970EBF"/>
    <w:rPr>
      <w:rFonts w:ascii="Times New Roman" w:eastAsia="Times New Roman" w:hAnsi="Times New Roman"/>
      <w:lang w:val="es-MX" w:eastAsia="es-MX"/>
    </w:rPr>
  </w:style>
  <w:style w:type="paragraph" w:customStyle="1" w:styleId="Char2">
    <w:name w:val="Char2"/>
    <w:basedOn w:val="Normal"/>
    <w:link w:val="FootnoteReference"/>
    <w:uiPriority w:val="99"/>
    <w:rsid w:val="00557A57"/>
    <w:pPr>
      <w:spacing w:after="160" w:line="240" w:lineRule="exact"/>
    </w:pPr>
    <w:rPr>
      <w:rFonts w:ascii="Calibri" w:eastAsia="Calibri" w:hAnsi="Calibri"/>
      <w:vertAlign w:val="superscript"/>
      <w:lang w:val="en-US" w:eastAsia="en-US"/>
    </w:rPr>
  </w:style>
  <w:style w:type="character" w:customStyle="1" w:styleId="SubSubParChar">
    <w:name w:val="SubSubPar Char"/>
    <w:basedOn w:val="DefaultParagraphFont"/>
    <w:link w:val="SubSubPar"/>
    <w:uiPriority w:val="99"/>
    <w:rsid w:val="008F1F10"/>
    <w:rPr>
      <w:rFonts w:ascii="Times New Roman" w:eastAsia="Times New Roman" w:hAnsi="Times New Roman"/>
      <w:sz w:val="24"/>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32242">
      <w:bodyDiv w:val="1"/>
      <w:marLeft w:val="0"/>
      <w:marRight w:val="0"/>
      <w:marTop w:val="0"/>
      <w:marBottom w:val="0"/>
      <w:divBdr>
        <w:top w:val="none" w:sz="0" w:space="0" w:color="auto"/>
        <w:left w:val="none" w:sz="0" w:space="0" w:color="auto"/>
        <w:bottom w:val="none" w:sz="0" w:space="0" w:color="auto"/>
        <w:right w:val="none" w:sz="0" w:space="0" w:color="auto"/>
      </w:divBdr>
      <w:divsChild>
        <w:div w:id="115757863">
          <w:marLeft w:val="0"/>
          <w:marRight w:val="0"/>
          <w:marTop w:val="0"/>
          <w:marBottom w:val="0"/>
          <w:divBdr>
            <w:top w:val="none" w:sz="0" w:space="0" w:color="auto"/>
            <w:left w:val="none" w:sz="0" w:space="0" w:color="auto"/>
            <w:bottom w:val="none" w:sz="0" w:space="0" w:color="auto"/>
            <w:right w:val="none" w:sz="0" w:space="0" w:color="auto"/>
          </w:divBdr>
        </w:div>
        <w:div w:id="1258172668">
          <w:marLeft w:val="0"/>
          <w:marRight w:val="0"/>
          <w:marTop w:val="0"/>
          <w:marBottom w:val="0"/>
          <w:divBdr>
            <w:top w:val="none" w:sz="0" w:space="0" w:color="auto"/>
            <w:left w:val="none" w:sz="0" w:space="0" w:color="auto"/>
            <w:bottom w:val="none" w:sz="0" w:space="0" w:color="auto"/>
            <w:right w:val="none" w:sz="0" w:space="0" w:color="auto"/>
          </w:divBdr>
        </w:div>
        <w:div w:id="1374647869">
          <w:marLeft w:val="0"/>
          <w:marRight w:val="0"/>
          <w:marTop w:val="0"/>
          <w:marBottom w:val="0"/>
          <w:divBdr>
            <w:top w:val="none" w:sz="0" w:space="0" w:color="auto"/>
            <w:left w:val="none" w:sz="0" w:space="0" w:color="auto"/>
            <w:bottom w:val="none" w:sz="0" w:space="0" w:color="auto"/>
            <w:right w:val="none" w:sz="0" w:space="0" w:color="auto"/>
          </w:divBdr>
        </w:div>
        <w:div w:id="1632831308">
          <w:marLeft w:val="0"/>
          <w:marRight w:val="0"/>
          <w:marTop w:val="0"/>
          <w:marBottom w:val="0"/>
          <w:divBdr>
            <w:top w:val="none" w:sz="0" w:space="0" w:color="auto"/>
            <w:left w:val="none" w:sz="0" w:space="0" w:color="auto"/>
            <w:bottom w:val="none" w:sz="0" w:space="0" w:color="auto"/>
            <w:right w:val="none" w:sz="0" w:space="0" w:color="auto"/>
          </w:divBdr>
        </w:div>
        <w:div w:id="1647514492">
          <w:marLeft w:val="0"/>
          <w:marRight w:val="0"/>
          <w:marTop w:val="0"/>
          <w:marBottom w:val="0"/>
          <w:divBdr>
            <w:top w:val="none" w:sz="0" w:space="0" w:color="auto"/>
            <w:left w:val="none" w:sz="0" w:space="0" w:color="auto"/>
            <w:bottom w:val="none" w:sz="0" w:space="0" w:color="auto"/>
            <w:right w:val="none" w:sz="0" w:space="0" w:color="auto"/>
          </w:divBdr>
        </w:div>
        <w:div w:id="2126120040">
          <w:marLeft w:val="0"/>
          <w:marRight w:val="0"/>
          <w:marTop w:val="0"/>
          <w:marBottom w:val="0"/>
          <w:divBdr>
            <w:top w:val="none" w:sz="0" w:space="0" w:color="auto"/>
            <w:left w:val="none" w:sz="0" w:space="0" w:color="auto"/>
            <w:bottom w:val="none" w:sz="0" w:space="0" w:color="auto"/>
            <w:right w:val="none" w:sz="0" w:space="0" w:color="auto"/>
          </w:divBdr>
        </w:div>
      </w:divsChild>
    </w:div>
    <w:div w:id="104738495">
      <w:bodyDiv w:val="1"/>
      <w:marLeft w:val="0"/>
      <w:marRight w:val="0"/>
      <w:marTop w:val="0"/>
      <w:marBottom w:val="0"/>
      <w:divBdr>
        <w:top w:val="none" w:sz="0" w:space="0" w:color="auto"/>
        <w:left w:val="none" w:sz="0" w:space="0" w:color="auto"/>
        <w:bottom w:val="none" w:sz="0" w:space="0" w:color="auto"/>
        <w:right w:val="none" w:sz="0" w:space="0" w:color="auto"/>
      </w:divBdr>
    </w:div>
    <w:div w:id="341472589">
      <w:bodyDiv w:val="1"/>
      <w:marLeft w:val="0"/>
      <w:marRight w:val="0"/>
      <w:marTop w:val="0"/>
      <w:marBottom w:val="0"/>
      <w:divBdr>
        <w:top w:val="none" w:sz="0" w:space="0" w:color="auto"/>
        <w:left w:val="none" w:sz="0" w:space="0" w:color="auto"/>
        <w:bottom w:val="none" w:sz="0" w:space="0" w:color="auto"/>
        <w:right w:val="none" w:sz="0" w:space="0" w:color="auto"/>
      </w:divBdr>
    </w:div>
    <w:div w:id="1829595759">
      <w:bodyDiv w:val="1"/>
      <w:marLeft w:val="0"/>
      <w:marRight w:val="0"/>
      <w:marTop w:val="0"/>
      <w:marBottom w:val="0"/>
      <w:divBdr>
        <w:top w:val="none" w:sz="0" w:space="0" w:color="auto"/>
        <w:left w:val="none" w:sz="0" w:space="0" w:color="auto"/>
        <w:bottom w:val="none" w:sz="0" w:space="0" w:color="auto"/>
        <w:right w:val="none" w:sz="0" w:space="0" w:color="auto"/>
      </w:divBdr>
    </w:div>
    <w:div w:id="1877040715">
      <w:bodyDiv w:val="1"/>
      <w:marLeft w:val="0"/>
      <w:marRight w:val="0"/>
      <w:marTop w:val="0"/>
      <w:marBottom w:val="0"/>
      <w:divBdr>
        <w:top w:val="none" w:sz="0" w:space="0" w:color="auto"/>
        <w:left w:val="none" w:sz="0" w:space="0" w:color="auto"/>
        <w:bottom w:val="none" w:sz="0" w:space="0" w:color="auto"/>
        <w:right w:val="none" w:sz="0" w:space="0" w:color="auto"/>
      </w:divBdr>
    </w:div>
    <w:div w:id="1947695048">
      <w:bodyDiv w:val="1"/>
      <w:marLeft w:val="0"/>
      <w:marRight w:val="0"/>
      <w:marTop w:val="0"/>
      <w:marBottom w:val="0"/>
      <w:divBdr>
        <w:top w:val="none" w:sz="0" w:space="0" w:color="auto"/>
        <w:left w:val="none" w:sz="0" w:space="0" w:color="auto"/>
        <w:bottom w:val="none" w:sz="0" w:space="0" w:color="auto"/>
        <w:right w:val="none" w:sz="0" w:space="0" w:color="auto"/>
      </w:divBdr>
      <w:divsChild>
        <w:div w:id="162598135">
          <w:marLeft w:val="0"/>
          <w:marRight w:val="0"/>
          <w:marTop w:val="0"/>
          <w:marBottom w:val="0"/>
          <w:divBdr>
            <w:top w:val="none" w:sz="0" w:space="0" w:color="auto"/>
            <w:left w:val="none" w:sz="0" w:space="0" w:color="auto"/>
            <w:bottom w:val="none" w:sz="0" w:space="0" w:color="auto"/>
            <w:right w:val="none" w:sz="0" w:space="0" w:color="auto"/>
          </w:divBdr>
        </w:div>
        <w:div w:id="241375736">
          <w:marLeft w:val="0"/>
          <w:marRight w:val="0"/>
          <w:marTop w:val="0"/>
          <w:marBottom w:val="0"/>
          <w:divBdr>
            <w:top w:val="none" w:sz="0" w:space="0" w:color="auto"/>
            <w:left w:val="none" w:sz="0" w:space="0" w:color="auto"/>
            <w:bottom w:val="none" w:sz="0" w:space="0" w:color="auto"/>
            <w:right w:val="none" w:sz="0" w:space="0" w:color="auto"/>
          </w:divBdr>
        </w:div>
        <w:div w:id="438567800">
          <w:marLeft w:val="0"/>
          <w:marRight w:val="0"/>
          <w:marTop w:val="0"/>
          <w:marBottom w:val="0"/>
          <w:divBdr>
            <w:top w:val="none" w:sz="0" w:space="0" w:color="auto"/>
            <w:left w:val="none" w:sz="0" w:space="0" w:color="auto"/>
            <w:bottom w:val="none" w:sz="0" w:space="0" w:color="auto"/>
            <w:right w:val="none" w:sz="0" w:space="0" w:color="auto"/>
          </w:divBdr>
        </w:div>
        <w:div w:id="568462378">
          <w:marLeft w:val="0"/>
          <w:marRight w:val="0"/>
          <w:marTop w:val="0"/>
          <w:marBottom w:val="0"/>
          <w:divBdr>
            <w:top w:val="none" w:sz="0" w:space="0" w:color="auto"/>
            <w:left w:val="none" w:sz="0" w:space="0" w:color="auto"/>
            <w:bottom w:val="none" w:sz="0" w:space="0" w:color="auto"/>
            <w:right w:val="none" w:sz="0" w:space="0" w:color="auto"/>
          </w:divBdr>
        </w:div>
        <w:div w:id="600529779">
          <w:marLeft w:val="0"/>
          <w:marRight w:val="0"/>
          <w:marTop w:val="0"/>
          <w:marBottom w:val="0"/>
          <w:divBdr>
            <w:top w:val="none" w:sz="0" w:space="0" w:color="auto"/>
            <w:left w:val="none" w:sz="0" w:space="0" w:color="auto"/>
            <w:bottom w:val="none" w:sz="0" w:space="0" w:color="auto"/>
            <w:right w:val="none" w:sz="0" w:space="0" w:color="auto"/>
          </w:divBdr>
        </w:div>
        <w:div w:id="732846765">
          <w:marLeft w:val="0"/>
          <w:marRight w:val="0"/>
          <w:marTop w:val="0"/>
          <w:marBottom w:val="0"/>
          <w:divBdr>
            <w:top w:val="none" w:sz="0" w:space="0" w:color="auto"/>
            <w:left w:val="none" w:sz="0" w:space="0" w:color="auto"/>
            <w:bottom w:val="none" w:sz="0" w:space="0" w:color="auto"/>
            <w:right w:val="none" w:sz="0" w:space="0" w:color="auto"/>
          </w:divBdr>
        </w:div>
        <w:div w:id="923299946">
          <w:marLeft w:val="0"/>
          <w:marRight w:val="0"/>
          <w:marTop w:val="0"/>
          <w:marBottom w:val="0"/>
          <w:divBdr>
            <w:top w:val="none" w:sz="0" w:space="0" w:color="auto"/>
            <w:left w:val="none" w:sz="0" w:space="0" w:color="auto"/>
            <w:bottom w:val="none" w:sz="0" w:space="0" w:color="auto"/>
            <w:right w:val="none" w:sz="0" w:space="0" w:color="auto"/>
          </w:divBdr>
        </w:div>
        <w:div w:id="966279404">
          <w:marLeft w:val="0"/>
          <w:marRight w:val="0"/>
          <w:marTop w:val="0"/>
          <w:marBottom w:val="0"/>
          <w:divBdr>
            <w:top w:val="none" w:sz="0" w:space="0" w:color="auto"/>
            <w:left w:val="none" w:sz="0" w:space="0" w:color="auto"/>
            <w:bottom w:val="none" w:sz="0" w:space="0" w:color="auto"/>
            <w:right w:val="none" w:sz="0" w:space="0" w:color="auto"/>
          </w:divBdr>
        </w:div>
        <w:div w:id="1012338253">
          <w:marLeft w:val="0"/>
          <w:marRight w:val="0"/>
          <w:marTop w:val="0"/>
          <w:marBottom w:val="0"/>
          <w:divBdr>
            <w:top w:val="none" w:sz="0" w:space="0" w:color="auto"/>
            <w:left w:val="none" w:sz="0" w:space="0" w:color="auto"/>
            <w:bottom w:val="none" w:sz="0" w:space="0" w:color="auto"/>
            <w:right w:val="none" w:sz="0" w:space="0" w:color="auto"/>
          </w:divBdr>
        </w:div>
        <w:div w:id="1075544039">
          <w:marLeft w:val="0"/>
          <w:marRight w:val="0"/>
          <w:marTop w:val="0"/>
          <w:marBottom w:val="0"/>
          <w:divBdr>
            <w:top w:val="none" w:sz="0" w:space="0" w:color="auto"/>
            <w:left w:val="none" w:sz="0" w:space="0" w:color="auto"/>
            <w:bottom w:val="none" w:sz="0" w:space="0" w:color="auto"/>
            <w:right w:val="none" w:sz="0" w:space="0" w:color="auto"/>
          </w:divBdr>
        </w:div>
        <w:div w:id="1101221222">
          <w:marLeft w:val="0"/>
          <w:marRight w:val="0"/>
          <w:marTop w:val="0"/>
          <w:marBottom w:val="0"/>
          <w:divBdr>
            <w:top w:val="none" w:sz="0" w:space="0" w:color="auto"/>
            <w:left w:val="none" w:sz="0" w:space="0" w:color="auto"/>
            <w:bottom w:val="none" w:sz="0" w:space="0" w:color="auto"/>
            <w:right w:val="none" w:sz="0" w:space="0" w:color="auto"/>
          </w:divBdr>
        </w:div>
        <w:div w:id="1124421220">
          <w:marLeft w:val="0"/>
          <w:marRight w:val="0"/>
          <w:marTop w:val="0"/>
          <w:marBottom w:val="0"/>
          <w:divBdr>
            <w:top w:val="none" w:sz="0" w:space="0" w:color="auto"/>
            <w:left w:val="none" w:sz="0" w:space="0" w:color="auto"/>
            <w:bottom w:val="none" w:sz="0" w:space="0" w:color="auto"/>
            <w:right w:val="none" w:sz="0" w:space="0" w:color="auto"/>
          </w:divBdr>
        </w:div>
        <w:div w:id="1149788508">
          <w:marLeft w:val="0"/>
          <w:marRight w:val="0"/>
          <w:marTop w:val="0"/>
          <w:marBottom w:val="0"/>
          <w:divBdr>
            <w:top w:val="none" w:sz="0" w:space="0" w:color="auto"/>
            <w:left w:val="none" w:sz="0" w:space="0" w:color="auto"/>
            <w:bottom w:val="none" w:sz="0" w:space="0" w:color="auto"/>
            <w:right w:val="none" w:sz="0" w:space="0" w:color="auto"/>
          </w:divBdr>
        </w:div>
        <w:div w:id="1273127618">
          <w:marLeft w:val="0"/>
          <w:marRight w:val="0"/>
          <w:marTop w:val="0"/>
          <w:marBottom w:val="0"/>
          <w:divBdr>
            <w:top w:val="none" w:sz="0" w:space="0" w:color="auto"/>
            <w:left w:val="none" w:sz="0" w:space="0" w:color="auto"/>
            <w:bottom w:val="none" w:sz="0" w:space="0" w:color="auto"/>
            <w:right w:val="none" w:sz="0" w:space="0" w:color="auto"/>
          </w:divBdr>
        </w:div>
        <w:div w:id="1284919537">
          <w:marLeft w:val="0"/>
          <w:marRight w:val="0"/>
          <w:marTop w:val="0"/>
          <w:marBottom w:val="0"/>
          <w:divBdr>
            <w:top w:val="none" w:sz="0" w:space="0" w:color="auto"/>
            <w:left w:val="none" w:sz="0" w:space="0" w:color="auto"/>
            <w:bottom w:val="none" w:sz="0" w:space="0" w:color="auto"/>
            <w:right w:val="none" w:sz="0" w:space="0" w:color="auto"/>
          </w:divBdr>
        </w:div>
        <w:div w:id="1408578679">
          <w:marLeft w:val="0"/>
          <w:marRight w:val="0"/>
          <w:marTop w:val="0"/>
          <w:marBottom w:val="0"/>
          <w:divBdr>
            <w:top w:val="none" w:sz="0" w:space="0" w:color="auto"/>
            <w:left w:val="none" w:sz="0" w:space="0" w:color="auto"/>
            <w:bottom w:val="none" w:sz="0" w:space="0" w:color="auto"/>
            <w:right w:val="none" w:sz="0" w:space="0" w:color="auto"/>
          </w:divBdr>
        </w:div>
        <w:div w:id="1417483910">
          <w:marLeft w:val="0"/>
          <w:marRight w:val="0"/>
          <w:marTop w:val="0"/>
          <w:marBottom w:val="0"/>
          <w:divBdr>
            <w:top w:val="none" w:sz="0" w:space="0" w:color="auto"/>
            <w:left w:val="none" w:sz="0" w:space="0" w:color="auto"/>
            <w:bottom w:val="none" w:sz="0" w:space="0" w:color="auto"/>
            <w:right w:val="none" w:sz="0" w:space="0" w:color="auto"/>
          </w:divBdr>
        </w:div>
        <w:div w:id="1462533941">
          <w:marLeft w:val="0"/>
          <w:marRight w:val="0"/>
          <w:marTop w:val="0"/>
          <w:marBottom w:val="0"/>
          <w:divBdr>
            <w:top w:val="none" w:sz="0" w:space="0" w:color="auto"/>
            <w:left w:val="none" w:sz="0" w:space="0" w:color="auto"/>
            <w:bottom w:val="none" w:sz="0" w:space="0" w:color="auto"/>
            <w:right w:val="none" w:sz="0" w:space="0" w:color="auto"/>
          </w:divBdr>
        </w:div>
        <w:div w:id="1469786445">
          <w:marLeft w:val="0"/>
          <w:marRight w:val="0"/>
          <w:marTop w:val="0"/>
          <w:marBottom w:val="0"/>
          <w:divBdr>
            <w:top w:val="none" w:sz="0" w:space="0" w:color="auto"/>
            <w:left w:val="none" w:sz="0" w:space="0" w:color="auto"/>
            <w:bottom w:val="none" w:sz="0" w:space="0" w:color="auto"/>
            <w:right w:val="none" w:sz="0" w:space="0" w:color="auto"/>
          </w:divBdr>
        </w:div>
        <w:div w:id="1533571230">
          <w:marLeft w:val="0"/>
          <w:marRight w:val="0"/>
          <w:marTop w:val="0"/>
          <w:marBottom w:val="0"/>
          <w:divBdr>
            <w:top w:val="none" w:sz="0" w:space="0" w:color="auto"/>
            <w:left w:val="none" w:sz="0" w:space="0" w:color="auto"/>
            <w:bottom w:val="none" w:sz="0" w:space="0" w:color="auto"/>
            <w:right w:val="none" w:sz="0" w:space="0" w:color="auto"/>
          </w:divBdr>
        </w:div>
        <w:div w:id="1589079411">
          <w:marLeft w:val="0"/>
          <w:marRight w:val="0"/>
          <w:marTop w:val="0"/>
          <w:marBottom w:val="0"/>
          <w:divBdr>
            <w:top w:val="none" w:sz="0" w:space="0" w:color="auto"/>
            <w:left w:val="none" w:sz="0" w:space="0" w:color="auto"/>
            <w:bottom w:val="none" w:sz="0" w:space="0" w:color="auto"/>
            <w:right w:val="none" w:sz="0" w:space="0" w:color="auto"/>
          </w:divBdr>
        </w:div>
        <w:div w:id="1659187073">
          <w:marLeft w:val="0"/>
          <w:marRight w:val="0"/>
          <w:marTop w:val="0"/>
          <w:marBottom w:val="0"/>
          <w:divBdr>
            <w:top w:val="none" w:sz="0" w:space="0" w:color="auto"/>
            <w:left w:val="none" w:sz="0" w:space="0" w:color="auto"/>
            <w:bottom w:val="none" w:sz="0" w:space="0" w:color="auto"/>
            <w:right w:val="none" w:sz="0" w:space="0" w:color="auto"/>
          </w:divBdr>
        </w:div>
        <w:div w:id="1791244898">
          <w:marLeft w:val="0"/>
          <w:marRight w:val="0"/>
          <w:marTop w:val="0"/>
          <w:marBottom w:val="0"/>
          <w:divBdr>
            <w:top w:val="none" w:sz="0" w:space="0" w:color="auto"/>
            <w:left w:val="none" w:sz="0" w:space="0" w:color="auto"/>
            <w:bottom w:val="none" w:sz="0" w:space="0" w:color="auto"/>
            <w:right w:val="none" w:sz="0" w:space="0" w:color="auto"/>
          </w:divBdr>
        </w:div>
        <w:div w:id="1914967159">
          <w:marLeft w:val="0"/>
          <w:marRight w:val="0"/>
          <w:marTop w:val="0"/>
          <w:marBottom w:val="0"/>
          <w:divBdr>
            <w:top w:val="none" w:sz="0" w:space="0" w:color="auto"/>
            <w:left w:val="none" w:sz="0" w:space="0" w:color="auto"/>
            <w:bottom w:val="none" w:sz="0" w:space="0" w:color="auto"/>
            <w:right w:val="none" w:sz="0" w:space="0" w:color="auto"/>
          </w:divBdr>
        </w:div>
        <w:div w:id="1971201366">
          <w:marLeft w:val="0"/>
          <w:marRight w:val="0"/>
          <w:marTop w:val="0"/>
          <w:marBottom w:val="0"/>
          <w:divBdr>
            <w:top w:val="none" w:sz="0" w:space="0" w:color="auto"/>
            <w:left w:val="none" w:sz="0" w:space="0" w:color="auto"/>
            <w:bottom w:val="none" w:sz="0" w:space="0" w:color="auto"/>
            <w:right w:val="none" w:sz="0" w:space="0" w:color="auto"/>
          </w:divBdr>
        </w:div>
        <w:div w:id="1992516998">
          <w:marLeft w:val="0"/>
          <w:marRight w:val="0"/>
          <w:marTop w:val="0"/>
          <w:marBottom w:val="0"/>
          <w:divBdr>
            <w:top w:val="none" w:sz="0" w:space="0" w:color="auto"/>
            <w:left w:val="none" w:sz="0" w:space="0" w:color="auto"/>
            <w:bottom w:val="none" w:sz="0" w:space="0" w:color="auto"/>
            <w:right w:val="none" w:sz="0" w:space="0" w:color="auto"/>
          </w:divBdr>
        </w:div>
        <w:div w:id="2013097923">
          <w:marLeft w:val="0"/>
          <w:marRight w:val="0"/>
          <w:marTop w:val="0"/>
          <w:marBottom w:val="0"/>
          <w:divBdr>
            <w:top w:val="none" w:sz="0" w:space="0" w:color="auto"/>
            <w:left w:val="none" w:sz="0" w:space="0" w:color="auto"/>
            <w:bottom w:val="none" w:sz="0" w:space="0" w:color="auto"/>
            <w:right w:val="none" w:sz="0" w:space="0" w:color="auto"/>
          </w:divBdr>
        </w:div>
        <w:div w:id="2134708180">
          <w:marLeft w:val="0"/>
          <w:marRight w:val="0"/>
          <w:marTop w:val="0"/>
          <w:marBottom w:val="0"/>
          <w:divBdr>
            <w:top w:val="none" w:sz="0" w:space="0" w:color="auto"/>
            <w:left w:val="none" w:sz="0" w:space="0" w:color="auto"/>
            <w:bottom w:val="none" w:sz="0" w:space="0" w:color="auto"/>
            <w:right w:val="none" w:sz="0" w:space="0" w:color="auto"/>
          </w:divBdr>
        </w:div>
      </w:divsChild>
    </w:div>
    <w:div w:id="214607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21" Type="http://schemas.openxmlformats.org/officeDocument/2006/relationships/header" Target="header6.xml"/><Relationship Id="rId34"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idbdocs.iadb.org/wsdocs/getDocument.aspx?DOCNUM=EZSHARE-436740228-3"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fincen.gov/index.php/" TargetMode="External"/><Relationship Id="rId29" Type="http://schemas.openxmlformats.org/officeDocument/2006/relationships/hyperlink" Target="http://www.iadb.org/integrid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adb.org/integrity" TargetMode="External"/><Relationship Id="rId32" Type="http://schemas.openxmlformats.org/officeDocument/2006/relationships/footer" Target="footer7.xml"/><Relationship Id="rId37" Type="http://schemas.openxmlformats.org/officeDocument/2006/relationships/customXml" Target="../customXml/item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customXml" Target="../customXml/item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pops.int/" TargetMode="External"/><Relationship Id="rId2" Type="http://schemas.openxmlformats.org/officeDocument/2006/relationships/hyperlink" Target="https://www.ine.gob.hn/V3/imag-doc/2019/07/Clasificador-de-Actividades-Economicas-Honduras-2018_PDF-1.pdf" TargetMode="External"/><Relationship Id="rId1" Type="http://schemas.openxmlformats.org/officeDocument/2006/relationships/hyperlink" Target="https://www.cepal.org/sites/default/files/presentations/clasificador-nacional-actividades-economicas-honduras-2018.pdf" TargetMode="External"/><Relationship Id="rId4" Type="http://schemas.openxmlformats.org/officeDocument/2006/relationships/hyperlink" Target="http://www.iadb.or/integ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109</Value>
      <Value>74</Value>
      <Value>1</Value>
      <Value>119</Value>
    </TaxCatchAll>
    <Operation_x0020_Type xmlns="cdc7663a-08f0-4737-9e8c-148ce897a09c" xsi:nil="true"/>
    <Package_x0020_Code xmlns="cdc7663a-08f0-4737-9e8c-148ce897a09c" xsi:nil="true"/>
    <Identifier xmlns="cdc7663a-08f0-4737-9e8c-148ce897a09c">EEO</Identifier>
    <Project_x0020_Number xmlns="cdc7663a-08f0-4737-9e8c-148ce897a09c">HO-L1216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EZSHARE-436740228-1</_dlc_DocId>
    <_dlc_DocIdUrl xmlns="cdc7663a-08f0-4737-9e8c-148ce897a09c">
      <Url>https://idbg.sharepoint.com/teams/EZ-HO-LON/HO-L1216/_layouts/15/DocIdRedir.aspx?ID=EZSHARE-436740228-1</Url>
      <Description>EZSHARE-436740228-1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D7ACB815652D94FA5FFB5B80CD3E726" ma:contentTypeVersion="0" ma:contentTypeDescription="A content type to manage public (operations) IDB documents" ma:contentTypeScope="" ma:versionID="dfb65fe478de91a25f7ce9cd223a2a37">
  <xsd:schema xmlns:xsd="http://www.w3.org/2001/XMLSchema" xmlns:xs="http://www.w3.org/2001/XMLSchema" xmlns:p="http://schemas.microsoft.com/office/2006/metadata/properties" xmlns:ns2="cdc7663a-08f0-4737-9e8c-148ce897a09c" targetNamespace="http://schemas.microsoft.com/office/2006/metadata/properties" ma:root="true" ma:fieldsID="6a983b71924713453b637dc837f9d7c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21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149444-24D1-46F9-A6EB-9B43E777315D}">
  <ds:schemaRefs>
    <ds:schemaRef ds:uri="http://schemas.openxmlformats.org/officeDocument/2006/bibliography"/>
  </ds:schemaRefs>
</ds:datastoreItem>
</file>

<file path=customXml/itemProps2.xml><?xml version="1.0" encoding="utf-8"?>
<ds:datastoreItem xmlns:ds="http://schemas.openxmlformats.org/officeDocument/2006/customXml" ds:itemID="{914736AA-EA37-44FD-9BEC-FE73662F6D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8E7B42-1BE4-4763-9F7A-31970BEBE9D9}">
  <ds:schemaRefs>
    <ds:schemaRef ds:uri="http://schemas.microsoft.com/sharepoint/v3/contenttype/forms"/>
  </ds:schemaRefs>
</ds:datastoreItem>
</file>

<file path=customXml/itemProps4.xml><?xml version="1.0" encoding="utf-8"?>
<ds:datastoreItem xmlns:ds="http://schemas.openxmlformats.org/officeDocument/2006/customXml" ds:itemID="{C1960D9D-F0B9-4CF9-B199-F5BCAC00C251}"/>
</file>

<file path=customXml/itemProps5.xml><?xml version="1.0" encoding="utf-8"?>
<ds:datastoreItem xmlns:ds="http://schemas.openxmlformats.org/officeDocument/2006/customXml" ds:itemID="{7F87818E-E328-4555-B337-0A16C7292334}"/>
</file>

<file path=customXml/itemProps6.xml><?xml version="1.0" encoding="utf-8"?>
<ds:datastoreItem xmlns:ds="http://schemas.openxmlformats.org/officeDocument/2006/customXml" ds:itemID="{4E01690A-59A8-4C6C-9433-8C2981D20AC1}"/>
</file>

<file path=customXml/itemProps7.xml><?xml version="1.0" encoding="utf-8"?>
<ds:datastoreItem xmlns:ds="http://schemas.openxmlformats.org/officeDocument/2006/customXml" ds:itemID="{3B105F53-892A-4E6E-BD16-6E8C8D86618B}"/>
</file>

<file path=docProps/app.xml><?xml version="1.0" encoding="utf-8"?>
<Properties xmlns="http://schemas.openxmlformats.org/officeDocument/2006/extended-properties" xmlns:vt="http://schemas.openxmlformats.org/officeDocument/2006/docPropsVTypes">
  <Template>Normal</Template>
  <TotalTime>15</TotalTime>
  <Pages>19</Pages>
  <Words>5959</Words>
  <Characters>33971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39851</CharactersWithSpaces>
  <SharedDoc>false</SharedDoc>
  <HLinks>
    <vt:vector size="168" baseType="variant">
      <vt:variant>
        <vt:i4>6881382</vt:i4>
      </vt:variant>
      <vt:variant>
        <vt:i4>120</vt:i4>
      </vt:variant>
      <vt:variant>
        <vt:i4>0</vt:i4>
      </vt:variant>
      <vt:variant>
        <vt:i4>5</vt:i4>
      </vt:variant>
      <vt:variant>
        <vt:lpwstr>http://www.iadb.org/en/countries/venezuela/venezuela-and-the-idb,1027.html</vt:lpwstr>
      </vt:variant>
      <vt:variant>
        <vt:lpwstr/>
      </vt:variant>
      <vt:variant>
        <vt:i4>1245208</vt:i4>
      </vt:variant>
      <vt:variant>
        <vt:i4>117</vt:i4>
      </vt:variant>
      <vt:variant>
        <vt:i4>0</vt:i4>
      </vt:variant>
      <vt:variant>
        <vt:i4>5</vt:i4>
      </vt:variant>
      <vt:variant>
        <vt:lpwstr>http://www.iadb.org/en/countries/dominican-republic/dominican-republic-and-the-idb,1089.html</vt:lpwstr>
      </vt:variant>
      <vt:variant>
        <vt:lpwstr/>
      </vt:variant>
      <vt:variant>
        <vt:i4>6881385</vt:i4>
      </vt:variant>
      <vt:variant>
        <vt:i4>114</vt:i4>
      </vt:variant>
      <vt:variant>
        <vt:i4>0</vt:i4>
      </vt:variant>
      <vt:variant>
        <vt:i4>5</vt:i4>
      </vt:variant>
      <vt:variant>
        <vt:lpwstr>http://www.iadb.org/en/countries/uruguay/uruguay-and-the-idb,1028.html</vt:lpwstr>
      </vt:variant>
      <vt:variant>
        <vt:lpwstr/>
      </vt:variant>
      <vt:variant>
        <vt:i4>5570643</vt:i4>
      </vt:variant>
      <vt:variant>
        <vt:i4>111</vt:i4>
      </vt:variant>
      <vt:variant>
        <vt:i4>0</vt:i4>
      </vt:variant>
      <vt:variant>
        <vt:i4>5</vt:i4>
      </vt:variant>
      <vt:variant>
        <vt:lpwstr>http://www.iadb.org/en/countries/mexico/mexico-and-the-idb,1048.html</vt:lpwstr>
      </vt:variant>
      <vt:variant>
        <vt:lpwstr/>
      </vt:variant>
      <vt:variant>
        <vt:i4>1835032</vt:i4>
      </vt:variant>
      <vt:variant>
        <vt:i4>108</vt:i4>
      </vt:variant>
      <vt:variant>
        <vt:i4>0</vt:i4>
      </vt:variant>
      <vt:variant>
        <vt:i4>5</vt:i4>
      </vt:variant>
      <vt:variant>
        <vt:lpwstr>http://www.iadb.org/en/countries/costa-rica/costa-rica-and-the-idb,1068.html</vt:lpwstr>
      </vt:variant>
      <vt:variant>
        <vt:lpwstr/>
      </vt:variant>
      <vt:variant>
        <vt:i4>6815841</vt:i4>
      </vt:variant>
      <vt:variant>
        <vt:i4>105</vt:i4>
      </vt:variant>
      <vt:variant>
        <vt:i4>0</vt:i4>
      </vt:variant>
      <vt:variant>
        <vt:i4>5</vt:i4>
      </vt:variant>
      <vt:variant>
        <vt:lpwstr>http://www.iadb.org/en/countries/trinidad-and-tobago/trinidad-and-tobago-and-the-idb,1030.html</vt:lpwstr>
      </vt:variant>
      <vt:variant>
        <vt:lpwstr/>
      </vt:variant>
      <vt:variant>
        <vt:i4>7209056</vt:i4>
      </vt:variant>
      <vt:variant>
        <vt:i4>102</vt:i4>
      </vt:variant>
      <vt:variant>
        <vt:i4>0</vt:i4>
      </vt:variant>
      <vt:variant>
        <vt:i4>5</vt:i4>
      </vt:variant>
      <vt:variant>
        <vt:lpwstr>http://www.iadb.org/en/countries/jamaica/jamaica-and-the-idb,1051.html</vt:lpwstr>
      </vt:variant>
      <vt:variant>
        <vt:lpwstr/>
      </vt:variant>
      <vt:variant>
        <vt:i4>5111872</vt:i4>
      </vt:variant>
      <vt:variant>
        <vt:i4>99</vt:i4>
      </vt:variant>
      <vt:variant>
        <vt:i4>0</vt:i4>
      </vt:variant>
      <vt:variant>
        <vt:i4>5</vt:i4>
      </vt:variant>
      <vt:variant>
        <vt:lpwstr>http://www.iadb.org/en/countries/colombia/colombia-and-the-idb,1026.html</vt:lpwstr>
      </vt:variant>
      <vt:variant>
        <vt:lpwstr/>
      </vt:variant>
      <vt:variant>
        <vt:i4>6422625</vt:i4>
      </vt:variant>
      <vt:variant>
        <vt:i4>96</vt:i4>
      </vt:variant>
      <vt:variant>
        <vt:i4>0</vt:i4>
      </vt:variant>
      <vt:variant>
        <vt:i4>5</vt:i4>
      </vt:variant>
      <vt:variant>
        <vt:lpwstr>http://www.iadb.org/en/countries/chile/chile-and-the-idb,1090.html</vt:lpwstr>
      </vt:variant>
      <vt:variant>
        <vt:lpwstr/>
      </vt:variant>
      <vt:variant>
        <vt:i4>6094934</vt:i4>
      </vt:variant>
      <vt:variant>
        <vt:i4>93</vt:i4>
      </vt:variant>
      <vt:variant>
        <vt:i4>0</vt:i4>
      </vt:variant>
      <vt:variant>
        <vt:i4>5</vt:i4>
      </vt:variant>
      <vt:variant>
        <vt:lpwstr>http://www.iadb.org/en/countries/suriname/suriname-and-the-idb,1032.html</vt:lpwstr>
      </vt:variant>
      <vt:variant>
        <vt:lpwstr/>
      </vt:variant>
      <vt:variant>
        <vt:i4>5832789</vt:i4>
      </vt:variant>
      <vt:variant>
        <vt:i4>90</vt:i4>
      </vt:variant>
      <vt:variant>
        <vt:i4>0</vt:i4>
      </vt:variant>
      <vt:variant>
        <vt:i4>5</vt:i4>
      </vt:variant>
      <vt:variant>
        <vt:lpwstr>http://www.iadb.org/en/countries/honduras/honduras-and-the-idb,1053.html</vt:lpwstr>
      </vt:variant>
      <vt:variant>
        <vt:lpwstr/>
      </vt:variant>
      <vt:variant>
        <vt:i4>6357055</vt:i4>
      </vt:variant>
      <vt:variant>
        <vt:i4>87</vt:i4>
      </vt:variant>
      <vt:variant>
        <vt:i4>0</vt:i4>
      </vt:variant>
      <vt:variant>
        <vt:i4>5</vt:i4>
      </vt:variant>
      <vt:variant>
        <vt:lpwstr>http://www.iadb.org/en/countries/haiti/hope-for-haiti,1001.html</vt:lpwstr>
      </vt:variant>
      <vt:variant>
        <vt:lpwstr/>
      </vt:variant>
      <vt:variant>
        <vt:i4>4849730</vt:i4>
      </vt:variant>
      <vt:variant>
        <vt:i4>84</vt:i4>
      </vt:variant>
      <vt:variant>
        <vt:i4>0</vt:i4>
      </vt:variant>
      <vt:variant>
        <vt:i4>5</vt:i4>
      </vt:variant>
      <vt:variant>
        <vt:lpwstr>http://www.iadb.org/en/countries/brazil/brazil-and-the-idb,1002.html</vt:lpwstr>
      </vt:variant>
      <vt:variant>
        <vt:lpwstr/>
      </vt:variant>
      <vt:variant>
        <vt:i4>4456525</vt:i4>
      </vt:variant>
      <vt:variant>
        <vt:i4>81</vt:i4>
      </vt:variant>
      <vt:variant>
        <vt:i4>0</vt:i4>
      </vt:variant>
      <vt:variant>
        <vt:i4>5</vt:i4>
      </vt:variant>
      <vt:variant>
        <vt:lpwstr>http://www.iadb.org/en/countries/guyana/guyana-and-the-idb,1056.html</vt:lpwstr>
      </vt:variant>
      <vt:variant>
        <vt:lpwstr/>
      </vt:variant>
      <vt:variant>
        <vt:i4>6488167</vt:i4>
      </vt:variant>
      <vt:variant>
        <vt:i4>78</vt:i4>
      </vt:variant>
      <vt:variant>
        <vt:i4>0</vt:i4>
      </vt:variant>
      <vt:variant>
        <vt:i4>5</vt:i4>
      </vt:variant>
      <vt:variant>
        <vt:lpwstr>http://www.iadb.org/en/countries/bolivia/bolivia-and-the-idb,1086.html</vt:lpwstr>
      </vt:variant>
      <vt:variant>
        <vt:lpwstr/>
      </vt:variant>
      <vt:variant>
        <vt:i4>7209064</vt:i4>
      </vt:variant>
      <vt:variant>
        <vt:i4>75</vt:i4>
      </vt:variant>
      <vt:variant>
        <vt:i4>0</vt:i4>
      </vt:variant>
      <vt:variant>
        <vt:i4>5</vt:i4>
      </vt:variant>
      <vt:variant>
        <vt:lpwstr>http://www.iadb.org/en/countries/guatemala/guatemala-and-the-idb,1059.html</vt:lpwstr>
      </vt:variant>
      <vt:variant>
        <vt:lpwstr/>
      </vt:variant>
      <vt:variant>
        <vt:i4>5308497</vt:i4>
      </vt:variant>
      <vt:variant>
        <vt:i4>72</vt:i4>
      </vt:variant>
      <vt:variant>
        <vt:i4>0</vt:i4>
      </vt:variant>
      <vt:variant>
        <vt:i4>5</vt:i4>
      </vt:variant>
      <vt:variant>
        <vt:lpwstr>http://www.iadb.org/en/countries/belize/belize-and-the-idb,1082.html</vt:lpwstr>
      </vt:variant>
      <vt:variant>
        <vt:lpwstr/>
      </vt:variant>
      <vt:variant>
        <vt:i4>5570651</vt:i4>
      </vt:variant>
      <vt:variant>
        <vt:i4>69</vt:i4>
      </vt:variant>
      <vt:variant>
        <vt:i4>0</vt:i4>
      </vt:variant>
      <vt:variant>
        <vt:i4>5</vt:i4>
      </vt:variant>
      <vt:variant>
        <vt:lpwstr>http://www.iadb.org/en/countries/peru/peru-and-the-idb,1037.html</vt:lpwstr>
      </vt:variant>
      <vt:variant>
        <vt:lpwstr/>
      </vt:variant>
      <vt:variant>
        <vt:i4>5177423</vt:i4>
      </vt:variant>
      <vt:variant>
        <vt:i4>66</vt:i4>
      </vt:variant>
      <vt:variant>
        <vt:i4>0</vt:i4>
      </vt:variant>
      <vt:variant>
        <vt:i4>5</vt:i4>
      </vt:variant>
      <vt:variant>
        <vt:lpwstr>http://www.iadb.org/en/countries/paraguay/paraguay-and-the-idb,1039.html</vt:lpwstr>
      </vt:variant>
      <vt:variant>
        <vt:lpwstr/>
      </vt:variant>
      <vt:variant>
        <vt:i4>4784194</vt:i4>
      </vt:variant>
      <vt:variant>
        <vt:i4>63</vt:i4>
      </vt:variant>
      <vt:variant>
        <vt:i4>0</vt:i4>
      </vt:variant>
      <vt:variant>
        <vt:i4>5</vt:i4>
      </vt:variant>
      <vt:variant>
        <vt:lpwstr>http://www.iadb.org/en/countries/barbados/barbados-and-the-idb,1076.html</vt:lpwstr>
      </vt:variant>
      <vt:variant>
        <vt:lpwstr/>
      </vt:variant>
      <vt:variant>
        <vt:i4>5374046</vt:i4>
      </vt:variant>
      <vt:variant>
        <vt:i4>60</vt:i4>
      </vt:variant>
      <vt:variant>
        <vt:i4>0</vt:i4>
      </vt:variant>
      <vt:variant>
        <vt:i4>5</vt:i4>
      </vt:variant>
      <vt:variant>
        <vt:lpwstr>http://www.iadb.org/en/countries/panama/panama-and-the-idb,1042.html</vt:lpwstr>
      </vt:variant>
      <vt:variant>
        <vt:lpwstr/>
      </vt:variant>
      <vt:variant>
        <vt:i4>6815844</vt:i4>
      </vt:variant>
      <vt:variant>
        <vt:i4>57</vt:i4>
      </vt:variant>
      <vt:variant>
        <vt:i4>0</vt:i4>
      </vt:variant>
      <vt:variant>
        <vt:i4>5</vt:i4>
      </vt:variant>
      <vt:variant>
        <vt:lpwstr>http://www.iadb.org/en/countries/bahamas/bahamas-and-the-idb,1035.html</vt:lpwstr>
      </vt:variant>
      <vt:variant>
        <vt:lpwstr/>
      </vt:variant>
      <vt:variant>
        <vt:i4>7143523</vt:i4>
      </vt:variant>
      <vt:variant>
        <vt:i4>54</vt:i4>
      </vt:variant>
      <vt:variant>
        <vt:i4>0</vt:i4>
      </vt:variant>
      <vt:variant>
        <vt:i4>5</vt:i4>
      </vt:variant>
      <vt:variant>
        <vt:lpwstr>http://www.iadb.org/en/countries/el-salvador/el-salvador-and-the-idb,1062.html</vt:lpwstr>
      </vt:variant>
      <vt:variant>
        <vt:lpwstr/>
      </vt:variant>
      <vt:variant>
        <vt:i4>7274596</vt:i4>
      </vt:variant>
      <vt:variant>
        <vt:i4>51</vt:i4>
      </vt:variant>
      <vt:variant>
        <vt:i4>0</vt:i4>
      </vt:variant>
      <vt:variant>
        <vt:i4>5</vt:i4>
      </vt:variant>
      <vt:variant>
        <vt:lpwstr>http://www.iadb.org/en/countries/nicaragua/nicaragua-and-the-idb,1045.html</vt:lpwstr>
      </vt:variant>
      <vt:variant>
        <vt:lpwstr/>
      </vt:variant>
      <vt:variant>
        <vt:i4>7143524</vt:i4>
      </vt:variant>
      <vt:variant>
        <vt:i4>48</vt:i4>
      </vt:variant>
      <vt:variant>
        <vt:i4>0</vt:i4>
      </vt:variant>
      <vt:variant>
        <vt:i4>5</vt:i4>
      </vt:variant>
      <vt:variant>
        <vt:lpwstr>http://www.iadb.org/en/countries/ecuador/ecuador-and-the-idb,1065.html</vt:lpwstr>
      </vt:variant>
      <vt:variant>
        <vt:lpwstr/>
      </vt:variant>
      <vt:variant>
        <vt:i4>6946912</vt:i4>
      </vt:variant>
      <vt:variant>
        <vt:i4>45</vt:i4>
      </vt:variant>
      <vt:variant>
        <vt:i4>0</vt:i4>
      </vt:variant>
      <vt:variant>
        <vt:i4>5</vt:i4>
      </vt:variant>
      <vt:variant>
        <vt:lpwstr>http://www.iadb.org/en/countries/argentina/argentina-and-the-idb,1011.html</vt:lpwstr>
      </vt:variant>
      <vt:variant>
        <vt:lpwstr/>
      </vt:variant>
      <vt:variant>
        <vt:i4>4325403</vt:i4>
      </vt:variant>
      <vt:variant>
        <vt:i4>42</vt:i4>
      </vt:variant>
      <vt:variant>
        <vt:i4>0</vt:i4>
      </vt:variant>
      <vt:variant>
        <vt:i4>5</vt:i4>
      </vt:variant>
      <vt:variant>
        <vt:lpwstr>http://www.iadb.org/aboutus/VI/borrowing.cfm?lang=es</vt:lpwstr>
      </vt:variant>
      <vt:variant>
        <vt:lpwstr/>
      </vt:variant>
      <vt:variant>
        <vt:i4>4456529</vt:i4>
      </vt:variant>
      <vt:variant>
        <vt:i4>0</vt:i4>
      </vt:variant>
      <vt:variant>
        <vt:i4>0</vt:i4>
      </vt:variant>
      <vt:variant>
        <vt:i4>5</vt:i4>
      </vt:variant>
      <vt:variant>
        <vt:lpwstr>http://www.pops.int/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Mauricio Herrera Falla</dc:creator>
  <cp:keywords/>
  <dc:description/>
  <cp:lastModifiedBy>Lozano Miranda, Ana Lucia</cp:lastModifiedBy>
  <cp:revision>5</cp:revision>
  <cp:lastPrinted>2014-05-20T12:32:00Z</cp:lastPrinted>
  <dcterms:created xsi:type="dcterms:W3CDTF">2020-07-14T17:34:00Z</dcterms:created>
  <dcterms:modified xsi:type="dcterms:W3CDTF">2020-07-14T17:44:00Z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119;#FINANCIAL INCLUSION|c2f14676-e4fa-4804-b3fb-fa0bd62b66c7</vt:lpwstr>
  </property>
  <property fmtid="{D5CDD505-2E9C-101B-9397-08002B2CF9AE}" pid="6" name="Country">
    <vt:lpwstr>74;#El Salvador|057b77a9-2761-48a1-b9dc-78a115c002df</vt:lpwstr>
  </property>
  <property fmtid="{D5CDD505-2E9C-101B-9397-08002B2CF9AE}" pid="7" name="Fund IDB">
    <vt:lpwstr/>
  </property>
  <property fmtid="{D5CDD505-2E9C-101B-9397-08002B2CF9AE}" pid="8" name="_dlc_DocIdItemGuid">
    <vt:lpwstr>c788e5b4-0dac-4ec9-bccd-220806e1f1d0</vt:lpwstr>
  </property>
  <property fmtid="{D5CDD505-2E9C-101B-9397-08002B2CF9AE}" pid="9" name="Sector IDB">
    <vt:lpwstr>109;#FINANCIAL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Disclosure Activity">
    <vt:lpwstr>Loan Proposal</vt:lpwstr>
  </property>
  <property fmtid="{D5CDD505-2E9C-101B-9397-08002B2CF9AE}" pid="13" name="Disclosed">
    <vt:bool>false</vt:bool>
  </property>
  <property fmtid="{D5CDD505-2E9C-101B-9397-08002B2CF9AE}" pid="14" name="ContentTypeId">
    <vt:lpwstr>0x0101001A458A224826124E8B45B1D613300CFC005D7ACB815652D94FA5FFB5B80CD3E726</vt:lpwstr>
  </property>
</Properties>
</file>