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lang w:val="es-ES_tradnl"/>
        </w:rPr>
        <w:id w:val="-2042583060"/>
        <w:docPartObj>
          <w:docPartGallery w:val="Cover Pages"/>
          <w:docPartUnique/>
        </w:docPartObj>
      </w:sdtPr>
      <w:sdtEndPr/>
      <w:sdtContent>
        <w:p w14:paraId="104EDD7A" w14:textId="77777777" w:rsidR="00AE17AB" w:rsidRPr="00E83B7E" w:rsidRDefault="00AE17AB" w:rsidP="00AE17AB">
          <w:pPr>
            <w:rPr>
              <w:lang w:val="es-ES_tradnl"/>
            </w:rPr>
          </w:pPr>
        </w:p>
        <w:p w14:paraId="3C93458C" w14:textId="76B81A1A" w:rsidR="00AE17AB" w:rsidRPr="00E83B7E" w:rsidRDefault="00AE17AB" w:rsidP="00AE17AB">
          <w:pPr>
            <w:rPr>
              <w:rFonts w:asciiTheme="majorHAnsi" w:eastAsiaTheme="majorEastAsia" w:hAnsiTheme="majorHAnsi" w:cstheme="majorBidi"/>
              <w:spacing w:val="-10"/>
              <w:kern w:val="28"/>
              <w:sz w:val="56"/>
              <w:szCs w:val="56"/>
              <w:lang w:val="es-ES_tradnl"/>
            </w:rPr>
          </w:pPr>
          <w:r w:rsidRPr="00E83B7E">
            <w:rPr>
              <w:noProof/>
              <w:lang w:val="es-ES_tradnl"/>
            </w:rPr>
            <mc:AlternateContent>
              <mc:Choice Requires="wpg">
                <w:drawing>
                  <wp:anchor distT="0" distB="0" distL="114300" distR="114300" simplePos="0" relativeHeight="251658240" behindDoc="1" locked="0" layoutInCell="1" allowOverlap="1" wp14:anchorId="7C9D8C7E" wp14:editId="4323A879">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0CB2A9E6" w14:textId="5BAABFE8" w:rsidR="008B46A6" w:rsidRPr="005D5E85" w:rsidRDefault="008B46A6" w:rsidP="00AE17AB">
                                  <w:pPr>
                                    <w:rPr>
                                      <w:color w:val="FFFFFF" w:themeColor="background1"/>
                                      <w:sz w:val="72"/>
                                      <w:szCs w:val="72"/>
                                      <w:lang w:val="es-AR"/>
                                    </w:rPr>
                                  </w:pPr>
                                  <w:r>
                                    <w:rPr>
                                      <w:color w:val="FFFFFF" w:themeColor="background1"/>
                                      <w:sz w:val="72"/>
                                      <w:szCs w:val="72"/>
                                      <w:lang w:val="es-AR"/>
                                    </w:rPr>
                                    <w:t>HONDURAS:</w:t>
                                  </w:r>
                                </w:p>
                                <w:p w14:paraId="0E96CD1D" w14:textId="533D9066" w:rsidR="008B46A6" w:rsidRDefault="008B46A6" w:rsidP="00AE17AB">
                                  <w:pPr>
                                    <w:rPr>
                                      <w:color w:val="FFFFFF" w:themeColor="background1"/>
                                      <w:sz w:val="72"/>
                                      <w:szCs w:val="72"/>
                                      <w:lang w:val="es-AR"/>
                                    </w:rPr>
                                  </w:pPr>
                                  <w:r w:rsidRPr="00AE17AB">
                                    <w:rPr>
                                      <w:color w:val="FFFFFF" w:themeColor="background1"/>
                                      <w:sz w:val="72"/>
                                      <w:szCs w:val="72"/>
                                      <w:lang w:val="es-AR"/>
                                    </w:rPr>
                                    <w:t>Vulnerabilidad de sectores productivos ante</w:t>
                                  </w:r>
                                  <w:r>
                                    <w:rPr>
                                      <w:color w:val="FFFFFF" w:themeColor="background1"/>
                                      <w:sz w:val="72"/>
                                      <w:szCs w:val="72"/>
                                      <w:lang w:val="es-AR"/>
                                    </w:rPr>
                                    <w:t xml:space="preserve"> expansión del</w:t>
                                  </w:r>
                                  <w:r w:rsidRPr="00AE17AB">
                                    <w:rPr>
                                      <w:color w:val="FFFFFF" w:themeColor="background1"/>
                                      <w:sz w:val="72"/>
                                      <w:szCs w:val="72"/>
                                      <w:lang w:val="es-AR"/>
                                    </w:rPr>
                                    <w:t xml:space="preserve"> COVID-19 </w:t>
                                  </w:r>
                                </w:p>
                                <w:p w14:paraId="6A9A027A" w14:textId="2E33395F" w:rsidR="008B46A6" w:rsidRPr="005D5E85" w:rsidRDefault="008B46A6">
                                  <w:pPr>
                                    <w:rPr>
                                      <w:color w:val="FFFFFF" w:themeColor="background1"/>
                                      <w:sz w:val="72"/>
                                      <w:szCs w:val="72"/>
                                      <w:lang w:val="es-AR"/>
                                    </w:rPr>
                                  </w:pPr>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0</wp14:pctHeight>
                    </wp14:sizeRelV>
                  </wp:anchor>
                </w:drawing>
              </mc:Choice>
              <mc:Fallback>
                <w:pict>
                  <v:group w14:anchorId="7C9D8C7E" id="Group 125" o:spid="_x0000_s1026" style="position:absolute;margin-left:0;margin-top:0;width:540pt;height:556.55pt;z-index:-251658240;mso-width-percent:1154;mso-top-percent:45;mso-position-horizontal:center;mso-position-horizontal-relative:margin;mso-position-vertical-relative:page;mso-width-percent:1154;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0CB2A9E6" w14:textId="5BAABFE8" w:rsidR="008B46A6" w:rsidRPr="005D5E85" w:rsidRDefault="008B46A6" w:rsidP="00AE17AB">
                            <w:pPr>
                              <w:rPr>
                                <w:color w:val="FFFFFF" w:themeColor="background1"/>
                                <w:sz w:val="72"/>
                                <w:szCs w:val="72"/>
                                <w:lang w:val="es-AR"/>
                              </w:rPr>
                            </w:pPr>
                            <w:r>
                              <w:rPr>
                                <w:color w:val="FFFFFF" w:themeColor="background1"/>
                                <w:sz w:val="72"/>
                                <w:szCs w:val="72"/>
                                <w:lang w:val="es-AR"/>
                              </w:rPr>
                              <w:t>HONDURAS:</w:t>
                            </w:r>
                          </w:p>
                          <w:p w14:paraId="0E96CD1D" w14:textId="533D9066" w:rsidR="008B46A6" w:rsidRDefault="008B46A6" w:rsidP="00AE17AB">
                            <w:pPr>
                              <w:rPr>
                                <w:color w:val="FFFFFF" w:themeColor="background1"/>
                                <w:sz w:val="72"/>
                                <w:szCs w:val="72"/>
                                <w:lang w:val="es-AR"/>
                              </w:rPr>
                            </w:pPr>
                            <w:r w:rsidRPr="00AE17AB">
                              <w:rPr>
                                <w:color w:val="FFFFFF" w:themeColor="background1"/>
                                <w:sz w:val="72"/>
                                <w:szCs w:val="72"/>
                                <w:lang w:val="es-AR"/>
                              </w:rPr>
                              <w:t>Vulnerabilidad de sectores productivos ante</w:t>
                            </w:r>
                            <w:r>
                              <w:rPr>
                                <w:color w:val="FFFFFF" w:themeColor="background1"/>
                                <w:sz w:val="72"/>
                                <w:szCs w:val="72"/>
                                <w:lang w:val="es-AR"/>
                              </w:rPr>
                              <w:t xml:space="preserve"> expansión del</w:t>
                            </w:r>
                            <w:r w:rsidRPr="00AE17AB">
                              <w:rPr>
                                <w:color w:val="FFFFFF" w:themeColor="background1"/>
                                <w:sz w:val="72"/>
                                <w:szCs w:val="72"/>
                                <w:lang w:val="es-AR"/>
                              </w:rPr>
                              <w:t xml:space="preserve"> COVID-19 </w:t>
                            </w:r>
                          </w:p>
                          <w:p w14:paraId="6A9A027A" w14:textId="2E33395F" w:rsidR="008B46A6" w:rsidRPr="005D5E85" w:rsidRDefault="008B46A6">
                            <w:pPr>
                              <w:rPr>
                                <w:color w:val="FFFFFF" w:themeColor="background1"/>
                                <w:sz w:val="72"/>
                                <w:szCs w:val="72"/>
                                <w:lang w:val="es-AR"/>
                              </w:rPr>
                            </w:pPr>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Pr="00E83B7E">
            <w:rPr>
              <w:noProof/>
              <w:lang w:val="es-ES_tradnl"/>
            </w:rPr>
            <mc:AlternateContent>
              <mc:Choice Requires="wps">
                <w:drawing>
                  <wp:anchor distT="0" distB="0" distL="114300" distR="114300" simplePos="0" relativeHeight="251658242" behindDoc="0" locked="0" layoutInCell="1" allowOverlap="1" wp14:anchorId="4A02F69C" wp14:editId="6EBB918A">
                    <wp:simplePos x="0" y="0"/>
                    <wp:positionH relativeFrom="page">
                      <wp:align>center</wp:align>
                    </wp:positionH>
                    <wp:positionV relativeFrom="margin">
                      <wp:align>bottom</wp:align>
                    </wp:positionV>
                    <wp:extent cx="5753100" cy="146304"/>
                    <wp:effectExtent l="0" t="0" r="0" b="5715"/>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A2ADBE" w14:textId="22346EF8" w:rsidR="008B46A6" w:rsidRPr="00BF5C4A" w:rsidRDefault="0020236E" w:rsidP="00AE17AB">
                                <w:pPr>
                                  <w:pStyle w:val="NoSpacing"/>
                                  <w:rPr>
                                    <w:color w:val="7F7F7F" w:themeColor="text1" w:themeTint="80"/>
                                    <w:sz w:val="18"/>
                                    <w:szCs w:val="18"/>
                                    <w:lang w:val="es-AR"/>
                                  </w:rPr>
                                </w:pPr>
                                <w:sdt>
                                  <w:sdtPr>
                                    <w:rPr>
                                      <w:caps/>
                                      <w:color w:val="7F7F7F" w:themeColor="text1" w:themeTint="80"/>
                                      <w:sz w:val="18"/>
                                      <w:szCs w:val="18"/>
                                      <w:lang w:val="es-AR"/>
                                    </w:rPr>
                                    <w:alias w:val="Company"/>
                                    <w:tag w:val=""/>
                                    <w:id w:val="-1880927279"/>
                                    <w:showingPlcHdr/>
                                    <w:dataBinding w:prefixMappings="xmlns:ns0='http://schemas.openxmlformats.org/officeDocument/2006/extended-properties' " w:xpath="/ns0:Properties[1]/ns0:Company[1]" w:storeItemID="{6668398D-A668-4E3E-A5EB-62B293D839F1}"/>
                                    <w:text/>
                                  </w:sdtPr>
                                  <w:sdtEndPr/>
                                  <w:sdtContent>
                                    <w:r w:rsidR="008B46A6">
                                      <w:rPr>
                                        <w:caps/>
                                        <w:color w:val="7F7F7F" w:themeColor="text1" w:themeTint="80"/>
                                        <w:sz w:val="18"/>
                                        <w:szCs w:val="18"/>
                                        <w:lang w:val="es-AR"/>
                                      </w:rPr>
                                      <w:t xml:space="preserve">     </w:t>
                                    </w:r>
                                  </w:sdtContent>
                                </w:sdt>
                                <w:r w:rsidR="008B46A6" w:rsidRPr="00BF5C4A">
                                  <w:rPr>
                                    <w:caps/>
                                    <w:color w:val="7F7F7F" w:themeColor="text1" w:themeTint="80"/>
                                    <w:sz w:val="18"/>
                                    <w:szCs w:val="18"/>
                                    <w:lang w:val="es-AR"/>
                                  </w:rPr>
                                  <w:t> </w:t>
                                </w:r>
                                <w:r w:rsidR="008B46A6" w:rsidRPr="00BF5C4A">
                                  <w:rPr>
                                    <w:color w:val="7F7F7F" w:themeColor="text1" w:themeTint="80"/>
                                    <w:sz w:val="18"/>
                                    <w:szCs w:val="18"/>
                                    <w:lang w:val="es-AR"/>
                                  </w:rPr>
                                  <w:t> </w:t>
                                </w:r>
                                <w:sdt>
                                  <w:sdtPr>
                                    <w:rPr>
                                      <w:color w:val="7F7F7F" w:themeColor="text1" w:themeTint="80"/>
                                      <w:sz w:val="18"/>
                                      <w:szCs w:val="18"/>
                                      <w:lang w:val="es-AR"/>
                                    </w:rPr>
                                    <w:alias w:val="Address"/>
                                    <w:tag w:val=""/>
                                    <w:id w:val="-1023088507"/>
                                    <w:showingPlcHdr/>
                                    <w:dataBinding w:prefixMappings="xmlns:ns0='http://schemas.microsoft.com/office/2006/coverPageProps' " w:xpath="/ns0:CoverPageProperties[1]/ns0:CompanyAddress[1]" w:storeItemID="{55AF091B-3C7A-41E3-B477-F2FDAA23CFDA}"/>
                                    <w:text/>
                                  </w:sdtPr>
                                  <w:sdtEndPr/>
                                  <w:sdtContent>
                                    <w:r w:rsidR="008B46A6">
                                      <w:rPr>
                                        <w:color w:val="7F7F7F" w:themeColor="text1" w:themeTint="80"/>
                                        <w:sz w:val="18"/>
                                        <w:szCs w:val="18"/>
                                        <w:lang w:val="es-AR"/>
                                      </w:rPr>
                                      <w:t xml:space="preserve">     </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4A02F69C" id="_x0000_t202" coordsize="21600,21600" o:spt="202" path="m,l,21600r21600,l21600,xe">
                    <v:stroke joinstyle="miter"/>
                    <v:path gradientshapeok="t" o:connecttype="rect"/>
                  </v:shapetype>
                  <v:shape id="Text Box 128" o:spid="_x0000_s1029" type="#_x0000_t202" style="position:absolute;margin-left:0;margin-top:0;width:453pt;height:11.5pt;z-index:251658242;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" filled="f" stroked="f" strokeweight=".5pt">
                    <v:textbox style="mso-fit-shape-to-text:t" inset="1in,0,86.4pt,0">
                      <w:txbxContent>
                        <w:p w14:paraId="7AA2ADBE" w14:textId="22346EF8" w:rsidR="008B46A6" w:rsidRPr="00BF5C4A" w:rsidRDefault="00E20DFC" w:rsidP="00AE17AB">
                          <w:pPr>
                            <w:pStyle w:val="NoSpacing"/>
                            <w:rPr>
                              <w:color w:val="7F7F7F" w:themeColor="text1" w:themeTint="80"/>
                              <w:sz w:val="18"/>
                              <w:szCs w:val="18"/>
                              <w:lang w:val="es-AR"/>
                            </w:rPr>
                          </w:pPr>
                          <w:sdt>
                            <w:sdtPr>
                              <w:rPr>
                                <w:caps/>
                                <w:color w:val="7F7F7F" w:themeColor="text1" w:themeTint="80"/>
                                <w:sz w:val="18"/>
                                <w:szCs w:val="18"/>
                                <w:lang w:val="es-AR"/>
                              </w:rPr>
                              <w:alias w:val="Company"/>
                              <w:tag w:val=""/>
                              <w:id w:val="-1880927279"/>
                              <w:showingPlcHdr/>
                              <w:dataBinding w:prefixMappings="xmlns:ns0='http://schemas.openxmlformats.org/officeDocument/2006/extended-properties' " w:xpath="/ns0:Properties[1]/ns0:Company[1]" w:storeItemID="{6668398D-A668-4E3E-A5EB-62B293D839F1}"/>
                              <w:text/>
                            </w:sdtPr>
                            <w:sdtEndPr/>
                            <w:sdtContent>
                              <w:r w:rsidR="008B46A6">
                                <w:rPr>
                                  <w:caps/>
                                  <w:color w:val="7F7F7F" w:themeColor="text1" w:themeTint="80"/>
                                  <w:sz w:val="18"/>
                                  <w:szCs w:val="18"/>
                                  <w:lang w:val="es-AR"/>
                                </w:rPr>
                                <w:t xml:space="preserve">     </w:t>
                              </w:r>
                            </w:sdtContent>
                          </w:sdt>
                          <w:r w:rsidR="008B46A6" w:rsidRPr="00BF5C4A">
                            <w:rPr>
                              <w:caps/>
                              <w:color w:val="7F7F7F" w:themeColor="text1" w:themeTint="80"/>
                              <w:sz w:val="18"/>
                              <w:szCs w:val="18"/>
                              <w:lang w:val="es-AR"/>
                            </w:rPr>
                            <w:t> </w:t>
                          </w:r>
                          <w:r w:rsidR="008B46A6" w:rsidRPr="00BF5C4A">
                            <w:rPr>
                              <w:color w:val="7F7F7F" w:themeColor="text1" w:themeTint="80"/>
                              <w:sz w:val="18"/>
                              <w:szCs w:val="18"/>
                              <w:lang w:val="es-AR"/>
                            </w:rPr>
                            <w:t> </w:t>
                          </w:r>
                          <w:sdt>
                            <w:sdtPr>
                              <w:rPr>
                                <w:color w:val="7F7F7F" w:themeColor="text1" w:themeTint="80"/>
                                <w:sz w:val="18"/>
                                <w:szCs w:val="18"/>
                                <w:lang w:val="es-AR"/>
                              </w:rPr>
                              <w:alias w:val="Address"/>
                              <w:tag w:val=""/>
                              <w:id w:val="-1023088507"/>
                              <w:showingPlcHdr/>
                              <w:dataBinding w:prefixMappings="xmlns:ns0='http://schemas.microsoft.com/office/2006/coverPageProps' " w:xpath="/ns0:CoverPageProperties[1]/ns0:CompanyAddress[1]" w:storeItemID="{55AF091B-3C7A-41E3-B477-F2FDAA23CFDA}"/>
                              <w:text/>
                            </w:sdtPr>
                            <w:sdtEndPr/>
                            <w:sdtContent>
                              <w:r w:rsidR="008B46A6">
                                <w:rPr>
                                  <w:color w:val="7F7F7F" w:themeColor="text1" w:themeTint="80"/>
                                  <w:sz w:val="18"/>
                                  <w:szCs w:val="18"/>
                                  <w:lang w:val="es-AR"/>
                                </w:rPr>
                                <w:t xml:space="preserve">     </w:t>
                              </w:r>
                            </w:sdtContent>
                          </w:sdt>
                        </w:p>
                      </w:txbxContent>
                    </v:textbox>
                    <w10:wrap type="square" anchorx="page" anchory="margin"/>
                  </v:shape>
                </w:pict>
              </mc:Fallback>
            </mc:AlternateContent>
          </w:r>
          <w:r w:rsidRPr="00E83B7E">
            <w:rPr>
              <w:noProof/>
              <w:lang w:val="es-ES_tradnl"/>
            </w:rPr>
            <mc:AlternateContent>
              <mc:Choice Requires="wps">
                <w:drawing>
                  <wp:anchor distT="0" distB="0" distL="114300" distR="114300" simplePos="0" relativeHeight="251658241" behindDoc="0" locked="0" layoutInCell="1" allowOverlap="1" wp14:anchorId="2CCB574A" wp14:editId="0FE08AFA">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CC0133" w14:textId="77777777" w:rsidR="008B46A6" w:rsidRDefault="008B46A6" w:rsidP="00AE17AB">
                                <w:pPr>
                                  <w:pStyle w:val="NoSpacing"/>
                                  <w:spacing w:before="40" w:after="40"/>
                                  <w:rPr>
                                    <w:caps/>
                                    <w:color w:val="4472C4" w:themeColor="accent1"/>
                                    <w:sz w:val="28"/>
                                    <w:szCs w:val="28"/>
                                  </w:rPr>
                                </w:pPr>
                              </w:p>
                              <w:sdt>
                                <w:sdtPr>
                                  <w:rPr>
                                    <w:caps/>
                                    <w:color w:val="5B9BD5"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4E56BD52" w14:textId="2483B5C0" w:rsidR="008B46A6" w:rsidRPr="00A5757F" w:rsidRDefault="008B46A6" w:rsidP="00DA6BC4">
                                    <w:pPr>
                                      <w:pStyle w:val="NoSpacing"/>
                                      <w:spacing w:before="40" w:after="40"/>
                                      <w:jc w:val="both"/>
                                      <w:rPr>
                                        <w:caps/>
                                        <w:color w:val="5B9BD5" w:themeColor="accent5"/>
                                        <w:sz w:val="24"/>
                                        <w:szCs w:val="24"/>
                                      </w:rPr>
                                    </w:pPr>
                                    <w:r w:rsidRPr="00975CD3">
                                      <w:rPr>
                                        <w:caps/>
                                        <w:color w:val="5B9BD5" w:themeColor="accent5"/>
                                        <w:sz w:val="24"/>
                                        <w:szCs w:val="24"/>
                                      </w:rPr>
                                      <w:t>m. Carmen Fernández díez (IFD/CMF), SIMON FERNANDEZ (IFD/CMF) Alejandro TÁmola (IFD/CMF), Alexander vasa (IFD/CMF), Sergio Deambrossi (INE/TSP), ana rios (CSD/RND), Olga Gómez (CSD/RND) y Erick Mendez (INT/TIN)</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2CCB574A" id="_x0000_t202" coordsize="21600,21600" o:spt="202" path="m,l,21600r21600,l21600,xe">
                    <v:stroke joinstyle="miter"/>
                    <v:path gradientshapeok="t" o:connecttype="rect"/>
                  </v:shapetype>
                  <v:shape id="Text Box 129" o:spid="_x0000_s1030" type="#_x0000_t202" style="position:absolute;margin-left:0;margin-top:0;width:453pt;height:38.15pt;z-index:251658241;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" filled="f" stroked="f" strokeweight=".5pt">
                    <v:textbox style="mso-fit-shape-to-text:t" inset="1in,0,86.4pt,0">
                      <w:txbxContent>
                        <w:p w14:paraId="15CC0133" w14:textId="77777777" w:rsidR="008B46A6" w:rsidRDefault="008B46A6" w:rsidP="00AE17AB">
                          <w:pPr>
                            <w:pStyle w:val="NoSpacing"/>
                            <w:spacing w:before="40" w:after="40"/>
                            <w:rPr>
                              <w:caps/>
                              <w:color w:val="4472C4" w:themeColor="accent1"/>
                              <w:sz w:val="28"/>
                              <w:szCs w:val="28"/>
                            </w:rPr>
                          </w:pPr>
                        </w:p>
                        <w:sdt>
                          <w:sdtPr>
                            <w:rPr>
                              <w:caps/>
                              <w:color w:val="5B9BD5" w:themeColor="accent5"/>
                              <w:sz w:val="24"/>
                              <w:szCs w:val="24"/>
                            </w:rPr>
                            <w:alias w:val="Autho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4E56BD52" w14:textId="2483B5C0" w:rsidR="008B46A6" w:rsidRPr="00A5757F" w:rsidRDefault="008B46A6" w:rsidP="00DA6BC4">
                              <w:pPr>
                                <w:pStyle w:val="NoSpacing"/>
                                <w:spacing w:before="40" w:after="40"/>
                                <w:jc w:val="both"/>
                                <w:rPr>
                                  <w:caps/>
                                  <w:color w:val="5B9BD5" w:themeColor="accent5"/>
                                  <w:sz w:val="24"/>
                                  <w:szCs w:val="24"/>
                                </w:rPr>
                              </w:pPr>
                              <w:r w:rsidRPr="00975CD3">
                                <w:rPr>
                                  <w:caps/>
                                  <w:color w:val="5B9BD5" w:themeColor="accent5"/>
                                  <w:sz w:val="24"/>
                                  <w:szCs w:val="24"/>
                                </w:rPr>
                                <w:t>m. Carmen Fernández díez (IFD/CMF), SIMON FERNANDEZ (IFD/CMF) Alejandro TÁmola (IFD/CMF), Alexander vasa (IFD/CMF), Sergio Deambrossi (INE/TSP), ana rios (CSD/RND), Olga Gómez (CSD/RND) y Erick Mendez (INT/TIN)</w:t>
                              </w:r>
                            </w:p>
                          </w:sdtContent>
                        </w:sdt>
                      </w:txbxContent>
                    </v:textbox>
                    <w10:wrap type="square" anchorx="page" anchory="page"/>
                  </v:shape>
                </w:pict>
              </mc:Fallback>
            </mc:AlternateContent>
          </w:r>
          <w:r w:rsidRPr="00E83B7E">
            <w:rPr>
              <w:lang w:val="es-ES_tradnl"/>
            </w:rPr>
            <w:br w:type="page"/>
          </w:r>
        </w:p>
      </w:sdtContent>
    </w:sdt>
    <w:sdt>
      <w:sdtPr>
        <w:rPr>
          <w:rFonts w:asciiTheme="minorHAnsi" w:eastAsiaTheme="minorHAnsi" w:hAnsiTheme="minorHAnsi" w:cstheme="minorBidi"/>
          <w:color w:val="auto"/>
          <w:sz w:val="22"/>
          <w:szCs w:val="22"/>
          <w:lang w:val="es-ES_tradnl"/>
        </w:rPr>
        <w:id w:val="2027203165"/>
        <w:docPartObj>
          <w:docPartGallery w:val="Table of Contents"/>
          <w:docPartUnique/>
        </w:docPartObj>
      </w:sdtPr>
      <w:sdtEndPr>
        <w:rPr>
          <w:b/>
          <w:bCs/>
        </w:rPr>
      </w:sdtEndPr>
      <w:sdtContent>
        <w:p w14:paraId="78DFD67C" w14:textId="77777777" w:rsidR="00AE17AB" w:rsidRPr="00E83B7E" w:rsidRDefault="00AE17AB" w:rsidP="00AE17AB">
          <w:pPr>
            <w:pStyle w:val="TOCHeading"/>
            <w:jc w:val="center"/>
            <w:rPr>
              <w:lang w:val="es-ES_tradnl"/>
            </w:rPr>
          </w:pPr>
          <w:r w:rsidRPr="00E83B7E">
            <w:rPr>
              <w:lang w:val="es-ES_tradnl"/>
            </w:rPr>
            <w:t>Índice</w:t>
          </w:r>
        </w:p>
        <w:p w14:paraId="6B35BA97" w14:textId="7F5B378A" w:rsidR="00D316B0" w:rsidRPr="00E83B7E" w:rsidRDefault="00AE17AB">
          <w:pPr>
            <w:pStyle w:val="TOC1"/>
            <w:tabs>
              <w:tab w:val="right" w:leader="dot" w:pos="9350"/>
            </w:tabs>
            <w:rPr>
              <w:rFonts w:eastAsiaTheme="minorEastAsia"/>
              <w:noProof/>
              <w:lang w:val="es-ES_tradnl"/>
            </w:rPr>
          </w:pPr>
          <w:r w:rsidRPr="00E83B7E">
            <w:rPr>
              <w:lang w:val="es-ES_tradnl"/>
            </w:rPr>
            <w:fldChar w:fldCharType="begin"/>
          </w:r>
          <w:r w:rsidRPr="00E83B7E">
            <w:rPr>
              <w:lang w:val="es-ES_tradnl"/>
            </w:rPr>
            <w:instrText xml:space="preserve"> TOC \o "1-3" \h \z \u </w:instrText>
          </w:r>
          <w:r w:rsidRPr="00E83B7E">
            <w:rPr>
              <w:lang w:val="es-ES_tradnl"/>
            </w:rPr>
            <w:fldChar w:fldCharType="separate"/>
          </w:r>
          <w:hyperlink w:anchor="_Toc36834034" w:history="1">
            <w:r w:rsidR="00D316B0" w:rsidRPr="00E83B7E">
              <w:rPr>
                <w:rStyle w:val="Hyperlink"/>
                <w:noProof/>
                <w:lang w:val="es-ES_tradnl"/>
              </w:rPr>
              <w:t>Siglas y acrónimos</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_Toc36834034 \h </w:instrText>
            </w:r>
            <w:r w:rsidR="00D316B0" w:rsidRPr="00E83B7E">
              <w:rPr>
                <w:noProof/>
                <w:webHidden/>
                <w:lang w:val="es-ES_tradnl"/>
              </w:rPr>
            </w:r>
            <w:r w:rsidR="00D316B0" w:rsidRPr="00E83B7E">
              <w:rPr>
                <w:noProof/>
                <w:webHidden/>
                <w:lang w:val="es-ES_tradnl"/>
              </w:rPr>
              <w:fldChar w:fldCharType="separate"/>
            </w:r>
            <w:r w:rsidR="0020236E">
              <w:rPr>
                <w:noProof/>
                <w:webHidden/>
                <w:lang w:val="es-ES_tradnl"/>
              </w:rPr>
              <w:t>3</w:t>
            </w:r>
            <w:r w:rsidR="00D316B0" w:rsidRPr="00E83B7E">
              <w:rPr>
                <w:noProof/>
                <w:webHidden/>
                <w:lang w:val="es-ES_tradnl"/>
              </w:rPr>
              <w:fldChar w:fldCharType="end"/>
            </w:r>
          </w:hyperlink>
        </w:p>
        <w:p w14:paraId="07441E9B" w14:textId="2224EBE5" w:rsidR="00D316B0" w:rsidRPr="00E83B7E" w:rsidRDefault="0020236E">
          <w:pPr>
            <w:pStyle w:val="TOC1"/>
            <w:tabs>
              <w:tab w:val="right" w:leader="dot" w:pos="9350"/>
            </w:tabs>
            <w:rPr>
              <w:rFonts w:eastAsiaTheme="minorEastAsia"/>
              <w:noProof/>
              <w:lang w:val="es-ES_tradnl"/>
            </w:rPr>
          </w:pPr>
          <w:hyperlink w:anchor="_Toc36834035" w:history="1">
            <w:r w:rsidR="00D316B0" w:rsidRPr="00E83B7E">
              <w:rPr>
                <w:rStyle w:val="Hyperlink"/>
                <w:noProof/>
                <w:lang w:val="es-ES_tradnl"/>
              </w:rPr>
              <w:t xml:space="preserve">Resumen </w:t>
            </w:r>
            <w:r>
              <w:rPr>
                <w:rStyle w:val="Hyperlink"/>
                <w:noProof/>
                <w:lang w:val="es-ES_tradnl"/>
              </w:rPr>
              <w:t>E</w:t>
            </w:r>
            <w:r w:rsidR="00D316B0" w:rsidRPr="00E83B7E">
              <w:rPr>
                <w:rStyle w:val="Hyperlink"/>
                <w:noProof/>
                <w:lang w:val="es-ES_tradnl"/>
              </w:rPr>
              <w:t>jecutivo</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_Toc36834035 \h </w:instrText>
            </w:r>
            <w:r w:rsidR="00D316B0" w:rsidRPr="00E83B7E">
              <w:rPr>
                <w:noProof/>
                <w:webHidden/>
                <w:lang w:val="es-ES_tradnl"/>
              </w:rPr>
            </w:r>
            <w:r w:rsidR="00D316B0" w:rsidRPr="00E83B7E">
              <w:rPr>
                <w:noProof/>
                <w:webHidden/>
                <w:lang w:val="es-ES_tradnl"/>
              </w:rPr>
              <w:fldChar w:fldCharType="separate"/>
            </w:r>
            <w:r>
              <w:rPr>
                <w:noProof/>
                <w:webHidden/>
                <w:lang w:val="es-ES_tradnl"/>
              </w:rPr>
              <w:t>4</w:t>
            </w:r>
            <w:r w:rsidR="00D316B0" w:rsidRPr="00E83B7E">
              <w:rPr>
                <w:noProof/>
                <w:webHidden/>
                <w:lang w:val="es-ES_tradnl"/>
              </w:rPr>
              <w:fldChar w:fldCharType="end"/>
            </w:r>
          </w:hyperlink>
        </w:p>
        <w:p w14:paraId="5B56DB93" w14:textId="462A88ED" w:rsidR="00D316B0" w:rsidRPr="00E83B7E" w:rsidRDefault="0020236E">
          <w:pPr>
            <w:pStyle w:val="TOC1"/>
            <w:tabs>
              <w:tab w:val="left" w:pos="440"/>
              <w:tab w:val="right" w:leader="dot" w:pos="9350"/>
            </w:tabs>
            <w:rPr>
              <w:rFonts w:eastAsiaTheme="minorEastAsia"/>
              <w:noProof/>
              <w:lang w:val="es-ES_tradnl"/>
            </w:rPr>
          </w:pPr>
          <w:hyperlink w:anchor="_Toc36834036" w:history="1">
            <w:r w:rsidR="00D316B0" w:rsidRPr="00E83B7E">
              <w:rPr>
                <w:rStyle w:val="Hyperlink"/>
                <w:noProof/>
                <w:lang w:val="es-ES_tradnl"/>
              </w:rPr>
              <w:t>I.</w:t>
            </w:r>
            <w:r w:rsidR="00D316B0" w:rsidRPr="00E83B7E">
              <w:rPr>
                <w:rFonts w:eastAsiaTheme="minorEastAsia"/>
                <w:noProof/>
                <w:lang w:val="es-ES_tradnl"/>
              </w:rPr>
              <w:tab/>
            </w:r>
            <w:r w:rsidR="00D316B0" w:rsidRPr="00E83B7E">
              <w:rPr>
                <w:rStyle w:val="Hyperlink"/>
                <w:noProof/>
                <w:lang w:val="es-ES_tradnl"/>
              </w:rPr>
              <w:t xml:space="preserve">Introducción y </w:t>
            </w:r>
            <w:r>
              <w:rPr>
                <w:rStyle w:val="Hyperlink"/>
                <w:noProof/>
                <w:lang w:val="es-ES_tradnl"/>
              </w:rPr>
              <w:t>M</w:t>
            </w:r>
            <w:r w:rsidR="00D316B0" w:rsidRPr="00E83B7E">
              <w:rPr>
                <w:rStyle w:val="Hyperlink"/>
                <w:noProof/>
                <w:lang w:val="es-ES_tradnl"/>
              </w:rPr>
              <w:t xml:space="preserve">arco </w:t>
            </w:r>
            <w:r>
              <w:rPr>
                <w:rStyle w:val="Hyperlink"/>
                <w:noProof/>
                <w:lang w:val="es-ES_tradnl"/>
              </w:rPr>
              <w:t>A</w:t>
            </w:r>
            <w:r w:rsidR="00D316B0" w:rsidRPr="00E83B7E">
              <w:rPr>
                <w:rStyle w:val="Hyperlink"/>
                <w:noProof/>
                <w:lang w:val="es-ES_tradnl"/>
              </w:rPr>
              <w:t>nalítico</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_Toc36834036 \h </w:instrText>
            </w:r>
            <w:r w:rsidR="00D316B0" w:rsidRPr="00E83B7E">
              <w:rPr>
                <w:noProof/>
                <w:webHidden/>
                <w:lang w:val="es-ES_tradnl"/>
              </w:rPr>
            </w:r>
            <w:r w:rsidR="00D316B0" w:rsidRPr="00E83B7E">
              <w:rPr>
                <w:noProof/>
                <w:webHidden/>
                <w:lang w:val="es-ES_tradnl"/>
              </w:rPr>
              <w:fldChar w:fldCharType="separate"/>
            </w:r>
            <w:r>
              <w:rPr>
                <w:noProof/>
                <w:webHidden/>
                <w:lang w:val="es-ES_tradnl"/>
              </w:rPr>
              <w:t>5</w:t>
            </w:r>
            <w:r w:rsidR="00D316B0" w:rsidRPr="00E83B7E">
              <w:rPr>
                <w:noProof/>
                <w:webHidden/>
                <w:lang w:val="es-ES_tradnl"/>
              </w:rPr>
              <w:fldChar w:fldCharType="end"/>
            </w:r>
          </w:hyperlink>
        </w:p>
        <w:p w14:paraId="2E328A3E" w14:textId="1F129D39" w:rsidR="00D316B0" w:rsidRPr="00E83B7E" w:rsidRDefault="0020236E">
          <w:pPr>
            <w:pStyle w:val="TOC1"/>
            <w:tabs>
              <w:tab w:val="left" w:pos="440"/>
              <w:tab w:val="right" w:leader="dot" w:pos="9350"/>
            </w:tabs>
            <w:rPr>
              <w:rFonts w:eastAsiaTheme="minorEastAsia"/>
              <w:noProof/>
              <w:lang w:val="es-ES_tradnl"/>
            </w:rPr>
          </w:pPr>
          <w:hyperlink w:anchor="_Toc36834037" w:history="1">
            <w:r w:rsidR="00D316B0" w:rsidRPr="00E83B7E">
              <w:rPr>
                <w:rStyle w:val="Hyperlink"/>
                <w:noProof/>
                <w:lang w:val="es-ES_tradnl"/>
              </w:rPr>
              <w:t>II.</w:t>
            </w:r>
            <w:r w:rsidR="00D316B0" w:rsidRPr="00E83B7E">
              <w:rPr>
                <w:rFonts w:eastAsiaTheme="minorEastAsia"/>
                <w:noProof/>
                <w:lang w:val="es-ES_tradnl"/>
              </w:rPr>
              <w:tab/>
            </w:r>
            <w:r w:rsidR="00D316B0" w:rsidRPr="00E83B7E">
              <w:rPr>
                <w:rStyle w:val="Hyperlink"/>
                <w:noProof/>
                <w:lang w:val="es-ES_tradnl"/>
              </w:rPr>
              <w:t xml:space="preserve">Situación de </w:t>
            </w:r>
            <w:r>
              <w:rPr>
                <w:rStyle w:val="Hyperlink"/>
                <w:noProof/>
                <w:lang w:val="es-ES_tradnl"/>
              </w:rPr>
              <w:t>V</w:t>
            </w:r>
            <w:r w:rsidR="00D316B0" w:rsidRPr="00E83B7E">
              <w:rPr>
                <w:rStyle w:val="Hyperlink"/>
                <w:noProof/>
                <w:lang w:val="es-ES_tradnl"/>
              </w:rPr>
              <w:t>ulnerabilidad</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_Toc36834037 \h </w:instrText>
            </w:r>
            <w:r w:rsidR="00D316B0" w:rsidRPr="00E83B7E">
              <w:rPr>
                <w:noProof/>
                <w:webHidden/>
                <w:lang w:val="es-ES_tradnl"/>
              </w:rPr>
            </w:r>
            <w:r w:rsidR="00D316B0" w:rsidRPr="00E83B7E">
              <w:rPr>
                <w:noProof/>
                <w:webHidden/>
                <w:lang w:val="es-ES_tradnl"/>
              </w:rPr>
              <w:fldChar w:fldCharType="separate"/>
            </w:r>
            <w:r>
              <w:rPr>
                <w:noProof/>
                <w:webHidden/>
                <w:lang w:val="es-ES_tradnl"/>
              </w:rPr>
              <w:t>7</w:t>
            </w:r>
            <w:r w:rsidR="00D316B0" w:rsidRPr="00E83B7E">
              <w:rPr>
                <w:noProof/>
                <w:webHidden/>
                <w:lang w:val="es-ES_tradnl"/>
              </w:rPr>
              <w:fldChar w:fldCharType="end"/>
            </w:r>
          </w:hyperlink>
        </w:p>
        <w:p w14:paraId="63EE3F51" w14:textId="64037404" w:rsidR="00D316B0" w:rsidRPr="00E83B7E" w:rsidRDefault="0020236E">
          <w:pPr>
            <w:pStyle w:val="TOC2"/>
            <w:tabs>
              <w:tab w:val="left" w:pos="660"/>
              <w:tab w:val="right" w:leader="dot" w:pos="9350"/>
            </w:tabs>
            <w:rPr>
              <w:rFonts w:eastAsiaTheme="minorEastAsia"/>
              <w:noProof/>
              <w:lang w:val="es-ES_tradnl"/>
            </w:rPr>
          </w:pPr>
          <w:hyperlink w:anchor="_Toc36834038" w:history="1">
            <w:r w:rsidR="00D316B0" w:rsidRPr="00E83B7E">
              <w:rPr>
                <w:rStyle w:val="Hyperlink"/>
                <w:noProof/>
                <w:lang w:val="es-ES_tradnl"/>
              </w:rPr>
              <w:t>A.</w:t>
            </w:r>
            <w:r w:rsidR="00D316B0" w:rsidRPr="00E83B7E">
              <w:rPr>
                <w:rFonts w:eastAsiaTheme="minorEastAsia"/>
                <w:noProof/>
                <w:lang w:val="es-ES_tradnl"/>
              </w:rPr>
              <w:tab/>
            </w:r>
            <w:r w:rsidR="00D316B0" w:rsidRPr="00E83B7E">
              <w:rPr>
                <w:rStyle w:val="Hyperlink"/>
                <w:noProof/>
                <w:lang w:val="es-ES_tradnl"/>
              </w:rPr>
              <w:t xml:space="preserve">Situación </w:t>
            </w:r>
            <w:r>
              <w:rPr>
                <w:rStyle w:val="Hyperlink"/>
                <w:noProof/>
                <w:lang w:val="es-ES_tradnl"/>
              </w:rPr>
              <w:t>G</w:t>
            </w:r>
            <w:r w:rsidR="00D316B0" w:rsidRPr="00E83B7E">
              <w:rPr>
                <w:rStyle w:val="Hyperlink"/>
                <w:noProof/>
                <w:lang w:val="es-ES_tradnl"/>
              </w:rPr>
              <w:t>eneral</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_Toc36834038 \h </w:instrText>
            </w:r>
            <w:r w:rsidR="00D316B0" w:rsidRPr="00E83B7E">
              <w:rPr>
                <w:noProof/>
                <w:webHidden/>
                <w:lang w:val="es-ES_tradnl"/>
              </w:rPr>
            </w:r>
            <w:r w:rsidR="00D316B0" w:rsidRPr="00E83B7E">
              <w:rPr>
                <w:noProof/>
                <w:webHidden/>
                <w:lang w:val="es-ES_tradnl"/>
              </w:rPr>
              <w:fldChar w:fldCharType="separate"/>
            </w:r>
            <w:r>
              <w:rPr>
                <w:noProof/>
                <w:webHidden/>
                <w:lang w:val="es-ES_tradnl"/>
              </w:rPr>
              <w:t>7</w:t>
            </w:r>
            <w:r w:rsidR="00D316B0" w:rsidRPr="00E83B7E">
              <w:rPr>
                <w:noProof/>
                <w:webHidden/>
                <w:lang w:val="es-ES_tradnl"/>
              </w:rPr>
              <w:fldChar w:fldCharType="end"/>
            </w:r>
          </w:hyperlink>
        </w:p>
        <w:p w14:paraId="45FFFB9D" w14:textId="0D83A8A1" w:rsidR="00D316B0" w:rsidRPr="00E83B7E" w:rsidRDefault="0020236E">
          <w:pPr>
            <w:pStyle w:val="TOC2"/>
            <w:tabs>
              <w:tab w:val="left" w:pos="660"/>
              <w:tab w:val="right" w:leader="dot" w:pos="9350"/>
            </w:tabs>
            <w:rPr>
              <w:rFonts w:eastAsiaTheme="minorEastAsia"/>
              <w:noProof/>
              <w:lang w:val="es-ES_tradnl"/>
            </w:rPr>
          </w:pPr>
          <w:hyperlink w:anchor="_Toc36834039" w:history="1">
            <w:r w:rsidR="00D316B0" w:rsidRPr="00E83B7E">
              <w:rPr>
                <w:rStyle w:val="Hyperlink"/>
                <w:noProof/>
                <w:lang w:val="es-ES_tradnl"/>
              </w:rPr>
              <w:t>B.</w:t>
            </w:r>
            <w:r w:rsidR="00D316B0" w:rsidRPr="00E83B7E">
              <w:rPr>
                <w:rFonts w:eastAsiaTheme="minorEastAsia"/>
                <w:noProof/>
                <w:lang w:val="es-ES_tradnl"/>
              </w:rPr>
              <w:tab/>
            </w:r>
            <w:r w:rsidR="00D316B0" w:rsidRPr="00E83B7E">
              <w:rPr>
                <w:rStyle w:val="Hyperlink"/>
                <w:noProof/>
                <w:lang w:val="es-ES_tradnl"/>
              </w:rPr>
              <w:t xml:space="preserve">Situación por </w:t>
            </w:r>
            <w:r>
              <w:rPr>
                <w:rStyle w:val="Hyperlink"/>
                <w:noProof/>
                <w:lang w:val="es-ES_tradnl"/>
              </w:rPr>
              <w:t>S</w:t>
            </w:r>
            <w:r w:rsidR="00D316B0" w:rsidRPr="00E83B7E">
              <w:rPr>
                <w:rStyle w:val="Hyperlink"/>
                <w:noProof/>
                <w:lang w:val="es-ES_tradnl"/>
              </w:rPr>
              <w:t>ectores</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_Toc36834039 \h </w:instrText>
            </w:r>
            <w:r w:rsidR="00D316B0" w:rsidRPr="00E83B7E">
              <w:rPr>
                <w:noProof/>
                <w:webHidden/>
                <w:lang w:val="es-ES_tradnl"/>
              </w:rPr>
            </w:r>
            <w:r w:rsidR="00D316B0" w:rsidRPr="00E83B7E">
              <w:rPr>
                <w:noProof/>
                <w:webHidden/>
                <w:lang w:val="es-ES_tradnl"/>
              </w:rPr>
              <w:fldChar w:fldCharType="separate"/>
            </w:r>
            <w:r>
              <w:rPr>
                <w:noProof/>
                <w:webHidden/>
                <w:lang w:val="es-ES_tradnl"/>
              </w:rPr>
              <w:t>8</w:t>
            </w:r>
            <w:r w:rsidR="00D316B0" w:rsidRPr="00E83B7E">
              <w:rPr>
                <w:noProof/>
                <w:webHidden/>
                <w:lang w:val="es-ES_tradnl"/>
              </w:rPr>
              <w:fldChar w:fldCharType="end"/>
            </w:r>
          </w:hyperlink>
        </w:p>
        <w:p w14:paraId="0864932D" w14:textId="142364C1" w:rsidR="00D316B0" w:rsidRPr="00E83B7E" w:rsidRDefault="0020236E">
          <w:pPr>
            <w:pStyle w:val="TOC1"/>
            <w:tabs>
              <w:tab w:val="left" w:pos="660"/>
              <w:tab w:val="right" w:leader="dot" w:pos="9350"/>
            </w:tabs>
            <w:rPr>
              <w:rFonts w:eastAsiaTheme="minorEastAsia"/>
              <w:noProof/>
              <w:lang w:val="es-ES_tradnl"/>
            </w:rPr>
          </w:pPr>
          <w:hyperlink w:anchor="_Toc36834040" w:history="1">
            <w:r w:rsidR="00D316B0" w:rsidRPr="00E83B7E">
              <w:rPr>
                <w:rStyle w:val="Hyperlink"/>
                <w:noProof/>
                <w:lang w:val="es-ES_tradnl"/>
              </w:rPr>
              <w:t>III.</w:t>
            </w:r>
            <w:r w:rsidR="00D316B0" w:rsidRPr="00E83B7E">
              <w:rPr>
                <w:rFonts w:eastAsiaTheme="minorEastAsia"/>
                <w:noProof/>
                <w:lang w:val="es-ES_tradnl"/>
              </w:rPr>
              <w:tab/>
            </w:r>
            <w:r w:rsidR="00D316B0" w:rsidRPr="00E83B7E">
              <w:rPr>
                <w:rStyle w:val="Hyperlink"/>
                <w:noProof/>
                <w:lang w:val="es-ES_tradnl"/>
              </w:rPr>
              <w:t>Conclusión</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_Toc36834040 \h </w:instrText>
            </w:r>
            <w:r w:rsidR="00D316B0" w:rsidRPr="00E83B7E">
              <w:rPr>
                <w:noProof/>
                <w:webHidden/>
                <w:lang w:val="es-ES_tradnl"/>
              </w:rPr>
            </w:r>
            <w:r w:rsidR="00D316B0" w:rsidRPr="00E83B7E">
              <w:rPr>
                <w:noProof/>
                <w:webHidden/>
                <w:lang w:val="es-ES_tradnl"/>
              </w:rPr>
              <w:fldChar w:fldCharType="separate"/>
            </w:r>
            <w:r>
              <w:rPr>
                <w:noProof/>
                <w:webHidden/>
                <w:lang w:val="es-ES_tradnl"/>
              </w:rPr>
              <w:t>10</w:t>
            </w:r>
            <w:r w:rsidR="00D316B0" w:rsidRPr="00E83B7E">
              <w:rPr>
                <w:noProof/>
                <w:webHidden/>
                <w:lang w:val="es-ES_tradnl"/>
              </w:rPr>
              <w:fldChar w:fldCharType="end"/>
            </w:r>
          </w:hyperlink>
        </w:p>
        <w:p w14:paraId="156ED05C" w14:textId="5C09B680" w:rsidR="00D316B0" w:rsidRPr="00E83B7E" w:rsidRDefault="0020236E">
          <w:pPr>
            <w:pStyle w:val="TOC1"/>
            <w:tabs>
              <w:tab w:val="right" w:leader="dot" w:pos="9350"/>
            </w:tabs>
            <w:rPr>
              <w:rFonts w:eastAsiaTheme="minorEastAsia"/>
              <w:noProof/>
              <w:lang w:val="es-ES_tradnl"/>
            </w:rPr>
          </w:pPr>
          <w:hyperlink w:anchor="_Toc36834041" w:history="1">
            <w:r w:rsidR="00D316B0" w:rsidRPr="00E83B7E">
              <w:rPr>
                <w:rStyle w:val="Hyperlink"/>
                <w:noProof/>
                <w:lang w:val="es-ES_tradnl"/>
              </w:rPr>
              <w:t xml:space="preserve">Anexo I: </w:t>
            </w:r>
            <w:r>
              <w:rPr>
                <w:rStyle w:val="Hyperlink"/>
                <w:noProof/>
                <w:lang w:val="es-ES_tradnl"/>
              </w:rPr>
              <w:t>A</w:t>
            </w:r>
            <w:r w:rsidR="00D316B0" w:rsidRPr="00E83B7E">
              <w:rPr>
                <w:rStyle w:val="Hyperlink"/>
                <w:noProof/>
                <w:lang w:val="es-ES_tradnl"/>
              </w:rPr>
              <w:t xml:space="preserve">spectos </w:t>
            </w:r>
            <w:r>
              <w:rPr>
                <w:rStyle w:val="Hyperlink"/>
                <w:noProof/>
                <w:lang w:val="es-ES_tradnl"/>
              </w:rPr>
              <w:t>M</w:t>
            </w:r>
            <w:r w:rsidR="00D316B0" w:rsidRPr="00E83B7E">
              <w:rPr>
                <w:rStyle w:val="Hyperlink"/>
                <w:noProof/>
                <w:lang w:val="es-ES_tradnl"/>
              </w:rPr>
              <w:t>etodológicos</w:t>
            </w:r>
            <w:r w:rsidR="00D316B0" w:rsidRPr="00E83B7E">
              <w:rPr>
                <w:noProof/>
                <w:webHidden/>
                <w:lang w:val="es-ES_tradnl"/>
              </w:rPr>
              <w:tab/>
            </w:r>
            <w:r w:rsidR="00D316B0" w:rsidRPr="00E83B7E">
              <w:rPr>
                <w:noProof/>
                <w:webHidden/>
                <w:lang w:val="es-ES_tradnl"/>
              </w:rPr>
              <w:fldChar w:fldCharType="begin"/>
            </w:r>
            <w:r w:rsidR="00D316B0" w:rsidRPr="00E83B7E">
              <w:rPr>
                <w:noProof/>
                <w:webHidden/>
                <w:lang w:val="es-ES_tradnl"/>
              </w:rPr>
              <w:instrText xml:space="preserve"> PAGEREF _Toc36834041 \h </w:instrText>
            </w:r>
            <w:r w:rsidR="00D316B0" w:rsidRPr="00E83B7E">
              <w:rPr>
                <w:noProof/>
                <w:webHidden/>
                <w:lang w:val="es-ES_tradnl"/>
              </w:rPr>
            </w:r>
            <w:r w:rsidR="00D316B0" w:rsidRPr="00E83B7E">
              <w:rPr>
                <w:noProof/>
                <w:webHidden/>
                <w:lang w:val="es-ES_tradnl"/>
              </w:rPr>
              <w:fldChar w:fldCharType="separate"/>
            </w:r>
            <w:r>
              <w:rPr>
                <w:noProof/>
                <w:webHidden/>
                <w:lang w:val="es-ES_tradnl"/>
              </w:rPr>
              <w:t>11</w:t>
            </w:r>
            <w:r w:rsidR="00D316B0" w:rsidRPr="00E83B7E">
              <w:rPr>
                <w:noProof/>
                <w:webHidden/>
                <w:lang w:val="es-ES_tradnl"/>
              </w:rPr>
              <w:fldChar w:fldCharType="end"/>
            </w:r>
          </w:hyperlink>
        </w:p>
        <w:p w14:paraId="6B7682A5" w14:textId="0233618A" w:rsidR="00AE17AB" w:rsidRPr="00E83B7E" w:rsidRDefault="00AE17AB" w:rsidP="00AE17AB">
          <w:pPr>
            <w:rPr>
              <w:lang w:val="es-ES_tradnl"/>
            </w:rPr>
          </w:pPr>
          <w:r w:rsidRPr="00E83B7E">
            <w:rPr>
              <w:b/>
              <w:bCs/>
              <w:lang w:val="es-ES_tradnl"/>
            </w:rPr>
            <w:fldChar w:fldCharType="end"/>
          </w:r>
        </w:p>
      </w:sdtContent>
    </w:sdt>
    <w:p w14:paraId="5DD9F09A" w14:textId="77777777" w:rsidR="00D316B0" w:rsidRPr="00E83B7E" w:rsidRDefault="00D316B0">
      <w:pPr>
        <w:rPr>
          <w:rFonts w:asciiTheme="majorHAnsi" w:eastAsiaTheme="majorEastAsia" w:hAnsiTheme="majorHAnsi" w:cstheme="majorBidi"/>
          <w:color w:val="2F5496" w:themeColor="accent1" w:themeShade="BF"/>
          <w:sz w:val="32"/>
          <w:szCs w:val="32"/>
          <w:lang w:val="es-ES_tradnl"/>
        </w:rPr>
      </w:pPr>
      <w:bookmarkStart w:id="0" w:name="_Toc36834034"/>
      <w:bookmarkStart w:id="1" w:name="_Toc24900476"/>
      <w:r w:rsidRPr="00E83B7E">
        <w:rPr>
          <w:lang w:val="es-ES_tradnl"/>
        </w:rPr>
        <w:br w:type="page"/>
      </w:r>
    </w:p>
    <w:p w14:paraId="2237FD8E" w14:textId="18BE76A2" w:rsidR="00AE17AB" w:rsidRPr="00E83B7E" w:rsidRDefault="00AE17AB" w:rsidP="0007292C">
      <w:pPr>
        <w:pStyle w:val="Heading1"/>
        <w:numPr>
          <w:ilvl w:val="0"/>
          <w:numId w:val="0"/>
        </w:numPr>
        <w:rPr>
          <w:lang w:val="es-ES_tradnl"/>
        </w:rPr>
      </w:pPr>
      <w:r w:rsidRPr="00E83B7E">
        <w:rPr>
          <w:lang w:val="es-ES_tradnl"/>
        </w:rPr>
        <w:lastRenderedPageBreak/>
        <w:t>Siglas y acrónimos</w:t>
      </w:r>
      <w:bookmarkEnd w:id="0"/>
    </w:p>
    <w:tbl>
      <w:tblPr>
        <w:tblStyle w:val="TableGrid"/>
        <w:tblW w:w="0" w:type="auto"/>
        <w:tblLook w:val="04A0" w:firstRow="1" w:lastRow="0" w:firstColumn="1" w:lastColumn="0" w:noHBand="0" w:noVBand="1"/>
      </w:tblPr>
      <w:tblGrid>
        <w:gridCol w:w="4675"/>
        <w:gridCol w:w="4675"/>
      </w:tblGrid>
      <w:tr w:rsidR="00AE17AB" w:rsidRPr="00E83B7E" w14:paraId="3283999A" w14:textId="77777777" w:rsidTr="00941B33">
        <w:tc>
          <w:tcPr>
            <w:tcW w:w="4675" w:type="dxa"/>
          </w:tcPr>
          <w:p w14:paraId="5906F465" w14:textId="08B5FBE2" w:rsidR="00AE17AB" w:rsidRPr="00E83B7E" w:rsidRDefault="00376D7C" w:rsidP="00941B33">
            <w:pPr>
              <w:jc w:val="both"/>
              <w:rPr>
                <w:bCs/>
                <w:lang w:val="es-ES_tradnl"/>
              </w:rPr>
            </w:pPr>
            <w:r w:rsidRPr="00E83B7E">
              <w:rPr>
                <w:bCs/>
                <w:lang w:val="es-ES_tradnl"/>
              </w:rPr>
              <w:t>IV</w:t>
            </w:r>
          </w:p>
        </w:tc>
        <w:tc>
          <w:tcPr>
            <w:tcW w:w="4675" w:type="dxa"/>
          </w:tcPr>
          <w:p w14:paraId="7ADAAF4A" w14:textId="4A2E2C12" w:rsidR="00AE17AB" w:rsidRPr="00E83B7E" w:rsidRDefault="00376D7C" w:rsidP="00941B33">
            <w:pPr>
              <w:jc w:val="both"/>
              <w:rPr>
                <w:bCs/>
                <w:lang w:val="es-ES_tradnl"/>
              </w:rPr>
            </w:pPr>
            <w:r w:rsidRPr="00E83B7E">
              <w:rPr>
                <w:bCs/>
                <w:lang w:val="es-ES_tradnl"/>
              </w:rPr>
              <w:t>Índice de vulnerabilidad</w:t>
            </w:r>
          </w:p>
        </w:tc>
      </w:tr>
      <w:tr w:rsidR="00AE17AB" w:rsidRPr="00DA6BC4" w14:paraId="00743B77" w14:textId="77777777" w:rsidTr="00941B33">
        <w:tc>
          <w:tcPr>
            <w:tcW w:w="4675" w:type="dxa"/>
          </w:tcPr>
          <w:p w14:paraId="7DA87C30" w14:textId="3B073F06" w:rsidR="00AE17AB" w:rsidRPr="00E83B7E" w:rsidRDefault="002F60E9" w:rsidP="00941B33">
            <w:pPr>
              <w:jc w:val="both"/>
              <w:rPr>
                <w:bCs/>
                <w:lang w:val="es-ES_tradnl"/>
              </w:rPr>
            </w:pPr>
            <w:r w:rsidRPr="00E83B7E">
              <w:rPr>
                <w:bCs/>
                <w:lang w:val="es-ES_tradnl"/>
              </w:rPr>
              <w:t>MiP</w:t>
            </w:r>
            <w:r w:rsidR="00E83B7E">
              <w:rPr>
                <w:bCs/>
                <w:lang w:val="es-ES_tradnl"/>
              </w:rPr>
              <w:t>y</w:t>
            </w:r>
            <w:r w:rsidRPr="00E83B7E">
              <w:rPr>
                <w:bCs/>
                <w:lang w:val="es-ES_tradnl"/>
              </w:rPr>
              <w:t>ME</w:t>
            </w:r>
          </w:p>
        </w:tc>
        <w:tc>
          <w:tcPr>
            <w:tcW w:w="4675" w:type="dxa"/>
          </w:tcPr>
          <w:p w14:paraId="43B13612" w14:textId="417AF084" w:rsidR="00AE17AB" w:rsidRPr="00E83B7E" w:rsidRDefault="002F60E9" w:rsidP="00941B33">
            <w:pPr>
              <w:jc w:val="both"/>
              <w:rPr>
                <w:bCs/>
                <w:lang w:val="es-ES_tradnl"/>
              </w:rPr>
            </w:pPr>
            <w:r w:rsidRPr="00E83B7E">
              <w:rPr>
                <w:bCs/>
                <w:lang w:val="es-ES_tradnl"/>
              </w:rPr>
              <w:t>Miro, pequeñas y medianas empresas</w:t>
            </w:r>
          </w:p>
        </w:tc>
      </w:tr>
    </w:tbl>
    <w:p w14:paraId="54347C9E" w14:textId="77B247BE" w:rsidR="00AE17AB" w:rsidRPr="00E83B7E" w:rsidRDefault="00AE17AB" w:rsidP="00AE17AB">
      <w:pPr>
        <w:rPr>
          <w:rFonts w:asciiTheme="majorHAnsi" w:eastAsiaTheme="majorEastAsia" w:hAnsiTheme="majorHAnsi" w:cstheme="majorBidi"/>
          <w:b/>
          <w:sz w:val="32"/>
          <w:szCs w:val="32"/>
          <w:lang w:val="es-ES_tradnl"/>
        </w:rPr>
      </w:pPr>
    </w:p>
    <w:bookmarkEnd w:id="1"/>
    <w:p w14:paraId="0D496378" w14:textId="0FCE4824" w:rsidR="00AE17AB" w:rsidRPr="00E83B7E" w:rsidRDefault="00AE17AB">
      <w:pPr>
        <w:rPr>
          <w:b/>
          <w:bCs/>
          <w:sz w:val="24"/>
          <w:szCs w:val="24"/>
          <w:lang w:val="es-ES_tradnl"/>
        </w:rPr>
      </w:pPr>
    </w:p>
    <w:p w14:paraId="0048EB29" w14:textId="77777777" w:rsidR="00AE17AB" w:rsidRPr="00E83B7E" w:rsidRDefault="00AE17AB">
      <w:pPr>
        <w:rPr>
          <w:b/>
          <w:bCs/>
          <w:sz w:val="24"/>
          <w:szCs w:val="24"/>
          <w:lang w:val="es-ES_tradnl"/>
        </w:rPr>
      </w:pPr>
    </w:p>
    <w:p w14:paraId="73F439AD" w14:textId="77777777" w:rsidR="00AE17AB" w:rsidRPr="00E83B7E" w:rsidRDefault="00AE17AB">
      <w:pPr>
        <w:rPr>
          <w:b/>
          <w:bCs/>
          <w:sz w:val="24"/>
          <w:szCs w:val="24"/>
          <w:lang w:val="es-ES_tradnl"/>
        </w:rPr>
      </w:pPr>
      <w:bookmarkStart w:id="2" w:name="_Hlk36746411"/>
      <w:r w:rsidRPr="00E83B7E">
        <w:rPr>
          <w:b/>
          <w:bCs/>
          <w:sz w:val="24"/>
          <w:szCs w:val="24"/>
          <w:lang w:val="es-ES_tradnl"/>
        </w:rPr>
        <w:br w:type="page"/>
      </w:r>
    </w:p>
    <w:p w14:paraId="58DF5ADA" w14:textId="6873C2F1" w:rsidR="00D92E9C" w:rsidRPr="00E83B7E" w:rsidRDefault="00D41616" w:rsidP="0007292C">
      <w:pPr>
        <w:pStyle w:val="Heading1"/>
        <w:numPr>
          <w:ilvl w:val="0"/>
          <w:numId w:val="0"/>
        </w:numPr>
        <w:rPr>
          <w:lang w:val="es-ES_tradnl"/>
        </w:rPr>
      </w:pPr>
      <w:bookmarkStart w:id="3" w:name="_Toc36834035"/>
      <w:r w:rsidRPr="00E83B7E">
        <w:rPr>
          <w:lang w:val="es-ES_tradnl"/>
        </w:rPr>
        <w:lastRenderedPageBreak/>
        <w:t xml:space="preserve">Resumen </w:t>
      </w:r>
      <w:r w:rsidR="00DA6BC4">
        <w:rPr>
          <w:lang w:val="es-ES_tradnl"/>
        </w:rPr>
        <w:t>E</w:t>
      </w:r>
      <w:r w:rsidRPr="00E83B7E">
        <w:rPr>
          <w:lang w:val="es-ES_tradnl"/>
        </w:rPr>
        <w:t>jecutivo</w:t>
      </w:r>
      <w:bookmarkEnd w:id="3"/>
    </w:p>
    <w:bookmarkEnd w:id="2"/>
    <w:p w14:paraId="457BBF67" w14:textId="2B022298" w:rsidR="00816025" w:rsidRPr="00E83B7E" w:rsidRDefault="00816025" w:rsidP="00816025">
      <w:pPr>
        <w:jc w:val="both"/>
        <w:rPr>
          <w:lang w:val="es-ES_tradnl"/>
        </w:rPr>
      </w:pPr>
      <w:r w:rsidRPr="00E83B7E">
        <w:rPr>
          <w:lang w:val="es-ES_tradnl"/>
        </w:rPr>
        <w:t>Este documento present</w:t>
      </w:r>
      <w:r w:rsidR="00043713" w:rsidRPr="00E83B7E">
        <w:rPr>
          <w:lang w:val="es-ES_tradnl"/>
        </w:rPr>
        <w:t>a</w:t>
      </w:r>
      <w:r w:rsidRPr="00E83B7E">
        <w:rPr>
          <w:lang w:val="es-ES_tradnl"/>
        </w:rPr>
        <w:t xml:space="preserve"> un análisis de vulnerabilidades desagregado por sectores y con referencia a la situación de las M</w:t>
      </w:r>
      <w:r w:rsidR="00043713" w:rsidRPr="00E83B7E">
        <w:rPr>
          <w:lang w:val="es-ES_tradnl"/>
        </w:rPr>
        <w:t>i</w:t>
      </w:r>
      <w:r w:rsidRPr="00E83B7E">
        <w:rPr>
          <w:lang w:val="es-ES_tradnl"/>
        </w:rPr>
        <w:t>P</w:t>
      </w:r>
      <w:r w:rsidR="00E83B7E">
        <w:rPr>
          <w:lang w:val="es-ES_tradnl"/>
        </w:rPr>
        <w:t>y</w:t>
      </w:r>
      <w:r w:rsidRPr="00E83B7E">
        <w:rPr>
          <w:lang w:val="es-ES_tradnl"/>
        </w:rPr>
        <w:t xml:space="preserve">ME en </w:t>
      </w:r>
      <w:r w:rsidR="008B46A6">
        <w:rPr>
          <w:lang w:val="es-ES_tradnl"/>
        </w:rPr>
        <w:t>Honduras</w:t>
      </w:r>
      <w:r w:rsidRPr="00E83B7E">
        <w:rPr>
          <w:lang w:val="es-ES_tradnl"/>
        </w:rPr>
        <w:t>. Los sectores analizados son</w:t>
      </w:r>
      <w:r w:rsidRPr="00F55390">
        <w:rPr>
          <w:lang w:val="es-ES_tradnl"/>
        </w:rPr>
        <w:t>: turismo,</w:t>
      </w:r>
      <w:r w:rsidRPr="00E83B7E">
        <w:rPr>
          <w:lang w:val="es-ES_tradnl"/>
        </w:rPr>
        <w:t xml:space="preserve"> transporte</w:t>
      </w:r>
      <w:r w:rsidR="003941F4">
        <w:rPr>
          <w:lang w:val="es-ES_tradnl"/>
        </w:rPr>
        <w:t xml:space="preserve"> </w:t>
      </w:r>
      <w:r w:rsidR="003941F4" w:rsidRPr="00AA2010">
        <w:rPr>
          <w:lang w:val="es-ES_tradnl"/>
        </w:rPr>
        <w:t>de carga y de pasajeros</w:t>
      </w:r>
      <w:r w:rsidRPr="007B207F">
        <w:rPr>
          <w:lang w:val="es-ES_tradnl"/>
        </w:rPr>
        <w:t>, textil y</w:t>
      </w:r>
      <w:r w:rsidR="007B207F" w:rsidRPr="007B207F">
        <w:rPr>
          <w:lang w:val="es-ES_tradnl"/>
        </w:rPr>
        <w:t xml:space="preserve"> maquila</w:t>
      </w:r>
      <w:r w:rsidRPr="00E83B7E">
        <w:rPr>
          <w:lang w:val="es-ES_tradnl"/>
        </w:rPr>
        <w:t xml:space="preserve"> </w:t>
      </w:r>
      <w:r w:rsidR="008B46A6">
        <w:rPr>
          <w:lang w:val="es-ES_tradnl"/>
        </w:rPr>
        <w:t xml:space="preserve">y </w:t>
      </w:r>
      <w:r w:rsidRPr="00E83B7E">
        <w:rPr>
          <w:lang w:val="es-ES_tradnl"/>
        </w:rPr>
        <w:t>agro</w:t>
      </w:r>
      <w:r w:rsidR="00F3219B">
        <w:rPr>
          <w:lang w:val="es-ES_tradnl"/>
        </w:rPr>
        <w:t>alimentario</w:t>
      </w:r>
      <w:r w:rsidRPr="00E83B7E">
        <w:rPr>
          <w:lang w:val="es-ES_tradnl"/>
        </w:rPr>
        <w:t>. Para la determinación de la vulnerabilidad general de un sector se agruparon los factores de riesgo en cuatro áreas: (i) oferta; (</w:t>
      </w:r>
      <w:proofErr w:type="spellStart"/>
      <w:r w:rsidRPr="00E83B7E">
        <w:rPr>
          <w:lang w:val="es-ES_tradnl"/>
        </w:rPr>
        <w:t>ii</w:t>
      </w:r>
      <w:proofErr w:type="spellEnd"/>
      <w:r w:rsidRPr="00E83B7E">
        <w:rPr>
          <w:lang w:val="es-ES_tradnl"/>
        </w:rPr>
        <w:t>) demanda; (</w:t>
      </w:r>
      <w:proofErr w:type="spellStart"/>
      <w:r w:rsidRPr="00E83B7E">
        <w:rPr>
          <w:lang w:val="es-ES_tradnl"/>
        </w:rPr>
        <w:t>iii</w:t>
      </w:r>
      <w:proofErr w:type="spellEnd"/>
      <w:r w:rsidRPr="00E83B7E">
        <w:rPr>
          <w:lang w:val="es-ES_tradnl"/>
        </w:rPr>
        <w:t>) financiera y patrimonial; y (</w:t>
      </w:r>
      <w:proofErr w:type="spellStart"/>
      <w:r w:rsidRPr="00E83B7E">
        <w:rPr>
          <w:lang w:val="es-ES_tradnl"/>
        </w:rPr>
        <w:t>iv</w:t>
      </w:r>
      <w:proofErr w:type="spellEnd"/>
      <w:r w:rsidRPr="00E83B7E">
        <w:rPr>
          <w:lang w:val="es-ES_tradnl"/>
        </w:rPr>
        <w:t>) sistémico y regulatorio. A cada factor de riesgo se le asign</w:t>
      </w:r>
      <w:r w:rsidR="00043713" w:rsidRPr="00E83B7E">
        <w:rPr>
          <w:lang w:val="es-ES_tradnl"/>
        </w:rPr>
        <w:t>ó</w:t>
      </w:r>
      <w:r w:rsidRPr="00E83B7E">
        <w:rPr>
          <w:lang w:val="es-ES_tradnl"/>
        </w:rPr>
        <w:t xml:space="preserve"> un grado cualitativo de materialización potencial e impacto del riesgo, a saber: moderado, significativo, severo y extremo.</w:t>
      </w:r>
      <w:r w:rsidR="73C9812E" w:rsidRPr="00E83B7E">
        <w:rPr>
          <w:lang w:val="es-ES_tradnl"/>
        </w:rPr>
        <w:t xml:space="preserve"> </w:t>
      </w:r>
      <w:r w:rsidRPr="00E83B7E">
        <w:rPr>
          <w:lang w:val="es-ES_tradnl"/>
        </w:rPr>
        <w:t>Una vez asignada la calificación de riesgo/vulnerabilidad para cada factor, se eval</w:t>
      </w:r>
      <w:r w:rsidR="00043713" w:rsidRPr="00E83B7E">
        <w:rPr>
          <w:lang w:val="es-ES_tradnl"/>
        </w:rPr>
        <w:t>uaron</w:t>
      </w:r>
      <w:r w:rsidRPr="00E83B7E">
        <w:rPr>
          <w:lang w:val="es-ES_tradnl"/>
        </w:rPr>
        <w:t xml:space="preserve"> los resultados </w:t>
      </w:r>
      <w:r w:rsidR="00E83B7E" w:rsidRPr="00E83B7E">
        <w:rPr>
          <w:lang w:val="es-ES_tradnl"/>
        </w:rPr>
        <w:t>y se</w:t>
      </w:r>
      <w:r w:rsidRPr="00E83B7E">
        <w:rPr>
          <w:lang w:val="es-ES_tradnl"/>
        </w:rPr>
        <w:t xml:space="preserve"> agrega</w:t>
      </w:r>
      <w:r w:rsidR="00043713" w:rsidRPr="00E83B7E">
        <w:rPr>
          <w:lang w:val="es-ES_tradnl"/>
        </w:rPr>
        <w:t>ron</w:t>
      </w:r>
      <w:r w:rsidRPr="00E83B7E">
        <w:rPr>
          <w:lang w:val="es-ES_tradnl"/>
        </w:rPr>
        <w:t xml:space="preserve"> en un índice que asigna un peso de 30% respectivamente para los factores de oferta, demanda y financieros y patrimoniales y de 10% para los factores sistémicos y regulatorios. </w:t>
      </w:r>
    </w:p>
    <w:p w14:paraId="5A799968" w14:textId="7B28A853" w:rsidR="00A97D13" w:rsidRDefault="00816025" w:rsidP="001C16D9">
      <w:pPr>
        <w:jc w:val="both"/>
        <w:rPr>
          <w:lang w:val="es-ES_tradnl"/>
        </w:rPr>
      </w:pPr>
      <w:r w:rsidRPr="00E83B7E">
        <w:rPr>
          <w:lang w:val="es-ES_tradnl"/>
        </w:rPr>
        <w:t>El mayor índice de vulnerabilidad global se present</w:t>
      </w:r>
      <w:r w:rsidR="00043713" w:rsidRPr="00E83B7E">
        <w:rPr>
          <w:lang w:val="es-ES_tradnl"/>
        </w:rPr>
        <w:t>a</w:t>
      </w:r>
      <w:r w:rsidRPr="00E83B7E">
        <w:rPr>
          <w:lang w:val="es-ES_tradnl"/>
        </w:rPr>
        <w:t xml:space="preserve"> en el </w:t>
      </w:r>
      <w:r w:rsidRPr="00F55390">
        <w:rPr>
          <w:lang w:val="es-ES_tradnl"/>
        </w:rPr>
        <w:t>sector</w:t>
      </w:r>
      <w:r w:rsidR="004F2E76" w:rsidRPr="00F55390">
        <w:rPr>
          <w:lang w:val="es-ES_tradnl"/>
        </w:rPr>
        <w:t xml:space="preserve"> turismo</w:t>
      </w:r>
      <w:r w:rsidR="001C16D9" w:rsidRPr="00F55390">
        <w:rPr>
          <w:lang w:val="es-ES_tradnl"/>
        </w:rPr>
        <w:t xml:space="preserve"> (con</w:t>
      </w:r>
      <w:r w:rsidR="001C16D9">
        <w:rPr>
          <w:lang w:val="es-ES_tradnl"/>
        </w:rPr>
        <w:t xml:space="preserve"> un índice de vulnerabilidad de </w:t>
      </w:r>
      <w:r w:rsidR="00F55390">
        <w:rPr>
          <w:lang w:val="es-ES_tradnl"/>
        </w:rPr>
        <w:t>0,</w:t>
      </w:r>
      <w:r w:rsidR="00F55390" w:rsidRPr="00F55390">
        <w:rPr>
          <w:lang w:val="es-ES_tradnl"/>
        </w:rPr>
        <w:t>77</w:t>
      </w:r>
      <w:r w:rsidR="008B46A6" w:rsidRPr="00F55390">
        <w:rPr>
          <w:lang w:val="es-ES_tradnl"/>
        </w:rPr>
        <w:t xml:space="preserve"> </w:t>
      </w:r>
      <w:r w:rsidR="001C16D9" w:rsidRPr="00F55390">
        <w:rPr>
          <w:lang w:val="es-ES_tradnl"/>
        </w:rPr>
        <w:t>severa de grado cuatro</w:t>
      </w:r>
      <w:r w:rsidR="001C16D9">
        <w:rPr>
          <w:lang w:val="es-ES_tradnl"/>
        </w:rPr>
        <w:t>)</w:t>
      </w:r>
      <w:r w:rsidR="00043713" w:rsidRPr="00E83B7E">
        <w:rPr>
          <w:lang w:val="es-ES_tradnl"/>
        </w:rPr>
        <w:t>,</w:t>
      </w:r>
      <w:r w:rsidRPr="00E83B7E">
        <w:rPr>
          <w:lang w:val="es-ES_tradnl"/>
        </w:rPr>
        <w:t xml:space="preserve"> seguido por el sector </w:t>
      </w:r>
      <w:r w:rsidR="001C16D9">
        <w:rPr>
          <w:lang w:val="es-ES_tradnl"/>
        </w:rPr>
        <w:t>de transporte</w:t>
      </w:r>
      <w:r w:rsidR="00CE43C9">
        <w:rPr>
          <w:lang w:val="es-ES_tradnl"/>
        </w:rPr>
        <w:t>, agropecuario y textil</w:t>
      </w:r>
      <w:r w:rsidR="004B5F36">
        <w:rPr>
          <w:lang w:val="es-ES_tradnl"/>
        </w:rPr>
        <w:t xml:space="preserve"> y maquila</w:t>
      </w:r>
      <w:r w:rsidR="001C16D9">
        <w:rPr>
          <w:lang w:val="es-ES_tradnl"/>
        </w:rPr>
        <w:t xml:space="preserve"> </w:t>
      </w:r>
      <w:r w:rsidRPr="00E83B7E">
        <w:rPr>
          <w:lang w:val="es-ES_tradnl"/>
        </w:rPr>
        <w:t>(con índice</w:t>
      </w:r>
      <w:r w:rsidR="00CE43C9">
        <w:rPr>
          <w:lang w:val="es-ES_tradnl"/>
        </w:rPr>
        <w:t>s</w:t>
      </w:r>
      <w:r w:rsidRPr="00E83B7E">
        <w:rPr>
          <w:lang w:val="es-ES_tradnl"/>
        </w:rPr>
        <w:t xml:space="preserve"> </w:t>
      </w:r>
      <w:r w:rsidR="00CE43C9">
        <w:rPr>
          <w:lang w:val="es-ES_tradnl"/>
        </w:rPr>
        <w:t xml:space="preserve">severos de grado tres, </w:t>
      </w:r>
      <w:r w:rsidR="001C16D9">
        <w:rPr>
          <w:lang w:val="es-ES_tradnl"/>
        </w:rPr>
        <w:t>0,</w:t>
      </w:r>
      <w:r w:rsidR="008B46A6">
        <w:rPr>
          <w:lang w:val="es-ES_tradnl"/>
        </w:rPr>
        <w:t>57</w:t>
      </w:r>
      <w:r w:rsidR="001C16D9">
        <w:rPr>
          <w:lang w:val="es-ES_tradnl"/>
        </w:rPr>
        <w:t xml:space="preserve">, </w:t>
      </w:r>
      <w:r w:rsidR="00CE43C9">
        <w:rPr>
          <w:lang w:val="es-ES_tradnl"/>
        </w:rPr>
        <w:t>0,56 y 0,53, respectivamente</w:t>
      </w:r>
      <w:r w:rsidR="001C16D9">
        <w:rPr>
          <w:lang w:val="es-ES_tradnl"/>
        </w:rPr>
        <w:t>).</w:t>
      </w:r>
      <w:r w:rsidRPr="00E83B7E">
        <w:rPr>
          <w:lang w:val="es-ES_tradnl"/>
        </w:rPr>
        <w:t xml:space="preserve"> </w:t>
      </w:r>
      <w:r w:rsidR="001C16D9">
        <w:rPr>
          <w:lang w:val="es-ES_tradnl"/>
        </w:rPr>
        <w:t xml:space="preserve"> </w:t>
      </w:r>
    </w:p>
    <w:p w14:paraId="384CF949" w14:textId="059B3E01" w:rsidR="00A97D13" w:rsidRDefault="00A97D13" w:rsidP="00816025">
      <w:pPr>
        <w:jc w:val="both"/>
        <w:rPr>
          <w:lang w:val="es-ES_tradnl"/>
        </w:rPr>
      </w:pPr>
      <w:r>
        <w:rPr>
          <w:lang w:val="es-ES_tradnl"/>
        </w:rPr>
        <w:t xml:space="preserve">El sector del </w:t>
      </w:r>
      <w:r w:rsidRPr="00E83B7E">
        <w:rPr>
          <w:b/>
          <w:bCs/>
          <w:lang w:val="es-ES_tradnl"/>
        </w:rPr>
        <w:t>turismo</w:t>
      </w:r>
      <w:r w:rsidRPr="00E83B7E">
        <w:rPr>
          <w:lang w:val="es-ES_tradnl"/>
        </w:rPr>
        <w:t xml:space="preserve"> presenta un grado de </w:t>
      </w:r>
      <w:r w:rsidRPr="00F55390">
        <w:rPr>
          <w:lang w:val="es-ES_tradnl"/>
        </w:rPr>
        <w:t>vulnerabilidad sever</w:t>
      </w:r>
      <w:r w:rsidR="001C16D9" w:rsidRPr="00F55390">
        <w:rPr>
          <w:lang w:val="es-ES_tradnl"/>
        </w:rPr>
        <w:t>o</w:t>
      </w:r>
      <w:r w:rsidR="00900E28" w:rsidRPr="00F55390">
        <w:rPr>
          <w:lang w:val="es-ES_tradnl"/>
        </w:rPr>
        <w:t xml:space="preserve"> de grado </w:t>
      </w:r>
      <w:r w:rsidR="001C16D9" w:rsidRPr="00F55390">
        <w:rPr>
          <w:lang w:val="es-ES_tradnl"/>
        </w:rPr>
        <w:t>cuatro</w:t>
      </w:r>
      <w:r w:rsidRPr="00F55390">
        <w:rPr>
          <w:lang w:val="es-ES_tradnl"/>
        </w:rPr>
        <w:t xml:space="preserve">, con un </w:t>
      </w:r>
      <w:r w:rsidR="00012AD7" w:rsidRPr="00F55390">
        <w:rPr>
          <w:lang w:val="es-ES_tradnl"/>
        </w:rPr>
        <w:t>índice de vulnerabilidad (IV)</w:t>
      </w:r>
      <w:r w:rsidRPr="00F55390">
        <w:rPr>
          <w:lang w:val="es-ES_tradnl"/>
        </w:rPr>
        <w:t xml:space="preserve"> de </w:t>
      </w:r>
      <w:r w:rsidR="00F55390" w:rsidRPr="00F55390">
        <w:rPr>
          <w:lang w:val="es-ES_tradnl"/>
        </w:rPr>
        <w:t>77,</w:t>
      </w:r>
      <w:r w:rsidRPr="00F55390">
        <w:rPr>
          <w:lang w:val="es-ES_tradnl"/>
        </w:rPr>
        <w:t xml:space="preserve"> como consecuencia de factores de demanda (</w:t>
      </w:r>
      <w:r w:rsidR="00F55390" w:rsidRPr="00F55390">
        <w:rPr>
          <w:lang w:val="es-ES_tradnl"/>
        </w:rPr>
        <w:t>100</w:t>
      </w:r>
      <w:r w:rsidRPr="00F55390">
        <w:rPr>
          <w:lang w:val="es-ES_tradnl"/>
        </w:rPr>
        <w:t xml:space="preserve">), seguido de los factores </w:t>
      </w:r>
      <w:r w:rsidR="00F55390" w:rsidRPr="00F55390">
        <w:rPr>
          <w:lang w:val="es-ES_tradnl"/>
        </w:rPr>
        <w:t xml:space="preserve">de oferta (73) y por los factores </w:t>
      </w:r>
      <w:r w:rsidRPr="00F55390">
        <w:rPr>
          <w:lang w:val="es-ES_tradnl"/>
        </w:rPr>
        <w:t>financieros y patrimoniales (</w:t>
      </w:r>
      <w:r w:rsidR="00F55390" w:rsidRPr="00F55390">
        <w:rPr>
          <w:lang w:val="es-ES_tradnl"/>
        </w:rPr>
        <w:t>66</w:t>
      </w:r>
      <w:r w:rsidRPr="00F55390">
        <w:rPr>
          <w:lang w:val="es-ES_tradnl"/>
        </w:rPr>
        <w:t>)</w:t>
      </w:r>
      <w:r w:rsidR="00F55390" w:rsidRPr="00F55390">
        <w:rPr>
          <w:lang w:val="es-ES_tradnl"/>
        </w:rPr>
        <w:t>.</w:t>
      </w:r>
      <w:r w:rsidRPr="00F55390">
        <w:rPr>
          <w:lang w:val="es-ES_tradnl"/>
        </w:rPr>
        <w:t xml:space="preserve"> </w:t>
      </w:r>
      <w:bookmarkStart w:id="4" w:name="_Hlk38369195"/>
      <w:r w:rsidRPr="00F55390">
        <w:rPr>
          <w:lang w:val="es-ES_tradnl"/>
        </w:rPr>
        <w:t xml:space="preserve">El sector contribuye un </w:t>
      </w:r>
      <w:r w:rsidR="00F55390" w:rsidRPr="00F55390">
        <w:rPr>
          <w:lang w:val="es-ES_tradnl"/>
        </w:rPr>
        <w:t>11,7</w:t>
      </w:r>
      <w:r w:rsidRPr="00F55390">
        <w:rPr>
          <w:lang w:val="es-ES_tradnl"/>
        </w:rPr>
        <w:t xml:space="preserve">% al PIB y en un </w:t>
      </w:r>
      <w:r w:rsidR="00F55390" w:rsidRPr="00F55390">
        <w:rPr>
          <w:lang w:val="es-ES_tradnl"/>
        </w:rPr>
        <w:t>12,2</w:t>
      </w:r>
      <w:r w:rsidRPr="00F55390">
        <w:rPr>
          <w:lang w:val="es-ES_tradnl"/>
        </w:rPr>
        <w:t>% al empleo, aproximadamente e</w:t>
      </w:r>
      <w:r w:rsidR="00F55390" w:rsidRPr="00F55390">
        <w:rPr>
          <w:lang w:val="es-ES_tradnl"/>
        </w:rPr>
        <w:t>l 26,4</w:t>
      </w:r>
      <w:r w:rsidR="00012AD7" w:rsidRPr="00F55390">
        <w:rPr>
          <w:lang w:val="es-ES_tradnl"/>
        </w:rPr>
        <w:t>%</w:t>
      </w:r>
      <w:r w:rsidRPr="00F55390">
        <w:rPr>
          <w:lang w:val="es-ES_tradnl"/>
        </w:rPr>
        <w:t xml:space="preserve"> de su producción se orienta a la demanda externa.</w:t>
      </w:r>
      <w:r w:rsidR="00F55390" w:rsidRPr="00F55390">
        <w:rPr>
          <w:lang w:val="es-ES_tradnl"/>
        </w:rPr>
        <w:t xml:space="preserve"> Existen </w:t>
      </w:r>
      <w:r w:rsidR="00DA6BC4" w:rsidRPr="00F55390">
        <w:rPr>
          <w:lang w:val="es-ES_tradnl"/>
        </w:rPr>
        <w:t>alrededor</w:t>
      </w:r>
      <w:r w:rsidR="00F55390" w:rsidRPr="00F55390">
        <w:rPr>
          <w:lang w:val="es-ES_tradnl"/>
        </w:rPr>
        <w:t xml:space="preserve"> de 4 mil MiP</w:t>
      </w:r>
      <w:r w:rsidR="00DA6BC4">
        <w:rPr>
          <w:lang w:val="es-ES_tradnl"/>
        </w:rPr>
        <w:t>y</w:t>
      </w:r>
      <w:r w:rsidR="00F55390" w:rsidRPr="00F55390">
        <w:rPr>
          <w:lang w:val="es-ES_tradnl"/>
        </w:rPr>
        <w:t>ME (entre el 85 y el 95% de las empresas del sect</w:t>
      </w:r>
      <w:r w:rsidR="00F55390">
        <w:rPr>
          <w:lang w:val="es-ES_tradnl"/>
        </w:rPr>
        <w:t>or).</w:t>
      </w:r>
      <w:bookmarkEnd w:id="4"/>
    </w:p>
    <w:p w14:paraId="3CB45D8C" w14:textId="5AC6CB80" w:rsidR="00012AD7" w:rsidRDefault="00012AD7" w:rsidP="00816025">
      <w:pPr>
        <w:jc w:val="both"/>
        <w:rPr>
          <w:lang w:val="es-ES_tradnl"/>
        </w:rPr>
      </w:pPr>
      <w:r>
        <w:rPr>
          <w:lang w:val="es-ES_tradnl"/>
        </w:rPr>
        <w:t xml:space="preserve">El </w:t>
      </w:r>
      <w:r w:rsidR="00CE43C9">
        <w:rPr>
          <w:lang w:val="es-ES_tradnl"/>
        </w:rPr>
        <w:t xml:space="preserve">sector de </w:t>
      </w:r>
      <w:r w:rsidR="00CE43C9" w:rsidRPr="00CE43C9">
        <w:rPr>
          <w:b/>
          <w:bCs/>
          <w:lang w:val="es-ES_tradnl"/>
        </w:rPr>
        <w:t>transporte</w:t>
      </w:r>
      <w:r w:rsidR="00CE43C9">
        <w:rPr>
          <w:b/>
          <w:bCs/>
          <w:lang w:val="es-ES_tradnl"/>
        </w:rPr>
        <w:t xml:space="preserve"> </w:t>
      </w:r>
      <w:r w:rsidR="00CE43C9">
        <w:rPr>
          <w:lang w:val="es-ES_tradnl"/>
        </w:rPr>
        <w:t xml:space="preserve">tiene un grado de vulnerabilidad alto de grado tres con un IV de 57. Su contribución al empleo es del 3,05%. </w:t>
      </w:r>
      <w:r w:rsidR="00CE43C9" w:rsidRPr="00E83B7E">
        <w:rPr>
          <w:lang w:val="es-ES_tradnl"/>
        </w:rPr>
        <w:t xml:space="preserve"> El sector </w:t>
      </w:r>
      <w:r w:rsidR="00CE43C9">
        <w:rPr>
          <w:lang w:val="es-ES_tradnl"/>
        </w:rPr>
        <w:t>en su conjunto</w:t>
      </w:r>
      <w:r w:rsidR="00CE43C9" w:rsidRPr="00E83B7E">
        <w:rPr>
          <w:lang w:val="es-ES_tradnl"/>
        </w:rPr>
        <w:t xml:space="preserve"> al nivel de actividad en un </w:t>
      </w:r>
      <w:r w:rsidR="00CE43C9">
        <w:rPr>
          <w:lang w:val="es-ES_tradnl"/>
        </w:rPr>
        <w:t>3,49</w:t>
      </w:r>
      <w:r w:rsidR="00CE43C9" w:rsidRPr="00E83B7E">
        <w:rPr>
          <w:lang w:val="es-ES_tradnl"/>
        </w:rPr>
        <w:t>%.</w:t>
      </w:r>
      <w:r w:rsidR="004B5F36">
        <w:rPr>
          <w:lang w:val="es-ES_tradnl"/>
        </w:rPr>
        <w:t xml:space="preserve"> El 25% de las M</w:t>
      </w:r>
      <w:r w:rsidR="00DA6BC4">
        <w:rPr>
          <w:lang w:val="es-ES_tradnl"/>
        </w:rPr>
        <w:t>i</w:t>
      </w:r>
      <w:r w:rsidR="004B5F36">
        <w:rPr>
          <w:lang w:val="es-ES_tradnl"/>
        </w:rPr>
        <w:t>P</w:t>
      </w:r>
      <w:r w:rsidR="00DA6BC4">
        <w:rPr>
          <w:lang w:val="es-ES_tradnl"/>
        </w:rPr>
        <w:t>y</w:t>
      </w:r>
      <w:r w:rsidR="004B5F36">
        <w:rPr>
          <w:lang w:val="es-ES_tradnl"/>
        </w:rPr>
        <w:t>ME proveedoras de servicios son empresas de transporte.</w:t>
      </w:r>
      <w:r w:rsidR="00CE43C9">
        <w:rPr>
          <w:lang w:val="es-ES_tradnl"/>
        </w:rPr>
        <w:t xml:space="preserve"> El sub</w:t>
      </w:r>
      <w:r w:rsidR="00CE43C9" w:rsidRPr="00D42F82">
        <w:rPr>
          <w:lang w:val="es-ES_tradnl"/>
        </w:rPr>
        <w:t xml:space="preserve">sector </w:t>
      </w:r>
      <w:r w:rsidR="00CE43C9" w:rsidRPr="00D42F82">
        <w:rPr>
          <w:b/>
          <w:bCs/>
          <w:lang w:val="es-ES_tradnl"/>
        </w:rPr>
        <w:t xml:space="preserve">transporte </w:t>
      </w:r>
      <w:r w:rsidR="00CE43C9">
        <w:rPr>
          <w:b/>
          <w:bCs/>
          <w:lang w:val="es-ES_tradnl"/>
        </w:rPr>
        <w:t xml:space="preserve">de pasajeros </w:t>
      </w:r>
      <w:r w:rsidR="00CE43C9" w:rsidRPr="00D42F82">
        <w:rPr>
          <w:lang w:val="es-ES_tradnl"/>
        </w:rPr>
        <w:t>presenta un grado de vulnerabilidad</w:t>
      </w:r>
      <w:r w:rsidR="00CE43C9">
        <w:rPr>
          <w:lang w:val="es-ES_tradnl"/>
        </w:rPr>
        <w:t xml:space="preserve"> severo de grado tres, </w:t>
      </w:r>
      <w:r w:rsidR="00CE43C9" w:rsidRPr="00D42F82">
        <w:rPr>
          <w:lang w:val="es-ES_tradnl"/>
        </w:rPr>
        <w:t xml:space="preserve">con un IV de </w:t>
      </w:r>
      <w:r w:rsidR="00CE43C9">
        <w:rPr>
          <w:lang w:val="es-ES_tradnl"/>
        </w:rPr>
        <w:t>59</w:t>
      </w:r>
      <w:r w:rsidR="00CE43C9" w:rsidRPr="00D42F82">
        <w:rPr>
          <w:lang w:val="es-ES_tradnl"/>
        </w:rPr>
        <w:t xml:space="preserve"> como resultado de factores</w:t>
      </w:r>
      <w:r w:rsidR="00CE43C9">
        <w:rPr>
          <w:lang w:val="es-ES_tradnl"/>
        </w:rPr>
        <w:t xml:space="preserve"> </w:t>
      </w:r>
      <w:r w:rsidR="00CE43C9" w:rsidRPr="00D42F82">
        <w:rPr>
          <w:lang w:val="es-ES_tradnl"/>
        </w:rPr>
        <w:t xml:space="preserve">de </w:t>
      </w:r>
      <w:r w:rsidR="00CE43C9">
        <w:rPr>
          <w:lang w:val="es-ES_tradnl"/>
        </w:rPr>
        <w:t xml:space="preserve">oferta, demanda y financieros. </w:t>
      </w:r>
      <w:r w:rsidR="004B5F36">
        <w:rPr>
          <w:lang w:val="es-ES_tradnl"/>
        </w:rPr>
        <w:t xml:space="preserve"> El </w:t>
      </w:r>
      <w:r>
        <w:rPr>
          <w:lang w:val="es-ES_tradnl"/>
        </w:rPr>
        <w:t xml:space="preserve">subsector de </w:t>
      </w:r>
      <w:r w:rsidRPr="00FD67A8">
        <w:rPr>
          <w:b/>
          <w:bCs/>
          <w:lang w:val="es-ES_tradnl"/>
        </w:rPr>
        <w:t>transporte de carga</w:t>
      </w:r>
      <w:r>
        <w:rPr>
          <w:lang w:val="es-ES_tradnl"/>
        </w:rPr>
        <w:t xml:space="preserve"> tiene un grado de vulnerabilidad severo de grado dos, con un índice menor de vulnerabilidad (3</w:t>
      </w:r>
      <w:r w:rsidR="004B5F36">
        <w:rPr>
          <w:lang w:val="es-ES_tradnl"/>
        </w:rPr>
        <w:t>9</w:t>
      </w:r>
      <w:r>
        <w:rPr>
          <w:lang w:val="es-ES_tradnl"/>
        </w:rPr>
        <w:t xml:space="preserve">), como resultado de factores de severidad de los riesgos especialmente financieros y patrimoniales. </w:t>
      </w:r>
    </w:p>
    <w:p w14:paraId="593CDC50" w14:textId="12F6F865" w:rsidR="007B207F" w:rsidRPr="007B207F" w:rsidRDefault="007B207F" w:rsidP="004B5F36">
      <w:pPr>
        <w:jc w:val="both"/>
        <w:rPr>
          <w:lang w:val="es-ES_tradnl"/>
        </w:rPr>
      </w:pPr>
      <w:r>
        <w:rPr>
          <w:lang w:val="es-ES_tradnl"/>
        </w:rPr>
        <w:t xml:space="preserve">El sector de </w:t>
      </w:r>
      <w:r w:rsidRPr="007B207F">
        <w:rPr>
          <w:b/>
          <w:bCs/>
          <w:lang w:val="es-ES_tradnl"/>
        </w:rPr>
        <w:t xml:space="preserve">textil </w:t>
      </w:r>
      <w:r w:rsidR="004B5F36">
        <w:rPr>
          <w:b/>
          <w:bCs/>
          <w:lang w:val="es-ES_tradnl"/>
        </w:rPr>
        <w:t xml:space="preserve">y maquila </w:t>
      </w:r>
      <w:r>
        <w:rPr>
          <w:lang w:val="es-ES_tradnl"/>
        </w:rPr>
        <w:t xml:space="preserve">tiene un grado de vulnerabilidad severo de grado dos, con un índice de </w:t>
      </w:r>
      <w:r w:rsidR="004B5F36">
        <w:rPr>
          <w:lang w:val="es-ES_tradnl"/>
        </w:rPr>
        <w:t>53</w:t>
      </w:r>
      <w:r>
        <w:rPr>
          <w:lang w:val="es-ES_tradnl"/>
        </w:rPr>
        <w:t>. Los factores que más contribuyen son los de oferta (</w:t>
      </w:r>
      <w:r w:rsidR="004B5F36">
        <w:rPr>
          <w:lang w:val="es-ES_tradnl"/>
        </w:rPr>
        <w:t>66</w:t>
      </w:r>
      <w:r>
        <w:rPr>
          <w:lang w:val="es-ES_tradnl"/>
        </w:rPr>
        <w:t>)</w:t>
      </w:r>
      <w:r w:rsidR="004B5F36">
        <w:rPr>
          <w:lang w:val="es-ES_tradnl"/>
        </w:rPr>
        <w:t xml:space="preserve">, seguidos de los de demanda (50) e institucionales (50). </w:t>
      </w:r>
      <w:r>
        <w:rPr>
          <w:lang w:val="es-ES_tradnl"/>
        </w:rPr>
        <w:t xml:space="preserve">El sector de textil, cuero y calzado contribuye en un </w:t>
      </w:r>
      <w:r w:rsidR="004B5F36">
        <w:rPr>
          <w:lang w:val="es-ES_tradnl"/>
        </w:rPr>
        <w:t>3,23</w:t>
      </w:r>
      <w:r>
        <w:rPr>
          <w:lang w:val="es-ES_tradnl"/>
        </w:rPr>
        <w:t>% al total de empleos</w:t>
      </w:r>
      <w:r w:rsidR="004B5F36">
        <w:rPr>
          <w:lang w:val="es-ES_tradnl"/>
        </w:rPr>
        <w:t xml:space="preserve"> y un 26,1% al PIB</w:t>
      </w:r>
      <w:r>
        <w:rPr>
          <w:lang w:val="es-ES_tradnl"/>
        </w:rPr>
        <w:t>.</w:t>
      </w:r>
      <w:r w:rsidR="004B5F36">
        <w:rPr>
          <w:lang w:val="es-ES_tradnl"/>
        </w:rPr>
        <w:t xml:space="preserve"> </w:t>
      </w:r>
      <w:r w:rsidR="004B5F36" w:rsidRPr="004B5F36">
        <w:rPr>
          <w:lang w:val="es-ES_tradnl"/>
        </w:rPr>
        <w:t>La actividad del sector industrial se centra en productos de bajo valor añadido, correspondiendo</w:t>
      </w:r>
      <w:r w:rsidR="004B5F36">
        <w:rPr>
          <w:lang w:val="es-ES_tradnl"/>
        </w:rPr>
        <w:t xml:space="preserve"> </w:t>
      </w:r>
      <w:r w:rsidR="004B5F36" w:rsidRPr="004B5F36">
        <w:rPr>
          <w:lang w:val="es-ES_tradnl"/>
        </w:rPr>
        <w:t>la mayor participación a las manufacturas, procedentes principalmente de la maquila (17% del VAB).</w:t>
      </w:r>
      <w:r w:rsidR="004B5F36">
        <w:rPr>
          <w:lang w:val="es-ES_tradnl"/>
        </w:rPr>
        <w:t xml:space="preserve"> El 42% del valor de la producción se exporta. </w:t>
      </w:r>
    </w:p>
    <w:p w14:paraId="6A1521E9" w14:textId="13FBC302" w:rsidR="00382E7B" w:rsidRPr="00420B9E" w:rsidRDefault="00420B9E" w:rsidP="00816025">
      <w:pPr>
        <w:jc w:val="both"/>
        <w:rPr>
          <w:lang w:val="es-ES_tradnl"/>
        </w:rPr>
      </w:pPr>
      <w:r>
        <w:rPr>
          <w:lang w:val="es-ES_tradnl"/>
        </w:rPr>
        <w:t xml:space="preserve">El sector </w:t>
      </w:r>
      <w:r w:rsidRPr="00420B9E">
        <w:rPr>
          <w:b/>
          <w:bCs/>
          <w:lang w:val="es-ES_tradnl"/>
        </w:rPr>
        <w:t>agro</w:t>
      </w:r>
      <w:r w:rsidR="00F3219B">
        <w:rPr>
          <w:b/>
          <w:bCs/>
          <w:lang w:val="es-ES_tradnl"/>
        </w:rPr>
        <w:t>alimentario</w:t>
      </w:r>
      <w:r>
        <w:rPr>
          <w:b/>
          <w:bCs/>
          <w:lang w:val="es-ES_tradnl"/>
        </w:rPr>
        <w:t xml:space="preserve"> </w:t>
      </w:r>
      <w:r>
        <w:rPr>
          <w:lang w:val="es-ES_tradnl"/>
        </w:rPr>
        <w:t>tiene un grado de vulnerabilidad</w:t>
      </w:r>
      <w:r w:rsidR="00900E28">
        <w:rPr>
          <w:lang w:val="es-ES_tradnl"/>
        </w:rPr>
        <w:t xml:space="preserve"> severo de grado </w:t>
      </w:r>
      <w:r w:rsidR="004B5F36">
        <w:rPr>
          <w:lang w:val="es-ES_tradnl"/>
        </w:rPr>
        <w:t>tres</w:t>
      </w:r>
      <w:r w:rsidR="00900E28">
        <w:rPr>
          <w:lang w:val="es-ES_tradnl"/>
        </w:rPr>
        <w:t xml:space="preserve">, </w:t>
      </w:r>
      <w:r>
        <w:rPr>
          <w:lang w:val="es-ES_tradnl"/>
        </w:rPr>
        <w:t xml:space="preserve">con un índice de </w:t>
      </w:r>
      <w:r w:rsidR="004B5F36">
        <w:rPr>
          <w:lang w:val="es-ES_tradnl"/>
        </w:rPr>
        <w:t>43</w:t>
      </w:r>
      <w:r>
        <w:rPr>
          <w:lang w:val="es-ES_tradnl"/>
        </w:rPr>
        <w:t xml:space="preserve">, guiado por factores de percepción de riesgo en la </w:t>
      </w:r>
      <w:r w:rsidR="004B5F36">
        <w:rPr>
          <w:lang w:val="es-ES_tradnl"/>
        </w:rPr>
        <w:t>oferta</w:t>
      </w:r>
      <w:r w:rsidR="00D46C1C">
        <w:rPr>
          <w:lang w:val="es-ES_tradnl"/>
        </w:rPr>
        <w:t xml:space="preserve"> (66)</w:t>
      </w:r>
      <w:r w:rsidR="004B5F36">
        <w:rPr>
          <w:lang w:val="es-ES_tradnl"/>
        </w:rPr>
        <w:t xml:space="preserve">, financieros </w:t>
      </w:r>
      <w:r w:rsidR="00D46C1C">
        <w:rPr>
          <w:lang w:val="es-ES_tradnl"/>
        </w:rPr>
        <w:t xml:space="preserve">(61) </w:t>
      </w:r>
      <w:r w:rsidR="004B5F36">
        <w:rPr>
          <w:lang w:val="es-ES_tradnl"/>
        </w:rPr>
        <w:t xml:space="preserve">y de </w:t>
      </w:r>
      <w:r>
        <w:rPr>
          <w:lang w:val="es-ES_tradnl"/>
        </w:rPr>
        <w:t>demanda (</w:t>
      </w:r>
      <w:r w:rsidR="00D46C1C">
        <w:rPr>
          <w:lang w:val="es-ES_tradnl"/>
        </w:rPr>
        <w:t>50</w:t>
      </w:r>
      <w:r>
        <w:rPr>
          <w:lang w:val="es-ES_tradnl"/>
        </w:rPr>
        <w:t>)</w:t>
      </w:r>
      <w:r w:rsidR="00D60AA3">
        <w:rPr>
          <w:lang w:val="es-ES_tradnl"/>
        </w:rPr>
        <w:t xml:space="preserve">. Estos índices </w:t>
      </w:r>
      <w:r w:rsidR="00F3219B">
        <w:rPr>
          <w:lang w:val="es-ES_tradnl"/>
        </w:rPr>
        <w:t xml:space="preserve">consideran </w:t>
      </w:r>
      <w:r w:rsidR="00012AD7">
        <w:rPr>
          <w:lang w:val="es-ES_tradnl"/>
        </w:rPr>
        <w:t xml:space="preserve">la distinción entre productores </w:t>
      </w:r>
      <w:r w:rsidR="00D46C1C">
        <w:rPr>
          <w:lang w:val="es-ES_tradnl"/>
        </w:rPr>
        <w:t>pequeños y medianos (43) y grandes (49)</w:t>
      </w:r>
      <w:r w:rsidR="00012AD7">
        <w:rPr>
          <w:lang w:val="es-ES_tradnl"/>
        </w:rPr>
        <w:t xml:space="preserve">, </w:t>
      </w:r>
      <w:r w:rsidR="00D46C1C">
        <w:rPr>
          <w:lang w:val="es-ES_tradnl"/>
        </w:rPr>
        <w:t>así como entre MiP</w:t>
      </w:r>
      <w:r w:rsidR="00DA6BC4">
        <w:rPr>
          <w:lang w:val="es-ES_tradnl"/>
        </w:rPr>
        <w:t>y</w:t>
      </w:r>
      <w:r w:rsidR="00D46C1C">
        <w:rPr>
          <w:lang w:val="es-ES_tradnl"/>
        </w:rPr>
        <w:t>ME (50) y agroindustria (53)</w:t>
      </w:r>
      <w:r>
        <w:rPr>
          <w:lang w:val="es-ES_tradnl"/>
        </w:rPr>
        <w:t>.</w:t>
      </w:r>
      <w:r w:rsidR="001A58E1" w:rsidRPr="001A58E1">
        <w:rPr>
          <w:lang w:val="es-ES_tradnl"/>
        </w:rPr>
        <w:t xml:space="preserve"> </w:t>
      </w:r>
      <w:r w:rsidR="001A58E1" w:rsidRPr="00E83B7E">
        <w:rPr>
          <w:lang w:val="es-ES_tradnl"/>
        </w:rPr>
        <w:t xml:space="preserve">El sector tiene una contribución alta al empleo, en un </w:t>
      </w:r>
      <w:r w:rsidR="00D46C1C">
        <w:rPr>
          <w:lang w:val="es-ES_tradnl"/>
        </w:rPr>
        <w:t>32</w:t>
      </w:r>
      <w:r w:rsidR="001A58E1" w:rsidRPr="00E83B7E">
        <w:rPr>
          <w:lang w:val="es-ES_tradnl"/>
        </w:rPr>
        <w:t>%</w:t>
      </w:r>
      <w:r w:rsidR="0076789E">
        <w:rPr>
          <w:lang w:val="es-ES_tradnl"/>
        </w:rPr>
        <w:t xml:space="preserve"> de la población activa</w:t>
      </w:r>
      <w:r w:rsidR="00D46C1C">
        <w:rPr>
          <w:lang w:val="es-ES_tradnl"/>
        </w:rPr>
        <w:t>,</w:t>
      </w:r>
      <w:r w:rsidR="001A58E1" w:rsidRPr="00E83B7E">
        <w:rPr>
          <w:lang w:val="es-ES_tradnl"/>
        </w:rPr>
        <w:t xml:space="preserve"> </w:t>
      </w:r>
      <w:r w:rsidR="00D46C1C">
        <w:rPr>
          <w:lang w:val="es-ES_tradnl"/>
        </w:rPr>
        <w:t>con más de 50 mil MiP</w:t>
      </w:r>
      <w:r w:rsidR="00DA6BC4">
        <w:rPr>
          <w:lang w:val="es-ES_tradnl"/>
        </w:rPr>
        <w:t>y</w:t>
      </w:r>
      <w:r w:rsidR="00D46C1C">
        <w:rPr>
          <w:lang w:val="es-ES_tradnl"/>
        </w:rPr>
        <w:t>ME</w:t>
      </w:r>
      <w:r w:rsidR="001A58E1">
        <w:rPr>
          <w:lang w:val="es-ES_tradnl"/>
        </w:rPr>
        <w:t xml:space="preserve">, </w:t>
      </w:r>
      <w:r w:rsidR="00D46C1C">
        <w:rPr>
          <w:lang w:val="es-ES_tradnl"/>
        </w:rPr>
        <w:t>el 40% de las MiP</w:t>
      </w:r>
      <w:r w:rsidR="00DA6BC4">
        <w:rPr>
          <w:lang w:val="es-ES_tradnl"/>
        </w:rPr>
        <w:t>y</w:t>
      </w:r>
      <w:r w:rsidR="00D46C1C">
        <w:rPr>
          <w:lang w:val="es-ES_tradnl"/>
        </w:rPr>
        <w:t xml:space="preserve">ME se dedican a procesamiento en el agro. El sector </w:t>
      </w:r>
      <w:r w:rsidR="001A58E1" w:rsidRPr="00E83B7E">
        <w:rPr>
          <w:lang w:val="es-ES_tradnl"/>
        </w:rPr>
        <w:t xml:space="preserve">contribuye en </w:t>
      </w:r>
      <w:r w:rsidR="00D46C1C">
        <w:rPr>
          <w:lang w:val="es-ES_tradnl"/>
        </w:rPr>
        <w:t>25</w:t>
      </w:r>
      <w:r w:rsidR="001A58E1" w:rsidRPr="00E83B7E">
        <w:rPr>
          <w:lang w:val="es-ES_tradnl"/>
        </w:rPr>
        <w:t>% al nivel de actividad</w:t>
      </w:r>
      <w:r w:rsidR="00D46C1C">
        <w:rPr>
          <w:lang w:val="es-ES_tradnl"/>
        </w:rPr>
        <w:t>, si se considera la actividad de la industria agroalimentaria (50%) el valor se incrementa</w:t>
      </w:r>
      <w:r w:rsidR="00900E28">
        <w:rPr>
          <w:lang w:val="es-ES_tradnl"/>
        </w:rPr>
        <w:t xml:space="preserve">. </w:t>
      </w:r>
      <w:r w:rsidR="001A58E1" w:rsidRPr="00E83B7E">
        <w:rPr>
          <w:lang w:val="es-ES_tradnl"/>
        </w:rPr>
        <w:t xml:space="preserve">Además, más del </w:t>
      </w:r>
      <w:r w:rsidR="0076789E">
        <w:rPr>
          <w:lang w:val="es-ES_tradnl"/>
        </w:rPr>
        <w:t>67,1</w:t>
      </w:r>
      <w:r w:rsidR="001A58E1" w:rsidRPr="00E83B7E">
        <w:rPr>
          <w:lang w:val="es-ES_tradnl"/>
        </w:rPr>
        <w:t xml:space="preserve">% de </w:t>
      </w:r>
      <w:r w:rsidR="00900E28">
        <w:rPr>
          <w:lang w:val="es-ES_tradnl"/>
        </w:rPr>
        <w:t>la</w:t>
      </w:r>
      <w:r w:rsidR="001A58E1" w:rsidRPr="00E83B7E">
        <w:rPr>
          <w:lang w:val="es-ES_tradnl"/>
        </w:rPr>
        <w:t xml:space="preserve"> producción </w:t>
      </w:r>
      <w:r w:rsidR="00900E28">
        <w:rPr>
          <w:lang w:val="es-ES_tradnl"/>
        </w:rPr>
        <w:t xml:space="preserve">del sector agroalimentario </w:t>
      </w:r>
      <w:r w:rsidR="001A58E1" w:rsidRPr="00E83B7E">
        <w:rPr>
          <w:lang w:val="es-ES_tradnl"/>
        </w:rPr>
        <w:t>se destina a exportación.</w:t>
      </w:r>
    </w:p>
    <w:p w14:paraId="79F4E982" w14:textId="0E5C2C75" w:rsidR="00D41616" w:rsidRPr="00E83B7E" w:rsidRDefault="000D4171" w:rsidP="000D4171">
      <w:pPr>
        <w:pStyle w:val="Heading1"/>
        <w:numPr>
          <w:ilvl w:val="0"/>
          <w:numId w:val="0"/>
        </w:numPr>
        <w:jc w:val="both"/>
        <w:rPr>
          <w:lang w:val="es-ES_tradnl"/>
        </w:rPr>
      </w:pPr>
      <w:bookmarkStart w:id="5" w:name="_Toc36834036"/>
      <w:r w:rsidRPr="000D4171">
        <w:rPr>
          <w:rFonts w:asciiTheme="minorHAnsi" w:eastAsiaTheme="minorHAnsi" w:hAnsiTheme="minorHAnsi" w:cstheme="minorBidi"/>
          <w:color w:val="auto"/>
          <w:sz w:val="22"/>
          <w:szCs w:val="22"/>
          <w:lang w:val="es-ES_tradnl"/>
        </w:rPr>
        <w:lastRenderedPageBreak/>
        <w:t xml:space="preserve">El análisis concluye que los sectores productivos se encuentran en una situación de vulnerabilidad severa ante la crisis del COVID-19 (en promedio con una </w:t>
      </w:r>
      <w:r w:rsidRPr="001C71B9">
        <w:rPr>
          <w:rFonts w:asciiTheme="minorHAnsi" w:eastAsiaTheme="minorHAnsi" w:hAnsiTheme="minorHAnsi" w:cstheme="minorBidi"/>
          <w:color w:val="auto"/>
          <w:sz w:val="22"/>
          <w:szCs w:val="22"/>
          <w:lang w:val="es-ES_tradnl"/>
        </w:rPr>
        <w:t>severidad</w:t>
      </w:r>
      <w:r w:rsidR="00CE43C9" w:rsidRPr="001C71B9">
        <w:rPr>
          <w:rFonts w:asciiTheme="minorHAnsi" w:eastAsiaTheme="minorHAnsi" w:hAnsiTheme="minorHAnsi" w:cstheme="minorBidi"/>
          <w:color w:val="auto"/>
          <w:sz w:val="22"/>
          <w:szCs w:val="22"/>
          <w:lang w:val="es-ES_tradnl"/>
        </w:rPr>
        <w:t xml:space="preserve"> de </w:t>
      </w:r>
      <w:r w:rsidRPr="001C71B9">
        <w:rPr>
          <w:rFonts w:asciiTheme="minorHAnsi" w:eastAsiaTheme="minorHAnsi" w:hAnsiTheme="minorHAnsi" w:cstheme="minorBidi"/>
          <w:color w:val="auto"/>
          <w:sz w:val="22"/>
          <w:szCs w:val="22"/>
          <w:lang w:val="es-ES_tradnl"/>
        </w:rPr>
        <w:t xml:space="preserve">grado </w:t>
      </w:r>
      <w:r w:rsidR="001C71B9" w:rsidRPr="001C71B9">
        <w:rPr>
          <w:rFonts w:asciiTheme="minorHAnsi" w:eastAsiaTheme="minorHAnsi" w:hAnsiTheme="minorHAnsi" w:cstheme="minorBidi"/>
          <w:color w:val="auto"/>
          <w:sz w:val="22"/>
          <w:szCs w:val="22"/>
          <w:lang w:val="es-ES_tradnl"/>
        </w:rPr>
        <w:t>3</w:t>
      </w:r>
      <w:r w:rsidRPr="000D4171">
        <w:rPr>
          <w:rFonts w:asciiTheme="minorHAnsi" w:eastAsiaTheme="minorHAnsi" w:hAnsiTheme="minorHAnsi" w:cstheme="minorBidi"/>
          <w:color w:val="auto"/>
          <w:sz w:val="22"/>
          <w:szCs w:val="22"/>
          <w:lang w:val="es-ES_tradnl"/>
        </w:rPr>
        <w:t xml:space="preserve">). </w:t>
      </w:r>
      <w:r w:rsidR="00D316B0" w:rsidRPr="00E83B7E">
        <w:rPr>
          <w:lang w:val="es-ES_tradnl"/>
        </w:rPr>
        <w:br w:type="page"/>
      </w:r>
      <w:r w:rsidR="00D41616" w:rsidRPr="00E83B7E">
        <w:rPr>
          <w:lang w:val="es-ES_tradnl"/>
        </w:rPr>
        <w:lastRenderedPageBreak/>
        <w:t>Introducción</w:t>
      </w:r>
      <w:r w:rsidR="008F50E1" w:rsidRPr="00E83B7E">
        <w:rPr>
          <w:lang w:val="es-ES_tradnl"/>
        </w:rPr>
        <w:t xml:space="preserve"> y </w:t>
      </w:r>
      <w:r w:rsidR="00DA6BC4">
        <w:rPr>
          <w:lang w:val="es-ES_tradnl"/>
        </w:rPr>
        <w:t>M</w:t>
      </w:r>
      <w:r w:rsidR="008F50E1" w:rsidRPr="00E83B7E">
        <w:rPr>
          <w:lang w:val="es-ES_tradnl"/>
        </w:rPr>
        <w:t xml:space="preserve">arco </w:t>
      </w:r>
      <w:r w:rsidR="00DA6BC4">
        <w:rPr>
          <w:lang w:val="es-ES_tradnl"/>
        </w:rPr>
        <w:t>A</w:t>
      </w:r>
      <w:r w:rsidR="008F50E1" w:rsidRPr="00E83B7E">
        <w:rPr>
          <w:lang w:val="es-ES_tradnl"/>
        </w:rPr>
        <w:t>nalítico</w:t>
      </w:r>
      <w:bookmarkEnd w:id="5"/>
    </w:p>
    <w:p w14:paraId="11706418" w14:textId="24FD071E" w:rsidR="00933DA6" w:rsidRPr="00E83B7E" w:rsidRDefault="00933DA6" w:rsidP="004656DB">
      <w:pPr>
        <w:jc w:val="both"/>
        <w:rPr>
          <w:lang w:val="es-ES_tradnl"/>
        </w:rPr>
      </w:pPr>
      <w:r w:rsidRPr="00E83B7E">
        <w:rPr>
          <w:lang w:val="es-ES_tradnl"/>
        </w:rPr>
        <w:t xml:space="preserve">Este documento </w:t>
      </w:r>
      <w:r w:rsidR="00DC4A64" w:rsidRPr="00E83B7E">
        <w:rPr>
          <w:lang w:val="es-ES_tradnl"/>
        </w:rPr>
        <w:t>present</w:t>
      </w:r>
      <w:r w:rsidR="00DC4A64">
        <w:rPr>
          <w:lang w:val="es-ES_tradnl"/>
        </w:rPr>
        <w:t>a</w:t>
      </w:r>
      <w:r w:rsidR="00DC4A64" w:rsidRPr="00E83B7E">
        <w:rPr>
          <w:lang w:val="es-ES_tradnl"/>
        </w:rPr>
        <w:t xml:space="preserve"> </w:t>
      </w:r>
      <w:r w:rsidRPr="00E83B7E">
        <w:rPr>
          <w:lang w:val="es-ES_tradnl"/>
        </w:rPr>
        <w:t xml:space="preserve">un análisis de vulnerabilidades desagregado por sectores y con referencia a la situación de las </w:t>
      </w:r>
      <w:r w:rsidR="001570DD" w:rsidRPr="00E83B7E">
        <w:rPr>
          <w:lang w:val="es-ES_tradnl"/>
        </w:rPr>
        <w:t>M</w:t>
      </w:r>
      <w:r w:rsidR="00043713" w:rsidRPr="00E83B7E">
        <w:rPr>
          <w:lang w:val="es-ES_tradnl"/>
        </w:rPr>
        <w:t>i</w:t>
      </w:r>
      <w:r w:rsidRPr="00E83B7E">
        <w:rPr>
          <w:lang w:val="es-ES_tradnl"/>
        </w:rPr>
        <w:t>P</w:t>
      </w:r>
      <w:r w:rsidR="00E83B7E">
        <w:rPr>
          <w:lang w:val="es-ES_tradnl"/>
        </w:rPr>
        <w:t>y</w:t>
      </w:r>
      <w:r w:rsidRPr="00E83B7E">
        <w:rPr>
          <w:lang w:val="es-ES_tradnl"/>
        </w:rPr>
        <w:t xml:space="preserve">ME en </w:t>
      </w:r>
      <w:r w:rsidR="008B46A6">
        <w:rPr>
          <w:lang w:val="es-ES_tradnl"/>
        </w:rPr>
        <w:t>Honduras</w:t>
      </w:r>
      <w:r w:rsidRPr="00E83B7E">
        <w:rPr>
          <w:lang w:val="es-ES_tradnl"/>
        </w:rPr>
        <w:t xml:space="preserve">. Se consideran en particular los siguientes </w:t>
      </w:r>
      <w:r w:rsidR="007B207F">
        <w:rPr>
          <w:lang w:val="es-ES_tradnl"/>
        </w:rPr>
        <w:t>cinco</w:t>
      </w:r>
      <w:r w:rsidR="00A5757F" w:rsidRPr="00E83B7E">
        <w:rPr>
          <w:lang w:val="es-ES_tradnl"/>
        </w:rPr>
        <w:t xml:space="preserve"> </w:t>
      </w:r>
      <w:r w:rsidRPr="00E83B7E">
        <w:rPr>
          <w:lang w:val="es-ES_tradnl"/>
        </w:rPr>
        <w:t>sectores:</w:t>
      </w:r>
      <w:r w:rsidR="00A5757F" w:rsidRPr="00E83B7E">
        <w:rPr>
          <w:lang w:val="es-ES_tradnl"/>
        </w:rPr>
        <w:t xml:space="preserve"> Turismo, Transporte</w:t>
      </w:r>
      <w:r w:rsidR="00A044C9">
        <w:rPr>
          <w:lang w:val="es-ES_tradnl"/>
        </w:rPr>
        <w:t xml:space="preserve"> de carga y de pasajer</w:t>
      </w:r>
      <w:r w:rsidR="00F74A03">
        <w:rPr>
          <w:lang w:val="es-ES_tradnl"/>
        </w:rPr>
        <w:t>o</w:t>
      </w:r>
      <w:r w:rsidR="00A044C9">
        <w:rPr>
          <w:lang w:val="es-ES_tradnl"/>
        </w:rPr>
        <w:t>s</w:t>
      </w:r>
      <w:r w:rsidR="00A5757F" w:rsidRPr="00E83B7E">
        <w:rPr>
          <w:lang w:val="es-ES_tradnl"/>
        </w:rPr>
        <w:t>, Textil</w:t>
      </w:r>
      <w:r w:rsidR="00B75B80">
        <w:rPr>
          <w:lang w:val="es-ES_tradnl"/>
        </w:rPr>
        <w:t>-Maquila</w:t>
      </w:r>
      <w:r w:rsidR="007B207F">
        <w:rPr>
          <w:lang w:val="es-ES_tradnl"/>
        </w:rPr>
        <w:t xml:space="preserve">, </w:t>
      </w:r>
      <w:r w:rsidR="00A5757F" w:rsidRPr="00E83B7E">
        <w:rPr>
          <w:lang w:val="es-ES_tradnl"/>
        </w:rPr>
        <w:t>y Agro</w:t>
      </w:r>
      <w:r w:rsidR="00900E28">
        <w:rPr>
          <w:lang w:val="es-ES_tradnl"/>
        </w:rPr>
        <w:t>alimentario</w:t>
      </w:r>
      <w:r w:rsidR="00A5757F" w:rsidRPr="00E83B7E">
        <w:rPr>
          <w:lang w:val="es-ES_tradnl"/>
        </w:rPr>
        <w:t>.</w:t>
      </w:r>
    </w:p>
    <w:p w14:paraId="63A80D11" w14:textId="3976B0D2" w:rsidR="00E46B00" w:rsidRPr="00E83B7E" w:rsidRDefault="005D1844" w:rsidP="00E46B00">
      <w:pPr>
        <w:spacing w:after="0" w:line="240" w:lineRule="auto"/>
        <w:jc w:val="center"/>
        <w:rPr>
          <w:b/>
          <w:bCs/>
          <w:lang w:val="es-ES_tradnl"/>
        </w:rPr>
      </w:pPr>
      <w:r w:rsidRPr="00E83B7E">
        <w:rPr>
          <w:b/>
          <w:bCs/>
          <w:lang w:val="es-ES_tradnl"/>
        </w:rPr>
        <w:t>Tabla</w:t>
      </w:r>
      <w:r w:rsidR="00E46B00" w:rsidRPr="00E83B7E">
        <w:rPr>
          <w:b/>
          <w:bCs/>
          <w:lang w:val="es-ES_tradnl"/>
        </w:rPr>
        <w:t xml:space="preserve"> I.1</w:t>
      </w:r>
    </w:p>
    <w:p w14:paraId="1D22116A" w14:textId="1C25345B" w:rsidR="00E46B00" w:rsidRPr="00E83B7E" w:rsidRDefault="00E46B00" w:rsidP="0007292C">
      <w:pPr>
        <w:spacing w:after="0" w:line="240" w:lineRule="auto"/>
        <w:jc w:val="center"/>
        <w:rPr>
          <w:b/>
          <w:bCs/>
          <w:lang w:val="es-ES_tradnl"/>
        </w:rPr>
      </w:pPr>
      <w:r w:rsidRPr="007B207F">
        <w:rPr>
          <w:b/>
          <w:bCs/>
          <w:lang w:val="es-ES_tradnl"/>
        </w:rPr>
        <w:t>Sectores considerados</w:t>
      </w:r>
      <w:r w:rsidRPr="00E83B7E">
        <w:rPr>
          <w:b/>
          <w:bCs/>
          <w:lang w:val="es-ES_tradnl"/>
        </w:rPr>
        <w:t xml:space="preserve"> </w:t>
      </w:r>
    </w:p>
    <w:tbl>
      <w:tblPr>
        <w:tblStyle w:val="TableGrid"/>
        <w:tblW w:w="0" w:type="auto"/>
        <w:jc w:val="center"/>
        <w:tblLook w:val="04A0" w:firstRow="1" w:lastRow="0" w:firstColumn="1" w:lastColumn="0" w:noHBand="0" w:noVBand="1"/>
      </w:tblPr>
      <w:tblGrid>
        <w:gridCol w:w="1710"/>
        <w:gridCol w:w="2520"/>
      </w:tblGrid>
      <w:tr w:rsidR="00933DA6" w:rsidRPr="00E83B7E" w14:paraId="5E7D590B" w14:textId="77777777" w:rsidTr="0007292C">
        <w:trPr>
          <w:jc w:val="center"/>
        </w:trPr>
        <w:tc>
          <w:tcPr>
            <w:tcW w:w="1710" w:type="dxa"/>
            <w:shd w:val="clear" w:color="auto" w:fill="D9E2F3" w:themeFill="accent1" w:themeFillTint="33"/>
          </w:tcPr>
          <w:p w14:paraId="0F24DF72" w14:textId="6B875490" w:rsidR="00933DA6" w:rsidRPr="00E83B7E" w:rsidRDefault="00E46B00" w:rsidP="0007292C">
            <w:pPr>
              <w:jc w:val="center"/>
              <w:rPr>
                <w:b/>
                <w:bCs/>
                <w:lang w:val="es-ES_tradnl"/>
              </w:rPr>
            </w:pPr>
            <w:r w:rsidRPr="00E83B7E">
              <w:rPr>
                <w:b/>
                <w:bCs/>
                <w:lang w:val="es-ES_tradnl"/>
              </w:rPr>
              <w:t>Sector</w:t>
            </w:r>
          </w:p>
        </w:tc>
        <w:tc>
          <w:tcPr>
            <w:tcW w:w="2520" w:type="dxa"/>
            <w:shd w:val="clear" w:color="auto" w:fill="D9E2F3" w:themeFill="accent1" w:themeFillTint="33"/>
          </w:tcPr>
          <w:p w14:paraId="149CCD51" w14:textId="17420C1E" w:rsidR="00933DA6" w:rsidRPr="00E83B7E" w:rsidRDefault="00BF3440" w:rsidP="0007292C">
            <w:pPr>
              <w:jc w:val="both"/>
              <w:rPr>
                <w:b/>
                <w:bCs/>
                <w:lang w:val="es-ES_tradnl"/>
              </w:rPr>
            </w:pPr>
            <w:r w:rsidRPr="00E83B7E">
              <w:rPr>
                <w:b/>
                <w:bCs/>
                <w:lang w:val="es-ES_tradnl"/>
              </w:rPr>
              <w:t>Rama</w:t>
            </w:r>
          </w:p>
        </w:tc>
      </w:tr>
      <w:tr w:rsidR="007B207F" w:rsidRPr="00E83B7E" w14:paraId="4F519B63" w14:textId="77777777" w:rsidTr="00933DA6">
        <w:trPr>
          <w:jc w:val="center"/>
        </w:trPr>
        <w:tc>
          <w:tcPr>
            <w:tcW w:w="1710" w:type="dxa"/>
            <w:vMerge w:val="restart"/>
          </w:tcPr>
          <w:p w14:paraId="25E5B574" w14:textId="70E606B8" w:rsidR="007B207F" w:rsidRPr="00E83B7E" w:rsidRDefault="007B207F" w:rsidP="0007292C">
            <w:pPr>
              <w:jc w:val="center"/>
              <w:rPr>
                <w:b/>
                <w:bCs/>
                <w:lang w:val="es-ES_tradnl"/>
              </w:rPr>
            </w:pPr>
            <w:r w:rsidRPr="00E83B7E">
              <w:rPr>
                <w:b/>
                <w:bCs/>
                <w:lang w:val="es-ES_tradnl"/>
              </w:rPr>
              <w:t>Servicios</w:t>
            </w:r>
          </w:p>
        </w:tc>
        <w:tc>
          <w:tcPr>
            <w:tcW w:w="2520" w:type="dxa"/>
          </w:tcPr>
          <w:p w14:paraId="786ED796" w14:textId="4E0D84DE" w:rsidR="007B207F" w:rsidRPr="00A306E2" w:rsidRDefault="007B207F" w:rsidP="00E46B00">
            <w:pPr>
              <w:jc w:val="both"/>
              <w:rPr>
                <w:highlight w:val="yellow"/>
                <w:lang w:val="es-ES_tradnl"/>
              </w:rPr>
            </w:pPr>
            <w:r>
              <w:rPr>
                <w:lang w:val="es-ES_tradnl"/>
              </w:rPr>
              <w:t>Turismo</w:t>
            </w:r>
          </w:p>
        </w:tc>
      </w:tr>
      <w:tr w:rsidR="007B207F" w:rsidRPr="00E83B7E" w14:paraId="5A846FE4" w14:textId="77777777" w:rsidTr="00933DA6">
        <w:trPr>
          <w:jc w:val="center"/>
        </w:trPr>
        <w:tc>
          <w:tcPr>
            <w:tcW w:w="1710" w:type="dxa"/>
            <w:vMerge/>
          </w:tcPr>
          <w:p w14:paraId="19A71DC3" w14:textId="77777777" w:rsidR="007B207F" w:rsidRPr="00E83B7E" w:rsidRDefault="007B207F" w:rsidP="0007292C">
            <w:pPr>
              <w:jc w:val="center"/>
              <w:rPr>
                <w:b/>
                <w:bCs/>
                <w:lang w:val="es-ES_tradnl"/>
              </w:rPr>
            </w:pPr>
          </w:p>
        </w:tc>
        <w:tc>
          <w:tcPr>
            <w:tcW w:w="2520" w:type="dxa"/>
          </w:tcPr>
          <w:p w14:paraId="3B2D78EA" w14:textId="15535555" w:rsidR="007B207F" w:rsidRPr="00E83B7E" w:rsidRDefault="007B207F" w:rsidP="00E46B00">
            <w:pPr>
              <w:jc w:val="both"/>
              <w:rPr>
                <w:lang w:val="es-ES_tradnl"/>
              </w:rPr>
            </w:pPr>
            <w:r>
              <w:rPr>
                <w:lang w:val="es-ES_tradnl"/>
              </w:rPr>
              <w:t>Transporte de carga</w:t>
            </w:r>
          </w:p>
        </w:tc>
      </w:tr>
      <w:tr w:rsidR="007B207F" w:rsidRPr="00E83B7E" w14:paraId="2F2307E5" w14:textId="77777777" w:rsidTr="00941B33">
        <w:trPr>
          <w:jc w:val="center"/>
        </w:trPr>
        <w:tc>
          <w:tcPr>
            <w:tcW w:w="1710" w:type="dxa"/>
            <w:vMerge/>
          </w:tcPr>
          <w:p w14:paraId="4165E155" w14:textId="77777777" w:rsidR="007B207F" w:rsidRPr="00E83B7E" w:rsidRDefault="007B207F" w:rsidP="0007292C">
            <w:pPr>
              <w:jc w:val="center"/>
              <w:rPr>
                <w:b/>
                <w:bCs/>
                <w:lang w:val="es-ES_tradnl"/>
              </w:rPr>
            </w:pPr>
          </w:p>
        </w:tc>
        <w:tc>
          <w:tcPr>
            <w:tcW w:w="2520" w:type="dxa"/>
          </w:tcPr>
          <w:p w14:paraId="7C8255D0" w14:textId="68E1E4D5" w:rsidR="007B207F" w:rsidRPr="00E83B7E" w:rsidRDefault="007B207F" w:rsidP="0007292C">
            <w:pPr>
              <w:jc w:val="both"/>
              <w:rPr>
                <w:lang w:val="es-ES_tradnl"/>
              </w:rPr>
            </w:pPr>
            <w:r w:rsidRPr="00E83B7E">
              <w:rPr>
                <w:lang w:val="es-ES_tradnl"/>
              </w:rPr>
              <w:t>Transporte</w:t>
            </w:r>
            <w:r>
              <w:rPr>
                <w:lang w:val="es-ES_tradnl"/>
              </w:rPr>
              <w:t xml:space="preserve"> de pasajeros</w:t>
            </w:r>
          </w:p>
        </w:tc>
      </w:tr>
      <w:tr w:rsidR="007B207F" w:rsidRPr="007B207F" w14:paraId="21005F1B" w14:textId="77777777" w:rsidTr="008B46A6">
        <w:trPr>
          <w:jc w:val="center"/>
        </w:trPr>
        <w:tc>
          <w:tcPr>
            <w:tcW w:w="1710" w:type="dxa"/>
          </w:tcPr>
          <w:p w14:paraId="4F90D584" w14:textId="4A3C9C50" w:rsidR="007B207F" w:rsidRPr="00E83B7E" w:rsidRDefault="007B207F" w:rsidP="007B207F">
            <w:pPr>
              <w:jc w:val="center"/>
              <w:rPr>
                <w:b/>
                <w:bCs/>
                <w:lang w:val="es-ES_tradnl"/>
              </w:rPr>
            </w:pPr>
            <w:r w:rsidRPr="00E83B7E">
              <w:rPr>
                <w:b/>
                <w:bCs/>
                <w:lang w:val="es-ES_tradnl"/>
              </w:rPr>
              <w:t>Industria</w:t>
            </w:r>
          </w:p>
        </w:tc>
        <w:tc>
          <w:tcPr>
            <w:tcW w:w="2520" w:type="dxa"/>
            <w:tcBorders>
              <w:bottom w:val="single" w:sz="4" w:space="0" w:color="auto"/>
            </w:tcBorders>
          </w:tcPr>
          <w:p w14:paraId="025C10E2" w14:textId="191391AF" w:rsidR="007B207F" w:rsidRPr="00A306E2" w:rsidRDefault="007B207F" w:rsidP="007B207F">
            <w:pPr>
              <w:jc w:val="both"/>
              <w:rPr>
                <w:highlight w:val="yellow"/>
                <w:lang w:val="es-ES_tradnl"/>
              </w:rPr>
            </w:pPr>
            <w:r w:rsidRPr="007B207F">
              <w:rPr>
                <w:lang w:val="es-ES_tradnl"/>
              </w:rPr>
              <w:t xml:space="preserve">Textil </w:t>
            </w:r>
            <w:r w:rsidR="00B75B80">
              <w:rPr>
                <w:lang w:val="es-ES_tradnl"/>
              </w:rPr>
              <w:t>– Maquila</w:t>
            </w:r>
          </w:p>
        </w:tc>
      </w:tr>
      <w:tr w:rsidR="007B207F" w:rsidRPr="00DA6BC4" w14:paraId="3E14A6F6" w14:textId="77777777" w:rsidTr="0007292C">
        <w:trPr>
          <w:jc w:val="center"/>
        </w:trPr>
        <w:tc>
          <w:tcPr>
            <w:tcW w:w="1710" w:type="dxa"/>
            <w:tcBorders>
              <w:bottom w:val="single" w:sz="4" w:space="0" w:color="auto"/>
            </w:tcBorders>
          </w:tcPr>
          <w:p w14:paraId="18865FB6" w14:textId="2B3C60CF" w:rsidR="007B207F" w:rsidRPr="00E83B7E" w:rsidRDefault="007B207F" w:rsidP="007B207F">
            <w:pPr>
              <w:jc w:val="center"/>
              <w:rPr>
                <w:b/>
                <w:bCs/>
                <w:lang w:val="es-ES_tradnl"/>
              </w:rPr>
            </w:pPr>
            <w:r w:rsidRPr="00E83B7E">
              <w:rPr>
                <w:b/>
                <w:bCs/>
                <w:lang w:val="es-ES_tradnl"/>
              </w:rPr>
              <w:t>Agro</w:t>
            </w:r>
            <w:r>
              <w:rPr>
                <w:b/>
                <w:bCs/>
                <w:lang w:val="es-ES_tradnl"/>
              </w:rPr>
              <w:t>alimentario</w:t>
            </w:r>
          </w:p>
        </w:tc>
        <w:tc>
          <w:tcPr>
            <w:tcW w:w="2520" w:type="dxa"/>
            <w:tcBorders>
              <w:bottom w:val="single" w:sz="4" w:space="0" w:color="auto"/>
            </w:tcBorders>
          </w:tcPr>
          <w:p w14:paraId="76127B64" w14:textId="7A367DC5" w:rsidR="007B207F" w:rsidRPr="00A306E2" w:rsidRDefault="00D46C1C" w:rsidP="007B207F">
            <w:pPr>
              <w:jc w:val="both"/>
              <w:rPr>
                <w:lang w:val="es-ES_tradnl"/>
              </w:rPr>
            </w:pPr>
            <w:bookmarkStart w:id="6" w:name="_Hlk38368825"/>
            <w:r>
              <w:rPr>
                <w:lang w:val="es-ES_tradnl"/>
              </w:rPr>
              <w:t>Pequeños y medianos, grandes, MiP</w:t>
            </w:r>
            <w:r w:rsidR="00DA6BC4">
              <w:rPr>
                <w:lang w:val="es-ES_tradnl"/>
              </w:rPr>
              <w:t>y</w:t>
            </w:r>
            <w:r>
              <w:rPr>
                <w:lang w:val="es-ES_tradnl"/>
              </w:rPr>
              <w:t xml:space="preserve">ME y </w:t>
            </w:r>
            <w:proofErr w:type="spellStart"/>
            <w:r>
              <w:rPr>
                <w:lang w:val="es-ES_tradnl"/>
              </w:rPr>
              <w:t>agroprocesamiento</w:t>
            </w:r>
            <w:bookmarkEnd w:id="6"/>
            <w:proofErr w:type="spellEnd"/>
          </w:p>
        </w:tc>
      </w:tr>
      <w:tr w:rsidR="007B207F" w:rsidRPr="00DA6BC4" w14:paraId="79DB20BF" w14:textId="77777777" w:rsidTr="0007292C">
        <w:trPr>
          <w:jc w:val="center"/>
        </w:trPr>
        <w:tc>
          <w:tcPr>
            <w:tcW w:w="4230" w:type="dxa"/>
            <w:gridSpan w:val="2"/>
            <w:tcBorders>
              <w:top w:val="single" w:sz="4" w:space="0" w:color="auto"/>
              <w:left w:val="nil"/>
              <w:bottom w:val="nil"/>
              <w:right w:val="nil"/>
            </w:tcBorders>
          </w:tcPr>
          <w:p w14:paraId="599D127D" w14:textId="1079A57C" w:rsidR="007B207F" w:rsidRPr="00E83B7E" w:rsidRDefault="007B207F" w:rsidP="007B207F">
            <w:pPr>
              <w:rPr>
                <w:sz w:val="18"/>
                <w:szCs w:val="18"/>
                <w:lang w:val="es-ES_tradnl"/>
              </w:rPr>
            </w:pPr>
          </w:p>
        </w:tc>
      </w:tr>
    </w:tbl>
    <w:p w14:paraId="308E244D" w14:textId="4AA7E7AA" w:rsidR="004656DB" w:rsidRPr="00E83B7E" w:rsidRDefault="004656DB" w:rsidP="004656DB">
      <w:pPr>
        <w:jc w:val="both"/>
        <w:rPr>
          <w:lang w:val="es-ES_tradnl"/>
        </w:rPr>
      </w:pPr>
      <w:r w:rsidRPr="00E83B7E">
        <w:rPr>
          <w:lang w:val="es-ES_tradnl"/>
        </w:rPr>
        <w:t>Para la determinación de la vulnerabilidad general de un sector se identifican cuatro áreas</w:t>
      </w:r>
      <w:r w:rsidR="0007292C" w:rsidRPr="00E83B7E">
        <w:rPr>
          <w:lang w:val="es-ES_tradnl"/>
        </w:rPr>
        <w:t xml:space="preserve"> o factores</w:t>
      </w:r>
      <w:r w:rsidRPr="00E83B7E">
        <w:rPr>
          <w:lang w:val="es-ES_tradnl"/>
        </w:rPr>
        <w:t xml:space="preserve">: </w:t>
      </w:r>
      <w:r w:rsidR="00E83B7E">
        <w:rPr>
          <w:lang w:val="es-ES_tradnl"/>
        </w:rPr>
        <w:t>(</w:t>
      </w:r>
      <w:r w:rsidR="0007292C" w:rsidRPr="00E83B7E">
        <w:rPr>
          <w:lang w:val="es-ES_tradnl"/>
        </w:rPr>
        <w:t>i)</w:t>
      </w:r>
      <w:r w:rsidR="00E83B7E">
        <w:rPr>
          <w:lang w:val="es-ES_tradnl"/>
        </w:rPr>
        <w:t> </w:t>
      </w:r>
      <w:r w:rsidRPr="00E83B7E">
        <w:rPr>
          <w:lang w:val="es-ES_tradnl"/>
        </w:rPr>
        <w:t>oferta</w:t>
      </w:r>
      <w:r w:rsidR="0007292C" w:rsidRPr="00E83B7E">
        <w:rPr>
          <w:lang w:val="es-ES_tradnl"/>
        </w:rPr>
        <w:t xml:space="preserve">; </w:t>
      </w:r>
      <w:r w:rsidR="00E83B7E">
        <w:rPr>
          <w:lang w:val="es-ES_tradnl"/>
        </w:rPr>
        <w:t>(</w:t>
      </w:r>
      <w:proofErr w:type="spellStart"/>
      <w:r w:rsidR="0007292C" w:rsidRPr="00E83B7E">
        <w:rPr>
          <w:lang w:val="es-ES_tradnl"/>
        </w:rPr>
        <w:t>ii</w:t>
      </w:r>
      <w:proofErr w:type="spellEnd"/>
      <w:r w:rsidR="0007292C" w:rsidRPr="00E83B7E">
        <w:rPr>
          <w:lang w:val="es-ES_tradnl"/>
        </w:rPr>
        <w:t>)</w:t>
      </w:r>
      <w:r w:rsidRPr="00E83B7E">
        <w:rPr>
          <w:lang w:val="es-ES_tradnl"/>
        </w:rPr>
        <w:t xml:space="preserve"> demanda</w:t>
      </w:r>
      <w:r w:rsidR="0007292C" w:rsidRPr="00E83B7E">
        <w:rPr>
          <w:lang w:val="es-ES_tradnl"/>
        </w:rPr>
        <w:t xml:space="preserve">; </w:t>
      </w:r>
      <w:r w:rsidR="00E83B7E">
        <w:rPr>
          <w:lang w:val="es-ES_tradnl"/>
        </w:rPr>
        <w:t>(</w:t>
      </w:r>
      <w:proofErr w:type="spellStart"/>
      <w:r w:rsidR="0007292C" w:rsidRPr="00E83B7E">
        <w:rPr>
          <w:lang w:val="es-ES_tradnl"/>
        </w:rPr>
        <w:t>iii</w:t>
      </w:r>
      <w:proofErr w:type="spellEnd"/>
      <w:r w:rsidR="0007292C" w:rsidRPr="00E83B7E">
        <w:rPr>
          <w:lang w:val="es-ES_tradnl"/>
        </w:rPr>
        <w:t>)</w:t>
      </w:r>
      <w:r w:rsidRPr="00E83B7E">
        <w:rPr>
          <w:lang w:val="es-ES_tradnl"/>
        </w:rPr>
        <w:t xml:space="preserve"> financiera y patrimonial</w:t>
      </w:r>
      <w:r w:rsidR="0007292C" w:rsidRPr="00E83B7E">
        <w:rPr>
          <w:lang w:val="es-ES_tradnl"/>
        </w:rPr>
        <w:t xml:space="preserve">; y </w:t>
      </w:r>
      <w:r w:rsidR="00E83B7E">
        <w:rPr>
          <w:lang w:val="es-ES_tradnl"/>
        </w:rPr>
        <w:t>(</w:t>
      </w:r>
      <w:proofErr w:type="spellStart"/>
      <w:r w:rsidR="0007292C" w:rsidRPr="00E83B7E">
        <w:rPr>
          <w:lang w:val="es-ES_tradnl"/>
        </w:rPr>
        <w:t>iv</w:t>
      </w:r>
      <w:proofErr w:type="spellEnd"/>
      <w:r w:rsidR="0007292C" w:rsidRPr="00E83B7E">
        <w:rPr>
          <w:lang w:val="es-ES_tradnl"/>
        </w:rPr>
        <w:t>)</w:t>
      </w:r>
      <w:r w:rsidRPr="00E83B7E">
        <w:rPr>
          <w:lang w:val="es-ES_tradnl"/>
        </w:rPr>
        <w:t xml:space="preserve"> y sistémico y regulatorio. En estas cuatro áreas se identifican </w:t>
      </w:r>
      <w:r w:rsidR="0007292C" w:rsidRPr="00E83B7E">
        <w:rPr>
          <w:lang w:val="es-ES_tradnl"/>
        </w:rPr>
        <w:t>tipos</w:t>
      </w:r>
      <w:r w:rsidRPr="00E83B7E">
        <w:rPr>
          <w:lang w:val="es-ES_tradnl"/>
        </w:rPr>
        <w:t xml:space="preserve"> de riesgo y se los evalúa asignándoles un grado cualitativo de materialización potencial </w:t>
      </w:r>
      <w:r w:rsidR="0007292C" w:rsidRPr="00E83B7E">
        <w:rPr>
          <w:lang w:val="es-ES_tradnl"/>
        </w:rPr>
        <w:t>e impacto del riesgo</w:t>
      </w:r>
      <w:r w:rsidR="00794557" w:rsidRPr="00E83B7E">
        <w:rPr>
          <w:lang w:val="es-ES_tradnl"/>
        </w:rPr>
        <w:t xml:space="preserve">, a saber: moderado, significativo, severo y extremo. La calificación de cada componente </w:t>
      </w:r>
      <w:r w:rsidR="0007292C" w:rsidRPr="00E83B7E">
        <w:rPr>
          <w:lang w:val="es-ES_tradnl"/>
        </w:rPr>
        <w:t>h</w:t>
      </w:r>
      <w:r w:rsidR="00794557" w:rsidRPr="00E83B7E">
        <w:rPr>
          <w:lang w:val="es-ES_tradnl"/>
        </w:rPr>
        <w:t>a sido llevada adelante por expertos sectoriales del Banco Interamericano de Desarrollo</w:t>
      </w:r>
      <w:r w:rsidR="00A5757F" w:rsidRPr="00E83B7E">
        <w:rPr>
          <w:lang w:val="es-ES_tradnl"/>
        </w:rPr>
        <w:t>,</w:t>
      </w:r>
      <w:r w:rsidR="00794557" w:rsidRPr="00E83B7E">
        <w:rPr>
          <w:lang w:val="es-ES_tradnl"/>
        </w:rPr>
        <w:t xml:space="preserve"> quienes han generado una evaluación </w:t>
      </w:r>
      <w:r w:rsidR="00BF3440" w:rsidRPr="00E83B7E">
        <w:rPr>
          <w:lang w:val="es-ES_tradnl"/>
        </w:rPr>
        <w:t>general</w:t>
      </w:r>
      <w:r w:rsidR="0007292C" w:rsidRPr="00E83B7E">
        <w:rPr>
          <w:lang w:val="es-ES_tradnl"/>
        </w:rPr>
        <w:t xml:space="preserve"> al momento del inicio de la crisis del COVID-19, basada en sus percepciones, experiencia y</w:t>
      </w:r>
      <w:r w:rsidR="00794557" w:rsidRPr="00E83B7E">
        <w:rPr>
          <w:lang w:val="es-ES_tradnl"/>
        </w:rPr>
        <w:t xml:space="preserve"> utilizando distintas fuentes de información (incluyendo</w:t>
      </w:r>
      <w:r w:rsidR="0007292C" w:rsidRPr="00E83B7E">
        <w:rPr>
          <w:lang w:val="es-ES_tradnl"/>
        </w:rPr>
        <w:t xml:space="preserve"> entre otras, entrevistas a cámaras de comercio y actores relevantes,</w:t>
      </w:r>
      <w:r w:rsidR="00794557" w:rsidRPr="00E83B7E">
        <w:rPr>
          <w:lang w:val="es-ES_tradnl"/>
        </w:rPr>
        <w:t xml:space="preserve"> estadísticas de acceso público y otros informes especializados). Los factores considerados y las distintas áreas a las que pertenecen se detallan en el </w:t>
      </w:r>
      <w:r w:rsidR="005D1844" w:rsidRPr="00E83B7E">
        <w:rPr>
          <w:lang w:val="es-ES_tradnl"/>
        </w:rPr>
        <w:t>Tabla</w:t>
      </w:r>
      <w:r w:rsidR="00794557" w:rsidRPr="00E83B7E">
        <w:rPr>
          <w:lang w:val="es-ES_tradnl"/>
        </w:rPr>
        <w:t xml:space="preserve"> I.</w:t>
      </w:r>
      <w:r w:rsidR="005D1844" w:rsidRPr="00E83B7E">
        <w:rPr>
          <w:lang w:val="es-ES_tradnl"/>
        </w:rPr>
        <w:t>2</w:t>
      </w:r>
      <w:r w:rsidR="00794557" w:rsidRPr="00E83B7E">
        <w:rPr>
          <w:lang w:val="es-ES_tradnl"/>
        </w:rPr>
        <w:t>.</w:t>
      </w:r>
    </w:p>
    <w:p w14:paraId="6C77E1D3" w14:textId="6B7F7359" w:rsidR="00E46B00" w:rsidRPr="00E83B7E" w:rsidRDefault="005D1844" w:rsidP="0007292C">
      <w:pPr>
        <w:spacing w:after="0" w:line="240" w:lineRule="auto"/>
        <w:jc w:val="center"/>
        <w:rPr>
          <w:b/>
          <w:bCs/>
          <w:lang w:val="es-ES_tradnl"/>
        </w:rPr>
      </w:pPr>
      <w:bookmarkStart w:id="7" w:name="_Hlk36763214"/>
      <w:r w:rsidRPr="00E83B7E">
        <w:rPr>
          <w:b/>
          <w:bCs/>
          <w:lang w:val="es-ES_tradnl"/>
        </w:rPr>
        <w:t>Tabla</w:t>
      </w:r>
      <w:r w:rsidR="00E46B00" w:rsidRPr="00E83B7E">
        <w:rPr>
          <w:b/>
          <w:bCs/>
          <w:lang w:val="es-ES_tradnl"/>
        </w:rPr>
        <w:t xml:space="preserve"> I.</w:t>
      </w:r>
      <w:r w:rsidRPr="00E83B7E">
        <w:rPr>
          <w:b/>
          <w:bCs/>
          <w:lang w:val="es-ES_tradnl"/>
        </w:rPr>
        <w:t>2</w:t>
      </w:r>
    </w:p>
    <w:p w14:paraId="3C9B6E1D" w14:textId="77777777" w:rsidR="00E46B00" w:rsidRPr="00E83B7E" w:rsidRDefault="00E46B00" w:rsidP="00E46B00">
      <w:pPr>
        <w:spacing w:after="0" w:line="240" w:lineRule="auto"/>
        <w:jc w:val="center"/>
        <w:rPr>
          <w:b/>
          <w:bCs/>
          <w:lang w:val="es-ES_tradnl"/>
        </w:rPr>
      </w:pPr>
      <w:r w:rsidRPr="00E83B7E">
        <w:rPr>
          <w:b/>
          <w:bCs/>
          <w:lang w:val="es-ES_tradnl"/>
        </w:rPr>
        <w:t xml:space="preserve">Áreas de clasificación y factores identificados </w:t>
      </w:r>
    </w:p>
    <w:p w14:paraId="673B17E8" w14:textId="10F66785" w:rsidR="00E46B00" w:rsidRPr="00E83B7E" w:rsidRDefault="00E46B00" w:rsidP="0007292C">
      <w:pPr>
        <w:spacing w:after="0" w:line="240" w:lineRule="auto"/>
        <w:jc w:val="center"/>
        <w:rPr>
          <w:b/>
          <w:bCs/>
          <w:lang w:val="es-ES_tradnl"/>
        </w:rPr>
      </w:pPr>
      <w:r w:rsidRPr="00E83B7E">
        <w:rPr>
          <w:b/>
          <w:bCs/>
          <w:lang w:val="es-ES_tradnl"/>
        </w:rPr>
        <w:t>que contribuyen al índice de vulnerabilidad sectorial</w:t>
      </w:r>
      <w:r w:rsidR="00A40BFB" w:rsidRPr="00E83B7E">
        <w:rPr>
          <w:b/>
          <w:bCs/>
          <w:lang w:val="es-ES_tradnl"/>
        </w:rPr>
        <w:t xml:space="preserve"> </w:t>
      </w:r>
      <w:r w:rsidR="00BF3440" w:rsidRPr="00E83B7E">
        <w:rPr>
          <w:rStyle w:val="FootnoteReference"/>
          <w:b/>
          <w:bCs/>
          <w:lang w:val="es-ES_tradnl"/>
        </w:rPr>
        <w:footnoteReference w:id="2"/>
      </w:r>
    </w:p>
    <w:tbl>
      <w:tblPr>
        <w:tblStyle w:val="TableGrid"/>
        <w:tblW w:w="0" w:type="auto"/>
        <w:tblLook w:val="04A0" w:firstRow="1" w:lastRow="0" w:firstColumn="1" w:lastColumn="0" w:noHBand="0" w:noVBand="1"/>
      </w:tblPr>
      <w:tblGrid>
        <w:gridCol w:w="2515"/>
        <w:gridCol w:w="6835"/>
      </w:tblGrid>
      <w:tr w:rsidR="00794557" w:rsidRPr="00E83B7E" w14:paraId="7153C782" w14:textId="77777777" w:rsidTr="0007292C">
        <w:tc>
          <w:tcPr>
            <w:tcW w:w="2515" w:type="dxa"/>
            <w:shd w:val="clear" w:color="auto" w:fill="D9E2F3" w:themeFill="accent1" w:themeFillTint="33"/>
          </w:tcPr>
          <w:bookmarkEnd w:id="7"/>
          <w:p w14:paraId="23B0B0AB" w14:textId="5025DEED" w:rsidR="00794557" w:rsidRPr="00E83B7E" w:rsidRDefault="00AB05B2" w:rsidP="0007292C">
            <w:pPr>
              <w:jc w:val="center"/>
              <w:rPr>
                <w:b/>
                <w:bCs/>
                <w:lang w:val="es-ES_tradnl"/>
              </w:rPr>
            </w:pPr>
            <w:r w:rsidRPr="00E83B7E">
              <w:rPr>
                <w:b/>
                <w:bCs/>
                <w:lang w:val="es-ES_tradnl"/>
              </w:rPr>
              <w:t>Grupo analítico</w:t>
            </w:r>
          </w:p>
        </w:tc>
        <w:tc>
          <w:tcPr>
            <w:tcW w:w="6835" w:type="dxa"/>
            <w:shd w:val="clear" w:color="auto" w:fill="D9E2F3" w:themeFill="accent1" w:themeFillTint="33"/>
          </w:tcPr>
          <w:p w14:paraId="4C764C23" w14:textId="310ECF0F" w:rsidR="00794557" w:rsidRPr="00E83B7E" w:rsidRDefault="00794557" w:rsidP="0007292C">
            <w:pPr>
              <w:jc w:val="center"/>
              <w:rPr>
                <w:b/>
                <w:bCs/>
                <w:lang w:val="es-ES_tradnl"/>
              </w:rPr>
            </w:pPr>
            <w:r w:rsidRPr="00E83B7E">
              <w:rPr>
                <w:b/>
                <w:bCs/>
                <w:lang w:val="es-ES_tradnl"/>
              </w:rPr>
              <w:t>Factor</w:t>
            </w:r>
          </w:p>
        </w:tc>
      </w:tr>
      <w:tr w:rsidR="00794557" w:rsidRPr="00DA6BC4" w14:paraId="02F8C9F9" w14:textId="77777777" w:rsidTr="0007292C">
        <w:tc>
          <w:tcPr>
            <w:tcW w:w="2515" w:type="dxa"/>
            <w:vMerge w:val="restart"/>
            <w:shd w:val="clear" w:color="auto" w:fill="FFFFFF" w:themeFill="background1"/>
          </w:tcPr>
          <w:p w14:paraId="2FB7619A" w14:textId="59331BF5" w:rsidR="00794557" w:rsidRPr="00E83B7E" w:rsidRDefault="00794557" w:rsidP="0007292C">
            <w:pPr>
              <w:jc w:val="center"/>
              <w:rPr>
                <w:b/>
                <w:bCs/>
                <w:lang w:val="es-ES_tradnl"/>
              </w:rPr>
            </w:pPr>
            <w:r w:rsidRPr="00E83B7E">
              <w:rPr>
                <w:b/>
                <w:bCs/>
                <w:lang w:val="es-ES_tradnl"/>
              </w:rPr>
              <w:t>Oferta</w:t>
            </w:r>
          </w:p>
        </w:tc>
        <w:tc>
          <w:tcPr>
            <w:tcW w:w="6835" w:type="dxa"/>
            <w:shd w:val="clear" w:color="auto" w:fill="FFFFFF" w:themeFill="background1"/>
          </w:tcPr>
          <w:p w14:paraId="29281D4D" w14:textId="4FDEC461" w:rsidR="00794557" w:rsidRPr="00E83B7E" w:rsidRDefault="00794557" w:rsidP="00794557">
            <w:pPr>
              <w:jc w:val="both"/>
              <w:rPr>
                <w:lang w:val="es-ES_tradnl"/>
              </w:rPr>
            </w:pPr>
            <w:r w:rsidRPr="00E83B7E">
              <w:rPr>
                <w:lang w:val="es-ES_tradnl"/>
              </w:rPr>
              <w:t>Limitaciones uso de fuerza de trabajo</w:t>
            </w:r>
          </w:p>
        </w:tc>
      </w:tr>
      <w:tr w:rsidR="00794557" w:rsidRPr="00DA6BC4" w14:paraId="2D56D58C" w14:textId="77777777" w:rsidTr="0007292C">
        <w:tc>
          <w:tcPr>
            <w:tcW w:w="2515" w:type="dxa"/>
            <w:vMerge/>
            <w:shd w:val="clear" w:color="auto" w:fill="FFFFFF" w:themeFill="background1"/>
          </w:tcPr>
          <w:p w14:paraId="3619BC8A" w14:textId="77777777" w:rsidR="00794557" w:rsidRPr="00E83B7E" w:rsidRDefault="00794557" w:rsidP="0007292C">
            <w:pPr>
              <w:jc w:val="center"/>
              <w:rPr>
                <w:b/>
                <w:bCs/>
                <w:lang w:val="es-ES_tradnl"/>
              </w:rPr>
            </w:pPr>
          </w:p>
        </w:tc>
        <w:tc>
          <w:tcPr>
            <w:tcW w:w="6835" w:type="dxa"/>
            <w:shd w:val="clear" w:color="auto" w:fill="FFFFFF" w:themeFill="background1"/>
          </w:tcPr>
          <w:p w14:paraId="1462CCC8" w14:textId="56E3EDEC" w:rsidR="00794557" w:rsidRPr="00E83B7E" w:rsidRDefault="00794557" w:rsidP="00794557">
            <w:pPr>
              <w:jc w:val="both"/>
              <w:rPr>
                <w:lang w:val="es-ES_tradnl"/>
              </w:rPr>
            </w:pPr>
            <w:r w:rsidRPr="00E83B7E">
              <w:rPr>
                <w:lang w:val="es-ES_tradnl"/>
              </w:rPr>
              <w:t>Limitaciones al uso de capital fijo (oficinas, centros comerciales, maquinas, etc.)</w:t>
            </w:r>
          </w:p>
        </w:tc>
      </w:tr>
      <w:tr w:rsidR="00794557" w:rsidRPr="00DA6BC4" w14:paraId="5F9BC88F" w14:textId="77777777" w:rsidTr="0007292C">
        <w:tc>
          <w:tcPr>
            <w:tcW w:w="2515" w:type="dxa"/>
            <w:vMerge/>
            <w:shd w:val="clear" w:color="auto" w:fill="FFFFFF" w:themeFill="background1"/>
          </w:tcPr>
          <w:p w14:paraId="774B1ADF" w14:textId="77777777" w:rsidR="00794557" w:rsidRPr="00E83B7E" w:rsidRDefault="00794557" w:rsidP="0007292C">
            <w:pPr>
              <w:jc w:val="center"/>
              <w:rPr>
                <w:b/>
                <w:bCs/>
                <w:lang w:val="es-ES_tradnl"/>
              </w:rPr>
            </w:pPr>
          </w:p>
        </w:tc>
        <w:tc>
          <w:tcPr>
            <w:tcW w:w="6835" w:type="dxa"/>
            <w:shd w:val="clear" w:color="auto" w:fill="FFFFFF" w:themeFill="background1"/>
          </w:tcPr>
          <w:p w14:paraId="1752D400" w14:textId="012B6BB4" w:rsidR="00794557" w:rsidRPr="00E83B7E" w:rsidRDefault="00794557" w:rsidP="00794557">
            <w:pPr>
              <w:jc w:val="both"/>
              <w:rPr>
                <w:lang w:val="es-ES_tradnl"/>
              </w:rPr>
            </w:pPr>
            <w:r w:rsidRPr="00E83B7E">
              <w:rPr>
                <w:lang w:val="es-ES_tradnl"/>
              </w:rPr>
              <w:t>Insuficiencia en cantidad y calidad de insumos físicos</w:t>
            </w:r>
          </w:p>
        </w:tc>
      </w:tr>
      <w:tr w:rsidR="00794557" w:rsidRPr="00DA6BC4" w14:paraId="3D148F4A" w14:textId="77777777" w:rsidTr="0007292C">
        <w:tc>
          <w:tcPr>
            <w:tcW w:w="2515" w:type="dxa"/>
            <w:vMerge/>
            <w:shd w:val="clear" w:color="auto" w:fill="FFFFFF" w:themeFill="background1"/>
          </w:tcPr>
          <w:p w14:paraId="7669F781" w14:textId="77777777" w:rsidR="00794557" w:rsidRPr="00E83B7E" w:rsidRDefault="00794557" w:rsidP="0007292C">
            <w:pPr>
              <w:jc w:val="center"/>
              <w:rPr>
                <w:b/>
                <w:bCs/>
                <w:lang w:val="es-ES_tradnl"/>
              </w:rPr>
            </w:pPr>
          </w:p>
        </w:tc>
        <w:tc>
          <w:tcPr>
            <w:tcW w:w="6835" w:type="dxa"/>
            <w:shd w:val="clear" w:color="auto" w:fill="FFFFFF" w:themeFill="background1"/>
          </w:tcPr>
          <w:p w14:paraId="5A48FCBC" w14:textId="79CF7A41" w:rsidR="00794557" w:rsidRPr="00E83B7E" w:rsidRDefault="00794557" w:rsidP="00794557">
            <w:pPr>
              <w:jc w:val="both"/>
              <w:rPr>
                <w:lang w:val="es-ES_tradnl"/>
              </w:rPr>
            </w:pPr>
            <w:r w:rsidRPr="00E83B7E">
              <w:rPr>
                <w:lang w:val="es-ES_tradnl"/>
              </w:rPr>
              <w:t xml:space="preserve">Limitaciones al acceso a servicios (transporte, comunicación) </w:t>
            </w:r>
          </w:p>
        </w:tc>
      </w:tr>
      <w:tr w:rsidR="00794557" w:rsidRPr="00DA6BC4" w14:paraId="33448694" w14:textId="77777777" w:rsidTr="0007292C">
        <w:tc>
          <w:tcPr>
            <w:tcW w:w="2515" w:type="dxa"/>
            <w:vMerge/>
            <w:shd w:val="clear" w:color="auto" w:fill="FFFFFF" w:themeFill="background1"/>
          </w:tcPr>
          <w:p w14:paraId="58C9DF4D" w14:textId="77777777" w:rsidR="00794557" w:rsidRPr="00E83B7E" w:rsidRDefault="00794557" w:rsidP="0007292C">
            <w:pPr>
              <w:jc w:val="center"/>
              <w:rPr>
                <w:b/>
                <w:bCs/>
                <w:lang w:val="es-ES_tradnl"/>
              </w:rPr>
            </w:pPr>
          </w:p>
        </w:tc>
        <w:tc>
          <w:tcPr>
            <w:tcW w:w="6835" w:type="dxa"/>
            <w:shd w:val="clear" w:color="auto" w:fill="FFFFFF" w:themeFill="background1"/>
          </w:tcPr>
          <w:p w14:paraId="53886982" w14:textId="279213B7" w:rsidR="00794557" w:rsidRPr="00E83B7E" w:rsidRDefault="00794557" w:rsidP="00794557">
            <w:pPr>
              <w:jc w:val="both"/>
              <w:rPr>
                <w:lang w:val="es-ES_tradnl"/>
              </w:rPr>
            </w:pPr>
            <w:r w:rsidRPr="00E83B7E">
              <w:rPr>
                <w:lang w:val="es-ES_tradnl"/>
              </w:rPr>
              <w:t>Aumento de los costos de insumos y de producción</w:t>
            </w:r>
          </w:p>
        </w:tc>
      </w:tr>
      <w:tr w:rsidR="00794557" w:rsidRPr="00DA6BC4" w14:paraId="64AC37CB" w14:textId="77777777" w:rsidTr="0007292C">
        <w:tc>
          <w:tcPr>
            <w:tcW w:w="2515" w:type="dxa"/>
            <w:vMerge w:val="restart"/>
            <w:shd w:val="clear" w:color="auto" w:fill="FFFFFF" w:themeFill="background1"/>
          </w:tcPr>
          <w:p w14:paraId="66EBBA40" w14:textId="1111EE53" w:rsidR="00794557" w:rsidRPr="00E83B7E" w:rsidRDefault="00794557" w:rsidP="0007292C">
            <w:pPr>
              <w:jc w:val="center"/>
              <w:rPr>
                <w:b/>
                <w:bCs/>
                <w:lang w:val="es-ES_tradnl"/>
              </w:rPr>
            </w:pPr>
            <w:r w:rsidRPr="00E83B7E">
              <w:rPr>
                <w:b/>
                <w:bCs/>
                <w:lang w:val="es-ES_tradnl"/>
              </w:rPr>
              <w:t>Demanda</w:t>
            </w:r>
          </w:p>
        </w:tc>
        <w:tc>
          <w:tcPr>
            <w:tcW w:w="6835" w:type="dxa"/>
            <w:shd w:val="clear" w:color="auto" w:fill="FFFFFF" w:themeFill="background1"/>
          </w:tcPr>
          <w:p w14:paraId="7C5504F5" w14:textId="2A0B1B7D" w:rsidR="00794557" w:rsidRPr="00E83B7E" w:rsidRDefault="00794557" w:rsidP="00794557">
            <w:pPr>
              <w:jc w:val="both"/>
              <w:rPr>
                <w:lang w:val="es-ES_tradnl"/>
              </w:rPr>
            </w:pPr>
            <w:r w:rsidRPr="00E83B7E">
              <w:rPr>
                <w:lang w:val="es-ES_tradnl"/>
              </w:rPr>
              <w:t>Reducción de la demanda interna / domestica</w:t>
            </w:r>
          </w:p>
        </w:tc>
      </w:tr>
      <w:tr w:rsidR="00794557" w:rsidRPr="00DA6BC4" w14:paraId="00558798" w14:textId="77777777" w:rsidTr="0007292C">
        <w:tc>
          <w:tcPr>
            <w:tcW w:w="2515" w:type="dxa"/>
            <w:vMerge/>
            <w:shd w:val="clear" w:color="auto" w:fill="FFFFFF" w:themeFill="background1"/>
          </w:tcPr>
          <w:p w14:paraId="3DE54C46" w14:textId="77777777" w:rsidR="00794557" w:rsidRPr="00E83B7E" w:rsidRDefault="00794557" w:rsidP="0007292C">
            <w:pPr>
              <w:jc w:val="center"/>
              <w:rPr>
                <w:b/>
                <w:bCs/>
                <w:lang w:val="es-ES_tradnl"/>
              </w:rPr>
            </w:pPr>
          </w:p>
        </w:tc>
        <w:tc>
          <w:tcPr>
            <w:tcW w:w="6835" w:type="dxa"/>
            <w:shd w:val="clear" w:color="auto" w:fill="FFFFFF" w:themeFill="background1"/>
          </w:tcPr>
          <w:p w14:paraId="20ABF7FE" w14:textId="072A533F" w:rsidR="00794557" w:rsidRPr="00E83B7E" w:rsidRDefault="00794557" w:rsidP="00794557">
            <w:pPr>
              <w:jc w:val="both"/>
              <w:rPr>
                <w:lang w:val="es-ES_tradnl"/>
              </w:rPr>
            </w:pPr>
            <w:r w:rsidRPr="00E83B7E">
              <w:rPr>
                <w:lang w:val="es-ES_tradnl"/>
              </w:rPr>
              <w:t xml:space="preserve">Reducción en la demanda de exportación o extranjera </w:t>
            </w:r>
          </w:p>
        </w:tc>
      </w:tr>
      <w:tr w:rsidR="00E46B00" w:rsidRPr="00DA6BC4" w14:paraId="204BBBBD" w14:textId="77777777" w:rsidTr="0007292C">
        <w:tc>
          <w:tcPr>
            <w:tcW w:w="2515" w:type="dxa"/>
            <w:vMerge w:val="restart"/>
            <w:shd w:val="clear" w:color="auto" w:fill="FFFFFF" w:themeFill="background1"/>
          </w:tcPr>
          <w:p w14:paraId="6C3F8E29" w14:textId="33C0F037" w:rsidR="00E46B00" w:rsidRPr="00E83B7E" w:rsidRDefault="00E46B00" w:rsidP="0007292C">
            <w:pPr>
              <w:jc w:val="center"/>
              <w:rPr>
                <w:b/>
                <w:bCs/>
                <w:lang w:val="es-ES_tradnl"/>
              </w:rPr>
            </w:pPr>
            <w:r w:rsidRPr="00E83B7E">
              <w:rPr>
                <w:b/>
                <w:bCs/>
                <w:lang w:val="es-ES_tradnl"/>
              </w:rPr>
              <w:t>Financiera</w:t>
            </w:r>
          </w:p>
        </w:tc>
        <w:tc>
          <w:tcPr>
            <w:tcW w:w="6835" w:type="dxa"/>
            <w:shd w:val="clear" w:color="auto" w:fill="FFFFFF" w:themeFill="background1"/>
          </w:tcPr>
          <w:p w14:paraId="5D3DA0B9" w14:textId="7DC83A46" w:rsidR="00E46B00" w:rsidRPr="00E83B7E" w:rsidRDefault="00E46B00" w:rsidP="00794557">
            <w:pPr>
              <w:jc w:val="both"/>
              <w:rPr>
                <w:lang w:val="es-ES_tradnl"/>
              </w:rPr>
            </w:pPr>
            <w:r w:rsidRPr="00E83B7E">
              <w:rPr>
                <w:lang w:val="es-ES_tradnl"/>
              </w:rPr>
              <w:t>Retraso o interrupción del ciclo de pagos</w:t>
            </w:r>
          </w:p>
        </w:tc>
      </w:tr>
      <w:tr w:rsidR="00E46B00" w:rsidRPr="00DA6BC4" w14:paraId="0AE51A61" w14:textId="77777777" w:rsidTr="0007292C">
        <w:tc>
          <w:tcPr>
            <w:tcW w:w="2515" w:type="dxa"/>
            <w:vMerge/>
            <w:shd w:val="clear" w:color="auto" w:fill="FFFFFF" w:themeFill="background1"/>
          </w:tcPr>
          <w:p w14:paraId="3DFD292E" w14:textId="77777777" w:rsidR="00E46B00" w:rsidRPr="00E83B7E" w:rsidRDefault="00E46B00" w:rsidP="0007292C">
            <w:pPr>
              <w:jc w:val="center"/>
              <w:rPr>
                <w:b/>
                <w:bCs/>
                <w:lang w:val="es-ES_tradnl"/>
              </w:rPr>
            </w:pPr>
          </w:p>
        </w:tc>
        <w:tc>
          <w:tcPr>
            <w:tcW w:w="6835" w:type="dxa"/>
            <w:shd w:val="clear" w:color="auto" w:fill="FFFFFF" w:themeFill="background1"/>
          </w:tcPr>
          <w:p w14:paraId="3421AC8B" w14:textId="05709DF2" w:rsidR="00E46B00" w:rsidRPr="00E83B7E" w:rsidRDefault="00E46B00" w:rsidP="00794557">
            <w:pPr>
              <w:jc w:val="both"/>
              <w:rPr>
                <w:lang w:val="es-ES_tradnl"/>
              </w:rPr>
            </w:pPr>
            <w:r w:rsidRPr="00E83B7E">
              <w:rPr>
                <w:lang w:val="es-ES_tradnl"/>
              </w:rPr>
              <w:t>Reducción o interrupción de financiamientos de corto plazo</w:t>
            </w:r>
          </w:p>
        </w:tc>
      </w:tr>
      <w:tr w:rsidR="00E46B00" w:rsidRPr="00DA6BC4" w14:paraId="587A1FE7" w14:textId="77777777" w:rsidTr="0007292C">
        <w:tc>
          <w:tcPr>
            <w:tcW w:w="2515" w:type="dxa"/>
            <w:vMerge/>
            <w:shd w:val="clear" w:color="auto" w:fill="FFFFFF" w:themeFill="background1"/>
          </w:tcPr>
          <w:p w14:paraId="452CFD4C" w14:textId="77777777" w:rsidR="00E46B00" w:rsidRPr="00E83B7E" w:rsidRDefault="00E46B00" w:rsidP="0007292C">
            <w:pPr>
              <w:jc w:val="center"/>
              <w:rPr>
                <w:b/>
                <w:bCs/>
                <w:lang w:val="es-ES_tradnl"/>
              </w:rPr>
            </w:pPr>
          </w:p>
        </w:tc>
        <w:tc>
          <w:tcPr>
            <w:tcW w:w="6835" w:type="dxa"/>
            <w:shd w:val="clear" w:color="auto" w:fill="FFFFFF" w:themeFill="background1"/>
          </w:tcPr>
          <w:p w14:paraId="69FE3668" w14:textId="4C6812F9" w:rsidR="00E46B00" w:rsidRPr="00E83B7E" w:rsidRDefault="00E46B00" w:rsidP="00794557">
            <w:pPr>
              <w:jc w:val="both"/>
              <w:rPr>
                <w:lang w:val="es-ES_tradnl"/>
              </w:rPr>
            </w:pPr>
            <w:r w:rsidRPr="00E83B7E">
              <w:rPr>
                <w:lang w:val="es-ES_tradnl"/>
              </w:rPr>
              <w:t xml:space="preserve">Reducción o interrupción de financiamiento de mediano y largo plazo </w:t>
            </w:r>
          </w:p>
        </w:tc>
      </w:tr>
      <w:tr w:rsidR="00E46B00" w:rsidRPr="00DA6BC4" w14:paraId="1B4DE62D" w14:textId="77777777" w:rsidTr="0007292C">
        <w:tc>
          <w:tcPr>
            <w:tcW w:w="2515" w:type="dxa"/>
            <w:vMerge/>
            <w:shd w:val="clear" w:color="auto" w:fill="FFFFFF" w:themeFill="background1"/>
          </w:tcPr>
          <w:p w14:paraId="631D2CCC" w14:textId="77777777" w:rsidR="00E46B00" w:rsidRPr="00E83B7E" w:rsidRDefault="00E46B00" w:rsidP="0007292C">
            <w:pPr>
              <w:jc w:val="center"/>
              <w:rPr>
                <w:b/>
                <w:bCs/>
                <w:lang w:val="es-ES_tradnl"/>
              </w:rPr>
            </w:pPr>
          </w:p>
        </w:tc>
        <w:tc>
          <w:tcPr>
            <w:tcW w:w="6835" w:type="dxa"/>
            <w:shd w:val="clear" w:color="auto" w:fill="FFFFFF" w:themeFill="background1"/>
          </w:tcPr>
          <w:p w14:paraId="714C6865" w14:textId="4FACADED" w:rsidR="00E46B00" w:rsidRPr="00E83B7E" w:rsidRDefault="00E46B00" w:rsidP="00794557">
            <w:pPr>
              <w:jc w:val="both"/>
              <w:rPr>
                <w:lang w:val="es-ES_tradnl"/>
              </w:rPr>
            </w:pPr>
            <w:r w:rsidRPr="00E83B7E">
              <w:rPr>
                <w:lang w:val="es-ES_tradnl"/>
              </w:rPr>
              <w:t>Aumento de los costos financieros y de intermediación (tasas de interés, comisiones, etc.)</w:t>
            </w:r>
          </w:p>
        </w:tc>
      </w:tr>
      <w:tr w:rsidR="00E46B00" w:rsidRPr="00DA6BC4" w14:paraId="6EA176BD" w14:textId="77777777" w:rsidTr="0007292C">
        <w:tc>
          <w:tcPr>
            <w:tcW w:w="2515" w:type="dxa"/>
            <w:vMerge w:val="restart"/>
            <w:shd w:val="clear" w:color="auto" w:fill="FFFFFF" w:themeFill="background1"/>
          </w:tcPr>
          <w:p w14:paraId="79B919BB" w14:textId="3F858AFC" w:rsidR="00E46B00" w:rsidRPr="00E83B7E" w:rsidRDefault="00E46B00" w:rsidP="0007292C">
            <w:pPr>
              <w:jc w:val="center"/>
              <w:rPr>
                <w:b/>
                <w:bCs/>
                <w:lang w:val="es-ES_tradnl"/>
              </w:rPr>
            </w:pPr>
            <w:r w:rsidRPr="00E83B7E">
              <w:rPr>
                <w:b/>
                <w:bCs/>
                <w:lang w:val="es-ES_tradnl"/>
              </w:rPr>
              <w:lastRenderedPageBreak/>
              <w:t>Patrimonial</w:t>
            </w:r>
          </w:p>
        </w:tc>
        <w:tc>
          <w:tcPr>
            <w:tcW w:w="6835" w:type="dxa"/>
            <w:shd w:val="clear" w:color="auto" w:fill="FFFFFF" w:themeFill="background1"/>
          </w:tcPr>
          <w:p w14:paraId="4D1D0DA6" w14:textId="2E994446" w:rsidR="00E46B00" w:rsidRPr="00E83B7E" w:rsidRDefault="00E46B00" w:rsidP="00794557">
            <w:pPr>
              <w:jc w:val="both"/>
              <w:rPr>
                <w:lang w:val="es-ES_tradnl"/>
              </w:rPr>
            </w:pPr>
            <w:r w:rsidRPr="00E83B7E">
              <w:rPr>
                <w:lang w:val="es-ES_tradnl"/>
              </w:rPr>
              <w:t>Reducción del valor de los activos reales por retracción de la demanda</w:t>
            </w:r>
          </w:p>
        </w:tc>
      </w:tr>
      <w:tr w:rsidR="00E46B00" w:rsidRPr="00DA6BC4" w14:paraId="1B25F04E" w14:textId="77777777" w:rsidTr="0007292C">
        <w:tc>
          <w:tcPr>
            <w:tcW w:w="2515" w:type="dxa"/>
            <w:vMerge/>
            <w:shd w:val="clear" w:color="auto" w:fill="FFFFFF" w:themeFill="background1"/>
          </w:tcPr>
          <w:p w14:paraId="69875DCC" w14:textId="77777777" w:rsidR="00E46B00" w:rsidRPr="00E83B7E" w:rsidRDefault="00E46B00" w:rsidP="0007292C">
            <w:pPr>
              <w:jc w:val="center"/>
              <w:rPr>
                <w:b/>
                <w:bCs/>
                <w:lang w:val="es-ES_tradnl"/>
              </w:rPr>
            </w:pPr>
          </w:p>
        </w:tc>
        <w:tc>
          <w:tcPr>
            <w:tcW w:w="6835" w:type="dxa"/>
            <w:shd w:val="clear" w:color="auto" w:fill="FFFFFF" w:themeFill="background1"/>
          </w:tcPr>
          <w:p w14:paraId="09263E05" w14:textId="48DD0FD7" w:rsidR="00E46B00" w:rsidRPr="00E83B7E" w:rsidRDefault="00E46B00" w:rsidP="00794557">
            <w:pPr>
              <w:jc w:val="both"/>
              <w:rPr>
                <w:lang w:val="es-ES_tradnl"/>
              </w:rPr>
            </w:pPr>
            <w:r w:rsidRPr="00E83B7E">
              <w:rPr>
                <w:lang w:val="es-ES_tradnl"/>
              </w:rPr>
              <w:t>Acumulación de pasivos (alquileres, sueldos, etc.)</w:t>
            </w:r>
          </w:p>
        </w:tc>
      </w:tr>
      <w:tr w:rsidR="00E46B00" w:rsidRPr="00E83B7E" w14:paraId="287B5B50" w14:textId="77777777" w:rsidTr="0007292C">
        <w:tc>
          <w:tcPr>
            <w:tcW w:w="2515" w:type="dxa"/>
            <w:vMerge w:val="restart"/>
            <w:shd w:val="clear" w:color="auto" w:fill="FFFFFF" w:themeFill="background1"/>
          </w:tcPr>
          <w:p w14:paraId="086AABAE" w14:textId="1D29CA73" w:rsidR="00E46B00" w:rsidRPr="00E83B7E" w:rsidRDefault="00E46B00" w:rsidP="0007292C">
            <w:pPr>
              <w:jc w:val="center"/>
              <w:rPr>
                <w:b/>
                <w:bCs/>
                <w:lang w:val="es-ES_tradnl"/>
              </w:rPr>
            </w:pPr>
            <w:r w:rsidRPr="00E83B7E">
              <w:rPr>
                <w:b/>
                <w:bCs/>
                <w:lang w:val="es-ES_tradnl"/>
              </w:rPr>
              <w:t>Sistémico y regulatorio</w:t>
            </w:r>
          </w:p>
        </w:tc>
        <w:tc>
          <w:tcPr>
            <w:tcW w:w="6835" w:type="dxa"/>
            <w:shd w:val="clear" w:color="auto" w:fill="FFFFFF" w:themeFill="background1"/>
          </w:tcPr>
          <w:p w14:paraId="7F48D75F" w14:textId="713D0AD4" w:rsidR="00E46B00" w:rsidRPr="00E83B7E" w:rsidRDefault="00E46B00" w:rsidP="00794557">
            <w:pPr>
              <w:jc w:val="both"/>
              <w:rPr>
                <w:lang w:val="es-ES_tradnl"/>
              </w:rPr>
            </w:pPr>
            <w:r w:rsidRPr="00E83B7E">
              <w:rPr>
                <w:lang w:val="es-ES_tradnl"/>
              </w:rPr>
              <w:t>Inestabilidad política y social</w:t>
            </w:r>
          </w:p>
        </w:tc>
      </w:tr>
      <w:tr w:rsidR="00E46B00" w:rsidRPr="00E83B7E" w14:paraId="008A5CE7" w14:textId="77777777" w:rsidTr="0007292C">
        <w:trPr>
          <w:trHeight w:val="134"/>
        </w:trPr>
        <w:tc>
          <w:tcPr>
            <w:tcW w:w="2515" w:type="dxa"/>
            <w:vMerge/>
            <w:tcBorders>
              <w:bottom w:val="single" w:sz="4" w:space="0" w:color="auto"/>
            </w:tcBorders>
            <w:shd w:val="clear" w:color="auto" w:fill="E7E6E6" w:themeFill="background2"/>
          </w:tcPr>
          <w:p w14:paraId="70A69918" w14:textId="77777777" w:rsidR="00E46B00" w:rsidRPr="00E83B7E" w:rsidRDefault="00E46B00" w:rsidP="00794557">
            <w:pPr>
              <w:jc w:val="both"/>
              <w:rPr>
                <w:lang w:val="es-ES_tradnl"/>
              </w:rPr>
            </w:pPr>
          </w:p>
        </w:tc>
        <w:tc>
          <w:tcPr>
            <w:tcW w:w="6835" w:type="dxa"/>
            <w:tcBorders>
              <w:bottom w:val="single" w:sz="4" w:space="0" w:color="auto"/>
            </w:tcBorders>
            <w:shd w:val="clear" w:color="auto" w:fill="FFFFFF" w:themeFill="background1"/>
          </w:tcPr>
          <w:p w14:paraId="424C3497" w14:textId="44F69261" w:rsidR="00E46B00" w:rsidRPr="00E83B7E" w:rsidRDefault="00E46B00" w:rsidP="00794557">
            <w:pPr>
              <w:jc w:val="both"/>
              <w:rPr>
                <w:lang w:val="es-ES_tradnl"/>
              </w:rPr>
            </w:pPr>
            <w:r w:rsidRPr="00E83B7E">
              <w:rPr>
                <w:lang w:val="es-ES_tradnl"/>
              </w:rPr>
              <w:t>Incertidumbre institucional y legal</w:t>
            </w:r>
          </w:p>
        </w:tc>
      </w:tr>
      <w:tr w:rsidR="00E46B00" w:rsidRPr="00E83B7E" w14:paraId="3645FFFA" w14:textId="77777777" w:rsidTr="0007292C">
        <w:trPr>
          <w:trHeight w:val="134"/>
        </w:trPr>
        <w:tc>
          <w:tcPr>
            <w:tcW w:w="9350" w:type="dxa"/>
            <w:gridSpan w:val="2"/>
            <w:tcBorders>
              <w:top w:val="single" w:sz="4" w:space="0" w:color="auto"/>
              <w:left w:val="nil"/>
              <w:bottom w:val="nil"/>
              <w:right w:val="nil"/>
            </w:tcBorders>
            <w:shd w:val="clear" w:color="auto" w:fill="FFFFFF" w:themeFill="background1"/>
          </w:tcPr>
          <w:p w14:paraId="14A26D40" w14:textId="364554C7" w:rsidR="00E46B00" w:rsidRPr="00E83B7E" w:rsidRDefault="00E46B00" w:rsidP="00794557">
            <w:pPr>
              <w:jc w:val="both"/>
              <w:rPr>
                <w:sz w:val="18"/>
                <w:szCs w:val="18"/>
                <w:lang w:val="es-ES_tradnl"/>
              </w:rPr>
            </w:pPr>
            <w:r w:rsidRPr="00E83B7E">
              <w:rPr>
                <w:sz w:val="18"/>
                <w:szCs w:val="18"/>
                <w:lang w:val="es-ES_tradnl"/>
              </w:rPr>
              <w:t>Fuente: IFD/CMF.</w:t>
            </w:r>
          </w:p>
        </w:tc>
      </w:tr>
    </w:tbl>
    <w:p w14:paraId="410E9E54" w14:textId="77777777" w:rsidR="00794557" w:rsidRPr="00DA6BC4" w:rsidRDefault="00794557" w:rsidP="0007292C">
      <w:pPr>
        <w:jc w:val="both"/>
        <w:rPr>
          <w:sz w:val="12"/>
          <w:szCs w:val="12"/>
          <w:lang w:val="es-ES_tradnl"/>
        </w:rPr>
      </w:pPr>
    </w:p>
    <w:p w14:paraId="226FB7CC" w14:textId="77199734" w:rsidR="004656DB" w:rsidRPr="00E83B7E" w:rsidRDefault="0007292C" w:rsidP="004656DB">
      <w:pPr>
        <w:jc w:val="both"/>
        <w:rPr>
          <w:lang w:val="es-ES_tradnl"/>
        </w:rPr>
      </w:pPr>
      <w:r w:rsidRPr="00E83B7E">
        <w:rPr>
          <w:lang w:val="es-ES_tradnl"/>
        </w:rPr>
        <w:t>Una vez</w:t>
      </w:r>
      <w:r w:rsidR="00E56942" w:rsidRPr="00E83B7E">
        <w:rPr>
          <w:lang w:val="es-ES_tradnl"/>
        </w:rPr>
        <w:t xml:space="preserve"> asigna</w:t>
      </w:r>
      <w:r w:rsidRPr="00E83B7E">
        <w:rPr>
          <w:lang w:val="es-ES_tradnl"/>
        </w:rPr>
        <w:t>da</w:t>
      </w:r>
      <w:r w:rsidR="00E56942" w:rsidRPr="00E83B7E">
        <w:rPr>
          <w:lang w:val="es-ES_tradnl"/>
        </w:rPr>
        <w:t xml:space="preserve"> </w:t>
      </w:r>
      <w:r w:rsidRPr="00E83B7E">
        <w:rPr>
          <w:lang w:val="es-ES_tradnl"/>
        </w:rPr>
        <w:t>la calificación de</w:t>
      </w:r>
      <w:r w:rsidR="00E56942" w:rsidRPr="00E83B7E">
        <w:rPr>
          <w:lang w:val="es-ES_tradnl"/>
        </w:rPr>
        <w:t xml:space="preserve"> riesgo/vulnerabilidad para cada factor, </w:t>
      </w:r>
      <w:r w:rsidRPr="00E83B7E">
        <w:rPr>
          <w:lang w:val="es-ES_tradnl"/>
        </w:rPr>
        <w:t xml:space="preserve">se evalúan los </w:t>
      </w:r>
      <w:r w:rsidR="00E56942" w:rsidRPr="00E83B7E">
        <w:rPr>
          <w:lang w:val="es-ES_tradnl"/>
        </w:rPr>
        <w:t xml:space="preserve">resultados </w:t>
      </w:r>
      <w:r w:rsidRPr="00E83B7E">
        <w:rPr>
          <w:lang w:val="es-ES_tradnl"/>
        </w:rPr>
        <w:t xml:space="preserve"> y  </w:t>
      </w:r>
      <w:r w:rsidR="00E56942" w:rsidRPr="00E83B7E">
        <w:rPr>
          <w:lang w:val="es-ES_tradnl"/>
        </w:rPr>
        <w:t>se agregan en un índice que asigna un peso de 30% respectivamente para los factores de oferta, demanda y financieros y patrimoniales y de 10% para los factores sistémicos y regulatorios.</w:t>
      </w:r>
      <w:r w:rsidR="00E56942" w:rsidRPr="00E83B7E">
        <w:rPr>
          <w:rStyle w:val="FootnoteReference"/>
          <w:lang w:val="es-ES_tradnl"/>
        </w:rPr>
        <w:footnoteReference w:id="3"/>
      </w:r>
      <w:r w:rsidR="00E56942" w:rsidRPr="00E83B7E">
        <w:rPr>
          <w:lang w:val="es-ES_tradnl"/>
        </w:rPr>
        <w:t xml:space="preserve"> </w:t>
      </w:r>
      <w:r w:rsidR="00AB05B2" w:rsidRPr="00E83B7E">
        <w:rPr>
          <w:lang w:val="es-ES_tradnl"/>
        </w:rPr>
        <w:t>De esta manera se obtiene un índice general de vulnerabilidad sectorial junto a índices parciales para los distintos grupos analíticos (</w:t>
      </w:r>
      <w:r w:rsidRPr="00E83B7E">
        <w:rPr>
          <w:lang w:val="es-ES_tradnl"/>
        </w:rPr>
        <w:t xml:space="preserve"> </w:t>
      </w:r>
      <w:r w:rsidR="00AB05B2" w:rsidRPr="00E83B7E">
        <w:rPr>
          <w:lang w:val="es-ES_tradnl"/>
        </w:rPr>
        <w:t>oferta, demanda, financieros y patrimoniales y sistémicos y regulatorios). Al momento de esta nota, se han realizado análisis similares para otros países de la región</w:t>
      </w:r>
      <w:r w:rsidR="00A306E2">
        <w:rPr>
          <w:lang w:val="es-ES_tradnl"/>
        </w:rPr>
        <w:t xml:space="preserve"> </w:t>
      </w:r>
      <w:r w:rsidR="00A306E2" w:rsidRPr="00955F8B">
        <w:rPr>
          <w:lang w:val="es-ES_tradnl"/>
        </w:rPr>
        <w:t>(</w:t>
      </w:r>
      <w:r w:rsidR="00955F8B" w:rsidRPr="00955F8B">
        <w:rPr>
          <w:lang w:val="es-ES_tradnl"/>
        </w:rPr>
        <w:t>Argentina</w:t>
      </w:r>
      <w:r w:rsidR="00955F8B">
        <w:rPr>
          <w:lang w:val="es-ES_tradnl"/>
        </w:rPr>
        <w:t>,</w:t>
      </w:r>
      <w:r w:rsidR="00955F8B" w:rsidRPr="00955F8B">
        <w:rPr>
          <w:lang w:val="es-ES_tradnl"/>
        </w:rPr>
        <w:t xml:space="preserve"> Brasil</w:t>
      </w:r>
      <w:r w:rsidR="00955F8B">
        <w:rPr>
          <w:lang w:val="es-ES_tradnl"/>
        </w:rPr>
        <w:t>,</w:t>
      </w:r>
      <w:r w:rsidR="00955F8B" w:rsidRPr="00955F8B">
        <w:rPr>
          <w:lang w:val="es-ES_tradnl"/>
        </w:rPr>
        <w:t xml:space="preserve"> Colombia, </w:t>
      </w:r>
      <w:r w:rsidR="00955F8B">
        <w:rPr>
          <w:lang w:val="es-ES_tradnl"/>
        </w:rPr>
        <w:t xml:space="preserve">Costa Rica, </w:t>
      </w:r>
      <w:r w:rsidR="00955F8B" w:rsidRPr="00955F8B">
        <w:rPr>
          <w:lang w:val="es-ES_tradnl"/>
        </w:rPr>
        <w:t xml:space="preserve">El Salvador, </w:t>
      </w:r>
      <w:r w:rsidR="00A306E2" w:rsidRPr="00955F8B">
        <w:rPr>
          <w:lang w:val="es-ES_tradnl"/>
        </w:rPr>
        <w:t xml:space="preserve">Ecuador, </w:t>
      </w:r>
      <w:r w:rsidR="00955F8B">
        <w:rPr>
          <w:lang w:val="es-ES_tradnl"/>
        </w:rPr>
        <w:t xml:space="preserve">Honduras, </w:t>
      </w:r>
      <w:r w:rsidR="00A306E2" w:rsidRPr="00955F8B">
        <w:rPr>
          <w:lang w:val="es-ES_tradnl"/>
        </w:rPr>
        <w:t>México</w:t>
      </w:r>
      <w:r w:rsidR="007B207F" w:rsidRPr="00955F8B">
        <w:rPr>
          <w:lang w:val="es-ES_tradnl"/>
        </w:rPr>
        <w:t xml:space="preserve">, </w:t>
      </w:r>
      <w:r w:rsidR="00A306E2" w:rsidRPr="00955F8B">
        <w:rPr>
          <w:lang w:val="es-ES_tradnl"/>
        </w:rPr>
        <w:t>y Uruguay)</w:t>
      </w:r>
      <w:r w:rsidR="00AB05B2" w:rsidRPr="00955F8B">
        <w:rPr>
          <w:lang w:val="es-ES_tradnl"/>
        </w:rPr>
        <w:t>,</w:t>
      </w:r>
      <w:r w:rsidR="00AB05B2" w:rsidRPr="00E83B7E">
        <w:rPr>
          <w:lang w:val="es-ES_tradnl"/>
        </w:rPr>
        <w:t xml:space="preserve"> lo cual permite dimensionar más claramente la distribución de vulnerabilidades entre países. </w:t>
      </w:r>
    </w:p>
    <w:p w14:paraId="7EE4C609" w14:textId="6DB831FA" w:rsidR="00024A68" w:rsidRPr="00E83B7E" w:rsidRDefault="00A700FB" w:rsidP="004656DB">
      <w:pPr>
        <w:jc w:val="both"/>
        <w:rPr>
          <w:lang w:val="es-ES_tradnl"/>
        </w:rPr>
      </w:pPr>
      <w:r w:rsidRPr="00E83B7E">
        <w:rPr>
          <w:lang w:val="es-ES_tradnl"/>
        </w:rPr>
        <w:t>De manera adicional, también se presenta el grado de vulnerabilidad agregado generado por dichos sectores productivos utilizando distintos ponderadores, entre los que se destacan: contribución al empleo, contribución al PIB, contribución al total de empresas M</w:t>
      </w:r>
      <w:r w:rsidR="00043713" w:rsidRPr="00E83B7E">
        <w:rPr>
          <w:lang w:val="es-ES_tradnl"/>
        </w:rPr>
        <w:t>i</w:t>
      </w:r>
      <w:r w:rsidRPr="00E83B7E">
        <w:rPr>
          <w:lang w:val="es-ES_tradnl"/>
        </w:rPr>
        <w:t>P</w:t>
      </w:r>
      <w:r w:rsidR="00E83B7E">
        <w:rPr>
          <w:lang w:val="es-ES_tradnl"/>
        </w:rPr>
        <w:t>y</w:t>
      </w:r>
      <w:r w:rsidRPr="00E83B7E">
        <w:rPr>
          <w:lang w:val="es-ES_tradnl"/>
        </w:rPr>
        <w:t>ME</w:t>
      </w:r>
      <w:r w:rsidRPr="00E83B7E">
        <w:rPr>
          <w:rStyle w:val="FootnoteReference"/>
          <w:lang w:val="es-ES_tradnl"/>
        </w:rPr>
        <w:footnoteReference w:id="4"/>
      </w:r>
      <w:r w:rsidR="00E83B7E">
        <w:rPr>
          <w:lang w:val="es-ES_tradnl"/>
        </w:rPr>
        <w:t>.</w:t>
      </w:r>
    </w:p>
    <w:p w14:paraId="124D52CE" w14:textId="22D75A45" w:rsidR="00AE17AB" w:rsidRPr="00E83B7E" w:rsidRDefault="00D41616" w:rsidP="0007292C">
      <w:pPr>
        <w:pStyle w:val="Heading1"/>
        <w:numPr>
          <w:ilvl w:val="0"/>
          <w:numId w:val="4"/>
        </w:numPr>
        <w:jc w:val="both"/>
        <w:rPr>
          <w:lang w:val="es-ES_tradnl"/>
        </w:rPr>
      </w:pPr>
      <w:bookmarkStart w:id="8" w:name="_Toc36834037"/>
      <w:r w:rsidRPr="00E83B7E">
        <w:rPr>
          <w:lang w:val="es-ES_tradnl"/>
        </w:rPr>
        <w:t xml:space="preserve">Situación de </w:t>
      </w:r>
      <w:r w:rsidR="00DA6BC4">
        <w:rPr>
          <w:lang w:val="es-ES_tradnl"/>
        </w:rPr>
        <w:t>V</w:t>
      </w:r>
      <w:r w:rsidRPr="00E83B7E">
        <w:rPr>
          <w:lang w:val="es-ES_tradnl"/>
        </w:rPr>
        <w:t>ulnerabilidad</w:t>
      </w:r>
      <w:bookmarkEnd w:id="8"/>
    </w:p>
    <w:p w14:paraId="4DC306A5" w14:textId="1B8B8BF3" w:rsidR="00681D94" w:rsidRPr="00E83B7E" w:rsidRDefault="00681D94" w:rsidP="00725F1A">
      <w:pPr>
        <w:pStyle w:val="Heading2"/>
        <w:ind w:left="0"/>
        <w:rPr>
          <w:lang w:val="es-ES_tradnl"/>
        </w:rPr>
      </w:pPr>
      <w:bookmarkStart w:id="9" w:name="_Toc36834038"/>
      <w:r w:rsidRPr="00E83B7E">
        <w:rPr>
          <w:lang w:val="es-ES_tradnl"/>
        </w:rPr>
        <w:t xml:space="preserve">Situación </w:t>
      </w:r>
      <w:r w:rsidR="00DA6BC4">
        <w:rPr>
          <w:lang w:val="es-ES_tradnl"/>
        </w:rPr>
        <w:t>G</w:t>
      </w:r>
      <w:r w:rsidRPr="00E83B7E">
        <w:rPr>
          <w:lang w:val="es-ES_tradnl"/>
        </w:rPr>
        <w:t>eneral</w:t>
      </w:r>
      <w:bookmarkEnd w:id="9"/>
    </w:p>
    <w:p w14:paraId="1C5EE5C9" w14:textId="05F258C7" w:rsidR="00CA665E" w:rsidRPr="00E83B7E" w:rsidRDefault="00F3704F" w:rsidP="00A700FB">
      <w:pPr>
        <w:jc w:val="both"/>
        <w:rPr>
          <w:lang w:val="es-ES_tradnl"/>
        </w:rPr>
      </w:pPr>
      <w:r w:rsidRPr="00E83B7E">
        <w:rPr>
          <w:lang w:val="es-ES_tradnl"/>
        </w:rPr>
        <w:t xml:space="preserve">Atendiendo a la importancia relativa de los sectores </w:t>
      </w:r>
      <w:r w:rsidR="5A1761A0" w:rsidRPr="00E83B7E">
        <w:rPr>
          <w:lang w:val="es-ES_tradnl"/>
        </w:rPr>
        <w:t>con relación a la</w:t>
      </w:r>
      <w:r w:rsidRPr="00E83B7E">
        <w:rPr>
          <w:lang w:val="es-ES_tradnl"/>
        </w:rPr>
        <w:t xml:space="preserve"> </w:t>
      </w:r>
      <w:r w:rsidR="00815C71" w:rsidRPr="00E83B7E">
        <w:rPr>
          <w:lang w:val="es-ES_tradnl"/>
        </w:rPr>
        <w:t xml:space="preserve">generación de empleo, </w:t>
      </w:r>
      <w:r w:rsidR="1B340F0C" w:rsidRPr="00E83B7E">
        <w:rPr>
          <w:lang w:val="es-ES_tradnl"/>
        </w:rPr>
        <w:t xml:space="preserve">la </w:t>
      </w:r>
      <w:r w:rsidR="00815C71" w:rsidRPr="00E83B7E">
        <w:rPr>
          <w:lang w:val="es-ES_tradnl"/>
        </w:rPr>
        <w:t xml:space="preserve">participación en el PIB y </w:t>
      </w:r>
      <w:r w:rsidR="39BE0D4D" w:rsidRPr="00E83B7E">
        <w:rPr>
          <w:lang w:val="es-ES_tradnl"/>
        </w:rPr>
        <w:t xml:space="preserve">el </w:t>
      </w:r>
      <w:r w:rsidR="00815C71" w:rsidRPr="00E83B7E">
        <w:rPr>
          <w:lang w:val="es-ES_tradnl"/>
        </w:rPr>
        <w:t>número de empresas M</w:t>
      </w:r>
      <w:r w:rsidR="00043713" w:rsidRPr="00E83B7E">
        <w:rPr>
          <w:lang w:val="es-ES_tradnl"/>
        </w:rPr>
        <w:t>i</w:t>
      </w:r>
      <w:r w:rsidR="00815C71" w:rsidRPr="00E83B7E">
        <w:rPr>
          <w:lang w:val="es-ES_tradnl"/>
        </w:rPr>
        <w:t>P</w:t>
      </w:r>
      <w:r w:rsidR="00E83B7E">
        <w:rPr>
          <w:lang w:val="es-ES_tradnl"/>
        </w:rPr>
        <w:t>y</w:t>
      </w:r>
      <w:r w:rsidR="00815C71" w:rsidRPr="00E83B7E">
        <w:rPr>
          <w:lang w:val="es-ES_tradnl"/>
        </w:rPr>
        <w:t xml:space="preserve">ME, como así también a la disponibilidad de información </w:t>
      </w:r>
      <w:r w:rsidR="00E26F82" w:rsidRPr="00E83B7E">
        <w:rPr>
          <w:lang w:val="es-ES_tradnl"/>
        </w:rPr>
        <w:t xml:space="preserve">adecuada para llevar adelante el análisis de vulnerabilidad, </w:t>
      </w:r>
      <w:r w:rsidR="00817E09" w:rsidRPr="00E83B7E">
        <w:rPr>
          <w:lang w:val="es-ES_tradnl"/>
        </w:rPr>
        <w:t xml:space="preserve">los sectores considerados en el análisis para </w:t>
      </w:r>
      <w:r w:rsidR="008B46A6">
        <w:rPr>
          <w:lang w:val="es-ES_tradnl"/>
        </w:rPr>
        <w:t>Honduras</w:t>
      </w:r>
      <w:r w:rsidR="00817E09" w:rsidRPr="00E83B7E">
        <w:rPr>
          <w:lang w:val="es-ES_tradnl"/>
        </w:rPr>
        <w:t xml:space="preserve"> incluyen </w:t>
      </w:r>
      <w:r w:rsidR="0094371B" w:rsidRPr="00E83B7E">
        <w:rPr>
          <w:lang w:val="es-ES_tradnl"/>
        </w:rPr>
        <w:t>a los siguientes sectores: turismo, transporte</w:t>
      </w:r>
      <w:r w:rsidR="00A044C9">
        <w:rPr>
          <w:lang w:val="es-ES_tradnl"/>
        </w:rPr>
        <w:t xml:space="preserve"> de carga y de </w:t>
      </w:r>
      <w:r w:rsidR="00A044C9" w:rsidRPr="00955F8B">
        <w:rPr>
          <w:lang w:val="es-ES_tradnl"/>
        </w:rPr>
        <w:t>pasajeros</w:t>
      </w:r>
      <w:r w:rsidR="0094371B" w:rsidRPr="00955F8B">
        <w:rPr>
          <w:lang w:val="es-ES_tradnl"/>
        </w:rPr>
        <w:t xml:space="preserve">, </w:t>
      </w:r>
      <w:r w:rsidR="00FF1802" w:rsidRPr="00955F8B">
        <w:rPr>
          <w:lang w:val="es-ES_tradnl"/>
        </w:rPr>
        <w:t>textil</w:t>
      </w:r>
      <w:r w:rsidR="00D46C1C">
        <w:rPr>
          <w:lang w:val="es-ES_tradnl"/>
        </w:rPr>
        <w:t xml:space="preserve"> y maquila</w:t>
      </w:r>
      <w:r w:rsidR="00FF1802" w:rsidRPr="00E83B7E">
        <w:rPr>
          <w:lang w:val="es-ES_tradnl"/>
        </w:rPr>
        <w:t xml:space="preserve"> y </w:t>
      </w:r>
      <w:r w:rsidR="00681B57" w:rsidRPr="00E83B7E">
        <w:rPr>
          <w:lang w:val="es-ES_tradnl"/>
        </w:rPr>
        <w:t>agro</w:t>
      </w:r>
      <w:r w:rsidR="00A216E1">
        <w:rPr>
          <w:lang w:val="es-ES_tradnl"/>
        </w:rPr>
        <w:t>alimentario</w:t>
      </w:r>
      <w:r w:rsidR="00681B57" w:rsidRPr="00E83B7E">
        <w:rPr>
          <w:lang w:val="es-ES_tradnl"/>
        </w:rPr>
        <w:t>.</w:t>
      </w:r>
      <w:r w:rsidR="00BE4C81" w:rsidRPr="00E83B7E">
        <w:rPr>
          <w:lang w:val="es-ES_tradnl"/>
        </w:rPr>
        <w:t xml:space="preserve"> </w:t>
      </w:r>
    </w:p>
    <w:p w14:paraId="533462E0" w14:textId="784BC89D" w:rsidR="00303A21" w:rsidRPr="00A044C9" w:rsidRDefault="00BE4C81" w:rsidP="00A700FB">
      <w:pPr>
        <w:jc w:val="both"/>
        <w:rPr>
          <w:highlight w:val="yellow"/>
          <w:lang w:val="es-ES_tradnl"/>
        </w:rPr>
      </w:pPr>
      <w:r w:rsidRPr="00E83B7E">
        <w:rPr>
          <w:lang w:val="es-ES_tradnl"/>
        </w:rPr>
        <w:t>En la tabla II.</w:t>
      </w:r>
      <w:r w:rsidR="00C5740C" w:rsidRPr="00E83B7E">
        <w:rPr>
          <w:lang w:val="es-ES_tradnl"/>
        </w:rPr>
        <w:t>A.</w:t>
      </w:r>
      <w:r w:rsidRPr="00E83B7E">
        <w:rPr>
          <w:lang w:val="es-ES_tradnl"/>
        </w:rPr>
        <w:t>1 se presenta</w:t>
      </w:r>
      <w:r w:rsidR="00DC3871" w:rsidRPr="00E83B7E">
        <w:rPr>
          <w:lang w:val="es-ES_tradnl"/>
        </w:rPr>
        <w:t xml:space="preserve"> el grado de vulnerabilidad calculado para cada sector.</w:t>
      </w:r>
      <w:r w:rsidR="00CC1B3A" w:rsidRPr="00E83B7E">
        <w:rPr>
          <w:lang w:val="es-ES_tradnl"/>
        </w:rPr>
        <w:t xml:space="preserve"> Como puede observarse, </w:t>
      </w:r>
      <w:r w:rsidR="00E5440E" w:rsidRPr="00E83B7E">
        <w:rPr>
          <w:lang w:val="es-ES_tradnl"/>
        </w:rPr>
        <w:t>el mayor índice de vulnerabilidad</w:t>
      </w:r>
      <w:r w:rsidR="00C1409E" w:rsidRPr="00E83B7E">
        <w:rPr>
          <w:lang w:val="es-ES_tradnl"/>
        </w:rPr>
        <w:t xml:space="preserve"> global</w:t>
      </w:r>
      <w:r w:rsidR="00E5440E" w:rsidRPr="00E83B7E">
        <w:rPr>
          <w:lang w:val="es-ES_tradnl"/>
        </w:rPr>
        <w:t xml:space="preserve"> se </w:t>
      </w:r>
      <w:r w:rsidR="00E5440E" w:rsidRPr="00F74A03">
        <w:rPr>
          <w:lang w:val="es-ES_tradnl"/>
        </w:rPr>
        <w:t xml:space="preserve">presenta en </w:t>
      </w:r>
      <w:r w:rsidR="00A306E2">
        <w:rPr>
          <w:lang w:val="es-ES_tradnl"/>
        </w:rPr>
        <w:t>de</w:t>
      </w:r>
      <w:r w:rsidR="00E724E1">
        <w:rPr>
          <w:lang w:val="es-ES_tradnl"/>
        </w:rPr>
        <w:t xml:space="preserve"> </w:t>
      </w:r>
      <w:r w:rsidR="00E724E1" w:rsidRPr="00F74A03">
        <w:rPr>
          <w:lang w:val="es-ES_tradnl"/>
        </w:rPr>
        <w:t xml:space="preserve">turismo </w:t>
      </w:r>
      <w:r w:rsidR="00C54B08" w:rsidRPr="00F74A03">
        <w:rPr>
          <w:lang w:val="es-ES_tradnl"/>
        </w:rPr>
        <w:t>(</w:t>
      </w:r>
      <w:r w:rsidR="000E23D0" w:rsidRPr="00F74A03">
        <w:rPr>
          <w:lang w:val="es-ES_tradnl"/>
        </w:rPr>
        <w:t xml:space="preserve">con índices de </w:t>
      </w:r>
      <w:r w:rsidR="00F55390">
        <w:rPr>
          <w:lang w:val="es-ES_tradnl"/>
        </w:rPr>
        <w:t>77</w:t>
      </w:r>
      <w:r w:rsidR="00C1409E" w:rsidRPr="00F74A03">
        <w:rPr>
          <w:lang w:val="es-ES_tradnl"/>
        </w:rPr>
        <w:t>)</w:t>
      </w:r>
      <w:r w:rsidR="000D4171">
        <w:rPr>
          <w:lang w:val="es-ES_tradnl"/>
        </w:rPr>
        <w:t>,</w:t>
      </w:r>
      <w:r w:rsidR="00063F34" w:rsidRPr="00F74A03">
        <w:rPr>
          <w:lang w:val="es-ES_tradnl"/>
        </w:rPr>
        <w:t xml:space="preserve"> </w:t>
      </w:r>
      <w:r w:rsidR="000D4171" w:rsidRPr="000D4171">
        <w:rPr>
          <w:lang w:val="es-AR"/>
        </w:rPr>
        <w:t>seguido de transporte</w:t>
      </w:r>
      <w:r w:rsidR="000D4171">
        <w:rPr>
          <w:lang w:val="es-AR"/>
        </w:rPr>
        <w:t xml:space="preserve"> de</w:t>
      </w:r>
      <w:r w:rsidR="00F55390" w:rsidRPr="00F55390">
        <w:rPr>
          <w:lang w:val="es-AR"/>
        </w:rPr>
        <w:t xml:space="preserve"> </w:t>
      </w:r>
      <w:r w:rsidR="00F55390">
        <w:rPr>
          <w:lang w:val="es-AR"/>
        </w:rPr>
        <w:t>pasajeros</w:t>
      </w:r>
      <w:r w:rsidR="000D4171" w:rsidRPr="000D4171">
        <w:rPr>
          <w:lang w:val="es-AR"/>
        </w:rPr>
        <w:t xml:space="preserve">, </w:t>
      </w:r>
      <w:r w:rsidR="00F55390">
        <w:rPr>
          <w:lang w:val="es-AR"/>
        </w:rPr>
        <w:t>agroalimentario,</w:t>
      </w:r>
      <w:r w:rsidR="00F55390" w:rsidRPr="000D4171">
        <w:rPr>
          <w:lang w:val="es-AR"/>
        </w:rPr>
        <w:t xml:space="preserve"> </w:t>
      </w:r>
      <w:r w:rsidR="000D4171" w:rsidRPr="000D4171">
        <w:rPr>
          <w:lang w:val="es-AR"/>
        </w:rPr>
        <w:t>textil</w:t>
      </w:r>
      <w:r w:rsidR="00F55390">
        <w:rPr>
          <w:lang w:val="es-AR"/>
        </w:rPr>
        <w:t xml:space="preserve"> y</w:t>
      </w:r>
      <w:r w:rsidR="000D4171">
        <w:rPr>
          <w:lang w:val="es-AR"/>
        </w:rPr>
        <w:t xml:space="preserve"> transporte de </w:t>
      </w:r>
      <w:r w:rsidR="00F55390">
        <w:rPr>
          <w:lang w:val="es-AR"/>
        </w:rPr>
        <w:t>carga</w:t>
      </w:r>
      <w:r w:rsidR="000D4171">
        <w:rPr>
          <w:lang w:val="es-AR"/>
        </w:rPr>
        <w:t>.</w:t>
      </w:r>
      <w:r w:rsidR="000D4171" w:rsidRPr="000D4171">
        <w:rPr>
          <w:lang w:val="es-AR"/>
        </w:rPr>
        <w:t xml:space="preserve"> </w:t>
      </w:r>
      <w:r w:rsidR="000D4171">
        <w:rPr>
          <w:lang w:val="es-AR"/>
        </w:rPr>
        <w:t xml:space="preserve">La media simple de sectores es de un IV de </w:t>
      </w:r>
      <w:r w:rsidR="00F55390">
        <w:rPr>
          <w:lang w:val="es-AR"/>
        </w:rPr>
        <w:t>57</w:t>
      </w:r>
      <w:r w:rsidR="000D4171">
        <w:rPr>
          <w:lang w:val="es-AR"/>
        </w:rPr>
        <w:t xml:space="preserve"> (severo grado </w:t>
      </w:r>
      <w:r w:rsidR="00F55390">
        <w:rPr>
          <w:lang w:val="es-AR"/>
        </w:rPr>
        <w:t>3</w:t>
      </w:r>
      <w:r w:rsidR="000D4171">
        <w:rPr>
          <w:lang w:val="es-AR"/>
        </w:rPr>
        <w:t>). Al ponderarse los índices sectoriales por la contribución al P</w:t>
      </w:r>
      <w:r w:rsidR="00F55390">
        <w:rPr>
          <w:lang w:val="es-AR"/>
        </w:rPr>
        <w:t>IB</w:t>
      </w:r>
      <w:r w:rsidR="000D4171">
        <w:rPr>
          <w:lang w:val="es-AR"/>
        </w:rPr>
        <w:t xml:space="preserve"> o por empleo, los valores ponderados arrojan un IV de </w:t>
      </w:r>
      <w:r w:rsidR="00F55390">
        <w:rPr>
          <w:lang w:val="es-AR"/>
        </w:rPr>
        <w:t>58</w:t>
      </w:r>
      <w:r w:rsidR="001C71B9">
        <w:rPr>
          <w:lang w:val="es-AR"/>
        </w:rPr>
        <w:t xml:space="preserve"> y 60</w:t>
      </w:r>
      <w:r w:rsidR="000D4171">
        <w:rPr>
          <w:lang w:val="es-AR"/>
        </w:rPr>
        <w:t xml:space="preserve"> (severo, grado </w:t>
      </w:r>
      <w:r w:rsidR="001C71B9">
        <w:rPr>
          <w:lang w:val="es-AR"/>
        </w:rPr>
        <w:t>3</w:t>
      </w:r>
      <w:r w:rsidR="000D4171">
        <w:rPr>
          <w:lang w:val="es-AR"/>
        </w:rPr>
        <w:t>).</w:t>
      </w:r>
    </w:p>
    <w:p w14:paraId="38B1F6E9" w14:textId="7AB99FB9" w:rsidR="00755EA6" w:rsidRPr="00D536DF" w:rsidRDefault="00755EA6" w:rsidP="00A55D13">
      <w:pPr>
        <w:spacing w:after="0" w:line="240" w:lineRule="auto"/>
        <w:jc w:val="center"/>
        <w:rPr>
          <w:b/>
          <w:bCs/>
          <w:lang w:val="es-ES_tradnl"/>
        </w:rPr>
      </w:pPr>
      <w:r w:rsidRPr="00D536DF">
        <w:rPr>
          <w:b/>
          <w:bCs/>
          <w:lang w:val="es-ES_tradnl"/>
        </w:rPr>
        <w:t>Tabla II</w:t>
      </w:r>
      <w:r w:rsidR="00C5740C" w:rsidRPr="00D536DF">
        <w:rPr>
          <w:b/>
          <w:bCs/>
          <w:lang w:val="es-ES_tradnl"/>
        </w:rPr>
        <w:t>.A</w:t>
      </w:r>
      <w:r w:rsidRPr="00D536DF">
        <w:rPr>
          <w:b/>
          <w:bCs/>
          <w:lang w:val="es-ES_tradnl"/>
        </w:rPr>
        <w:t>.1</w:t>
      </w:r>
    </w:p>
    <w:p w14:paraId="04794EBF" w14:textId="15E364A1" w:rsidR="00755EA6" w:rsidRPr="00D536DF" w:rsidRDefault="00CE3E2B" w:rsidP="00A55D13">
      <w:pPr>
        <w:spacing w:after="0" w:line="240" w:lineRule="auto"/>
        <w:jc w:val="center"/>
        <w:rPr>
          <w:b/>
          <w:bCs/>
          <w:lang w:val="es-ES_tradnl"/>
        </w:rPr>
      </w:pPr>
      <w:r w:rsidRPr="00D536DF">
        <w:rPr>
          <w:b/>
          <w:bCs/>
          <w:lang w:val="es-ES_tradnl"/>
        </w:rPr>
        <w:t>Índice de vulnerabilidad</w:t>
      </w:r>
      <w:r w:rsidR="00F86B31" w:rsidRPr="00D536DF">
        <w:rPr>
          <w:b/>
          <w:bCs/>
          <w:lang w:val="es-ES_tradnl"/>
        </w:rPr>
        <w:t xml:space="preserve"> (IV)</w:t>
      </w:r>
      <w:r w:rsidRPr="00D536DF">
        <w:rPr>
          <w:b/>
          <w:bCs/>
          <w:lang w:val="es-ES_tradnl"/>
        </w:rPr>
        <w:t xml:space="preserve"> por sectores.</w:t>
      </w:r>
    </w:p>
    <w:p w14:paraId="153A124C" w14:textId="77777777" w:rsidR="00A55D13" w:rsidRPr="00D536DF" w:rsidRDefault="00F86B31" w:rsidP="00A55D13">
      <w:pPr>
        <w:spacing w:after="0" w:line="240" w:lineRule="auto"/>
        <w:jc w:val="center"/>
        <w:rPr>
          <w:b/>
          <w:bCs/>
          <w:lang w:val="es-ES_tradnl"/>
        </w:rPr>
      </w:pPr>
      <w:r w:rsidRPr="00D536DF">
        <w:rPr>
          <w:b/>
          <w:bCs/>
          <w:lang w:val="es-ES_tradnl"/>
        </w:rPr>
        <w:t>El IV ha sido escalado para tomar valores entre 0 y 100.</w:t>
      </w:r>
    </w:p>
    <w:p w14:paraId="1BD2AC59" w14:textId="0B679CD7" w:rsidR="00EA4073" w:rsidRPr="00D536DF" w:rsidRDefault="00A55D13" w:rsidP="00EA4073">
      <w:pPr>
        <w:spacing w:after="0" w:line="240" w:lineRule="auto"/>
        <w:jc w:val="center"/>
        <w:rPr>
          <w:lang w:val="es-ES_tradnl"/>
        </w:rPr>
      </w:pPr>
      <w:r w:rsidRPr="00D536DF">
        <w:rPr>
          <w:b/>
          <w:bCs/>
          <w:lang w:val="es-ES_tradnl"/>
        </w:rPr>
        <w:t>Un valor más alto indica una mayor vulnerabilidad global del sector.</w:t>
      </w:r>
      <w:r w:rsidR="007C05F4" w:rsidRPr="00D536DF">
        <w:rPr>
          <w:lang w:val="es-ES_tradnl"/>
        </w:rPr>
        <w:t xml:space="preserve"> </w:t>
      </w:r>
      <w:r w:rsidR="00AA0B5F" w:rsidRPr="00D536DF">
        <w:rPr>
          <w:lang w:val="es-ES_tradnl"/>
        </w:rPr>
        <w:fldChar w:fldCharType="begin"/>
      </w:r>
      <w:r w:rsidR="00AA0B5F" w:rsidRPr="00D536DF">
        <w:rPr>
          <w:lang w:val="es-ES_tradnl"/>
        </w:rPr>
        <w:instrText xml:space="preserve"> LINK </w:instrText>
      </w:r>
      <w:r w:rsidR="00357892">
        <w:rPr>
          <w:lang w:val="es-ES_tradnl"/>
        </w:rPr>
        <w:instrText xml:space="preserve">Excel.Sheet.12 https://idbg.sharepoint.com/sites/SectoresVulnerablesCOVID-PyMEsEmpleo/Shared%20Documents/General/2020-04-02%20COVID19%20-%20Ecuador%20Vunerabilidad.xlsx "EC prom x sectores!R3C3:R15C4" </w:instrText>
      </w:r>
      <w:r w:rsidR="00AA0B5F" w:rsidRPr="00D536DF">
        <w:rPr>
          <w:lang w:val="es-ES_tradnl"/>
        </w:rPr>
        <w:instrText xml:space="preserve">\a \f 4 \h  \* MERGEFORMAT </w:instrText>
      </w:r>
      <w:r w:rsidR="00AA0B5F" w:rsidRPr="00D536DF">
        <w:rPr>
          <w:lang w:val="es-ES_tradnl"/>
        </w:rPr>
        <w:fldChar w:fldCharType="separate"/>
      </w:r>
    </w:p>
    <w:tbl>
      <w:tblPr>
        <w:tblW w:w="8196" w:type="dxa"/>
        <w:jc w:val="center"/>
        <w:tblLook w:val="04A0" w:firstRow="1" w:lastRow="0" w:firstColumn="1" w:lastColumn="0" w:noHBand="0" w:noVBand="1"/>
      </w:tblPr>
      <w:tblGrid>
        <w:gridCol w:w="6096"/>
        <w:gridCol w:w="2100"/>
      </w:tblGrid>
      <w:tr w:rsidR="00A97C96" w:rsidRPr="00A97C96" w14:paraId="6D25D7BE" w14:textId="77777777" w:rsidTr="00A97C96">
        <w:trPr>
          <w:divId w:val="1676885892"/>
          <w:trHeight w:val="300"/>
          <w:jc w:val="center"/>
        </w:trPr>
        <w:tc>
          <w:tcPr>
            <w:tcW w:w="6096"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770AB698" w14:textId="77777777" w:rsidR="00A97C96" w:rsidRPr="00A97C96" w:rsidRDefault="00A97C96" w:rsidP="00E34617">
            <w:pPr>
              <w:jc w:val="center"/>
              <w:rPr>
                <w:rFonts w:ascii="Calibri" w:eastAsia="Times New Roman" w:hAnsi="Calibri" w:cs="Calibri"/>
                <w:b/>
                <w:bCs/>
                <w:color w:val="000000"/>
                <w:lang w:val="es-ES_tradnl"/>
              </w:rPr>
            </w:pPr>
            <w:r w:rsidRPr="00A97C96">
              <w:rPr>
                <w:rFonts w:ascii="Calibri" w:eastAsia="Times New Roman" w:hAnsi="Calibri" w:cs="Calibri"/>
                <w:b/>
                <w:bCs/>
                <w:color w:val="000000"/>
                <w:lang w:val="es-ES_tradnl"/>
              </w:rPr>
              <w:t>Sector</w:t>
            </w:r>
          </w:p>
        </w:tc>
        <w:tc>
          <w:tcPr>
            <w:tcW w:w="2100" w:type="dxa"/>
            <w:tcBorders>
              <w:top w:val="single" w:sz="4" w:space="0" w:color="auto"/>
              <w:left w:val="nil"/>
              <w:bottom w:val="single" w:sz="4" w:space="0" w:color="auto"/>
              <w:right w:val="single" w:sz="4" w:space="0" w:color="auto"/>
            </w:tcBorders>
            <w:shd w:val="clear" w:color="000000" w:fill="DDEBF7"/>
            <w:noWrap/>
            <w:vAlign w:val="bottom"/>
            <w:hideMark/>
          </w:tcPr>
          <w:p w14:paraId="710BCF8A" w14:textId="77777777" w:rsidR="00A97C96" w:rsidRPr="00A97C96" w:rsidRDefault="00A97C96" w:rsidP="00E34617">
            <w:pPr>
              <w:spacing w:after="0" w:line="240" w:lineRule="auto"/>
              <w:jc w:val="center"/>
              <w:rPr>
                <w:rFonts w:ascii="Calibri" w:eastAsia="Times New Roman" w:hAnsi="Calibri" w:cs="Calibri"/>
                <w:b/>
                <w:bCs/>
                <w:color w:val="000000"/>
                <w:lang w:val="es-ES_tradnl"/>
              </w:rPr>
            </w:pPr>
            <w:r w:rsidRPr="00A97C96">
              <w:rPr>
                <w:rFonts w:ascii="Calibri" w:eastAsia="Times New Roman" w:hAnsi="Calibri" w:cs="Calibri"/>
                <w:b/>
                <w:bCs/>
                <w:color w:val="000000"/>
                <w:lang w:val="es-ES_tradnl"/>
              </w:rPr>
              <w:t>Índice vulnerabilidad</w:t>
            </w:r>
          </w:p>
        </w:tc>
      </w:tr>
      <w:tr w:rsidR="00955F8B" w:rsidRPr="00FE5090" w14:paraId="55A2DA34"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2CD3B16E" w14:textId="77777777" w:rsidR="00955F8B" w:rsidRPr="00E724E1" w:rsidRDefault="00955F8B"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Turismo</w:t>
            </w:r>
          </w:p>
        </w:tc>
        <w:tc>
          <w:tcPr>
            <w:tcW w:w="2100" w:type="dxa"/>
            <w:tcBorders>
              <w:top w:val="nil"/>
              <w:left w:val="nil"/>
              <w:bottom w:val="single" w:sz="4" w:space="0" w:color="auto"/>
              <w:right w:val="single" w:sz="4" w:space="0" w:color="auto"/>
            </w:tcBorders>
            <w:shd w:val="clear" w:color="000000" w:fill="FFFFFF"/>
            <w:noWrap/>
            <w:vAlign w:val="bottom"/>
          </w:tcPr>
          <w:p w14:paraId="504A837B" w14:textId="0BAFC5B5" w:rsidR="00955F8B" w:rsidRPr="00E724E1" w:rsidRDefault="00F55390"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77</w:t>
            </w:r>
          </w:p>
        </w:tc>
      </w:tr>
      <w:tr w:rsidR="00531D5F" w:rsidRPr="00FE5090" w14:paraId="38329E63"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45CCF157" w14:textId="77777777" w:rsidR="00531D5F" w:rsidRPr="00E724E1" w:rsidRDefault="00531D5F"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t xml:space="preserve">Transporte </w:t>
            </w:r>
            <w:r>
              <w:rPr>
                <w:rFonts w:ascii="Calibri" w:eastAsia="Times New Roman" w:hAnsi="Calibri" w:cs="Calibri"/>
                <w:color w:val="000000"/>
                <w:lang w:val="es-ES_tradnl"/>
              </w:rPr>
              <w:t xml:space="preserve">de </w:t>
            </w:r>
            <w:r w:rsidRPr="00E724E1">
              <w:rPr>
                <w:rFonts w:ascii="Calibri" w:eastAsia="Times New Roman" w:hAnsi="Calibri" w:cs="Calibri"/>
                <w:color w:val="000000"/>
                <w:lang w:val="es-ES_tradnl"/>
              </w:rPr>
              <w:t>pasajeros</w:t>
            </w:r>
          </w:p>
        </w:tc>
        <w:tc>
          <w:tcPr>
            <w:tcW w:w="2100" w:type="dxa"/>
            <w:tcBorders>
              <w:top w:val="nil"/>
              <w:left w:val="nil"/>
              <w:bottom w:val="single" w:sz="4" w:space="0" w:color="auto"/>
              <w:right w:val="single" w:sz="4" w:space="0" w:color="auto"/>
            </w:tcBorders>
            <w:shd w:val="clear" w:color="000000" w:fill="FFFFFF"/>
            <w:noWrap/>
            <w:vAlign w:val="bottom"/>
          </w:tcPr>
          <w:p w14:paraId="62537EC1" w14:textId="77777777" w:rsidR="00531D5F" w:rsidRPr="00E724E1" w:rsidRDefault="00531D5F"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59</w:t>
            </w:r>
          </w:p>
        </w:tc>
      </w:tr>
      <w:tr w:rsidR="00531D5F" w:rsidRPr="00FE5090" w14:paraId="61F1A93F"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08F30181" w14:textId="77777777" w:rsidR="00531D5F" w:rsidRPr="00A216E1" w:rsidRDefault="00531D5F" w:rsidP="00E34617">
            <w:pPr>
              <w:spacing w:after="0" w:line="240" w:lineRule="auto"/>
              <w:rPr>
                <w:rFonts w:ascii="Calibri" w:eastAsia="Times New Roman" w:hAnsi="Calibri" w:cs="Calibri"/>
                <w:color w:val="000000"/>
                <w:lang w:val="es-ES_tradnl"/>
              </w:rPr>
            </w:pPr>
            <w:r w:rsidRPr="00A216E1">
              <w:rPr>
                <w:rFonts w:ascii="Calibri" w:eastAsia="Times New Roman" w:hAnsi="Calibri" w:cs="Calibri"/>
                <w:color w:val="000000"/>
                <w:lang w:val="es-ES_tradnl"/>
              </w:rPr>
              <w:t>Agroalimentario</w:t>
            </w:r>
          </w:p>
        </w:tc>
        <w:tc>
          <w:tcPr>
            <w:tcW w:w="2100" w:type="dxa"/>
            <w:tcBorders>
              <w:top w:val="nil"/>
              <w:left w:val="nil"/>
              <w:bottom w:val="single" w:sz="4" w:space="0" w:color="auto"/>
              <w:right w:val="single" w:sz="4" w:space="0" w:color="auto"/>
            </w:tcBorders>
            <w:shd w:val="clear" w:color="000000" w:fill="FFFFFF"/>
            <w:noWrap/>
            <w:vAlign w:val="bottom"/>
          </w:tcPr>
          <w:p w14:paraId="6D8D548D" w14:textId="77777777" w:rsidR="00531D5F" w:rsidRPr="00E724E1" w:rsidRDefault="00531D5F"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56</w:t>
            </w:r>
          </w:p>
        </w:tc>
      </w:tr>
      <w:tr w:rsidR="00531D5F" w:rsidRPr="00FE5090" w14:paraId="02BA6CDB"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tcPr>
          <w:p w14:paraId="0EF6B1D4" w14:textId="379BE231" w:rsidR="00531D5F" w:rsidRPr="004F08B2" w:rsidRDefault="00531D5F" w:rsidP="00E34617">
            <w:pPr>
              <w:spacing w:after="0" w:line="240" w:lineRule="auto"/>
              <w:rPr>
                <w:rFonts w:ascii="Calibri" w:eastAsia="Times New Roman" w:hAnsi="Calibri" w:cs="Calibri"/>
                <w:color w:val="000000"/>
                <w:highlight w:val="yellow"/>
                <w:lang w:val="es-ES_tradnl"/>
              </w:rPr>
            </w:pPr>
            <w:r w:rsidRPr="00955F8B">
              <w:rPr>
                <w:rFonts w:ascii="Calibri" w:eastAsia="Times New Roman" w:hAnsi="Calibri" w:cs="Calibri"/>
                <w:color w:val="000000"/>
                <w:lang w:val="es-ES_tradnl"/>
              </w:rPr>
              <w:t xml:space="preserve">Textil </w:t>
            </w:r>
            <w:r w:rsidR="00B75B80">
              <w:rPr>
                <w:rFonts w:ascii="Calibri" w:eastAsia="Times New Roman" w:hAnsi="Calibri" w:cs="Calibri"/>
                <w:color w:val="000000"/>
                <w:lang w:val="es-ES_tradnl"/>
              </w:rPr>
              <w:t>- Maquila</w:t>
            </w:r>
          </w:p>
        </w:tc>
        <w:tc>
          <w:tcPr>
            <w:tcW w:w="2100" w:type="dxa"/>
            <w:tcBorders>
              <w:top w:val="nil"/>
              <w:left w:val="nil"/>
              <w:bottom w:val="single" w:sz="4" w:space="0" w:color="auto"/>
              <w:right w:val="single" w:sz="4" w:space="0" w:color="auto"/>
            </w:tcBorders>
            <w:shd w:val="clear" w:color="000000" w:fill="FFFFFF"/>
            <w:noWrap/>
            <w:vAlign w:val="bottom"/>
          </w:tcPr>
          <w:p w14:paraId="2910C09F" w14:textId="77777777" w:rsidR="00531D5F" w:rsidRPr="00E724E1" w:rsidRDefault="00531D5F"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53</w:t>
            </w:r>
          </w:p>
        </w:tc>
      </w:tr>
      <w:tr w:rsidR="00531D5F" w:rsidRPr="00FE5090" w14:paraId="7664A495"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44EEBFE9" w14:textId="77777777" w:rsidR="00531D5F" w:rsidRPr="00E724E1" w:rsidRDefault="00531D5F" w:rsidP="00E34617">
            <w:pPr>
              <w:spacing w:after="0" w:line="240" w:lineRule="auto"/>
              <w:rPr>
                <w:rFonts w:ascii="Calibri" w:eastAsia="Times New Roman" w:hAnsi="Calibri" w:cs="Calibri"/>
                <w:color w:val="000000"/>
                <w:lang w:val="es-ES_tradnl"/>
              </w:rPr>
            </w:pPr>
            <w:r w:rsidRPr="00E724E1">
              <w:rPr>
                <w:rFonts w:ascii="Calibri" w:eastAsia="Times New Roman" w:hAnsi="Calibri" w:cs="Calibri"/>
                <w:color w:val="000000"/>
                <w:lang w:val="es-ES_tradnl"/>
              </w:rPr>
              <w:lastRenderedPageBreak/>
              <w:t xml:space="preserve">Transporte </w:t>
            </w:r>
            <w:r>
              <w:rPr>
                <w:rFonts w:ascii="Calibri" w:eastAsia="Times New Roman" w:hAnsi="Calibri" w:cs="Calibri"/>
                <w:color w:val="000000"/>
                <w:lang w:val="es-ES_tradnl"/>
              </w:rPr>
              <w:t xml:space="preserve">de </w:t>
            </w:r>
            <w:r w:rsidRPr="00E724E1">
              <w:rPr>
                <w:rFonts w:ascii="Calibri" w:eastAsia="Times New Roman" w:hAnsi="Calibri" w:cs="Calibri"/>
                <w:color w:val="000000"/>
                <w:lang w:val="es-ES_tradnl"/>
              </w:rPr>
              <w:t>carga</w:t>
            </w:r>
          </w:p>
        </w:tc>
        <w:tc>
          <w:tcPr>
            <w:tcW w:w="2100" w:type="dxa"/>
            <w:tcBorders>
              <w:top w:val="nil"/>
              <w:left w:val="nil"/>
              <w:bottom w:val="single" w:sz="4" w:space="0" w:color="auto"/>
              <w:right w:val="single" w:sz="4" w:space="0" w:color="auto"/>
            </w:tcBorders>
            <w:shd w:val="clear" w:color="000000" w:fill="FFFFFF"/>
            <w:noWrap/>
            <w:vAlign w:val="bottom"/>
          </w:tcPr>
          <w:p w14:paraId="164529E3" w14:textId="77777777" w:rsidR="00531D5F" w:rsidRPr="00E724E1" w:rsidRDefault="00531D5F" w:rsidP="00E34617">
            <w:pPr>
              <w:spacing w:after="0" w:line="240" w:lineRule="auto"/>
              <w:jc w:val="center"/>
              <w:rPr>
                <w:rFonts w:ascii="Calibri" w:eastAsia="Times New Roman" w:hAnsi="Calibri" w:cs="Calibri"/>
                <w:color w:val="000000"/>
                <w:lang w:val="es-ES_tradnl"/>
              </w:rPr>
            </w:pPr>
            <w:r>
              <w:rPr>
                <w:rFonts w:ascii="Calibri" w:eastAsia="Times New Roman" w:hAnsi="Calibri" w:cs="Calibri"/>
                <w:color w:val="000000"/>
                <w:lang w:val="es-ES_tradnl"/>
              </w:rPr>
              <w:t>39</w:t>
            </w:r>
          </w:p>
        </w:tc>
      </w:tr>
      <w:tr w:rsidR="00A306E2" w:rsidRPr="00FE5090" w14:paraId="7A021563" w14:textId="77777777" w:rsidTr="00A97C96">
        <w:trPr>
          <w:divId w:val="1676885892"/>
          <w:trHeight w:val="150"/>
          <w:jc w:val="center"/>
        </w:trPr>
        <w:tc>
          <w:tcPr>
            <w:tcW w:w="6096" w:type="dxa"/>
            <w:tcBorders>
              <w:top w:val="nil"/>
              <w:left w:val="single" w:sz="4" w:space="0" w:color="auto"/>
              <w:bottom w:val="single" w:sz="4" w:space="0" w:color="auto"/>
              <w:right w:val="nil"/>
            </w:tcBorders>
            <w:shd w:val="clear" w:color="000000" w:fill="FFFFFF"/>
            <w:noWrap/>
            <w:vAlign w:val="bottom"/>
            <w:hideMark/>
          </w:tcPr>
          <w:p w14:paraId="1E721C5E" w14:textId="77777777" w:rsidR="00A306E2" w:rsidRPr="00FD03ED" w:rsidRDefault="00A306E2" w:rsidP="00E34617">
            <w:pPr>
              <w:spacing w:after="0" w:line="240" w:lineRule="auto"/>
              <w:rPr>
                <w:rFonts w:ascii="Calibri" w:eastAsia="Times New Roman" w:hAnsi="Calibri" w:cs="Calibri"/>
                <w:color w:val="000000"/>
                <w:lang w:val="es-ES_tradnl"/>
              </w:rPr>
            </w:pPr>
            <w:r w:rsidRPr="00FD03ED">
              <w:rPr>
                <w:rFonts w:ascii="Calibri" w:eastAsia="Times New Roman" w:hAnsi="Calibri" w:cs="Calibri"/>
                <w:color w:val="000000"/>
                <w:lang w:val="es-ES_tradnl"/>
              </w:rPr>
              <w:t> </w:t>
            </w:r>
          </w:p>
        </w:tc>
        <w:tc>
          <w:tcPr>
            <w:tcW w:w="2100" w:type="dxa"/>
            <w:tcBorders>
              <w:top w:val="nil"/>
              <w:left w:val="nil"/>
              <w:bottom w:val="single" w:sz="4" w:space="0" w:color="auto"/>
              <w:right w:val="single" w:sz="4" w:space="0" w:color="auto"/>
            </w:tcBorders>
            <w:shd w:val="clear" w:color="000000" w:fill="FFFFFF"/>
            <w:noWrap/>
            <w:vAlign w:val="bottom"/>
            <w:hideMark/>
          </w:tcPr>
          <w:p w14:paraId="1AB70330" w14:textId="77777777" w:rsidR="00A306E2" w:rsidRPr="00A044C9" w:rsidRDefault="00A306E2" w:rsidP="00E34617">
            <w:pPr>
              <w:spacing w:after="0" w:line="240" w:lineRule="auto"/>
              <w:jc w:val="center"/>
              <w:rPr>
                <w:rFonts w:ascii="Calibri" w:eastAsia="Times New Roman" w:hAnsi="Calibri" w:cs="Calibri"/>
                <w:color w:val="000000"/>
                <w:highlight w:val="yellow"/>
                <w:lang w:val="es-ES_tradnl"/>
              </w:rPr>
            </w:pPr>
            <w:r w:rsidRPr="009C4F7E">
              <w:rPr>
                <w:rFonts w:ascii="Calibri" w:eastAsia="Times New Roman" w:hAnsi="Calibri" w:cs="Calibri"/>
                <w:color w:val="000000"/>
                <w:lang w:val="es-ES_tradnl"/>
              </w:rPr>
              <w:t> </w:t>
            </w:r>
          </w:p>
        </w:tc>
      </w:tr>
      <w:tr w:rsidR="00F55390" w:rsidRPr="00FE5090" w14:paraId="1F9AFE5E"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12757F7D" w14:textId="77777777" w:rsidR="00F55390" w:rsidRPr="00FD03ED" w:rsidRDefault="00F55390" w:rsidP="00F55390">
            <w:pPr>
              <w:spacing w:after="0" w:line="240" w:lineRule="auto"/>
              <w:rPr>
                <w:rFonts w:ascii="Calibri" w:eastAsia="Times New Roman" w:hAnsi="Calibri" w:cs="Calibri"/>
                <w:i/>
                <w:iCs/>
                <w:color w:val="000000"/>
                <w:lang w:val="es-ES_tradnl"/>
              </w:rPr>
            </w:pPr>
            <w:r w:rsidRPr="00FD03ED">
              <w:rPr>
                <w:rFonts w:ascii="Calibri" w:eastAsia="Times New Roman" w:hAnsi="Calibri" w:cs="Calibri"/>
                <w:i/>
                <w:iCs/>
                <w:color w:val="000000"/>
                <w:lang w:val="es-ES_tradnl"/>
              </w:rPr>
              <w:t>Mediana sectores</w:t>
            </w:r>
          </w:p>
        </w:tc>
        <w:tc>
          <w:tcPr>
            <w:tcW w:w="2100" w:type="dxa"/>
            <w:tcBorders>
              <w:top w:val="nil"/>
              <w:left w:val="nil"/>
              <w:bottom w:val="single" w:sz="4" w:space="0" w:color="auto"/>
              <w:right w:val="single" w:sz="4" w:space="0" w:color="auto"/>
            </w:tcBorders>
            <w:shd w:val="clear" w:color="000000" w:fill="FFFFFF"/>
            <w:noWrap/>
            <w:vAlign w:val="bottom"/>
          </w:tcPr>
          <w:p w14:paraId="40A89CFA" w14:textId="05F7FC2F" w:rsidR="00F55390" w:rsidRPr="00531D5F" w:rsidRDefault="00F55390" w:rsidP="00F55390">
            <w:pPr>
              <w:spacing w:after="0" w:line="240" w:lineRule="auto"/>
              <w:jc w:val="center"/>
              <w:rPr>
                <w:rFonts w:ascii="Calibri" w:eastAsia="Times New Roman" w:hAnsi="Calibri" w:cs="Calibri"/>
                <w:color w:val="000000"/>
                <w:highlight w:val="yellow"/>
                <w:lang w:val="es-ES_tradnl"/>
              </w:rPr>
            </w:pPr>
            <w:r>
              <w:rPr>
                <w:rFonts w:ascii="Calibri" w:hAnsi="Calibri" w:cs="Calibri"/>
                <w:i/>
                <w:iCs/>
                <w:color w:val="000000"/>
              </w:rPr>
              <w:t>56</w:t>
            </w:r>
          </w:p>
        </w:tc>
      </w:tr>
      <w:tr w:rsidR="00F55390" w:rsidRPr="00FE5090" w14:paraId="7B7CEDFC" w14:textId="77777777" w:rsidTr="00FD03ED">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14:paraId="181D1625" w14:textId="77777777" w:rsidR="00F55390" w:rsidRPr="009C4F7E" w:rsidRDefault="00F55390" w:rsidP="00F55390">
            <w:pPr>
              <w:spacing w:after="0" w:line="240" w:lineRule="auto"/>
              <w:rPr>
                <w:rFonts w:ascii="Calibri" w:eastAsia="Times New Roman" w:hAnsi="Calibri" w:cs="Calibri"/>
                <w:i/>
                <w:iCs/>
                <w:color w:val="000000"/>
                <w:lang w:val="es-ES_tradnl"/>
              </w:rPr>
            </w:pPr>
            <w:r w:rsidRPr="009C4F7E">
              <w:rPr>
                <w:rFonts w:ascii="Calibri" w:eastAsia="Times New Roman" w:hAnsi="Calibri" w:cs="Calibri"/>
                <w:i/>
                <w:iCs/>
                <w:color w:val="000000"/>
                <w:lang w:val="es-ES_tradnl"/>
              </w:rPr>
              <w:t>Promedio simple sectores</w:t>
            </w:r>
          </w:p>
        </w:tc>
        <w:tc>
          <w:tcPr>
            <w:tcW w:w="2100" w:type="dxa"/>
            <w:tcBorders>
              <w:top w:val="nil"/>
              <w:left w:val="nil"/>
              <w:bottom w:val="single" w:sz="4" w:space="0" w:color="auto"/>
              <w:right w:val="single" w:sz="4" w:space="0" w:color="auto"/>
            </w:tcBorders>
            <w:shd w:val="clear" w:color="auto" w:fill="auto"/>
            <w:noWrap/>
            <w:vAlign w:val="bottom"/>
          </w:tcPr>
          <w:p w14:paraId="2EE7538C" w14:textId="27C73A75" w:rsidR="00F55390" w:rsidRPr="00531D5F" w:rsidRDefault="00F55390" w:rsidP="00F55390">
            <w:pPr>
              <w:spacing w:after="0" w:line="240" w:lineRule="auto"/>
              <w:jc w:val="center"/>
              <w:rPr>
                <w:rFonts w:ascii="Calibri" w:eastAsia="Times New Roman" w:hAnsi="Calibri" w:cs="Calibri"/>
                <w:color w:val="000000"/>
                <w:highlight w:val="yellow"/>
                <w:lang w:val="es-ES_tradnl"/>
              </w:rPr>
            </w:pPr>
            <w:r>
              <w:rPr>
                <w:rFonts w:ascii="Calibri" w:hAnsi="Calibri" w:cs="Calibri"/>
                <w:i/>
                <w:iCs/>
                <w:color w:val="000000"/>
              </w:rPr>
              <w:t>57</w:t>
            </w:r>
          </w:p>
        </w:tc>
      </w:tr>
      <w:tr w:rsidR="00F55390" w:rsidRPr="007B207F" w14:paraId="614088DC"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2C2CB5F" w14:textId="77777777" w:rsidR="00F55390" w:rsidRPr="009C4F7E" w:rsidRDefault="00F55390" w:rsidP="00F55390">
            <w:pPr>
              <w:spacing w:after="0" w:line="240" w:lineRule="auto"/>
              <w:rPr>
                <w:rFonts w:ascii="Calibri" w:eastAsia="Times New Roman" w:hAnsi="Calibri" w:cs="Calibri"/>
                <w:i/>
                <w:iCs/>
                <w:color w:val="000000"/>
                <w:lang w:val="es-ES_tradnl"/>
              </w:rPr>
            </w:pPr>
            <w:r w:rsidRPr="009C4F7E">
              <w:rPr>
                <w:rFonts w:ascii="Calibri" w:eastAsia="Times New Roman" w:hAnsi="Calibri" w:cs="Calibri"/>
                <w:i/>
                <w:iCs/>
                <w:color w:val="000000"/>
                <w:lang w:val="es-ES_tradnl"/>
              </w:rPr>
              <w:t>Promedio sectores (ponderado por contribución al PIB) (*)</w:t>
            </w:r>
          </w:p>
        </w:tc>
        <w:tc>
          <w:tcPr>
            <w:tcW w:w="2100" w:type="dxa"/>
            <w:tcBorders>
              <w:top w:val="nil"/>
              <w:left w:val="nil"/>
              <w:bottom w:val="single" w:sz="4" w:space="0" w:color="auto"/>
              <w:right w:val="single" w:sz="4" w:space="0" w:color="auto"/>
            </w:tcBorders>
            <w:shd w:val="clear" w:color="000000" w:fill="FFFFFF"/>
            <w:noWrap/>
            <w:vAlign w:val="bottom"/>
          </w:tcPr>
          <w:p w14:paraId="0600A181" w14:textId="0CAC5FA3" w:rsidR="00F55390" w:rsidRPr="00531D5F" w:rsidRDefault="00F55390" w:rsidP="00F55390">
            <w:pPr>
              <w:spacing w:after="0" w:line="240" w:lineRule="auto"/>
              <w:jc w:val="center"/>
              <w:rPr>
                <w:rFonts w:ascii="Calibri" w:eastAsia="Times New Roman" w:hAnsi="Calibri" w:cs="Calibri"/>
                <w:i/>
                <w:iCs/>
                <w:color w:val="000000"/>
                <w:highlight w:val="yellow"/>
                <w:lang w:val="es-ES_tradnl"/>
              </w:rPr>
            </w:pPr>
            <w:r>
              <w:rPr>
                <w:rFonts w:ascii="Calibri" w:hAnsi="Calibri" w:cs="Calibri"/>
                <w:i/>
                <w:iCs/>
                <w:color w:val="000000"/>
              </w:rPr>
              <w:t>58</w:t>
            </w:r>
          </w:p>
        </w:tc>
      </w:tr>
      <w:tr w:rsidR="00F55390" w:rsidRPr="007B207F" w14:paraId="6AFAA313" w14:textId="77777777" w:rsidTr="00A97C96">
        <w:trPr>
          <w:divId w:val="1676885892"/>
          <w:trHeight w:val="300"/>
          <w:jc w:val="center"/>
        </w:trPr>
        <w:tc>
          <w:tcPr>
            <w:tcW w:w="6096" w:type="dxa"/>
            <w:tcBorders>
              <w:top w:val="nil"/>
              <w:left w:val="single" w:sz="4" w:space="0" w:color="auto"/>
              <w:bottom w:val="single" w:sz="4" w:space="0" w:color="auto"/>
              <w:right w:val="single" w:sz="4" w:space="0" w:color="auto"/>
            </w:tcBorders>
            <w:shd w:val="clear" w:color="000000" w:fill="FFFFFF"/>
            <w:noWrap/>
            <w:vAlign w:val="bottom"/>
            <w:hideMark/>
          </w:tcPr>
          <w:p w14:paraId="03CF5D32" w14:textId="77777777" w:rsidR="00F55390" w:rsidRPr="009C4F7E" w:rsidRDefault="00F55390" w:rsidP="00F55390">
            <w:pPr>
              <w:spacing w:after="0" w:line="240" w:lineRule="auto"/>
              <w:rPr>
                <w:rFonts w:ascii="Calibri" w:eastAsia="Times New Roman" w:hAnsi="Calibri" w:cs="Calibri"/>
                <w:i/>
                <w:iCs/>
                <w:color w:val="000000"/>
                <w:lang w:val="es-ES_tradnl"/>
              </w:rPr>
            </w:pPr>
            <w:r w:rsidRPr="009C4F7E">
              <w:rPr>
                <w:rFonts w:ascii="Calibri" w:eastAsia="Times New Roman" w:hAnsi="Calibri" w:cs="Calibri"/>
                <w:i/>
                <w:iCs/>
                <w:color w:val="000000"/>
                <w:lang w:val="es-ES_tradnl"/>
              </w:rPr>
              <w:t>Promedio sectores (ponderado por contribución al empleo) (*)</w:t>
            </w:r>
          </w:p>
        </w:tc>
        <w:tc>
          <w:tcPr>
            <w:tcW w:w="2100" w:type="dxa"/>
            <w:tcBorders>
              <w:top w:val="nil"/>
              <w:left w:val="nil"/>
              <w:bottom w:val="single" w:sz="4" w:space="0" w:color="auto"/>
              <w:right w:val="single" w:sz="4" w:space="0" w:color="auto"/>
            </w:tcBorders>
            <w:shd w:val="clear" w:color="000000" w:fill="FFFFFF"/>
            <w:noWrap/>
            <w:vAlign w:val="bottom"/>
          </w:tcPr>
          <w:p w14:paraId="45370654" w14:textId="14334891" w:rsidR="00F55390" w:rsidRPr="00531D5F" w:rsidRDefault="00F55390" w:rsidP="00F55390">
            <w:pPr>
              <w:spacing w:after="0" w:line="240" w:lineRule="auto"/>
              <w:jc w:val="center"/>
              <w:rPr>
                <w:rFonts w:ascii="Calibri" w:eastAsia="Times New Roman" w:hAnsi="Calibri" w:cs="Calibri"/>
                <w:i/>
                <w:iCs/>
                <w:color w:val="000000"/>
                <w:highlight w:val="yellow"/>
                <w:lang w:val="es-ES_tradnl"/>
              </w:rPr>
            </w:pPr>
            <w:r>
              <w:rPr>
                <w:rFonts w:ascii="Calibri" w:hAnsi="Calibri" w:cs="Calibri"/>
                <w:i/>
                <w:iCs/>
                <w:color w:val="000000"/>
              </w:rPr>
              <w:t>60</w:t>
            </w:r>
          </w:p>
        </w:tc>
      </w:tr>
      <w:tr w:rsidR="00A97C96" w:rsidRPr="00DA6BC4" w14:paraId="6BBD2082" w14:textId="77777777" w:rsidTr="00A97C96">
        <w:trPr>
          <w:divId w:val="1676885892"/>
          <w:trHeight w:val="975"/>
          <w:jc w:val="center"/>
        </w:trPr>
        <w:tc>
          <w:tcPr>
            <w:tcW w:w="8196" w:type="dxa"/>
            <w:gridSpan w:val="2"/>
            <w:tcBorders>
              <w:top w:val="single" w:sz="4" w:space="0" w:color="auto"/>
              <w:left w:val="nil"/>
              <w:bottom w:val="single" w:sz="4" w:space="0" w:color="auto"/>
              <w:right w:val="nil"/>
            </w:tcBorders>
            <w:shd w:val="clear" w:color="000000" w:fill="FFFFFF"/>
            <w:vAlign w:val="bottom"/>
            <w:hideMark/>
          </w:tcPr>
          <w:p w14:paraId="2C4EF296" w14:textId="77777777" w:rsidR="00A97C96" w:rsidRPr="00A97C96" w:rsidRDefault="00A97C96" w:rsidP="00E34617">
            <w:pPr>
              <w:spacing w:after="0" w:line="240" w:lineRule="auto"/>
              <w:rPr>
                <w:rFonts w:ascii="Calibri" w:eastAsia="Times New Roman" w:hAnsi="Calibri" w:cs="Calibri"/>
                <w:color w:val="000000"/>
                <w:sz w:val="18"/>
                <w:szCs w:val="18"/>
                <w:lang w:val="es-ES_tradnl"/>
              </w:rPr>
            </w:pPr>
            <w:r w:rsidRPr="00A97C96">
              <w:rPr>
                <w:rFonts w:ascii="Calibri" w:eastAsia="Times New Roman" w:hAnsi="Calibri" w:cs="Calibri"/>
                <w:color w:val="000000"/>
                <w:sz w:val="18"/>
                <w:szCs w:val="18"/>
                <w:lang w:val="es-ES_tradnl"/>
              </w:rPr>
              <w:t xml:space="preserve">Fuente: IFD/CMF. </w:t>
            </w:r>
            <w:r w:rsidRPr="00A97C96">
              <w:rPr>
                <w:rFonts w:ascii="Calibri" w:eastAsia="Times New Roman" w:hAnsi="Calibri" w:cs="Calibri"/>
                <w:color w:val="000000"/>
                <w:sz w:val="18"/>
                <w:szCs w:val="18"/>
                <w:lang w:val="es-ES_tradnl"/>
              </w:rPr>
              <w:br/>
            </w:r>
            <w:r w:rsidRPr="00A97C96">
              <w:rPr>
                <w:rFonts w:ascii="Calibri" w:eastAsia="Times New Roman" w:hAnsi="Calibri" w:cs="Calibri"/>
                <w:i/>
                <w:iCs/>
                <w:color w:val="000000"/>
                <w:sz w:val="18"/>
                <w:szCs w:val="18"/>
                <w:lang w:val="es-ES_tradnl"/>
              </w:rPr>
              <w:t>(*) La ponderación considera sólo los sectores enumerados.</w:t>
            </w:r>
            <w:r w:rsidRPr="00A97C96">
              <w:rPr>
                <w:rFonts w:ascii="Calibri" w:eastAsia="Times New Roman" w:hAnsi="Calibri" w:cs="Calibri"/>
                <w:i/>
                <w:iCs/>
                <w:color w:val="000000"/>
                <w:sz w:val="18"/>
                <w:szCs w:val="18"/>
                <w:lang w:val="es-ES_tradnl"/>
              </w:rPr>
              <w:br/>
              <w:t>El IV ha sido escalado para tomar valores entre 0 y 100. Un valor más alto indica una mayor vulnerabilidad global del sector.</w:t>
            </w:r>
          </w:p>
        </w:tc>
      </w:tr>
    </w:tbl>
    <w:p w14:paraId="3C106EF7" w14:textId="67ED55B8" w:rsidR="00303A21" w:rsidRPr="00D536DF" w:rsidRDefault="00AA0B5F" w:rsidP="00A700FB">
      <w:pPr>
        <w:jc w:val="both"/>
        <w:rPr>
          <w:lang w:val="es-ES_tradnl"/>
        </w:rPr>
      </w:pPr>
      <w:r w:rsidRPr="00D536DF">
        <w:rPr>
          <w:lang w:val="es-ES_tradnl"/>
        </w:rPr>
        <w:fldChar w:fldCharType="end"/>
      </w:r>
    </w:p>
    <w:p w14:paraId="23669336" w14:textId="3F681D85" w:rsidR="00725F1A" w:rsidRPr="00D536DF" w:rsidRDefault="00725F1A" w:rsidP="00725F1A">
      <w:pPr>
        <w:pStyle w:val="Heading2"/>
        <w:ind w:left="0"/>
        <w:rPr>
          <w:lang w:val="es-ES_tradnl"/>
        </w:rPr>
      </w:pPr>
      <w:bookmarkStart w:id="10" w:name="_Toc36834039"/>
      <w:r w:rsidRPr="00D536DF">
        <w:rPr>
          <w:lang w:val="es-ES_tradnl"/>
        </w:rPr>
        <w:t xml:space="preserve">Situación por </w:t>
      </w:r>
      <w:r w:rsidR="00DA6BC4">
        <w:rPr>
          <w:lang w:val="es-ES_tradnl"/>
        </w:rPr>
        <w:t>S</w:t>
      </w:r>
      <w:r w:rsidRPr="00D536DF">
        <w:rPr>
          <w:lang w:val="es-ES_tradnl"/>
        </w:rPr>
        <w:t>ectores</w:t>
      </w:r>
      <w:bookmarkEnd w:id="10"/>
    </w:p>
    <w:p w14:paraId="1A1F6695" w14:textId="019213B2" w:rsidR="00A216E1" w:rsidRPr="00AD0640" w:rsidRDefault="00A216E1" w:rsidP="00A216E1">
      <w:pPr>
        <w:jc w:val="both"/>
        <w:rPr>
          <w:lang w:val="es-AR"/>
        </w:rPr>
      </w:pPr>
      <w:r w:rsidRPr="00AD0640">
        <w:rPr>
          <w:lang w:val="es-AR"/>
        </w:rPr>
        <w:t>Antes de pasar a la discusión de la situación por sectores, conviene recordar que la metodología utilizada está identificando un grado de vulnerabilidad global del sector determinado por el impacto del COVID-19. El análisis está, por construcción, centrado en los sectores en los que se espera un mayor impacto, por lo que se está graduando a partir de un nivel de vulnerabilidad elevado. Atendiendo a esto, el siguiente cuadro propone los siguientes rangos para la interpretación del índice (que serán usados en la discusión de esta sección).</w:t>
      </w:r>
    </w:p>
    <w:p w14:paraId="41AF141B" w14:textId="77777777" w:rsidR="00A216E1" w:rsidRPr="00AD0640" w:rsidRDefault="00A216E1" w:rsidP="00A216E1">
      <w:pPr>
        <w:spacing w:after="0" w:line="240" w:lineRule="auto"/>
        <w:jc w:val="center"/>
        <w:rPr>
          <w:b/>
          <w:bCs/>
          <w:lang w:val="es-AR"/>
        </w:rPr>
      </w:pPr>
      <w:r w:rsidRPr="00AD0640">
        <w:rPr>
          <w:b/>
          <w:bCs/>
          <w:lang w:val="es-AR"/>
        </w:rPr>
        <w:t>Tabla II.B.1</w:t>
      </w:r>
    </w:p>
    <w:p w14:paraId="74A32F90" w14:textId="77777777" w:rsidR="00A216E1" w:rsidRPr="00AD0640" w:rsidRDefault="00A216E1" w:rsidP="00A216E1">
      <w:pPr>
        <w:spacing w:after="0" w:line="240" w:lineRule="auto"/>
        <w:jc w:val="center"/>
        <w:rPr>
          <w:b/>
          <w:bCs/>
          <w:lang w:val="es-AR"/>
        </w:rPr>
      </w:pPr>
      <w:r w:rsidRPr="00AD0640">
        <w:rPr>
          <w:b/>
          <w:bCs/>
          <w:lang w:val="es-AR"/>
        </w:rPr>
        <w:t>Clasificación cualitativa del</w:t>
      </w:r>
    </w:p>
    <w:p w14:paraId="3364ACC3" w14:textId="77777777" w:rsidR="00A216E1" w:rsidRPr="00AD0640" w:rsidRDefault="00A216E1" w:rsidP="00A216E1">
      <w:pPr>
        <w:spacing w:after="0" w:line="240" w:lineRule="auto"/>
        <w:jc w:val="center"/>
        <w:rPr>
          <w:lang w:val="es-AR"/>
        </w:rPr>
      </w:pPr>
      <w:r w:rsidRPr="00AD0640">
        <w:rPr>
          <w:b/>
          <w:bCs/>
          <w:lang w:val="es-AR"/>
        </w:rPr>
        <w:t>Índice de vulnerabilidad (IV)</w:t>
      </w:r>
      <w:r w:rsidRPr="00AD0640">
        <w:rPr>
          <w:lang w:val="es-AR"/>
        </w:rPr>
        <w:t xml:space="preserve"> </w:t>
      </w:r>
    </w:p>
    <w:tbl>
      <w:tblPr>
        <w:tblW w:w="2785" w:type="dxa"/>
        <w:jc w:val="center"/>
        <w:tblLook w:val="04A0" w:firstRow="1" w:lastRow="0" w:firstColumn="1" w:lastColumn="0" w:noHBand="0" w:noVBand="1"/>
      </w:tblPr>
      <w:tblGrid>
        <w:gridCol w:w="960"/>
        <w:gridCol w:w="1825"/>
      </w:tblGrid>
      <w:tr w:rsidR="00A216E1" w:rsidRPr="00AD0640" w14:paraId="10F3F944" w14:textId="77777777" w:rsidTr="0084412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38447BA6" w14:textId="77777777" w:rsidR="00A216E1" w:rsidRPr="00AD0640" w:rsidRDefault="00A216E1"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IV</w:t>
            </w:r>
          </w:p>
        </w:tc>
        <w:tc>
          <w:tcPr>
            <w:tcW w:w="1825" w:type="dxa"/>
            <w:tcBorders>
              <w:top w:val="single" w:sz="4" w:space="0" w:color="auto"/>
              <w:left w:val="nil"/>
              <w:bottom w:val="single" w:sz="4" w:space="0" w:color="auto"/>
              <w:right w:val="single" w:sz="4" w:space="0" w:color="auto"/>
            </w:tcBorders>
            <w:shd w:val="clear" w:color="000000" w:fill="D9E1F2"/>
            <w:noWrap/>
            <w:vAlign w:val="bottom"/>
            <w:hideMark/>
          </w:tcPr>
          <w:p w14:paraId="36485BBC" w14:textId="77777777" w:rsidR="00A216E1" w:rsidRPr="00AD0640" w:rsidRDefault="00A216E1"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Interpretación</w:t>
            </w:r>
          </w:p>
        </w:tc>
      </w:tr>
      <w:tr w:rsidR="00A216E1" w:rsidRPr="00AD0640" w14:paraId="206971EF"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7AAE617E"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0-24</w:t>
            </w:r>
          </w:p>
        </w:tc>
        <w:tc>
          <w:tcPr>
            <w:tcW w:w="1825" w:type="dxa"/>
            <w:tcBorders>
              <w:top w:val="nil"/>
              <w:left w:val="nil"/>
              <w:bottom w:val="single" w:sz="4" w:space="0" w:color="auto"/>
              <w:right w:val="single" w:sz="4" w:space="0" w:color="auto"/>
            </w:tcBorders>
            <w:shd w:val="clear" w:color="000000" w:fill="FFFFFF"/>
            <w:noWrap/>
            <w:vAlign w:val="bottom"/>
            <w:hideMark/>
          </w:tcPr>
          <w:p w14:paraId="0EDF1D08"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1</w:t>
            </w:r>
          </w:p>
        </w:tc>
      </w:tr>
      <w:tr w:rsidR="00A216E1" w:rsidRPr="00AD0640" w14:paraId="2D299F69"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8448FE1"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25-49</w:t>
            </w:r>
          </w:p>
        </w:tc>
        <w:tc>
          <w:tcPr>
            <w:tcW w:w="1825" w:type="dxa"/>
            <w:tcBorders>
              <w:top w:val="nil"/>
              <w:left w:val="nil"/>
              <w:bottom w:val="single" w:sz="4" w:space="0" w:color="auto"/>
              <w:right w:val="single" w:sz="4" w:space="0" w:color="auto"/>
            </w:tcBorders>
            <w:shd w:val="clear" w:color="000000" w:fill="FFFFFF"/>
            <w:noWrap/>
            <w:vAlign w:val="bottom"/>
            <w:hideMark/>
          </w:tcPr>
          <w:p w14:paraId="49506B1A"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2</w:t>
            </w:r>
          </w:p>
        </w:tc>
      </w:tr>
      <w:tr w:rsidR="00A216E1" w:rsidRPr="00AD0640" w14:paraId="4F4A0E11"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0D54641"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50-74</w:t>
            </w:r>
          </w:p>
        </w:tc>
        <w:tc>
          <w:tcPr>
            <w:tcW w:w="1825" w:type="dxa"/>
            <w:tcBorders>
              <w:top w:val="nil"/>
              <w:left w:val="nil"/>
              <w:bottom w:val="single" w:sz="4" w:space="0" w:color="auto"/>
              <w:right w:val="single" w:sz="4" w:space="0" w:color="auto"/>
            </w:tcBorders>
            <w:shd w:val="clear" w:color="000000" w:fill="FFFFFF"/>
            <w:noWrap/>
            <w:vAlign w:val="bottom"/>
            <w:hideMark/>
          </w:tcPr>
          <w:p w14:paraId="00F4ED8E"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3</w:t>
            </w:r>
          </w:p>
        </w:tc>
      </w:tr>
      <w:tr w:rsidR="00A216E1" w:rsidRPr="00AD0640" w14:paraId="055ADBE9"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70A85D4"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75-100</w:t>
            </w:r>
          </w:p>
        </w:tc>
        <w:tc>
          <w:tcPr>
            <w:tcW w:w="1825" w:type="dxa"/>
            <w:tcBorders>
              <w:top w:val="nil"/>
              <w:left w:val="nil"/>
              <w:bottom w:val="single" w:sz="4" w:space="0" w:color="auto"/>
              <w:right w:val="single" w:sz="4" w:space="0" w:color="auto"/>
            </w:tcBorders>
            <w:shd w:val="clear" w:color="000000" w:fill="FFFFFF"/>
            <w:noWrap/>
            <w:vAlign w:val="bottom"/>
            <w:hideMark/>
          </w:tcPr>
          <w:p w14:paraId="19BD11A6" w14:textId="77777777" w:rsidR="00A216E1" w:rsidRPr="00AD0640" w:rsidRDefault="00A216E1"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4</w:t>
            </w:r>
          </w:p>
        </w:tc>
      </w:tr>
      <w:tr w:rsidR="00A216E1" w:rsidRPr="00AD0640" w14:paraId="37334E53" w14:textId="77777777" w:rsidTr="00844123">
        <w:trPr>
          <w:trHeight w:val="300"/>
          <w:jc w:val="center"/>
        </w:trPr>
        <w:tc>
          <w:tcPr>
            <w:tcW w:w="2785" w:type="dxa"/>
            <w:gridSpan w:val="2"/>
            <w:tcBorders>
              <w:top w:val="nil"/>
              <w:left w:val="nil"/>
              <w:bottom w:val="nil"/>
              <w:right w:val="nil"/>
            </w:tcBorders>
            <w:shd w:val="clear" w:color="000000" w:fill="FFFFFF"/>
            <w:noWrap/>
            <w:vAlign w:val="bottom"/>
            <w:hideMark/>
          </w:tcPr>
          <w:p w14:paraId="498B4E32" w14:textId="77777777" w:rsidR="00A216E1" w:rsidRDefault="00A216E1" w:rsidP="00844123">
            <w:pPr>
              <w:spacing w:after="0" w:line="240" w:lineRule="auto"/>
              <w:rPr>
                <w:rFonts w:ascii="Calibri" w:eastAsia="Times New Roman" w:hAnsi="Calibri" w:cs="Calibri"/>
                <w:color w:val="000000"/>
                <w:sz w:val="18"/>
                <w:szCs w:val="18"/>
                <w:lang w:val="es-AR"/>
              </w:rPr>
            </w:pPr>
            <w:r w:rsidRPr="00AD0640">
              <w:rPr>
                <w:rFonts w:ascii="Calibri" w:eastAsia="Times New Roman" w:hAnsi="Calibri" w:cs="Calibri"/>
                <w:color w:val="000000"/>
                <w:sz w:val="18"/>
                <w:szCs w:val="18"/>
                <w:lang w:val="es-AR"/>
              </w:rPr>
              <w:t>Fuente: IFD/CMF.</w:t>
            </w:r>
          </w:p>
          <w:p w14:paraId="09B31B84" w14:textId="6CD1D954" w:rsidR="00DA6BC4" w:rsidRPr="00AD0640" w:rsidRDefault="00DA6BC4" w:rsidP="00844123">
            <w:pPr>
              <w:spacing w:after="0" w:line="240" w:lineRule="auto"/>
              <w:rPr>
                <w:rFonts w:ascii="Calibri" w:eastAsia="Times New Roman" w:hAnsi="Calibri" w:cs="Calibri"/>
                <w:color w:val="000000"/>
                <w:sz w:val="18"/>
                <w:szCs w:val="18"/>
                <w:lang w:val="es-AR"/>
              </w:rPr>
            </w:pPr>
          </w:p>
        </w:tc>
      </w:tr>
    </w:tbl>
    <w:p w14:paraId="130B2A7A" w14:textId="7AAFF986" w:rsidR="00A97D13" w:rsidRPr="00941B33" w:rsidRDefault="00A97D13" w:rsidP="00A97D13">
      <w:pPr>
        <w:jc w:val="both"/>
        <w:rPr>
          <w:lang w:val="es-ES_tradnl"/>
        </w:rPr>
      </w:pPr>
      <w:r w:rsidRPr="00941B33">
        <w:rPr>
          <w:lang w:val="es-ES_tradnl"/>
        </w:rPr>
        <w:t xml:space="preserve">El </w:t>
      </w:r>
      <w:r w:rsidRPr="00941B33">
        <w:rPr>
          <w:b/>
          <w:bCs/>
          <w:lang w:val="es-ES_tradnl"/>
        </w:rPr>
        <w:t>sector turismo</w:t>
      </w:r>
      <w:r w:rsidRPr="00941B33">
        <w:rPr>
          <w:lang w:val="es-ES_tradnl"/>
        </w:rPr>
        <w:t xml:space="preserve">, presenta un grado de vulnerabilidad </w:t>
      </w:r>
      <w:r w:rsidR="006B2D10">
        <w:rPr>
          <w:lang w:val="es-ES_tradnl"/>
        </w:rPr>
        <w:t>severo</w:t>
      </w:r>
      <w:r w:rsidR="00650B03">
        <w:rPr>
          <w:lang w:val="es-ES_tradnl"/>
        </w:rPr>
        <w:t xml:space="preserve"> de grado </w:t>
      </w:r>
      <w:r w:rsidR="004F08B2">
        <w:rPr>
          <w:lang w:val="es-ES_tradnl"/>
        </w:rPr>
        <w:t>cuatro</w:t>
      </w:r>
      <w:r w:rsidRPr="00941B33">
        <w:rPr>
          <w:lang w:val="es-ES_tradnl"/>
        </w:rPr>
        <w:t xml:space="preserve">, con un índice de vulnerabilidad (IV) de </w:t>
      </w:r>
      <w:r w:rsidR="001C71B9">
        <w:rPr>
          <w:lang w:val="es-ES_tradnl"/>
        </w:rPr>
        <w:t>77</w:t>
      </w:r>
      <w:r w:rsidRPr="00941B33">
        <w:rPr>
          <w:lang w:val="es-ES_tradnl"/>
        </w:rPr>
        <w:t xml:space="preserve">. Según la contribución de los distintos factores al índice global para el sector, se observa que el mayor índice de precepción de la materialización de riesgos se encuentra en los factores de demanda </w:t>
      </w:r>
      <w:r w:rsidR="00531D5F">
        <w:rPr>
          <w:lang w:val="es-ES_tradnl"/>
        </w:rPr>
        <w:t>(</w:t>
      </w:r>
      <w:r w:rsidR="001C71B9">
        <w:rPr>
          <w:lang w:val="es-ES_tradnl"/>
        </w:rPr>
        <w:t>100</w:t>
      </w:r>
      <w:r w:rsidRPr="008A4032">
        <w:rPr>
          <w:lang w:val="es-ES_tradnl"/>
        </w:rPr>
        <w:t xml:space="preserve">), seguido de los </w:t>
      </w:r>
      <w:r w:rsidR="008A4032" w:rsidRPr="008A4032">
        <w:rPr>
          <w:lang w:val="es-ES_tradnl"/>
        </w:rPr>
        <w:t xml:space="preserve">factores de oferta (73) y luego por </w:t>
      </w:r>
      <w:r w:rsidRPr="008A4032">
        <w:rPr>
          <w:lang w:val="es-ES_tradnl"/>
        </w:rPr>
        <w:t>factores financieros y patrimoniales (</w:t>
      </w:r>
      <w:r w:rsidR="008A4032" w:rsidRPr="008A4032">
        <w:rPr>
          <w:lang w:val="es-ES_tradnl"/>
        </w:rPr>
        <w:t>66</w:t>
      </w:r>
      <w:r w:rsidRPr="008A4032">
        <w:rPr>
          <w:lang w:val="es-ES_tradnl"/>
        </w:rPr>
        <w:t>)</w:t>
      </w:r>
      <w:r w:rsidR="008A4032" w:rsidRPr="008A4032">
        <w:rPr>
          <w:lang w:val="es-ES_tradnl"/>
        </w:rPr>
        <w:t>.</w:t>
      </w:r>
      <w:r w:rsidRPr="008A4032">
        <w:rPr>
          <w:lang w:val="es-ES_tradnl"/>
        </w:rPr>
        <w:t xml:space="preserve"> Los factores que menos contribuyen a la volatilidad sectorial son los institucionales</w:t>
      </w:r>
      <w:r w:rsidR="004F08B2" w:rsidRPr="008A4032">
        <w:rPr>
          <w:lang w:val="es-ES_tradnl"/>
        </w:rPr>
        <w:t xml:space="preserve"> (</w:t>
      </w:r>
      <w:r w:rsidR="008A4032" w:rsidRPr="008A4032">
        <w:rPr>
          <w:lang w:val="es-ES_tradnl"/>
        </w:rPr>
        <w:t>50</w:t>
      </w:r>
      <w:r w:rsidR="004F08B2" w:rsidRPr="008A4032">
        <w:rPr>
          <w:lang w:val="es-ES_tradnl"/>
        </w:rPr>
        <w:t>)</w:t>
      </w:r>
      <w:r w:rsidRPr="008A4032">
        <w:rPr>
          <w:lang w:val="es-ES_tradnl"/>
        </w:rPr>
        <w:t>.</w:t>
      </w:r>
      <w:r w:rsidRPr="00941B33">
        <w:rPr>
          <w:lang w:val="es-ES_tradnl"/>
        </w:rPr>
        <w:t xml:space="preserve"> </w:t>
      </w:r>
    </w:p>
    <w:p w14:paraId="2E6937CE" w14:textId="60FF93E6" w:rsidR="00A97D13" w:rsidRDefault="00A97D13" w:rsidP="00A97D13">
      <w:pPr>
        <w:jc w:val="both"/>
        <w:rPr>
          <w:lang w:val="es-ES_tradnl"/>
        </w:rPr>
      </w:pPr>
      <w:r w:rsidRPr="008A4032">
        <w:rPr>
          <w:lang w:val="es-ES_tradnl"/>
        </w:rPr>
        <w:t xml:space="preserve">Dentro de cada uno de estos grupos de factores los más relevantes están relacionados con la reducción de la demanda, tanto interna como externa. </w:t>
      </w:r>
      <w:r w:rsidR="008A4032" w:rsidRPr="008A4032">
        <w:rPr>
          <w:lang w:val="es-ES_tradnl"/>
        </w:rPr>
        <w:t xml:space="preserve">Por el lado de los factores de oferta destacan las restricciones en el uso del factor trabajo y del capital fijo como instalaciones y oficinas como riegos de mayor impacto. También con riesgo elevado la insuficiencia en cantidad y calidad de los insumos y las limitaciones en el acceso a servicios como transporte y comunicaciones. </w:t>
      </w:r>
      <w:r w:rsidRPr="008A4032">
        <w:rPr>
          <w:lang w:val="es-ES_tradnl"/>
        </w:rPr>
        <w:t>Por el lado de los factores financieros y patrimoniales, destaca el retraso o interrupción del ciclo de pagos</w:t>
      </w:r>
      <w:r w:rsidR="008A4032" w:rsidRPr="008A4032">
        <w:rPr>
          <w:lang w:val="es-ES_tradnl"/>
        </w:rPr>
        <w:t>. También se considera elevado el impacto de la</w:t>
      </w:r>
      <w:r w:rsidR="004F08B2" w:rsidRPr="008A4032">
        <w:rPr>
          <w:lang w:val="es-ES_tradnl"/>
        </w:rPr>
        <w:t xml:space="preserve"> reducción en el valor de los activos patrimoniales por la retracción de la demanda</w:t>
      </w:r>
      <w:r w:rsidR="008A4032" w:rsidRPr="008A4032">
        <w:rPr>
          <w:lang w:val="es-ES_tradnl"/>
        </w:rPr>
        <w:t xml:space="preserve"> y la acumulación de pasivos por atrasos en pagos de sueldos, alquileres, etc.</w:t>
      </w:r>
      <w:r w:rsidR="004F08B2" w:rsidRPr="008A4032">
        <w:rPr>
          <w:lang w:val="es-ES_tradnl"/>
        </w:rPr>
        <w:t xml:space="preserve"> También se considera de riesgo </w:t>
      </w:r>
      <w:r w:rsidR="008A4032" w:rsidRPr="008A4032">
        <w:rPr>
          <w:lang w:val="es-ES_tradnl"/>
        </w:rPr>
        <w:t xml:space="preserve">elevado </w:t>
      </w:r>
      <w:r w:rsidRPr="008A4032">
        <w:rPr>
          <w:lang w:val="es-ES_tradnl"/>
        </w:rPr>
        <w:t xml:space="preserve">la reducción o interrupción de financiamientos de corto </w:t>
      </w:r>
      <w:r w:rsidR="004F08B2" w:rsidRPr="008A4032">
        <w:rPr>
          <w:lang w:val="es-ES_tradnl"/>
        </w:rPr>
        <w:t xml:space="preserve">y de mediano </w:t>
      </w:r>
      <w:r w:rsidRPr="008A4032">
        <w:rPr>
          <w:lang w:val="es-ES_tradnl"/>
        </w:rPr>
        <w:t>plazo</w:t>
      </w:r>
      <w:r w:rsidR="008A4032" w:rsidRPr="008A4032">
        <w:rPr>
          <w:lang w:val="es-ES_tradnl"/>
        </w:rPr>
        <w:t>.</w:t>
      </w:r>
      <w:r w:rsidRPr="008A4032">
        <w:rPr>
          <w:lang w:val="es-ES_tradnl"/>
        </w:rPr>
        <w:t xml:space="preserve"> </w:t>
      </w:r>
      <w:r w:rsidR="008A4032" w:rsidRPr="00F55390">
        <w:rPr>
          <w:lang w:val="es-ES_tradnl"/>
        </w:rPr>
        <w:t xml:space="preserve">El sector contribuye un 11,7% al PIB y en un 12,2% al empleo, aproximadamente el 26,4% de su producción se orienta a la demanda externa. Existen </w:t>
      </w:r>
      <w:r w:rsidR="00DA6BC4" w:rsidRPr="00F55390">
        <w:rPr>
          <w:lang w:val="es-ES_tradnl"/>
        </w:rPr>
        <w:t>alrededor</w:t>
      </w:r>
      <w:r w:rsidR="008A4032" w:rsidRPr="00F55390">
        <w:rPr>
          <w:lang w:val="es-ES_tradnl"/>
        </w:rPr>
        <w:t xml:space="preserve"> de 4 mil MiP</w:t>
      </w:r>
      <w:r w:rsidR="00DA6BC4">
        <w:rPr>
          <w:lang w:val="es-ES_tradnl"/>
        </w:rPr>
        <w:t>y</w:t>
      </w:r>
      <w:r w:rsidR="008A4032" w:rsidRPr="00F55390">
        <w:rPr>
          <w:lang w:val="es-ES_tradnl"/>
        </w:rPr>
        <w:t>ME (entre el 85 y el 95% de las empresas del sect</w:t>
      </w:r>
      <w:r w:rsidR="008A4032">
        <w:rPr>
          <w:lang w:val="es-ES_tradnl"/>
        </w:rPr>
        <w:t xml:space="preserve">or). </w:t>
      </w:r>
      <w:r w:rsidRPr="008A4032">
        <w:rPr>
          <w:lang w:val="es-ES_tradnl"/>
        </w:rPr>
        <w:t xml:space="preserve">A </w:t>
      </w:r>
      <w:r w:rsidRPr="008A4032">
        <w:rPr>
          <w:lang w:val="es-ES_tradnl"/>
        </w:rPr>
        <w:lastRenderedPageBreak/>
        <w:t>nivel general, la capacidad de la MiPyME de realizar transferencias por otros canales como el comercio electrónico es</w:t>
      </w:r>
      <w:r w:rsidR="004F08B2" w:rsidRPr="008A4032">
        <w:rPr>
          <w:lang w:val="es-ES_tradnl"/>
        </w:rPr>
        <w:t xml:space="preserve"> medio</w:t>
      </w:r>
      <w:r w:rsidR="008A4032" w:rsidRPr="008A4032">
        <w:rPr>
          <w:lang w:val="es-ES_tradnl"/>
        </w:rPr>
        <w:t>-bajo</w:t>
      </w:r>
      <w:r w:rsidR="004F08B2" w:rsidRPr="008A4032">
        <w:rPr>
          <w:rStyle w:val="FootnoteReference"/>
          <w:lang w:val="es-ES_tradnl"/>
        </w:rPr>
        <w:footnoteReference w:id="5"/>
      </w:r>
      <w:r w:rsidRPr="008A4032">
        <w:rPr>
          <w:lang w:val="es-ES_tradnl"/>
        </w:rPr>
        <w:t>.</w:t>
      </w:r>
      <w:r w:rsidRPr="00941B33">
        <w:rPr>
          <w:lang w:val="es-ES_tradnl"/>
        </w:rPr>
        <w:t xml:space="preserve"> </w:t>
      </w:r>
    </w:p>
    <w:p w14:paraId="0F9E7B1A" w14:textId="72F705E1" w:rsidR="00FD03ED" w:rsidRPr="00FD03ED" w:rsidRDefault="00EA6A8A" w:rsidP="00A97D13">
      <w:pPr>
        <w:jc w:val="both"/>
        <w:rPr>
          <w:b/>
          <w:bCs/>
          <w:lang w:val="es-ES_tradnl"/>
        </w:rPr>
      </w:pPr>
      <w:r w:rsidRPr="00E83B7E">
        <w:rPr>
          <w:lang w:val="es-ES_tradnl"/>
        </w:rPr>
        <w:t xml:space="preserve">El sector </w:t>
      </w:r>
      <w:r w:rsidRPr="00531D5F">
        <w:rPr>
          <w:b/>
          <w:bCs/>
          <w:lang w:val="es-ES_tradnl"/>
        </w:rPr>
        <w:t>transporte</w:t>
      </w:r>
      <w:r>
        <w:rPr>
          <w:lang w:val="es-ES_tradnl"/>
        </w:rPr>
        <w:t xml:space="preserve"> en su conjunto</w:t>
      </w:r>
      <w:r w:rsidRPr="00E83B7E">
        <w:rPr>
          <w:lang w:val="es-ES_tradnl"/>
        </w:rPr>
        <w:t xml:space="preserve"> </w:t>
      </w:r>
      <w:r>
        <w:rPr>
          <w:lang w:val="es-ES_tradnl"/>
        </w:rPr>
        <w:t xml:space="preserve">tiene un grado de vulnerabilidad alto de grado tres con un IV de 57. Su contribución al empleo es del 3,05%. </w:t>
      </w:r>
      <w:r w:rsidRPr="00E83B7E">
        <w:rPr>
          <w:lang w:val="es-ES_tradnl"/>
        </w:rPr>
        <w:t xml:space="preserve"> </w:t>
      </w:r>
      <w:r>
        <w:rPr>
          <w:lang w:val="es-ES_tradnl"/>
        </w:rPr>
        <w:t xml:space="preserve">Contribuye </w:t>
      </w:r>
      <w:r w:rsidRPr="00E83B7E">
        <w:rPr>
          <w:lang w:val="es-ES_tradnl"/>
        </w:rPr>
        <w:t xml:space="preserve">al nivel de actividad en un </w:t>
      </w:r>
      <w:r>
        <w:rPr>
          <w:lang w:val="es-ES_tradnl"/>
        </w:rPr>
        <w:t>3,49</w:t>
      </w:r>
      <w:r w:rsidRPr="00E83B7E">
        <w:rPr>
          <w:lang w:val="es-ES_tradnl"/>
        </w:rPr>
        <w:t>%.</w:t>
      </w:r>
      <w:r>
        <w:rPr>
          <w:lang w:val="es-ES_tradnl"/>
        </w:rPr>
        <w:t xml:space="preserve"> El 25% de las MIPYME proveedoras de servicios son empresas de transporte</w:t>
      </w:r>
      <w:r w:rsidRPr="00EA6A8A">
        <w:rPr>
          <w:lang w:val="es-ES_tradnl"/>
        </w:rPr>
        <w:t xml:space="preserve">.  El sector de </w:t>
      </w:r>
      <w:r w:rsidRPr="00EA6A8A">
        <w:rPr>
          <w:b/>
          <w:bCs/>
          <w:lang w:val="es-ES_tradnl"/>
        </w:rPr>
        <w:t xml:space="preserve">transporte </w:t>
      </w:r>
      <w:r w:rsidRPr="00EA6A8A">
        <w:rPr>
          <w:lang w:val="es-ES_tradnl"/>
        </w:rPr>
        <w:t xml:space="preserve">tiene un grado de vulnerabilidad severo de grado tres, (con un IV de 57), como resultado de factores de severidad de los riesgos especialmente en restricciones de demanda (66) y temas financieros patrimoniales (61). Destacan los riesgos percibidos financieros de retrasos en la interrupción de ciclos de pagos y la acumulación de pasivos.  En menor medida, se perciben riesgos altos de reducción en la oferta por limitación de la fuerza del trabajo y del capital, y acceso a servicios, De lado de la demanda, la caída tanto de la demanda interna como de exportación, y de financiamiento de corto y mediano plazo, y por último la incertidumbre institucional y legal. El subsector de </w:t>
      </w:r>
      <w:r w:rsidRPr="00EA6A8A">
        <w:rPr>
          <w:b/>
          <w:bCs/>
          <w:lang w:val="es-ES_tradnl"/>
        </w:rPr>
        <w:t>transporte de pasajeros</w:t>
      </w:r>
      <w:r w:rsidRPr="00EA6A8A">
        <w:rPr>
          <w:lang w:val="es-ES_tradnl"/>
        </w:rPr>
        <w:t xml:space="preserve"> tiene un mayor grado de vulnerabilidad (59),</w:t>
      </w:r>
      <w:r>
        <w:rPr>
          <w:lang w:val="es-ES_tradnl"/>
        </w:rPr>
        <w:t xml:space="preserve"> en donde se perciben riesgos mayores desde el punto de vista de las limitaciones de la fuerza de trabajo, la reducción de la demanda interna, el retraso o interrupción de los ciclos de pagos, y la acumulación de pasivos. </w:t>
      </w:r>
    </w:p>
    <w:p w14:paraId="3DB03737" w14:textId="74F1707D" w:rsidR="00DB4934" w:rsidRDefault="00094F02" w:rsidP="00DB4934">
      <w:pPr>
        <w:jc w:val="both"/>
        <w:rPr>
          <w:lang w:val="es-ES_tradnl"/>
        </w:rPr>
      </w:pPr>
      <w:r>
        <w:rPr>
          <w:lang w:val="es-ES_tradnl"/>
        </w:rPr>
        <w:t xml:space="preserve">El sector </w:t>
      </w:r>
      <w:r w:rsidRPr="00420B9E">
        <w:rPr>
          <w:b/>
          <w:bCs/>
          <w:lang w:val="es-ES_tradnl"/>
        </w:rPr>
        <w:t>agro</w:t>
      </w:r>
      <w:r w:rsidR="00650B03">
        <w:rPr>
          <w:b/>
          <w:bCs/>
          <w:lang w:val="es-ES_tradnl"/>
        </w:rPr>
        <w:t>alimentario</w:t>
      </w:r>
      <w:r>
        <w:rPr>
          <w:b/>
          <w:bCs/>
          <w:lang w:val="es-ES_tradnl"/>
        </w:rPr>
        <w:t xml:space="preserve"> </w:t>
      </w:r>
      <w:r>
        <w:rPr>
          <w:lang w:val="es-ES_tradnl"/>
        </w:rPr>
        <w:t xml:space="preserve">tiene un grado de vulnerabilidad </w:t>
      </w:r>
      <w:r w:rsidR="00650B03">
        <w:rPr>
          <w:lang w:val="es-ES_tradnl"/>
        </w:rPr>
        <w:t xml:space="preserve">severo de grado </w:t>
      </w:r>
      <w:r w:rsidR="00531D5F">
        <w:rPr>
          <w:lang w:val="es-ES_tradnl"/>
        </w:rPr>
        <w:t>tres</w:t>
      </w:r>
      <w:r w:rsidR="00650B03">
        <w:rPr>
          <w:lang w:val="es-ES_tradnl"/>
        </w:rPr>
        <w:t xml:space="preserve">, </w:t>
      </w:r>
      <w:r>
        <w:rPr>
          <w:lang w:val="es-ES_tradnl"/>
        </w:rPr>
        <w:t xml:space="preserve">con un índice de </w:t>
      </w:r>
      <w:r w:rsidR="00531D5F">
        <w:rPr>
          <w:lang w:val="es-ES_tradnl"/>
        </w:rPr>
        <w:t>56</w:t>
      </w:r>
      <w:r>
        <w:rPr>
          <w:lang w:val="es-ES_tradnl"/>
        </w:rPr>
        <w:t xml:space="preserve">, guiado por factores de percepción de riesgo </w:t>
      </w:r>
      <w:r w:rsidR="00803756">
        <w:rPr>
          <w:lang w:val="es-ES_tradnl"/>
        </w:rPr>
        <w:t xml:space="preserve">significativo </w:t>
      </w:r>
      <w:r w:rsidR="00DB4934">
        <w:rPr>
          <w:lang w:val="es-ES_tradnl"/>
        </w:rPr>
        <w:t>de oferta (66) y financieros y patrimoniales (61)</w:t>
      </w:r>
      <w:r>
        <w:rPr>
          <w:lang w:val="es-ES_tradnl"/>
        </w:rPr>
        <w:t xml:space="preserve">. </w:t>
      </w:r>
      <w:r w:rsidR="00650B03">
        <w:rPr>
          <w:lang w:val="es-ES_tradnl"/>
        </w:rPr>
        <w:t xml:space="preserve">El índice de vulnerabilidad contempla el análisis para el subsector </w:t>
      </w:r>
      <w:r w:rsidR="004A113A">
        <w:rPr>
          <w:lang w:val="es-ES_tradnl"/>
        </w:rPr>
        <w:t xml:space="preserve">de </w:t>
      </w:r>
      <w:r w:rsidR="00DB4934">
        <w:rPr>
          <w:lang w:val="es-ES_tradnl"/>
        </w:rPr>
        <w:t>pequeños y medianos (43), grandes (49) productores, MiP</w:t>
      </w:r>
      <w:r w:rsidR="00DA6BC4">
        <w:rPr>
          <w:lang w:val="es-ES_tradnl"/>
        </w:rPr>
        <w:t>y</w:t>
      </w:r>
      <w:r w:rsidR="00DB4934">
        <w:rPr>
          <w:lang w:val="es-ES_tradnl"/>
        </w:rPr>
        <w:t>M</w:t>
      </w:r>
      <w:r w:rsidR="008A4032">
        <w:rPr>
          <w:lang w:val="es-ES_tradnl"/>
        </w:rPr>
        <w:t>E</w:t>
      </w:r>
      <w:r w:rsidR="00DB4934">
        <w:rPr>
          <w:lang w:val="es-ES_tradnl"/>
        </w:rPr>
        <w:t xml:space="preserve"> (50) y Agroindustria, </w:t>
      </w:r>
      <w:r w:rsidR="00650B03">
        <w:rPr>
          <w:lang w:val="es-ES_tradnl"/>
        </w:rPr>
        <w:t xml:space="preserve">encontrando riesgos </w:t>
      </w:r>
      <w:r w:rsidR="004A113A">
        <w:rPr>
          <w:lang w:val="es-ES_tradnl"/>
        </w:rPr>
        <w:t xml:space="preserve">mayores en el </w:t>
      </w:r>
      <w:r w:rsidR="00DB4934">
        <w:rPr>
          <w:lang w:val="es-ES_tradnl"/>
        </w:rPr>
        <w:t>sub</w:t>
      </w:r>
      <w:r w:rsidR="004A113A">
        <w:rPr>
          <w:lang w:val="es-ES_tradnl"/>
        </w:rPr>
        <w:t xml:space="preserve">sector de </w:t>
      </w:r>
      <w:r w:rsidR="00DB4934">
        <w:rPr>
          <w:lang w:val="es-ES_tradnl"/>
        </w:rPr>
        <w:t>agroindustria (53)</w:t>
      </w:r>
      <w:r w:rsidR="00650B03">
        <w:rPr>
          <w:lang w:val="es-ES_tradnl"/>
        </w:rPr>
        <w:t xml:space="preserve">, fundamentalmente limitaciones </w:t>
      </w:r>
      <w:r w:rsidR="002B00EE">
        <w:rPr>
          <w:lang w:val="es-ES_tradnl"/>
        </w:rPr>
        <w:t xml:space="preserve">severas </w:t>
      </w:r>
      <w:r w:rsidR="00650B03">
        <w:rPr>
          <w:lang w:val="es-ES_tradnl"/>
        </w:rPr>
        <w:t xml:space="preserve">en </w:t>
      </w:r>
      <w:r w:rsidR="00DB4934">
        <w:rPr>
          <w:lang w:val="es-ES_tradnl"/>
        </w:rPr>
        <w:t>las limitaciones</w:t>
      </w:r>
      <w:r w:rsidR="004A113A">
        <w:rPr>
          <w:lang w:val="es-ES_tradnl"/>
        </w:rPr>
        <w:t xml:space="preserve"> de la </w:t>
      </w:r>
      <w:r w:rsidR="00DB4934">
        <w:rPr>
          <w:lang w:val="es-ES_tradnl"/>
        </w:rPr>
        <w:t>oferta como mano de obra y capital fijo</w:t>
      </w:r>
      <w:r w:rsidR="004A113A">
        <w:rPr>
          <w:lang w:val="es-ES_tradnl"/>
        </w:rPr>
        <w:t xml:space="preserve">. </w:t>
      </w:r>
      <w:r w:rsidR="00DB4934" w:rsidRPr="00E83B7E">
        <w:rPr>
          <w:lang w:val="es-ES_tradnl"/>
        </w:rPr>
        <w:t xml:space="preserve">El sector tiene una contribución alta al empleo, en un </w:t>
      </w:r>
      <w:r w:rsidR="00DB4934">
        <w:rPr>
          <w:lang w:val="es-ES_tradnl"/>
        </w:rPr>
        <w:t>32</w:t>
      </w:r>
      <w:r w:rsidR="00DB4934" w:rsidRPr="00E83B7E">
        <w:rPr>
          <w:lang w:val="es-ES_tradnl"/>
        </w:rPr>
        <w:t>%</w:t>
      </w:r>
      <w:r w:rsidR="00DB4934">
        <w:rPr>
          <w:lang w:val="es-ES_tradnl"/>
        </w:rPr>
        <w:t xml:space="preserve"> de la población activa,</w:t>
      </w:r>
      <w:r w:rsidR="00DB4934" w:rsidRPr="00E83B7E">
        <w:rPr>
          <w:lang w:val="es-ES_tradnl"/>
        </w:rPr>
        <w:t xml:space="preserve"> </w:t>
      </w:r>
      <w:r w:rsidR="00DB4934">
        <w:rPr>
          <w:lang w:val="es-ES_tradnl"/>
        </w:rPr>
        <w:t>con más de 50 mil MiP</w:t>
      </w:r>
      <w:r w:rsidR="00DA6BC4">
        <w:rPr>
          <w:lang w:val="es-ES_tradnl"/>
        </w:rPr>
        <w:t>y</w:t>
      </w:r>
      <w:r w:rsidR="00DB4934">
        <w:rPr>
          <w:lang w:val="es-ES_tradnl"/>
        </w:rPr>
        <w:t>ME, el 40% de las MiP</w:t>
      </w:r>
      <w:r w:rsidR="00DA6BC4">
        <w:rPr>
          <w:lang w:val="es-ES_tradnl"/>
        </w:rPr>
        <w:t>y</w:t>
      </w:r>
      <w:r w:rsidR="00DB4934">
        <w:rPr>
          <w:lang w:val="es-ES_tradnl"/>
        </w:rPr>
        <w:t xml:space="preserve">ME se dedican a procesamiento en el agro. El sector </w:t>
      </w:r>
      <w:r w:rsidR="00DB4934" w:rsidRPr="00E83B7E">
        <w:rPr>
          <w:lang w:val="es-ES_tradnl"/>
        </w:rPr>
        <w:t xml:space="preserve">contribuye en </w:t>
      </w:r>
      <w:r w:rsidR="00DB4934">
        <w:rPr>
          <w:lang w:val="es-ES_tradnl"/>
        </w:rPr>
        <w:t>25</w:t>
      </w:r>
      <w:r w:rsidR="00DB4934" w:rsidRPr="00E83B7E">
        <w:rPr>
          <w:lang w:val="es-ES_tradnl"/>
        </w:rPr>
        <w:t>% al nivel de actividad</w:t>
      </w:r>
      <w:r w:rsidR="00DB4934">
        <w:rPr>
          <w:lang w:val="es-ES_tradnl"/>
        </w:rPr>
        <w:t xml:space="preserve">, si se considera la actividad de la industria agroalimentaria (50%) el valor se incrementa. </w:t>
      </w:r>
      <w:r w:rsidR="00DB4934" w:rsidRPr="00E83B7E">
        <w:rPr>
          <w:lang w:val="es-ES_tradnl"/>
        </w:rPr>
        <w:t xml:space="preserve">Además, más del </w:t>
      </w:r>
      <w:r w:rsidR="00DB4934">
        <w:rPr>
          <w:lang w:val="es-ES_tradnl"/>
        </w:rPr>
        <w:t>67,1</w:t>
      </w:r>
      <w:r w:rsidR="00DB4934" w:rsidRPr="00E83B7E">
        <w:rPr>
          <w:lang w:val="es-ES_tradnl"/>
        </w:rPr>
        <w:t xml:space="preserve">% de </w:t>
      </w:r>
      <w:r w:rsidR="00DB4934">
        <w:rPr>
          <w:lang w:val="es-ES_tradnl"/>
        </w:rPr>
        <w:t>la</w:t>
      </w:r>
      <w:r w:rsidR="00DB4934" w:rsidRPr="00E83B7E">
        <w:rPr>
          <w:lang w:val="es-ES_tradnl"/>
        </w:rPr>
        <w:t xml:space="preserve"> producción </w:t>
      </w:r>
      <w:r w:rsidR="00DB4934">
        <w:rPr>
          <w:lang w:val="es-ES_tradnl"/>
        </w:rPr>
        <w:t xml:space="preserve">del sector agroalimentario </w:t>
      </w:r>
      <w:r w:rsidR="00DB4934" w:rsidRPr="00E83B7E">
        <w:rPr>
          <w:lang w:val="es-ES_tradnl"/>
        </w:rPr>
        <w:t>se destina a exportación.</w:t>
      </w:r>
    </w:p>
    <w:p w14:paraId="1A4C0F63" w14:textId="012239A2" w:rsidR="00EA6A8A" w:rsidRDefault="00EA6A8A" w:rsidP="00EA6A8A">
      <w:pPr>
        <w:jc w:val="both"/>
        <w:rPr>
          <w:lang w:val="es-ES_tradnl"/>
        </w:rPr>
      </w:pPr>
      <w:r>
        <w:rPr>
          <w:lang w:val="es-ES_tradnl"/>
        </w:rPr>
        <w:t xml:space="preserve">El sector de </w:t>
      </w:r>
      <w:r w:rsidRPr="007B207F">
        <w:rPr>
          <w:b/>
          <w:bCs/>
          <w:lang w:val="es-ES_tradnl"/>
        </w:rPr>
        <w:t xml:space="preserve">textil </w:t>
      </w:r>
      <w:r>
        <w:rPr>
          <w:b/>
          <w:bCs/>
          <w:lang w:val="es-ES_tradnl"/>
        </w:rPr>
        <w:t xml:space="preserve">y maquila </w:t>
      </w:r>
      <w:r>
        <w:rPr>
          <w:lang w:val="es-ES_tradnl"/>
        </w:rPr>
        <w:t>tiene un grado de vulnerabilidad severo de grado dos, con un índice de 53. Los factores que más contribuyen son los de oferta (66), seguidos de los de demanda (50) e institucionales (50). Del lado de la oferta les afectan factores de limitaciones en el uso del factor trabajo y de capital fijo como maquinaria e instalaciones), del lado de la demanda se consideran factores con una elevada percepción del riesgo la caída en la demanda de exportación. Mientras que, desde el lado financiero y patrimonial, se resalta el retraso e interrupción de los ciclos de pagos y la reducción en el valor de los activos.</w:t>
      </w:r>
      <w:r w:rsidRPr="00531D5F">
        <w:rPr>
          <w:lang w:val="es-ES_tradnl"/>
        </w:rPr>
        <w:t xml:space="preserve"> </w:t>
      </w:r>
      <w:r>
        <w:rPr>
          <w:lang w:val="es-ES_tradnl"/>
        </w:rPr>
        <w:t xml:space="preserve">El sector de textil, cuero y calzado contribuye en un 3,23% al total de empleos y un 26,1% al PIB. </w:t>
      </w:r>
      <w:r w:rsidRPr="004B5F36">
        <w:rPr>
          <w:lang w:val="es-ES_tradnl"/>
        </w:rPr>
        <w:t>La actividad del sector industrial se centra en productos de bajo valor añadido, correspondiendo</w:t>
      </w:r>
      <w:r>
        <w:rPr>
          <w:lang w:val="es-ES_tradnl"/>
        </w:rPr>
        <w:t xml:space="preserve"> </w:t>
      </w:r>
      <w:r w:rsidRPr="004B5F36">
        <w:rPr>
          <w:lang w:val="es-ES_tradnl"/>
        </w:rPr>
        <w:t>la mayor participación a las manufacturas, procedentes principalmente de la maquila (17% del VAB).</w:t>
      </w:r>
      <w:r>
        <w:rPr>
          <w:lang w:val="es-ES_tradnl"/>
        </w:rPr>
        <w:t xml:space="preserve"> El 42% del valor de la producción se exporta.</w:t>
      </w:r>
      <w:r w:rsidRPr="00EA6A8A">
        <w:rPr>
          <w:lang w:val="es-ES_tradnl"/>
        </w:rPr>
        <w:t xml:space="preserve"> </w:t>
      </w:r>
    </w:p>
    <w:p w14:paraId="1909A703" w14:textId="2258E98C" w:rsidR="00DA6BC4" w:rsidRDefault="00DA6BC4" w:rsidP="00EA6A8A">
      <w:pPr>
        <w:jc w:val="both"/>
        <w:rPr>
          <w:lang w:val="es-ES_tradnl"/>
        </w:rPr>
      </w:pPr>
    </w:p>
    <w:p w14:paraId="48045B77" w14:textId="6A35BDE1" w:rsidR="00DA6BC4" w:rsidRDefault="00DA6BC4" w:rsidP="00EA6A8A">
      <w:pPr>
        <w:jc w:val="both"/>
        <w:rPr>
          <w:lang w:val="es-ES_tradnl"/>
        </w:rPr>
      </w:pPr>
    </w:p>
    <w:p w14:paraId="2AC25A93" w14:textId="77777777" w:rsidR="00DA6BC4" w:rsidRDefault="00DA6BC4" w:rsidP="00EA6A8A">
      <w:pPr>
        <w:jc w:val="both"/>
        <w:rPr>
          <w:lang w:val="es-ES_tradnl"/>
        </w:rPr>
      </w:pPr>
    </w:p>
    <w:p w14:paraId="7C473A84" w14:textId="0C8D5958" w:rsidR="004F54FB" w:rsidRPr="008A4032" w:rsidRDefault="00DF757D" w:rsidP="0033629B">
      <w:pPr>
        <w:spacing w:after="0" w:line="240" w:lineRule="auto"/>
        <w:jc w:val="center"/>
        <w:rPr>
          <w:b/>
          <w:bCs/>
          <w:lang w:val="es-ES_tradnl"/>
        </w:rPr>
      </w:pPr>
      <w:r w:rsidRPr="008A4032">
        <w:rPr>
          <w:b/>
          <w:bCs/>
          <w:lang w:val="es-ES_tradnl"/>
        </w:rPr>
        <w:t>Tabla II.B.1</w:t>
      </w:r>
    </w:p>
    <w:p w14:paraId="18468152" w14:textId="399BCE8D" w:rsidR="00DF757D" w:rsidRPr="00D536DF" w:rsidRDefault="0033629B" w:rsidP="0033629B">
      <w:pPr>
        <w:spacing w:after="0" w:line="240" w:lineRule="auto"/>
        <w:jc w:val="center"/>
        <w:rPr>
          <w:b/>
          <w:bCs/>
          <w:lang w:val="es-ES"/>
        </w:rPr>
      </w:pPr>
      <w:r w:rsidRPr="008A4032">
        <w:rPr>
          <w:b/>
          <w:bCs/>
          <w:lang w:val="es-ES_tradnl"/>
        </w:rPr>
        <w:lastRenderedPageBreak/>
        <w:t>Situación por sectores</w:t>
      </w:r>
    </w:p>
    <w:p w14:paraId="31B644F0" w14:textId="7CE439A1" w:rsidR="0033629B" w:rsidRDefault="0033629B" w:rsidP="0033629B">
      <w:pPr>
        <w:spacing w:after="0" w:line="240" w:lineRule="auto"/>
        <w:jc w:val="center"/>
        <w:rPr>
          <w:b/>
          <w:bCs/>
          <w:lang w:val="es-ES_tradnl"/>
        </w:rPr>
      </w:pPr>
    </w:p>
    <w:p w14:paraId="5A83D77D" w14:textId="3FA2F5F0" w:rsidR="004A113A" w:rsidRDefault="008A4032" w:rsidP="0033629B">
      <w:pPr>
        <w:spacing w:after="0" w:line="240" w:lineRule="auto"/>
        <w:jc w:val="center"/>
        <w:rPr>
          <w:b/>
          <w:bCs/>
          <w:lang w:val="es-ES_tradnl"/>
        </w:rPr>
      </w:pPr>
      <w:r w:rsidRPr="008A4032">
        <w:rPr>
          <w:noProof/>
        </w:rPr>
        <w:drawing>
          <wp:inline distT="0" distB="0" distL="0" distR="0" wp14:anchorId="540A7BA0" wp14:editId="5F04357A">
            <wp:extent cx="5943600" cy="34759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475990"/>
                    </a:xfrm>
                    <a:prstGeom prst="rect">
                      <a:avLst/>
                    </a:prstGeom>
                    <a:noFill/>
                    <a:ln>
                      <a:noFill/>
                    </a:ln>
                  </pic:spPr>
                </pic:pic>
              </a:graphicData>
            </a:graphic>
          </wp:inline>
        </w:drawing>
      </w:r>
    </w:p>
    <w:p w14:paraId="76C6CF17" w14:textId="77777777" w:rsidR="004A113A" w:rsidRPr="00E83B7E" w:rsidRDefault="004A113A" w:rsidP="0033629B">
      <w:pPr>
        <w:spacing w:after="0" w:line="240" w:lineRule="auto"/>
        <w:jc w:val="center"/>
        <w:rPr>
          <w:b/>
          <w:bCs/>
          <w:lang w:val="es-ES_tradnl"/>
        </w:rPr>
      </w:pPr>
    </w:p>
    <w:p w14:paraId="23D11D59" w14:textId="679369EC" w:rsidR="00404E61" w:rsidRPr="00E83B7E" w:rsidRDefault="00404E61" w:rsidP="00404E61">
      <w:pPr>
        <w:spacing w:after="0" w:line="240" w:lineRule="auto"/>
        <w:rPr>
          <w:sz w:val="18"/>
          <w:szCs w:val="18"/>
          <w:lang w:val="es-ES_tradnl"/>
        </w:rPr>
      </w:pPr>
      <w:r w:rsidRPr="00E83B7E">
        <w:rPr>
          <w:sz w:val="18"/>
          <w:szCs w:val="18"/>
          <w:lang w:val="es-ES_tradnl"/>
        </w:rPr>
        <w:t xml:space="preserve">Fuente: </w:t>
      </w:r>
      <w:r w:rsidR="009E067C">
        <w:rPr>
          <w:sz w:val="18"/>
          <w:szCs w:val="18"/>
          <w:lang w:val="es-ES_tradnl"/>
        </w:rPr>
        <w:t>Elaboración propia</w:t>
      </w:r>
      <w:r w:rsidRPr="00E83B7E">
        <w:rPr>
          <w:sz w:val="18"/>
          <w:szCs w:val="18"/>
          <w:lang w:val="es-ES_tradnl"/>
        </w:rPr>
        <w:t>.</w:t>
      </w:r>
    </w:p>
    <w:p w14:paraId="43F989F6" w14:textId="1DC6E638" w:rsidR="00B506B7" w:rsidRDefault="00B506B7" w:rsidP="00A700FB">
      <w:pPr>
        <w:jc w:val="both"/>
        <w:rPr>
          <w:lang w:val="es-ES_tradnl"/>
        </w:rPr>
      </w:pPr>
    </w:p>
    <w:p w14:paraId="0CA925C5" w14:textId="318E5DBA" w:rsidR="00AB05B2" w:rsidRPr="00E83B7E" w:rsidRDefault="00AB05B2" w:rsidP="0007292C">
      <w:pPr>
        <w:pStyle w:val="Heading1"/>
        <w:jc w:val="both"/>
        <w:rPr>
          <w:lang w:val="es-ES_tradnl"/>
        </w:rPr>
      </w:pPr>
      <w:bookmarkStart w:id="11" w:name="_Toc36834040"/>
      <w:r w:rsidRPr="00E83B7E">
        <w:rPr>
          <w:lang w:val="es-ES_tradnl"/>
        </w:rPr>
        <w:t>Conclusión</w:t>
      </w:r>
      <w:bookmarkEnd w:id="11"/>
      <w:r w:rsidRPr="00E83B7E">
        <w:rPr>
          <w:lang w:val="es-ES_tradnl"/>
        </w:rPr>
        <w:t xml:space="preserve"> </w:t>
      </w:r>
    </w:p>
    <w:p w14:paraId="65A8F1B5" w14:textId="09EDC900" w:rsidR="00A700FB" w:rsidRPr="00E83B7E" w:rsidRDefault="00A700FB" w:rsidP="00A700FB">
      <w:pPr>
        <w:jc w:val="both"/>
        <w:rPr>
          <w:lang w:val="es-ES_tradnl"/>
        </w:rPr>
      </w:pPr>
      <w:r w:rsidRPr="00E83B7E">
        <w:rPr>
          <w:lang w:val="es-ES_tradnl"/>
        </w:rPr>
        <w:t xml:space="preserve">El análisis concluye que los sectores productivos que pueden considerarse de mayor vulnerabilidad en </w:t>
      </w:r>
      <w:r w:rsidR="008B46A6">
        <w:rPr>
          <w:lang w:val="es-ES_tradnl"/>
        </w:rPr>
        <w:t>Honduras</w:t>
      </w:r>
      <w:r w:rsidRPr="00E83B7E">
        <w:rPr>
          <w:lang w:val="es-ES_tradnl"/>
        </w:rPr>
        <w:t xml:space="preserve"> ante la crisis del COVID-19</w:t>
      </w:r>
      <w:r w:rsidR="00994BAE" w:rsidRPr="00E83B7E">
        <w:rPr>
          <w:lang w:val="es-ES_tradnl"/>
        </w:rPr>
        <w:t xml:space="preserve"> dentro de los analizados</w:t>
      </w:r>
      <w:r w:rsidRPr="00E83B7E">
        <w:rPr>
          <w:lang w:val="es-ES_tradnl"/>
        </w:rPr>
        <w:t xml:space="preserve"> son: </w:t>
      </w:r>
      <w:r w:rsidR="002B14AC" w:rsidRPr="008A4032">
        <w:rPr>
          <w:lang w:val="es-ES_tradnl"/>
        </w:rPr>
        <w:t xml:space="preserve">turismo </w:t>
      </w:r>
      <w:r w:rsidR="002B00EE" w:rsidRPr="008A4032">
        <w:rPr>
          <w:lang w:val="es-ES_tradnl"/>
        </w:rPr>
        <w:t>con un impacto severo de grado cuatro, seguido de</w:t>
      </w:r>
      <w:r w:rsidR="00490F29" w:rsidRPr="008A4032">
        <w:rPr>
          <w:lang w:val="es-ES_tradnl"/>
        </w:rPr>
        <w:t>l</w:t>
      </w:r>
      <w:r w:rsidR="002B00EE" w:rsidRPr="008A4032">
        <w:rPr>
          <w:lang w:val="es-ES_tradnl"/>
        </w:rPr>
        <w:t xml:space="preserve"> </w:t>
      </w:r>
      <w:r w:rsidR="00490F29" w:rsidRPr="008A4032">
        <w:rPr>
          <w:lang w:val="es-ES_tradnl"/>
        </w:rPr>
        <w:t>sector</w:t>
      </w:r>
      <w:r w:rsidR="002B00EE" w:rsidRPr="008A4032">
        <w:rPr>
          <w:lang w:val="es-ES_tradnl"/>
        </w:rPr>
        <w:t xml:space="preserve"> </w:t>
      </w:r>
      <w:r w:rsidR="00490F29" w:rsidRPr="008A4032">
        <w:rPr>
          <w:lang w:val="es-ES_tradnl"/>
        </w:rPr>
        <w:t xml:space="preserve">transporte de </w:t>
      </w:r>
      <w:r w:rsidR="008A4032" w:rsidRPr="008A4032">
        <w:rPr>
          <w:lang w:val="es-ES_tradnl"/>
        </w:rPr>
        <w:t>pasajeros, sector agropecuario, y textil</w:t>
      </w:r>
      <w:r w:rsidR="00B75B80">
        <w:rPr>
          <w:lang w:val="es-ES_tradnl"/>
        </w:rPr>
        <w:t>-maquila</w:t>
      </w:r>
      <w:r w:rsidR="00490F29" w:rsidRPr="008A4032">
        <w:rPr>
          <w:lang w:val="es-ES_tradnl"/>
        </w:rPr>
        <w:t xml:space="preserve"> </w:t>
      </w:r>
      <w:r w:rsidR="00EC45B4" w:rsidRPr="008A4032">
        <w:rPr>
          <w:lang w:val="es-ES_tradnl"/>
        </w:rPr>
        <w:t>con severidad de grado tres</w:t>
      </w:r>
      <w:r w:rsidR="0077797C" w:rsidRPr="008A4032">
        <w:rPr>
          <w:lang w:val="es-ES_tradnl"/>
        </w:rPr>
        <w:t xml:space="preserve">. </w:t>
      </w:r>
      <w:r w:rsidR="008A4032" w:rsidRPr="008A4032">
        <w:rPr>
          <w:lang w:val="es-ES_tradnl"/>
        </w:rPr>
        <w:t>El</w:t>
      </w:r>
      <w:r w:rsidR="00490F29" w:rsidRPr="008A4032">
        <w:rPr>
          <w:lang w:val="es-ES_tradnl"/>
        </w:rPr>
        <w:t xml:space="preserve"> </w:t>
      </w:r>
      <w:r w:rsidR="008A4032" w:rsidRPr="008A4032">
        <w:rPr>
          <w:lang w:val="es-ES_tradnl"/>
        </w:rPr>
        <w:t>subsector de</w:t>
      </w:r>
      <w:r w:rsidR="002B14AC" w:rsidRPr="008A4032">
        <w:rPr>
          <w:lang w:val="es-ES_tradnl"/>
        </w:rPr>
        <w:t xml:space="preserve"> transporte de </w:t>
      </w:r>
      <w:r w:rsidR="008A4032" w:rsidRPr="008A4032">
        <w:rPr>
          <w:lang w:val="es-ES_tradnl"/>
        </w:rPr>
        <w:t>carga</w:t>
      </w:r>
      <w:r w:rsidR="002B14AC" w:rsidRPr="008A4032">
        <w:rPr>
          <w:lang w:val="es-ES_tradnl"/>
        </w:rPr>
        <w:t xml:space="preserve"> </w:t>
      </w:r>
      <w:r w:rsidR="0077797C" w:rsidRPr="008A4032">
        <w:rPr>
          <w:lang w:val="es-ES_tradnl"/>
        </w:rPr>
        <w:t xml:space="preserve">se encuentra en una situación </w:t>
      </w:r>
      <w:r w:rsidR="00A044C9" w:rsidRPr="008A4032">
        <w:rPr>
          <w:lang w:val="es-ES_tradnl"/>
        </w:rPr>
        <w:t xml:space="preserve">de </w:t>
      </w:r>
      <w:r w:rsidR="009E067C" w:rsidRPr="008A4032">
        <w:rPr>
          <w:lang w:val="es-ES_tradnl"/>
        </w:rPr>
        <w:t>menor</w:t>
      </w:r>
      <w:r w:rsidR="002B00EE" w:rsidRPr="008A4032">
        <w:rPr>
          <w:lang w:val="es-ES_tradnl"/>
        </w:rPr>
        <w:t xml:space="preserve"> severidad del</w:t>
      </w:r>
      <w:r w:rsidR="00A044C9" w:rsidRPr="008A4032">
        <w:rPr>
          <w:lang w:val="es-ES_tradnl"/>
        </w:rPr>
        <w:t xml:space="preserve"> impacto</w:t>
      </w:r>
      <w:r w:rsidR="008A4032">
        <w:rPr>
          <w:lang w:val="es-ES_tradnl"/>
        </w:rPr>
        <w:t>, grado dos</w:t>
      </w:r>
      <w:r w:rsidR="0077797C" w:rsidRPr="008A4032">
        <w:rPr>
          <w:lang w:val="es-ES_tradnl"/>
        </w:rPr>
        <w:t xml:space="preserve"> (ver tabla II.A.1).</w:t>
      </w:r>
    </w:p>
    <w:p w14:paraId="31851136" w14:textId="3A7302E7" w:rsidR="00D4307D" w:rsidRPr="00DA6BC4" w:rsidRDefault="00A700FB" w:rsidP="00DA6BC4">
      <w:pPr>
        <w:jc w:val="both"/>
        <w:rPr>
          <w:lang w:val="es-ES_tradnl"/>
        </w:rPr>
      </w:pPr>
      <w:r w:rsidRPr="00E83B7E">
        <w:rPr>
          <w:lang w:val="es-ES_tradnl"/>
        </w:rPr>
        <w:t>Este diagnóstico toma en consideración los sectores que presentan una mayor probabilidad de verse afectados en términos de pérdidas de empleo en función de la posible materialización de los siguientes riesgos identificados ante la crisis del COVID-19: (i) factores de contracción de la oferta (como limitaciones al uso del factor trabajo, insuficiencia en la cantidad y calidad de insumos variables, aumentos en los costes de factores de producción, disrupciones en la cadena de valor, entre otros; (</w:t>
      </w:r>
      <w:proofErr w:type="spellStart"/>
      <w:r w:rsidRPr="00E83B7E">
        <w:rPr>
          <w:lang w:val="es-ES_tradnl"/>
        </w:rPr>
        <w:t>ii</w:t>
      </w:r>
      <w:proofErr w:type="spellEnd"/>
      <w:r w:rsidRPr="00E83B7E">
        <w:rPr>
          <w:lang w:val="es-ES_tradnl"/>
        </w:rPr>
        <w:t>) factores de contracción de la demanda (como los cambios en los comportamientos y preferencias del consumo, restricciones de liquidez de demandantes, reducción en la demanda de exportación, entre otros); (</w:t>
      </w:r>
      <w:proofErr w:type="spellStart"/>
      <w:r w:rsidRPr="00E83B7E">
        <w:rPr>
          <w:lang w:val="es-ES_tradnl"/>
        </w:rPr>
        <w:t>iii</w:t>
      </w:r>
      <w:proofErr w:type="spellEnd"/>
      <w:r w:rsidRPr="00E83B7E">
        <w:rPr>
          <w:lang w:val="es-ES_tradnl"/>
        </w:rPr>
        <w:t>)</w:t>
      </w:r>
      <w:r w:rsidR="00DA6BC4">
        <w:rPr>
          <w:lang w:val="es-ES_tradnl"/>
        </w:rPr>
        <w:t> </w:t>
      </w:r>
      <w:r w:rsidRPr="00E83B7E">
        <w:rPr>
          <w:lang w:val="es-ES_tradnl"/>
        </w:rPr>
        <w:t>factores financieros (como retraso e interrupción en los ciclos de pago, reducción o interrupción de financiamiento, incremento en los costos de financiamiento) y patrimoniales (reducción en el valor de activos y acumulación de pasivos); y (</w:t>
      </w:r>
      <w:proofErr w:type="spellStart"/>
      <w:r w:rsidRPr="00E83B7E">
        <w:rPr>
          <w:lang w:val="es-ES_tradnl"/>
        </w:rPr>
        <w:t>iv</w:t>
      </w:r>
      <w:proofErr w:type="spellEnd"/>
      <w:r w:rsidRPr="00E83B7E">
        <w:rPr>
          <w:lang w:val="es-ES_tradnl"/>
        </w:rPr>
        <w:t>) otros riesgos sistémicos y del entorno regulatorio (incertidumbre institucional y legal e inestabilidad política y social).</w:t>
      </w:r>
      <w:r w:rsidR="00D4307D" w:rsidRPr="00E83B7E">
        <w:rPr>
          <w:lang w:val="es-ES_tradnl"/>
        </w:rPr>
        <w:br w:type="page"/>
      </w:r>
    </w:p>
    <w:p w14:paraId="6222AD1D" w14:textId="201B9F1B" w:rsidR="00945B21" w:rsidRPr="00E83B7E" w:rsidRDefault="00945B21" w:rsidP="0007292C">
      <w:pPr>
        <w:pStyle w:val="Heading1"/>
        <w:numPr>
          <w:ilvl w:val="0"/>
          <w:numId w:val="0"/>
        </w:numPr>
        <w:jc w:val="both"/>
        <w:rPr>
          <w:lang w:val="es-ES_tradnl"/>
        </w:rPr>
      </w:pPr>
      <w:bookmarkStart w:id="12" w:name="_Toc36834041"/>
      <w:r w:rsidRPr="00E83B7E">
        <w:rPr>
          <w:lang w:val="es-ES_tradnl"/>
        </w:rPr>
        <w:lastRenderedPageBreak/>
        <w:t>Anexo</w:t>
      </w:r>
      <w:r w:rsidR="00BF3440" w:rsidRPr="00E83B7E">
        <w:rPr>
          <w:lang w:val="es-ES_tradnl"/>
        </w:rPr>
        <w:t xml:space="preserve"> I: </w:t>
      </w:r>
      <w:r w:rsidRPr="00E83B7E">
        <w:rPr>
          <w:lang w:val="es-ES_tradnl"/>
        </w:rPr>
        <w:t>aspectos metodológicos</w:t>
      </w:r>
      <w:bookmarkEnd w:id="12"/>
    </w:p>
    <w:p w14:paraId="5059A126" w14:textId="765E7715" w:rsidR="00C705C2" w:rsidRPr="00E83B7E" w:rsidRDefault="00A87C9A" w:rsidP="00A87C9A">
      <w:pPr>
        <w:jc w:val="both"/>
        <w:rPr>
          <w:lang w:val="es-ES_tradnl"/>
        </w:rPr>
      </w:pPr>
      <w:r w:rsidRPr="00E83B7E">
        <w:rPr>
          <w:lang w:val="es-ES_tradnl"/>
        </w:rPr>
        <w:t>Este documento presente un análisis de vulnerabilidades desagregado por sectores y con referencia a la situación de las M</w:t>
      </w:r>
      <w:r w:rsidR="0020236E">
        <w:rPr>
          <w:lang w:val="es-ES_tradnl"/>
        </w:rPr>
        <w:t>i</w:t>
      </w:r>
      <w:r w:rsidRPr="00E83B7E">
        <w:rPr>
          <w:lang w:val="es-ES_tradnl"/>
        </w:rPr>
        <w:t>P</w:t>
      </w:r>
      <w:r w:rsidR="0020236E">
        <w:rPr>
          <w:lang w:val="es-ES_tradnl"/>
        </w:rPr>
        <w:t>y</w:t>
      </w:r>
      <w:r w:rsidRPr="00E83B7E">
        <w:rPr>
          <w:lang w:val="es-ES_tradnl"/>
        </w:rPr>
        <w:t>ME. Se consideran en particular los siguientes sectores</w:t>
      </w:r>
      <w:r w:rsidRPr="00357892">
        <w:rPr>
          <w:lang w:val="es-ES_tradnl"/>
        </w:rPr>
        <w:t>: Turismo, Transporte</w:t>
      </w:r>
      <w:r w:rsidR="0096126B" w:rsidRPr="00357892">
        <w:rPr>
          <w:lang w:val="es-ES_tradnl"/>
        </w:rPr>
        <w:t xml:space="preserve"> de carga y de pasajeros</w:t>
      </w:r>
      <w:r w:rsidRPr="00357892">
        <w:rPr>
          <w:lang w:val="es-ES_tradnl"/>
        </w:rPr>
        <w:t>, Textil</w:t>
      </w:r>
      <w:r w:rsidR="00B75B80" w:rsidRPr="00357892">
        <w:rPr>
          <w:lang w:val="es-ES_tradnl"/>
        </w:rPr>
        <w:t>-Maquila</w:t>
      </w:r>
      <w:r w:rsidRPr="00357892">
        <w:rPr>
          <w:lang w:val="es-ES_tradnl"/>
        </w:rPr>
        <w:t xml:space="preserve"> y Agropecuario.</w:t>
      </w:r>
      <w:r w:rsidR="003426B4" w:rsidRPr="00E83B7E">
        <w:rPr>
          <w:lang w:val="es-ES_tradnl"/>
        </w:rPr>
        <w:t xml:space="preserve"> </w:t>
      </w:r>
    </w:p>
    <w:p w14:paraId="682A224F" w14:textId="77777777" w:rsidR="00781E24" w:rsidRPr="00E83B7E" w:rsidRDefault="00A87C9A" w:rsidP="00A87C9A">
      <w:pPr>
        <w:jc w:val="both"/>
        <w:rPr>
          <w:lang w:val="es-ES_tradnl"/>
        </w:rPr>
      </w:pPr>
      <w:r w:rsidRPr="00E83B7E">
        <w:rPr>
          <w:lang w:val="es-ES_tradnl"/>
        </w:rPr>
        <w:t>Para la determinación de la vulnerabilidad general de un sector se identifican</w:t>
      </w:r>
      <w:r w:rsidR="00C705C2" w:rsidRPr="00E83B7E">
        <w:rPr>
          <w:lang w:val="es-ES_tradnl"/>
        </w:rPr>
        <w:t xml:space="preserve"> factores agrupados en</w:t>
      </w:r>
      <w:r w:rsidRPr="00E83B7E">
        <w:rPr>
          <w:lang w:val="es-ES_tradnl"/>
        </w:rPr>
        <w:t xml:space="preserve"> cuatro áreas</w:t>
      </w:r>
      <w:r w:rsidR="00C705C2" w:rsidRPr="00E83B7E">
        <w:rPr>
          <w:lang w:val="es-ES_tradnl"/>
        </w:rPr>
        <w:t>:</w:t>
      </w:r>
      <w:r w:rsidRPr="00E83B7E">
        <w:rPr>
          <w:lang w:val="es-ES_tradnl"/>
        </w:rPr>
        <w:t xml:space="preserve"> oferta</w:t>
      </w:r>
      <w:r w:rsidR="002145E1" w:rsidRPr="00E83B7E">
        <w:rPr>
          <w:lang w:val="es-ES_tradnl"/>
        </w:rPr>
        <w:t>,</w:t>
      </w:r>
      <w:r w:rsidRPr="00E83B7E">
        <w:rPr>
          <w:lang w:val="es-ES_tradnl"/>
        </w:rPr>
        <w:t xml:space="preserve"> demanda</w:t>
      </w:r>
      <w:r w:rsidR="002145E1" w:rsidRPr="00E83B7E">
        <w:rPr>
          <w:lang w:val="es-ES_tradnl"/>
        </w:rPr>
        <w:t>,</w:t>
      </w:r>
      <w:r w:rsidRPr="00E83B7E">
        <w:rPr>
          <w:lang w:val="es-ES_tradnl"/>
        </w:rPr>
        <w:t xml:space="preserve"> financiera y patrimonial y sistémico y regulatorio. En estas cuatro áreas se identifican tipos de riesgo y se los evalúa asignándoles un grado cualitativo de materialización potencial e impacto del riesgo, a saber: moderado, significativo, severo y extremo.</w:t>
      </w:r>
    </w:p>
    <w:p w14:paraId="2BF9AE76" w14:textId="7863E4C2" w:rsidR="00A87C9A" w:rsidRPr="00E83B7E" w:rsidRDefault="00A87C9A" w:rsidP="00A87C9A">
      <w:pPr>
        <w:jc w:val="both"/>
        <w:rPr>
          <w:lang w:val="es-ES_tradnl"/>
        </w:rPr>
      </w:pPr>
      <w:r w:rsidRPr="00E83B7E">
        <w:rPr>
          <w:lang w:val="es-ES_tradnl"/>
        </w:rPr>
        <w:t>La calificación de cada componente ha sido llevada adelante por expertos sectoriales del Banco Interamericano de Desarrollo, quienes han generado una evaluación general al momento del inicio de la crisis del COVID-19, basada en sus percepciones, experiencia y utilizando distintas fuentes de información (incluyendo entre otras, entrevistas a cámaras de comercio y actores relevantes, estadísticas de acceso público y otros informes especializados). Los factores considerados y las distintas áreas a las que pertenecen</w:t>
      </w:r>
      <w:r w:rsidR="00E54526" w:rsidRPr="00E83B7E">
        <w:rPr>
          <w:lang w:val="es-ES_tradnl"/>
        </w:rPr>
        <w:t>, junto con una descripción del concepto se incluyen en el cuadro A.</w:t>
      </w:r>
      <w:r w:rsidR="00FE18AA" w:rsidRPr="00E83B7E">
        <w:rPr>
          <w:lang w:val="es-ES_tradnl"/>
        </w:rPr>
        <w:t>I.</w:t>
      </w:r>
      <w:r w:rsidR="00E54526" w:rsidRPr="00E83B7E">
        <w:rPr>
          <w:lang w:val="es-ES_tradnl"/>
        </w:rPr>
        <w:t>1</w:t>
      </w:r>
      <w:r w:rsidR="00FE18AA" w:rsidRPr="00E83B7E">
        <w:rPr>
          <w:lang w:val="es-ES_tradnl"/>
        </w:rPr>
        <w:t>.</w:t>
      </w:r>
    </w:p>
    <w:p w14:paraId="24A6AD40" w14:textId="4770015A" w:rsidR="00A87C9A" w:rsidRPr="00E83B7E" w:rsidRDefault="00A87C9A" w:rsidP="00667CD9">
      <w:pPr>
        <w:jc w:val="both"/>
        <w:rPr>
          <w:lang w:val="es-ES_tradnl"/>
        </w:rPr>
      </w:pPr>
      <w:r w:rsidRPr="00E83B7E">
        <w:rPr>
          <w:lang w:val="es-ES_tradnl"/>
        </w:rPr>
        <w:t>Una vez asignada la calificación de riesgo/vulnerabilidad para cada factor, se evalúan los resultados y se agregan en un índice que asigna un peso de 30% respectivamente para los factores de oferta, demanda y financieros y patrimoniales y de 10% para los factores sistémicos y regulatorios.</w:t>
      </w:r>
      <w:r w:rsidR="001321AA" w:rsidRPr="00E83B7E">
        <w:rPr>
          <w:lang w:val="es-ES_tradnl"/>
        </w:rPr>
        <w:t xml:space="preserve"> Se le ha dado mayor ponderación relativa a los factores que se consideran más volátiles </w:t>
      </w:r>
      <w:r w:rsidR="00DE5A58" w:rsidRPr="00E83B7E">
        <w:rPr>
          <w:lang w:val="es-ES_tradnl"/>
        </w:rPr>
        <w:t>en el corto plazo</w:t>
      </w:r>
      <w:r w:rsidR="00C21AD8" w:rsidRPr="00E83B7E">
        <w:rPr>
          <w:lang w:val="es-ES_tradnl"/>
        </w:rPr>
        <w:t xml:space="preserve"> (oferta, demanda, factores patrimoniales y financieros), pero también se ha decidido la inclusión de factores institucionales debido al riesgo en esa dimensión que emerge por la significatividad del problema generado por la pandemia del COVID-19.</w:t>
      </w:r>
      <w:r w:rsidRPr="00E83B7E">
        <w:rPr>
          <w:lang w:val="es-ES_tradnl"/>
        </w:rPr>
        <w:t xml:space="preserve"> </w:t>
      </w:r>
    </w:p>
    <w:p w14:paraId="20A3C259" w14:textId="5402A2A8" w:rsidR="00D755A2" w:rsidRPr="00E83B7E" w:rsidRDefault="00A87C9A" w:rsidP="00A87C9A">
      <w:pPr>
        <w:jc w:val="both"/>
        <w:rPr>
          <w:lang w:val="es-ES_tradnl"/>
        </w:rPr>
      </w:pPr>
      <w:r w:rsidRPr="00E83B7E">
        <w:rPr>
          <w:lang w:val="es-ES_tradnl"/>
        </w:rPr>
        <w:t xml:space="preserve">De manera adicional, también se presenta el grado de vulnerabilidad agregado generado por dichos sectores productivos utilizando </w:t>
      </w:r>
      <w:r w:rsidR="00D755A2" w:rsidRPr="00E83B7E">
        <w:rPr>
          <w:lang w:val="es-ES_tradnl"/>
        </w:rPr>
        <w:t xml:space="preserve">la contribución al PIB y al empleo como ponderadores alternativos. En este caso (ver tabla </w:t>
      </w:r>
      <w:r w:rsidR="005D1844" w:rsidRPr="00E83B7E">
        <w:rPr>
          <w:lang w:val="es-ES_tradnl"/>
        </w:rPr>
        <w:t xml:space="preserve">II.A.1), </w:t>
      </w:r>
      <w:r w:rsidR="00825D67" w:rsidRPr="00E83B7E">
        <w:rPr>
          <w:lang w:val="es-ES_tradnl"/>
        </w:rPr>
        <w:t xml:space="preserve">se están considerando las contribuciones sólo de los sectores bajo análisis, con lo cual </w:t>
      </w:r>
      <w:r w:rsidR="00F95A60" w:rsidRPr="00E83B7E">
        <w:rPr>
          <w:lang w:val="es-ES_tradnl"/>
        </w:rPr>
        <w:t xml:space="preserve">los ponderadores se recalculan para llegar al 100 a pesar de que la contribución al PIB esté en torno al 35% y del empleo </w:t>
      </w:r>
      <w:r w:rsidR="0091146C" w:rsidRPr="00E83B7E">
        <w:rPr>
          <w:lang w:val="es-ES_tradnl"/>
        </w:rPr>
        <w:t>cerca del 41%.</w:t>
      </w:r>
    </w:p>
    <w:p w14:paraId="38ED9B12" w14:textId="77777777" w:rsidR="00EC45B4" w:rsidRPr="00AD0640" w:rsidRDefault="00EC45B4" w:rsidP="00EC45B4">
      <w:pPr>
        <w:rPr>
          <w:b/>
          <w:bCs/>
          <w:lang w:val="es-AR"/>
        </w:rPr>
      </w:pPr>
      <w:r w:rsidRPr="00AD0640">
        <w:rPr>
          <w:b/>
          <w:bCs/>
          <w:lang w:val="es-AR"/>
        </w:rPr>
        <w:t>Interpretación del IV</w:t>
      </w:r>
    </w:p>
    <w:p w14:paraId="0E62C56D" w14:textId="5944A4D8" w:rsidR="00EC45B4" w:rsidRDefault="00EC45B4" w:rsidP="00EC45B4">
      <w:pPr>
        <w:jc w:val="both"/>
        <w:rPr>
          <w:lang w:val="es-AR"/>
        </w:rPr>
      </w:pPr>
      <w:r w:rsidRPr="00AD0640">
        <w:rPr>
          <w:lang w:val="es-AR"/>
        </w:rPr>
        <w:t xml:space="preserve">La metodología utilizada está identificando un grado de vulnerabilidad global de un sector determinado por el impacto del COVID-19. Los sectores analizados han sido elegidos por su importancia relativa en lo que refiere a la creación de empleo y a su contribución al PBI y por su potencial vulnerabilidad ante los cambios en las condiciones de oferta, demanda, financieras y patrimoniales, como así también institucionales. En ese sentido, el índice está graduando a partir de un nivel de vulnerabilidad elevado. De esta manera, el que un sector cuente con un IV relativamente bajo, por ejemplo, entre 0 y 24, no significa que ese sector no sea vulnerable, sino que está en un primer nivel de severidad dentro de los afectados. Para resaltar este concepto, se propone en el siguiente cuadro una lectura por rangos del IV que va desde “Severo grado 1” a “Severo grado 4”. </w:t>
      </w:r>
    </w:p>
    <w:p w14:paraId="3974E3E9" w14:textId="54583BA2" w:rsidR="00EC45B4" w:rsidRDefault="00EC45B4" w:rsidP="00EC45B4">
      <w:pPr>
        <w:jc w:val="both"/>
        <w:rPr>
          <w:lang w:val="es-AR"/>
        </w:rPr>
      </w:pPr>
    </w:p>
    <w:p w14:paraId="57F49575" w14:textId="5D16A103" w:rsidR="00EC45B4" w:rsidRDefault="00EC45B4" w:rsidP="00EC45B4">
      <w:pPr>
        <w:jc w:val="both"/>
        <w:rPr>
          <w:lang w:val="es-AR"/>
        </w:rPr>
      </w:pPr>
    </w:p>
    <w:p w14:paraId="482BE56D" w14:textId="570D71AB" w:rsidR="00EC45B4" w:rsidRDefault="00EC45B4" w:rsidP="00EC45B4">
      <w:pPr>
        <w:jc w:val="both"/>
        <w:rPr>
          <w:lang w:val="es-AR"/>
        </w:rPr>
      </w:pPr>
    </w:p>
    <w:p w14:paraId="7E3CAFCD" w14:textId="77777777" w:rsidR="00EC45B4" w:rsidRPr="00AD0640" w:rsidRDefault="00EC45B4" w:rsidP="00EC45B4">
      <w:pPr>
        <w:spacing w:after="0" w:line="240" w:lineRule="auto"/>
        <w:jc w:val="center"/>
        <w:rPr>
          <w:b/>
          <w:bCs/>
          <w:lang w:val="es-AR"/>
        </w:rPr>
      </w:pPr>
      <w:r w:rsidRPr="00AD0640">
        <w:rPr>
          <w:b/>
          <w:bCs/>
          <w:lang w:val="es-AR"/>
        </w:rPr>
        <w:lastRenderedPageBreak/>
        <w:t>Tabla A.I.1</w:t>
      </w:r>
    </w:p>
    <w:p w14:paraId="79313711" w14:textId="77777777" w:rsidR="00EC45B4" w:rsidRPr="00AD0640" w:rsidRDefault="00EC45B4" w:rsidP="00EC45B4">
      <w:pPr>
        <w:spacing w:after="0" w:line="240" w:lineRule="auto"/>
        <w:jc w:val="center"/>
        <w:rPr>
          <w:b/>
          <w:bCs/>
          <w:lang w:val="es-AR"/>
        </w:rPr>
      </w:pPr>
      <w:r w:rsidRPr="00AD0640">
        <w:rPr>
          <w:b/>
          <w:bCs/>
          <w:lang w:val="es-AR"/>
        </w:rPr>
        <w:t>Clasificación cualitativa del</w:t>
      </w:r>
    </w:p>
    <w:p w14:paraId="701A8115" w14:textId="77777777" w:rsidR="00EC45B4" w:rsidRPr="00AD0640" w:rsidRDefault="00EC45B4" w:rsidP="00EC45B4">
      <w:pPr>
        <w:spacing w:after="0" w:line="240" w:lineRule="auto"/>
        <w:jc w:val="center"/>
        <w:rPr>
          <w:lang w:val="es-AR"/>
        </w:rPr>
      </w:pPr>
      <w:r w:rsidRPr="00AD0640">
        <w:rPr>
          <w:b/>
          <w:bCs/>
          <w:lang w:val="es-AR"/>
        </w:rPr>
        <w:t>Índice de vulnerabilidad (IV)</w:t>
      </w:r>
      <w:r w:rsidRPr="00AD0640">
        <w:rPr>
          <w:lang w:val="es-AR"/>
        </w:rPr>
        <w:t xml:space="preserve"> </w:t>
      </w:r>
    </w:p>
    <w:tbl>
      <w:tblPr>
        <w:tblW w:w="2785" w:type="dxa"/>
        <w:jc w:val="center"/>
        <w:tblLook w:val="04A0" w:firstRow="1" w:lastRow="0" w:firstColumn="1" w:lastColumn="0" w:noHBand="0" w:noVBand="1"/>
      </w:tblPr>
      <w:tblGrid>
        <w:gridCol w:w="960"/>
        <w:gridCol w:w="1825"/>
      </w:tblGrid>
      <w:tr w:rsidR="00EC45B4" w:rsidRPr="00AD0640" w14:paraId="3AA7A139" w14:textId="77777777" w:rsidTr="0084412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3D6F0D9" w14:textId="77777777" w:rsidR="00EC45B4" w:rsidRPr="00AD0640" w:rsidRDefault="00EC45B4"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IV</w:t>
            </w:r>
          </w:p>
        </w:tc>
        <w:tc>
          <w:tcPr>
            <w:tcW w:w="1825" w:type="dxa"/>
            <w:tcBorders>
              <w:top w:val="single" w:sz="4" w:space="0" w:color="auto"/>
              <w:left w:val="nil"/>
              <w:bottom w:val="single" w:sz="4" w:space="0" w:color="auto"/>
              <w:right w:val="single" w:sz="4" w:space="0" w:color="auto"/>
            </w:tcBorders>
            <w:shd w:val="clear" w:color="000000" w:fill="D9E1F2"/>
            <w:noWrap/>
            <w:vAlign w:val="bottom"/>
            <w:hideMark/>
          </w:tcPr>
          <w:p w14:paraId="27E2962A" w14:textId="77777777" w:rsidR="00EC45B4" w:rsidRPr="00AD0640" w:rsidRDefault="00EC45B4" w:rsidP="00844123">
            <w:pPr>
              <w:spacing w:after="0" w:line="240" w:lineRule="auto"/>
              <w:jc w:val="center"/>
              <w:rPr>
                <w:rFonts w:ascii="Calibri" w:eastAsia="Times New Roman" w:hAnsi="Calibri" w:cs="Calibri"/>
                <w:b/>
                <w:bCs/>
                <w:color w:val="000000"/>
                <w:lang w:val="es-AR"/>
              </w:rPr>
            </w:pPr>
            <w:r w:rsidRPr="00AD0640">
              <w:rPr>
                <w:rFonts w:ascii="Calibri" w:eastAsia="Times New Roman" w:hAnsi="Calibri" w:cs="Calibri"/>
                <w:b/>
                <w:bCs/>
                <w:color w:val="000000"/>
                <w:lang w:val="es-AR"/>
              </w:rPr>
              <w:t>Interpretación</w:t>
            </w:r>
          </w:p>
        </w:tc>
      </w:tr>
      <w:tr w:rsidR="00EC45B4" w:rsidRPr="00AD0640" w14:paraId="3A061E05"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4BE0EAFD"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0-24</w:t>
            </w:r>
          </w:p>
        </w:tc>
        <w:tc>
          <w:tcPr>
            <w:tcW w:w="1825" w:type="dxa"/>
            <w:tcBorders>
              <w:top w:val="nil"/>
              <w:left w:val="nil"/>
              <w:bottom w:val="single" w:sz="4" w:space="0" w:color="auto"/>
              <w:right w:val="single" w:sz="4" w:space="0" w:color="auto"/>
            </w:tcBorders>
            <w:shd w:val="clear" w:color="000000" w:fill="FFFFFF"/>
            <w:noWrap/>
            <w:vAlign w:val="bottom"/>
            <w:hideMark/>
          </w:tcPr>
          <w:p w14:paraId="0EA3B93D"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1</w:t>
            </w:r>
          </w:p>
        </w:tc>
      </w:tr>
      <w:tr w:rsidR="00EC45B4" w:rsidRPr="00AD0640" w14:paraId="3DAC81D3"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7BA7CE3"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25-49</w:t>
            </w:r>
          </w:p>
        </w:tc>
        <w:tc>
          <w:tcPr>
            <w:tcW w:w="1825" w:type="dxa"/>
            <w:tcBorders>
              <w:top w:val="nil"/>
              <w:left w:val="nil"/>
              <w:bottom w:val="single" w:sz="4" w:space="0" w:color="auto"/>
              <w:right w:val="single" w:sz="4" w:space="0" w:color="auto"/>
            </w:tcBorders>
            <w:shd w:val="clear" w:color="000000" w:fill="FFFFFF"/>
            <w:noWrap/>
            <w:vAlign w:val="bottom"/>
            <w:hideMark/>
          </w:tcPr>
          <w:p w14:paraId="6855C67C"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2</w:t>
            </w:r>
          </w:p>
        </w:tc>
      </w:tr>
      <w:tr w:rsidR="00EC45B4" w:rsidRPr="00AD0640" w14:paraId="402BD7FF"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DFD6262"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50-74</w:t>
            </w:r>
          </w:p>
        </w:tc>
        <w:tc>
          <w:tcPr>
            <w:tcW w:w="1825" w:type="dxa"/>
            <w:tcBorders>
              <w:top w:val="nil"/>
              <w:left w:val="nil"/>
              <w:bottom w:val="single" w:sz="4" w:space="0" w:color="auto"/>
              <w:right w:val="single" w:sz="4" w:space="0" w:color="auto"/>
            </w:tcBorders>
            <w:shd w:val="clear" w:color="000000" w:fill="FFFFFF"/>
            <w:noWrap/>
            <w:vAlign w:val="bottom"/>
            <w:hideMark/>
          </w:tcPr>
          <w:p w14:paraId="1CB3FE34"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3</w:t>
            </w:r>
          </w:p>
        </w:tc>
      </w:tr>
      <w:tr w:rsidR="00EC45B4" w:rsidRPr="00AD0640" w14:paraId="6A0596A2" w14:textId="77777777" w:rsidTr="00844123">
        <w:trPr>
          <w:trHeight w:val="300"/>
          <w:jc w:val="center"/>
        </w:trPr>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D0A39EF"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75-100</w:t>
            </w:r>
          </w:p>
        </w:tc>
        <w:tc>
          <w:tcPr>
            <w:tcW w:w="1825" w:type="dxa"/>
            <w:tcBorders>
              <w:top w:val="nil"/>
              <w:left w:val="nil"/>
              <w:bottom w:val="single" w:sz="4" w:space="0" w:color="auto"/>
              <w:right w:val="single" w:sz="4" w:space="0" w:color="auto"/>
            </w:tcBorders>
            <w:shd w:val="clear" w:color="000000" w:fill="FFFFFF"/>
            <w:noWrap/>
            <w:vAlign w:val="bottom"/>
            <w:hideMark/>
          </w:tcPr>
          <w:p w14:paraId="3C5D8008" w14:textId="77777777" w:rsidR="00EC45B4" w:rsidRPr="00AD0640" w:rsidRDefault="00EC45B4" w:rsidP="00844123">
            <w:pPr>
              <w:spacing w:after="0" w:line="240" w:lineRule="auto"/>
              <w:jc w:val="center"/>
              <w:rPr>
                <w:rFonts w:ascii="Calibri" w:eastAsia="Times New Roman" w:hAnsi="Calibri" w:cs="Calibri"/>
                <w:color w:val="000000"/>
                <w:lang w:val="es-AR"/>
              </w:rPr>
            </w:pPr>
            <w:r w:rsidRPr="00AD0640">
              <w:rPr>
                <w:rFonts w:ascii="Calibri" w:eastAsia="Times New Roman" w:hAnsi="Calibri" w:cs="Calibri"/>
                <w:color w:val="000000"/>
                <w:lang w:val="es-AR"/>
              </w:rPr>
              <w:t>Severo grado 4</w:t>
            </w:r>
          </w:p>
        </w:tc>
      </w:tr>
      <w:tr w:rsidR="00EC45B4" w:rsidRPr="00AD0640" w14:paraId="46E8AB68" w14:textId="77777777" w:rsidTr="00844123">
        <w:trPr>
          <w:trHeight w:val="300"/>
          <w:jc w:val="center"/>
        </w:trPr>
        <w:tc>
          <w:tcPr>
            <w:tcW w:w="2785" w:type="dxa"/>
            <w:gridSpan w:val="2"/>
            <w:tcBorders>
              <w:top w:val="nil"/>
              <w:left w:val="nil"/>
              <w:bottom w:val="nil"/>
              <w:right w:val="nil"/>
            </w:tcBorders>
            <w:shd w:val="clear" w:color="000000" w:fill="FFFFFF"/>
            <w:noWrap/>
            <w:vAlign w:val="bottom"/>
            <w:hideMark/>
          </w:tcPr>
          <w:p w14:paraId="7370BBFC" w14:textId="77777777" w:rsidR="00EC45B4" w:rsidRPr="00AD0640" w:rsidRDefault="00EC45B4" w:rsidP="00844123">
            <w:pPr>
              <w:spacing w:after="0" w:line="240" w:lineRule="auto"/>
              <w:rPr>
                <w:rFonts w:ascii="Calibri" w:eastAsia="Times New Roman" w:hAnsi="Calibri" w:cs="Calibri"/>
                <w:color w:val="000000"/>
                <w:sz w:val="18"/>
                <w:szCs w:val="18"/>
                <w:lang w:val="es-AR"/>
              </w:rPr>
            </w:pPr>
            <w:r w:rsidRPr="00AD0640">
              <w:rPr>
                <w:rFonts w:ascii="Calibri" w:eastAsia="Times New Roman" w:hAnsi="Calibri" w:cs="Calibri"/>
                <w:color w:val="000000"/>
                <w:sz w:val="18"/>
                <w:szCs w:val="18"/>
                <w:lang w:val="es-AR"/>
              </w:rPr>
              <w:t>Fuente: IFD/CMF.</w:t>
            </w:r>
          </w:p>
        </w:tc>
      </w:tr>
    </w:tbl>
    <w:p w14:paraId="67048E2B" w14:textId="77777777" w:rsidR="00EC45B4" w:rsidRPr="00AD0640" w:rsidRDefault="00EC45B4" w:rsidP="00EC45B4">
      <w:pPr>
        <w:jc w:val="both"/>
        <w:rPr>
          <w:lang w:val="es-AR"/>
        </w:rPr>
      </w:pPr>
    </w:p>
    <w:p w14:paraId="34CEFC36" w14:textId="77777777" w:rsidR="00EC45B4" w:rsidRPr="00AD0640" w:rsidRDefault="00EC45B4" w:rsidP="00EC45B4">
      <w:pPr>
        <w:jc w:val="both"/>
        <w:rPr>
          <w:lang w:val="es-AR"/>
        </w:rPr>
      </w:pPr>
      <w:r w:rsidRPr="00AD0640">
        <w:rPr>
          <w:lang w:val="es-AR"/>
        </w:rPr>
        <w:t xml:space="preserve">De manera adicional, un IV más elevado no debe interpretarse de manera directa como un ordenamiento directo para guiar la asignación de recursos paliativos. Para ellos debe realizarse un análisis más pormenorizado, atendiendo no solamente a la vulnerabilidad global sino a la situación por factores y al instrumento a utilizar. Por ejemplo, si un sector A tuviese un IV global mayor que un sector B y se estuviese considerando la utilización de instrumentos financieros, sería aconsejable prestar particular atención a la situación de los factores financieros y patrimoniales que contribuyen al índice. Y aún en el caso de un mayor índice de vulnerabilidad a nivel de subcomponente, eso no debe interpretarse de manera directa y monótona como un ordenamiento para establecer sectores prioritarios, ya que es posible que el retorno social esperado de la utilización de ciertos instrumentos no sea lineal condicional al grado de vulnerabilidad calculado. Hechas estas acotaciones, a continuación, se discuten brevemente las condiciones en los distintos sectores considerados. </w:t>
      </w:r>
    </w:p>
    <w:p w14:paraId="289161A9" w14:textId="77777777" w:rsidR="00366688" w:rsidRPr="00E83B7E" w:rsidRDefault="00366688" w:rsidP="003708D1">
      <w:pPr>
        <w:rPr>
          <w:lang w:val="es-ES_tradnl"/>
        </w:rPr>
      </w:pPr>
    </w:p>
    <w:p w14:paraId="02FD0D32" w14:textId="01DBA46B" w:rsidR="00C4729C" w:rsidRPr="00E83B7E" w:rsidRDefault="00C4729C" w:rsidP="00C4729C">
      <w:pPr>
        <w:spacing w:after="0" w:line="240" w:lineRule="auto"/>
        <w:jc w:val="center"/>
        <w:rPr>
          <w:b/>
          <w:bCs/>
          <w:lang w:val="es-ES_tradnl"/>
        </w:rPr>
      </w:pPr>
      <w:r w:rsidRPr="00E83B7E">
        <w:rPr>
          <w:b/>
          <w:bCs/>
          <w:lang w:val="es-ES_tradnl"/>
        </w:rPr>
        <w:t>Cuadro A.I.1</w:t>
      </w:r>
    </w:p>
    <w:p w14:paraId="12BF60EB" w14:textId="6B943098" w:rsidR="00C4729C" w:rsidRPr="00E83B7E" w:rsidRDefault="00C4729C" w:rsidP="0007292C">
      <w:pPr>
        <w:spacing w:after="0" w:line="240" w:lineRule="auto"/>
        <w:jc w:val="center"/>
        <w:rPr>
          <w:b/>
          <w:bCs/>
          <w:lang w:val="es-ES_tradnl"/>
        </w:rPr>
      </w:pPr>
      <w:r w:rsidRPr="00E83B7E">
        <w:rPr>
          <w:b/>
          <w:bCs/>
          <w:lang w:val="es-ES_tradnl"/>
        </w:rPr>
        <w:t>Descripción componentes índice de vulnerabilidad</w:t>
      </w:r>
    </w:p>
    <w:tbl>
      <w:tblPr>
        <w:tblStyle w:val="TableGrid"/>
        <w:tblW w:w="0" w:type="auto"/>
        <w:tblLook w:val="04A0" w:firstRow="1" w:lastRow="0" w:firstColumn="1" w:lastColumn="0" w:noHBand="0" w:noVBand="1"/>
      </w:tblPr>
      <w:tblGrid>
        <w:gridCol w:w="498"/>
        <w:gridCol w:w="498"/>
        <w:gridCol w:w="1647"/>
        <w:gridCol w:w="6707"/>
      </w:tblGrid>
      <w:tr w:rsidR="00C4729C" w:rsidRPr="00E83B7E" w14:paraId="78D47CF3" w14:textId="77777777" w:rsidTr="00C4729C">
        <w:trPr>
          <w:trHeight w:val="300"/>
        </w:trPr>
        <w:tc>
          <w:tcPr>
            <w:tcW w:w="498" w:type="dxa"/>
            <w:noWrap/>
            <w:hideMark/>
          </w:tcPr>
          <w:p w14:paraId="79275396" w14:textId="77777777" w:rsidR="00C4729C" w:rsidRPr="00E83B7E" w:rsidRDefault="00C4729C" w:rsidP="00C4729C">
            <w:pPr>
              <w:jc w:val="both"/>
              <w:rPr>
                <w:b/>
                <w:bCs/>
                <w:lang w:val="es-ES_tradnl"/>
              </w:rPr>
            </w:pPr>
            <w:r w:rsidRPr="00E83B7E">
              <w:rPr>
                <w:b/>
                <w:bCs/>
                <w:lang w:val="es-ES_tradnl"/>
              </w:rPr>
              <w:t> </w:t>
            </w:r>
          </w:p>
        </w:tc>
        <w:tc>
          <w:tcPr>
            <w:tcW w:w="498" w:type="dxa"/>
            <w:noWrap/>
            <w:hideMark/>
          </w:tcPr>
          <w:p w14:paraId="74BE89B7" w14:textId="77777777" w:rsidR="00C4729C" w:rsidRPr="00E83B7E" w:rsidRDefault="00C4729C" w:rsidP="00C4729C">
            <w:pPr>
              <w:jc w:val="both"/>
              <w:rPr>
                <w:b/>
                <w:bCs/>
                <w:lang w:val="es-ES_tradnl"/>
              </w:rPr>
            </w:pPr>
            <w:r w:rsidRPr="00E83B7E">
              <w:rPr>
                <w:b/>
                <w:bCs/>
                <w:lang w:val="es-ES_tradnl"/>
              </w:rPr>
              <w:t> </w:t>
            </w:r>
          </w:p>
        </w:tc>
        <w:tc>
          <w:tcPr>
            <w:tcW w:w="1647" w:type="dxa"/>
            <w:hideMark/>
          </w:tcPr>
          <w:p w14:paraId="4CB624CB" w14:textId="77777777" w:rsidR="00C4729C" w:rsidRPr="00E83B7E" w:rsidRDefault="00C4729C" w:rsidP="00C4729C">
            <w:pPr>
              <w:jc w:val="both"/>
              <w:rPr>
                <w:b/>
                <w:bCs/>
                <w:lang w:val="es-ES_tradnl"/>
              </w:rPr>
            </w:pPr>
            <w:r w:rsidRPr="00E83B7E">
              <w:rPr>
                <w:b/>
                <w:bCs/>
                <w:lang w:val="es-ES_tradnl"/>
              </w:rPr>
              <w:t>Riesgo</w:t>
            </w:r>
          </w:p>
        </w:tc>
        <w:tc>
          <w:tcPr>
            <w:tcW w:w="6707" w:type="dxa"/>
            <w:hideMark/>
          </w:tcPr>
          <w:p w14:paraId="02AE6E92" w14:textId="77777777" w:rsidR="00C4729C" w:rsidRPr="00E83B7E" w:rsidRDefault="00C4729C" w:rsidP="00C4729C">
            <w:pPr>
              <w:jc w:val="both"/>
              <w:rPr>
                <w:b/>
                <w:bCs/>
                <w:lang w:val="es-ES_tradnl"/>
              </w:rPr>
            </w:pPr>
            <w:r w:rsidRPr="00E83B7E">
              <w:rPr>
                <w:b/>
                <w:bCs/>
                <w:lang w:val="es-ES_tradnl"/>
              </w:rPr>
              <w:t>Descripción</w:t>
            </w:r>
          </w:p>
        </w:tc>
      </w:tr>
      <w:tr w:rsidR="00C4729C" w:rsidRPr="00DA6BC4" w14:paraId="3DC80164" w14:textId="77777777" w:rsidTr="00C4729C">
        <w:trPr>
          <w:trHeight w:val="3600"/>
        </w:trPr>
        <w:tc>
          <w:tcPr>
            <w:tcW w:w="498" w:type="dxa"/>
            <w:noWrap/>
            <w:textDirection w:val="btLr"/>
            <w:hideMark/>
          </w:tcPr>
          <w:p w14:paraId="0ACA730A"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13ABFB4F"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47D4D3C6" w14:textId="77777777" w:rsidR="00C4729C" w:rsidRPr="00E83B7E" w:rsidRDefault="00C4729C" w:rsidP="0007292C">
            <w:pPr>
              <w:rPr>
                <w:lang w:val="es-ES_tradnl"/>
              </w:rPr>
            </w:pPr>
            <w:r w:rsidRPr="00E83B7E">
              <w:rPr>
                <w:lang w:val="es-ES_tradnl"/>
              </w:rPr>
              <w:t>Limitaciones uso de fuerza de trabajo</w:t>
            </w:r>
          </w:p>
        </w:tc>
        <w:tc>
          <w:tcPr>
            <w:tcW w:w="6707" w:type="dxa"/>
            <w:hideMark/>
          </w:tcPr>
          <w:p w14:paraId="4ACD371C" w14:textId="77777777" w:rsidR="00C4729C" w:rsidRPr="00E83B7E" w:rsidRDefault="00C4729C" w:rsidP="0007292C">
            <w:pPr>
              <w:rPr>
                <w:lang w:val="es-ES_tradnl"/>
              </w:rPr>
            </w:pPr>
            <w:r w:rsidRPr="00E83B7E">
              <w:rPr>
                <w:lang w:val="es-ES_tradnl"/>
              </w:rPr>
              <w:t xml:space="preserve">Indica las limitaciones en la disponibilidad efectiva de la fuerza de trabajo, con relación a la disponibilidad habitual en condiciones normales. </w:t>
            </w:r>
            <w:r w:rsidRPr="00E83B7E">
              <w:rPr>
                <w:lang w:val="es-ES_tradnl"/>
              </w:rPr>
              <w:br/>
            </w:r>
            <w:r w:rsidRPr="00E83B7E">
              <w:rPr>
                <w:lang w:val="es-ES_tradnl"/>
              </w:rPr>
              <w:br/>
              <w:t>La disponibilidad efectiva ha de tratar de considerar el uso efectivo de la fuerza de trabajo. Así, por ejemplo, si nominalmente se cuenta con el 100% de la fuerza de trabajo, pero solo pueden trabajar una jornada reducida de medio día, la disponibilidad efectiva puede ser del 50% (o todavía menor si se considera un grado de pérdida de eficiencia en la organización del trabajo.</w:t>
            </w:r>
            <w:r w:rsidRPr="00E83B7E">
              <w:rPr>
                <w:lang w:val="es-ES_tradnl"/>
              </w:rPr>
              <w:br/>
            </w:r>
            <w:r w:rsidRPr="00E83B7E">
              <w:rPr>
                <w:lang w:val="es-ES_tradnl"/>
              </w:rPr>
              <w:br/>
              <w:t>Considerar la posibilidad de hacer uso de teletrabajo, turnos alternativos/extendidos y otras soluciones que puedan presentarse.</w:t>
            </w:r>
          </w:p>
        </w:tc>
      </w:tr>
      <w:tr w:rsidR="00C4729C" w:rsidRPr="00DA6BC4" w14:paraId="45C51843" w14:textId="77777777" w:rsidTr="00C4729C">
        <w:trPr>
          <w:trHeight w:val="2100"/>
        </w:trPr>
        <w:tc>
          <w:tcPr>
            <w:tcW w:w="498" w:type="dxa"/>
            <w:noWrap/>
            <w:textDirection w:val="btLr"/>
            <w:hideMark/>
          </w:tcPr>
          <w:p w14:paraId="3CEA3976" w14:textId="77777777" w:rsidR="00C4729C" w:rsidRPr="00E83B7E" w:rsidRDefault="00C4729C" w:rsidP="0007292C">
            <w:pPr>
              <w:jc w:val="center"/>
              <w:rPr>
                <w:lang w:val="es-ES_tradnl"/>
              </w:rPr>
            </w:pPr>
            <w:r w:rsidRPr="00E83B7E">
              <w:rPr>
                <w:lang w:val="es-ES_tradnl"/>
              </w:rPr>
              <w:lastRenderedPageBreak/>
              <w:t>Oferta</w:t>
            </w:r>
          </w:p>
        </w:tc>
        <w:tc>
          <w:tcPr>
            <w:tcW w:w="498" w:type="dxa"/>
            <w:noWrap/>
            <w:textDirection w:val="btLr"/>
            <w:hideMark/>
          </w:tcPr>
          <w:p w14:paraId="00AB3F6F"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44AD3774" w14:textId="77777777" w:rsidR="00C4729C" w:rsidRPr="00E83B7E" w:rsidRDefault="00C4729C" w:rsidP="0007292C">
            <w:pPr>
              <w:rPr>
                <w:lang w:val="es-ES_tradnl"/>
              </w:rPr>
            </w:pPr>
            <w:r w:rsidRPr="00E83B7E">
              <w:rPr>
                <w:lang w:val="es-ES_tradnl"/>
              </w:rPr>
              <w:t>Limitaciones al uso de capital fijo (oficinas, centros comerciales, maquinas, etc.)</w:t>
            </w:r>
          </w:p>
        </w:tc>
        <w:tc>
          <w:tcPr>
            <w:tcW w:w="6707" w:type="dxa"/>
            <w:hideMark/>
          </w:tcPr>
          <w:p w14:paraId="44352479" w14:textId="77777777" w:rsidR="00C4729C" w:rsidRPr="00E83B7E" w:rsidRDefault="00C4729C" w:rsidP="0007292C">
            <w:pPr>
              <w:rPr>
                <w:lang w:val="es-ES_tradnl"/>
              </w:rPr>
            </w:pPr>
            <w:r w:rsidRPr="00E83B7E">
              <w:rPr>
                <w:lang w:val="es-ES_tradnl"/>
              </w:rPr>
              <w:t xml:space="preserve">Refiere a las limitaciones al uso de activos necesarios para la producción. </w:t>
            </w:r>
            <w:r w:rsidRPr="00E83B7E">
              <w:rPr>
                <w:lang w:val="es-ES_tradnl"/>
              </w:rPr>
              <w:br/>
            </w:r>
            <w:r w:rsidRPr="00E83B7E">
              <w:rPr>
                <w:lang w:val="es-ES_tradnl"/>
              </w:rPr>
              <w:br/>
              <w:t>Atender especialmente la posibilidad o grado de continuidad que pueda lograrse mediante arreglos alternativos (por ej.: uso de turnos para minimizar número de empleados en un horario) y la importancia relativa de comercialización digital (presencia digital y capacidad logística). Considerar la disponibilidad equivalente de manera similar a las limitaciones de trabajo (arreglo de turnos, canales digitales, otros).</w:t>
            </w:r>
          </w:p>
        </w:tc>
      </w:tr>
      <w:tr w:rsidR="00C4729C" w:rsidRPr="00DA6BC4" w14:paraId="2A30ED4B" w14:textId="77777777" w:rsidTr="00C4729C">
        <w:trPr>
          <w:trHeight w:val="2100"/>
        </w:trPr>
        <w:tc>
          <w:tcPr>
            <w:tcW w:w="498" w:type="dxa"/>
            <w:noWrap/>
            <w:textDirection w:val="btLr"/>
            <w:hideMark/>
          </w:tcPr>
          <w:p w14:paraId="3540A82B"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0C804DB2"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31315180" w14:textId="77777777" w:rsidR="00C4729C" w:rsidRPr="00E83B7E" w:rsidRDefault="00C4729C" w:rsidP="0007292C">
            <w:pPr>
              <w:rPr>
                <w:lang w:val="es-ES_tradnl"/>
              </w:rPr>
            </w:pPr>
            <w:r w:rsidRPr="00E83B7E">
              <w:rPr>
                <w:lang w:val="es-ES_tradnl"/>
              </w:rPr>
              <w:t>Insuficiencia en cantidad y calidad de insumos físicos</w:t>
            </w:r>
          </w:p>
        </w:tc>
        <w:tc>
          <w:tcPr>
            <w:tcW w:w="6707" w:type="dxa"/>
            <w:hideMark/>
          </w:tcPr>
          <w:p w14:paraId="4C1058F1" w14:textId="6C403BDA" w:rsidR="00C4729C" w:rsidRPr="00E83B7E" w:rsidRDefault="00C4729C" w:rsidP="0007292C">
            <w:pPr>
              <w:rPr>
                <w:lang w:val="es-ES_tradnl"/>
              </w:rPr>
            </w:pPr>
            <w:r w:rsidRPr="00E83B7E">
              <w:rPr>
                <w:lang w:val="es-ES_tradnl"/>
              </w:rPr>
              <w:t xml:space="preserve">Limitaciones al acceso de insumos de producción (de bienes o servicios). </w:t>
            </w:r>
            <w:r w:rsidRPr="00E83B7E">
              <w:rPr>
                <w:lang w:val="es-ES_tradnl"/>
              </w:rPr>
              <w:br/>
            </w:r>
            <w:r w:rsidRPr="00E83B7E">
              <w:rPr>
                <w:lang w:val="es-ES_tradnl"/>
              </w:rPr>
              <w:br/>
              <w:t>Considerar, energía, materias primas e insumos físicos en general. No considerar servicios como transporte, comunicaciones ni financieros (considerados aparte).</w:t>
            </w:r>
            <w:r w:rsidRPr="00E83B7E">
              <w:rPr>
                <w:lang w:val="es-ES_tradnl"/>
              </w:rPr>
              <w:br/>
            </w:r>
            <w:r w:rsidRPr="00E83B7E">
              <w:rPr>
                <w:lang w:val="es-ES_tradnl"/>
              </w:rPr>
              <w:br/>
              <w:t>Considerar la posibilidad de utilizar insumos de menor calidad o cambios en las relaciones de uso.</w:t>
            </w:r>
          </w:p>
        </w:tc>
      </w:tr>
      <w:tr w:rsidR="00C4729C" w:rsidRPr="00DA6BC4" w14:paraId="0B3FB335" w14:textId="77777777" w:rsidTr="00C4729C">
        <w:trPr>
          <w:trHeight w:val="1500"/>
        </w:trPr>
        <w:tc>
          <w:tcPr>
            <w:tcW w:w="498" w:type="dxa"/>
            <w:noWrap/>
            <w:textDirection w:val="btLr"/>
            <w:hideMark/>
          </w:tcPr>
          <w:p w14:paraId="320C249F"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16E5C174"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073B42E1" w14:textId="7744FCCC" w:rsidR="00C4729C" w:rsidRPr="00E83B7E" w:rsidRDefault="00C4729C" w:rsidP="0007292C">
            <w:pPr>
              <w:rPr>
                <w:lang w:val="es-ES_tradnl"/>
              </w:rPr>
            </w:pPr>
            <w:r w:rsidRPr="00E83B7E">
              <w:rPr>
                <w:lang w:val="es-ES_tradnl"/>
              </w:rPr>
              <w:t>Limitaciones al acceso a servicios (transporte, comunicación)</w:t>
            </w:r>
          </w:p>
        </w:tc>
        <w:tc>
          <w:tcPr>
            <w:tcW w:w="6707" w:type="dxa"/>
            <w:hideMark/>
          </w:tcPr>
          <w:p w14:paraId="07816D03" w14:textId="4E17E248" w:rsidR="00C4729C" w:rsidRPr="00E83B7E" w:rsidRDefault="00C4729C" w:rsidP="0007292C">
            <w:pPr>
              <w:rPr>
                <w:lang w:val="es-ES_tradnl"/>
              </w:rPr>
            </w:pPr>
            <w:r w:rsidRPr="00E83B7E">
              <w:rPr>
                <w:lang w:val="es-ES_tradnl"/>
              </w:rPr>
              <w:t>Limitaciones logísticas y de servicios de comunicación.</w:t>
            </w:r>
            <w:r w:rsidRPr="00E83B7E">
              <w:rPr>
                <w:lang w:val="es-ES_tradnl"/>
              </w:rPr>
              <w:br/>
            </w:r>
            <w:r w:rsidRPr="00E83B7E">
              <w:rPr>
                <w:lang w:val="es-ES_tradnl"/>
              </w:rPr>
              <w:br/>
              <w:t>Considerar las limitaciones a la logística (en particular a los servicios de transporte y distribución) y a los servicios de comunicaciones.</w:t>
            </w:r>
          </w:p>
        </w:tc>
      </w:tr>
      <w:tr w:rsidR="00C4729C" w:rsidRPr="00DA6BC4" w14:paraId="73B3AAD4" w14:textId="77777777" w:rsidTr="00C4729C">
        <w:trPr>
          <w:trHeight w:val="2100"/>
        </w:trPr>
        <w:tc>
          <w:tcPr>
            <w:tcW w:w="498" w:type="dxa"/>
            <w:noWrap/>
            <w:textDirection w:val="btLr"/>
            <w:hideMark/>
          </w:tcPr>
          <w:p w14:paraId="25CAA4B0" w14:textId="77777777" w:rsidR="00C4729C" w:rsidRPr="00E83B7E" w:rsidRDefault="00C4729C" w:rsidP="0007292C">
            <w:pPr>
              <w:jc w:val="center"/>
              <w:rPr>
                <w:lang w:val="es-ES_tradnl"/>
              </w:rPr>
            </w:pPr>
            <w:r w:rsidRPr="00E83B7E">
              <w:rPr>
                <w:lang w:val="es-ES_tradnl"/>
              </w:rPr>
              <w:t>Oferta</w:t>
            </w:r>
          </w:p>
        </w:tc>
        <w:tc>
          <w:tcPr>
            <w:tcW w:w="498" w:type="dxa"/>
            <w:noWrap/>
            <w:textDirection w:val="btLr"/>
            <w:hideMark/>
          </w:tcPr>
          <w:p w14:paraId="6A1CC2C3"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6C688FF9" w14:textId="77777777" w:rsidR="00C4729C" w:rsidRPr="00E83B7E" w:rsidRDefault="00C4729C" w:rsidP="0007292C">
            <w:pPr>
              <w:rPr>
                <w:lang w:val="es-ES_tradnl"/>
              </w:rPr>
            </w:pPr>
            <w:r w:rsidRPr="00E83B7E">
              <w:rPr>
                <w:lang w:val="es-ES_tradnl"/>
              </w:rPr>
              <w:t>Aumento de los costos de insumos y de producción</w:t>
            </w:r>
          </w:p>
        </w:tc>
        <w:tc>
          <w:tcPr>
            <w:tcW w:w="6707" w:type="dxa"/>
            <w:hideMark/>
          </w:tcPr>
          <w:p w14:paraId="02683B32" w14:textId="77777777" w:rsidR="00C4729C" w:rsidRPr="00E83B7E" w:rsidRDefault="00C4729C" w:rsidP="0007292C">
            <w:pPr>
              <w:rPr>
                <w:lang w:val="es-ES_tradnl"/>
              </w:rPr>
            </w:pPr>
            <w:r w:rsidRPr="00E83B7E">
              <w:rPr>
                <w:lang w:val="es-ES_tradnl"/>
              </w:rPr>
              <w:t>Aumento de los costos de producción de bienes y servicios (mano de obra, servicios del capital, transporte, energía, comunicaciones, etc.).</w:t>
            </w:r>
            <w:r w:rsidRPr="00E83B7E">
              <w:rPr>
                <w:lang w:val="es-ES_tradnl"/>
              </w:rPr>
              <w:br/>
            </w:r>
            <w:r w:rsidRPr="00E83B7E">
              <w:rPr>
                <w:lang w:val="es-ES_tradnl"/>
              </w:rPr>
              <w:br/>
              <w:t>En términos reales.</w:t>
            </w:r>
            <w:r w:rsidRPr="00E83B7E">
              <w:rPr>
                <w:lang w:val="es-ES_tradnl"/>
              </w:rPr>
              <w:br/>
            </w:r>
            <w:r w:rsidRPr="00E83B7E">
              <w:rPr>
                <w:lang w:val="es-ES_tradnl"/>
              </w:rPr>
              <w:br/>
              <w:t>Considerar costos de manera global aun cuando insumos particulares puedan tener incrementos muy significativos.</w:t>
            </w:r>
          </w:p>
        </w:tc>
      </w:tr>
      <w:tr w:rsidR="00C4729C" w:rsidRPr="00DA6BC4" w14:paraId="263C2690" w14:textId="77777777" w:rsidTr="00C4729C">
        <w:trPr>
          <w:trHeight w:val="1215"/>
        </w:trPr>
        <w:tc>
          <w:tcPr>
            <w:tcW w:w="498" w:type="dxa"/>
            <w:noWrap/>
            <w:textDirection w:val="btLr"/>
            <w:hideMark/>
          </w:tcPr>
          <w:p w14:paraId="4EAD73AA" w14:textId="77777777" w:rsidR="00C4729C" w:rsidRPr="00E83B7E" w:rsidRDefault="00C4729C" w:rsidP="0007292C">
            <w:pPr>
              <w:jc w:val="center"/>
              <w:rPr>
                <w:lang w:val="es-ES_tradnl"/>
              </w:rPr>
            </w:pPr>
            <w:r w:rsidRPr="00E83B7E">
              <w:rPr>
                <w:lang w:val="es-ES_tradnl"/>
              </w:rPr>
              <w:t>Demanda</w:t>
            </w:r>
          </w:p>
        </w:tc>
        <w:tc>
          <w:tcPr>
            <w:tcW w:w="498" w:type="dxa"/>
            <w:noWrap/>
            <w:textDirection w:val="btLr"/>
            <w:hideMark/>
          </w:tcPr>
          <w:p w14:paraId="6F3B19D8"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495B728C" w14:textId="77777777" w:rsidR="00C4729C" w:rsidRPr="00E83B7E" w:rsidRDefault="00C4729C" w:rsidP="0007292C">
            <w:pPr>
              <w:rPr>
                <w:lang w:val="es-ES_tradnl"/>
              </w:rPr>
            </w:pPr>
            <w:r w:rsidRPr="00E83B7E">
              <w:rPr>
                <w:lang w:val="es-ES_tradnl"/>
              </w:rPr>
              <w:t>Reducción de la demanda interna / domestica</w:t>
            </w:r>
          </w:p>
        </w:tc>
        <w:tc>
          <w:tcPr>
            <w:tcW w:w="6707" w:type="dxa"/>
            <w:hideMark/>
          </w:tcPr>
          <w:p w14:paraId="54464118" w14:textId="77777777" w:rsidR="00C4729C" w:rsidRPr="00E83B7E" w:rsidRDefault="00C4729C" w:rsidP="0007292C">
            <w:pPr>
              <w:rPr>
                <w:lang w:val="es-ES_tradnl"/>
              </w:rPr>
            </w:pPr>
            <w:r w:rsidRPr="00E83B7E">
              <w:rPr>
                <w:lang w:val="es-ES_tradnl"/>
              </w:rPr>
              <w:t>Reducción de la demanda interna por los bienes y/o servicios producidos. Incluye demanda de consumidores (familias o empresas) y del gobierno.</w:t>
            </w:r>
          </w:p>
        </w:tc>
      </w:tr>
      <w:tr w:rsidR="00C4729C" w:rsidRPr="00DA6BC4" w14:paraId="13379CD2" w14:textId="77777777" w:rsidTr="00C4729C">
        <w:trPr>
          <w:trHeight w:val="1215"/>
        </w:trPr>
        <w:tc>
          <w:tcPr>
            <w:tcW w:w="498" w:type="dxa"/>
            <w:noWrap/>
            <w:textDirection w:val="btLr"/>
            <w:hideMark/>
          </w:tcPr>
          <w:p w14:paraId="6CA02AEA" w14:textId="77777777" w:rsidR="00C4729C" w:rsidRPr="00E83B7E" w:rsidRDefault="00C4729C" w:rsidP="0007292C">
            <w:pPr>
              <w:jc w:val="center"/>
              <w:rPr>
                <w:lang w:val="es-ES_tradnl"/>
              </w:rPr>
            </w:pPr>
            <w:r w:rsidRPr="00E83B7E">
              <w:rPr>
                <w:lang w:val="es-ES_tradnl"/>
              </w:rPr>
              <w:t>Demanda</w:t>
            </w:r>
          </w:p>
        </w:tc>
        <w:tc>
          <w:tcPr>
            <w:tcW w:w="498" w:type="dxa"/>
            <w:noWrap/>
            <w:textDirection w:val="btLr"/>
            <w:hideMark/>
          </w:tcPr>
          <w:p w14:paraId="579B5395" w14:textId="77777777" w:rsidR="00C4729C" w:rsidRPr="00E83B7E" w:rsidRDefault="00C4729C" w:rsidP="0007292C">
            <w:pPr>
              <w:jc w:val="center"/>
              <w:rPr>
                <w:lang w:val="es-ES_tradnl"/>
              </w:rPr>
            </w:pPr>
            <w:r w:rsidRPr="00E83B7E">
              <w:rPr>
                <w:lang w:val="es-ES_tradnl"/>
              </w:rPr>
              <w:t>De mercado</w:t>
            </w:r>
          </w:p>
        </w:tc>
        <w:tc>
          <w:tcPr>
            <w:tcW w:w="1647" w:type="dxa"/>
            <w:hideMark/>
          </w:tcPr>
          <w:p w14:paraId="7CE26FA4" w14:textId="0908323A" w:rsidR="00C4729C" w:rsidRPr="00E83B7E" w:rsidRDefault="00C4729C" w:rsidP="0007292C">
            <w:pPr>
              <w:rPr>
                <w:lang w:val="es-ES_tradnl"/>
              </w:rPr>
            </w:pPr>
            <w:r w:rsidRPr="00E83B7E">
              <w:rPr>
                <w:lang w:val="es-ES_tradnl"/>
              </w:rPr>
              <w:t>Reducción en la demanda de exportación o extranjera</w:t>
            </w:r>
          </w:p>
        </w:tc>
        <w:tc>
          <w:tcPr>
            <w:tcW w:w="6707" w:type="dxa"/>
            <w:hideMark/>
          </w:tcPr>
          <w:p w14:paraId="15E1D1BA" w14:textId="77777777" w:rsidR="00C4729C" w:rsidRPr="00E83B7E" w:rsidRDefault="00C4729C" w:rsidP="0007292C">
            <w:pPr>
              <w:rPr>
                <w:lang w:val="es-ES_tradnl"/>
              </w:rPr>
            </w:pPr>
            <w:r w:rsidRPr="00E83B7E">
              <w:rPr>
                <w:lang w:val="es-ES_tradnl"/>
              </w:rPr>
              <w:t>Reducción de la demanda externa por los bienes y/o servicios producidos. Considerar la demanda de turistas por bienes y servicios provistos dentro del país como demanda externa.</w:t>
            </w:r>
          </w:p>
        </w:tc>
      </w:tr>
      <w:tr w:rsidR="00C4729C" w:rsidRPr="00DA6BC4" w14:paraId="1752AC31" w14:textId="77777777" w:rsidTr="00C4729C">
        <w:trPr>
          <w:trHeight w:val="1170"/>
        </w:trPr>
        <w:tc>
          <w:tcPr>
            <w:tcW w:w="498" w:type="dxa"/>
            <w:noWrap/>
            <w:textDirection w:val="btLr"/>
            <w:hideMark/>
          </w:tcPr>
          <w:p w14:paraId="5787EC5E"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483C850" w14:textId="77777777" w:rsidR="00C4729C" w:rsidRPr="00E83B7E" w:rsidRDefault="00C4729C" w:rsidP="0007292C">
            <w:pPr>
              <w:jc w:val="center"/>
              <w:rPr>
                <w:lang w:val="es-ES_tradnl"/>
              </w:rPr>
            </w:pPr>
            <w:r w:rsidRPr="00E83B7E">
              <w:rPr>
                <w:lang w:val="es-ES_tradnl"/>
              </w:rPr>
              <w:t>de Liquidez</w:t>
            </w:r>
          </w:p>
        </w:tc>
        <w:tc>
          <w:tcPr>
            <w:tcW w:w="1647" w:type="dxa"/>
            <w:hideMark/>
          </w:tcPr>
          <w:p w14:paraId="1EA869B3" w14:textId="77777777" w:rsidR="00C4729C" w:rsidRPr="00E83B7E" w:rsidRDefault="00C4729C" w:rsidP="0007292C">
            <w:pPr>
              <w:rPr>
                <w:lang w:val="es-ES_tradnl"/>
              </w:rPr>
            </w:pPr>
            <w:r w:rsidRPr="00E83B7E">
              <w:rPr>
                <w:lang w:val="es-ES_tradnl"/>
              </w:rPr>
              <w:t>Retraso o interrupción del ciclo de pagos</w:t>
            </w:r>
          </w:p>
        </w:tc>
        <w:tc>
          <w:tcPr>
            <w:tcW w:w="6707" w:type="dxa"/>
            <w:hideMark/>
          </w:tcPr>
          <w:p w14:paraId="3DEBBA31" w14:textId="77777777" w:rsidR="00C4729C" w:rsidRPr="00E83B7E" w:rsidRDefault="00C4729C" w:rsidP="0007292C">
            <w:pPr>
              <w:rPr>
                <w:lang w:val="es-ES_tradnl"/>
              </w:rPr>
            </w:pPr>
            <w:r w:rsidRPr="00E83B7E">
              <w:rPr>
                <w:lang w:val="es-ES_tradnl"/>
              </w:rPr>
              <w:t>Grado de retracción o demora en los pagos por ventas de bienes y servicios realizados. con relación a las condiciones usuales</w:t>
            </w:r>
          </w:p>
        </w:tc>
      </w:tr>
      <w:tr w:rsidR="00C4729C" w:rsidRPr="00DA6BC4" w14:paraId="5517B61E" w14:textId="77777777" w:rsidTr="00C4729C">
        <w:trPr>
          <w:trHeight w:val="1200"/>
        </w:trPr>
        <w:tc>
          <w:tcPr>
            <w:tcW w:w="498" w:type="dxa"/>
            <w:noWrap/>
            <w:textDirection w:val="btLr"/>
            <w:hideMark/>
          </w:tcPr>
          <w:p w14:paraId="59A484BA" w14:textId="77777777" w:rsidR="00C4729C" w:rsidRPr="00E83B7E" w:rsidRDefault="00C4729C" w:rsidP="0007292C">
            <w:pPr>
              <w:jc w:val="center"/>
              <w:rPr>
                <w:lang w:val="es-ES_tradnl"/>
              </w:rPr>
            </w:pPr>
            <w:r w:rsidRPr="00E83B7E">
              <w:rPr>
                <w:lang w:val="es-ES_tradnl"/>
              </w:rPr>
              <w:lastRenderedPageBreak/>
              <w:t>Financiero</w:t>
            </w:r>
          </w:p>
        </w:tc>
        <w:tc>
          <w:tcPr>
            <w:tcW w:w="498" w:type="dxa"/>
            <w:noWrap/>
            <w:textDirection w:val="btLr"/>
            <w:hideMark/>
          </w:tcPr>
          <w:p w14:paraId="1784C4DD" w14:textId="77777777" w:rsidR="00C4729C" w:rsidRPr="00E83B7E" w:rsidRDefault="00C4729C" w:rsidP="0007292C">
            <w:pPr>
              <w:jc w:val="center"/>
              <w:rPr>
                <w:lang w:val="es-ES_tradnl"/>
              </w:rPr>
            </w:pPr>
            <w:r w:rsidRPr="00E83B7E">
              <w:rPr>
                <w:lang w:val="es-ES_tradnl"/>
              </w:rPr>
              <w:t>de Liquidez</w:t>
            </w:r>
          </w:p>
        </w:tc>
        <w:tc>
          <w:tcPr>
            <w:tcW w:w="1647" w:type="dxa"/>
            <w:hideMark/>
          </w:tcPr>
          <w:p w14:paraId="5B811E56" w14:textId="77777777" w:rsidR="00C4729C" w:rsidRPr="00E83B7E" w:rsidRDefault="00C4729C" w:rsidP="0007292C">
            <w:pPr>
              <w:rPr>
                <w:lang w:val="es-ES_tradnl"/>
              </w:rPr>
            </w:pPr>
            <w:r w:rsidRPr="00E83B7E">
              <w:rPr>
                <w:lang w:val="es-ES_tradnl"/>
              </w:rPr>
              <w:t>Reducción o interrupción de financiamientos de corto plazo</w:t>
            </w:r>
          </w:p>
        </w:tc>
        <w:tc>
          <w:tcPr>
            <w:tcW w:w="6707" w:type="dxa"/>
            <w:hideMark/>
          </w:tcPr>
          <w:p w14:paraId="0375B119" w14:textId="77777777" w:rsidR="00C4729C" w:rsidRPr="00E83B7E" w:rsidRDefault="00C4729C" w:rsidP="0007292C">
            <w:pPr>
              <w:rPr>
                <w:lang w:val="es-ES_tradnl"/>
              </w:rPr>
            </w:pPr>
            <w:r w:rsidRPr="00E83B7E">
              <w:rPr>
                <w:lang w:val="es-ES_tradnl"/>
              </w:rPr>
              <w:t xml:space="preserve">Reducción o interrupción de financiamientos de corto plazo (crédito de proveedores, </w:t>
            </w:r>
            <w:proofErr w:type="spellStart"/>
            <w:r w:rsidRPr="00E83B7E">
              <w:rPr>
                <w:lang w:val="es-ES_tradnl"/>
              </w:rPr>
              <w:t>factoreo</w:t>
            </w:r>
            <w:proofErr w:type="spellEnd"/>
            <w:r w:rsidRPr="00E83B7E">
              <w:rPr>
                <w:lang w:val="es-ES_tradnl"/>
              </w:rPr>
              <w:t>, capital de trabajo, otros financiamientos de corto plazo (ej. tarjetas de crédito)</w:t>
            </w:r>
          </w:p>
        </w:tc>
      </w:tr>
      <w:tr w:rsidR="00C4729C" w:rsidRPr="00DA6BC4" w14:paraId="74E2622D" w14:textId="77777777" w:rsidTr="00C4729C">
        <w:trPr>
          <w:trHeight w:val="1500"/>
        </w:trPr>
        <w:tc>
          <w:tcPr>
            <w:tcW w:w="498" w:type="dxa"/>
            <w:noWrap/>
            <w:textDirection w:val="btLr"/>
            <w:hideMark/>
          </w:tcPr>
          <w:p w14:paraId="09B272EB"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1DEF68EE" w14:textId="77777777" w:rsidR="00C4729C" w:rsidRPr="00E83B7E" w:rsidRDefault="00C4729C" w:rsidP="0007292C">
            <w:pPr>
              <w:jc w:val="center"/>
              <w:rPr>
                <w:lang w:val="es-ES_tradnl"/>
              </w:rPr>
            </w:pPr>
            <w:r w:rsidRPr="00E83B7E">
              <w:rPr>
                <w:lang w:val="es-ES_tradnl"/>
              </w:rPr>
              <w:t>Crédito</w:t>
            </w:r>
          </w:p>
        </w:tc>
        <w:tc>
          <w:tcPr>
            <w:tcW w:w="1647" w:type="dxa"/>
            <w:hideMark/>
          </w:tcPr>
          <w:p w14:paraId="049937D9" w14:textId="1A7B8F5F" w:rsidR="00C4729C" w:rsidRPr="00E83B7E" w:rsidRDefault="00C4729C" w:rsidP="0007292C">
            <w:pPr>
              <w:rPr>
                <w:lang w:val="es-ES_tradnl"/>
              </w:rPr>
            </w:pPr>
            <w:r w:rsidRPr="00E83B7E">
              <w:rPr>
                <w:lang w:val="es-ES_tradnl"/>
              </w:rPr>
              <w:t>Reducción o interrupción de financiamiento de mediano y largo plazo</w:t>
            </w:r>
          </w:p>
        </w:tc>
        <w:tc>
          <w:tcPr>
            <w:tcW w:w="6707" w:type="dxa"/>
            <w:hideMark/>
          </w:tcPr>
          <w:p w14:paraId="05003AF4" w14:textId="77777777" w:rsidR="00C4729C" w:rsidRPr="00E83B7E" w:rsidRDefault="00C4729C" w:rsidP="0007292C">
            <w:pPr>
              <w:rPr>
                <w:lang w:val="es-ES_tradnl"/>
              </w:rPr>
            </w:pPr>
            <w:r w:rsidRPr="00E83B7E">
              <w:rPr>
                <w:lang w:val="es-ES_tradnl"/>
              </w:rPr>
              <w:t>Reducción o interrupción de financiamientos de mediano y largo plazo (incluye comercio exterior e inversión)</w:t>
            </w:r>
          </w:p>
        </w:tc>
      </w:tr>
      <w:tr w:rsidR="00C4729C" w:rsidRPr="00DA6BC4" w14:paraId="7C241AEA" w14:textId="77777777" w:rsidTr="00DA6BC4">
        <w:trPr>
          <w:trHeight w:val="2222"/>
        </w:trPr>
        <w:tc>
          <w:tcPr>
            <w:tcW w:w="498" w:type="dxa"/>
            <w:noWrap/>
            <w:textDirection w:val="btLr"/>
            <w:hideMark/>
          </w:tcPr>
          <w:p w14:paraId="2BDD59C0" w14:textId="77777777" w:rsidR="00C4729C" w:rsidRPr="00E83B7E" w:rsidRDefault="00C4729C" w:rsidP="0007292C">
            <w:pPr>
              <w:jc w:val="center"/>
              <w:rPr>
                <w:lang w:val="es-ES_tradnl"/>
              </w:rPr>
            </w:pPr>
            <w:r w:rsidRPr="00E83B7E">
              <w:rPr>
                <w:lang w:val="es-ES_tradnl"/>
              </w:rPr>
              <w:t>Financiero</w:t>
            </w:r>
          </w:p>
        </w:tc>
        <w:tc>
          <w:tcPr>
            <w:tcW w:w="498" w:type="dxa"/>
            <w:noWrap/>
            <w:textDirection w:val="btLr"/>
            <w:hideMark/>
          </w:tcPr>
          <w:p w14:paraId="65C8E8E6"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679BAAB3" w14:textId="77777777" w:rsidR="00C4729C" w:rsidRPr="00E83B7E" w:rsidRDefault="00C4729C" w:rsidP="0007292C">
            <w:pPr>
              <w:rPr>
                <w:lang w:val="es-ES_tradnl"/>
              </w:rPr>
            </w:pPr>
            <w:r w:rsidRPr="00E83B7E">
              <w:rPr>
                <w:lang w:val="es-ES_tradnl"/>
              </w:rPr>
              <w:t>Aumento de los costos financieros y de intermediación (tasas de interés, comisiones, etc.)</w:t>
            </w:r>
          </w:p>
        </w:tc>
        <w:tc>
          <w:tcPr>
            <w:tcW w:w="6707" w:type="dxa"/>
            <w:hideMark/>
          </w:tcPr>
          <w:p w14:paraId="59F08B7D" w14:textId="77777777" w:rsidR="00C4729C" w:rsidRPr="00E83B7E" w:rsidRDefault="00C4729C" w:rsidP="0007292C">
            <w:pPr>
              <w:rPr>
                <w:lang w:val="es-ES_tradnl"/>
              </w:rPr>
            </w:pPr>
            <w:r w:rsidRPr="00E83B7E">
              <w:rPr>
                <w:lang w:val="es-ES_tradnl"/>
              </w:rPr>
              <w:t>Aumento de los costos financieros y de intermediación (tasas de interés, comisiones, etc.). Considerar costos de todas las fuentes (proveedores, bancarios, tarjetas de crédito, etc.)</w:t>
            </w:r>
            <w:r w:rsidRPr="00E83B7E">
              <w:rPr>
                <w:lang w:val="es-ES_tradnl"/>
              </w:rPr>
              <w:br/>
            </w:r>
            <w:r w:rsidRPr="00E83B7E">
              <w:rPr>
                <w:lang w:val="es-ES_tradnl"/>
              </w:rPr>
              <w:br/>
              <w:t>Considerar costos y tasas en términos reales (prestar atención a la inflación)</w:t>
            </w:r>
          </w:p>
        </w:tc>
      </w:tr>
      <w:tr w:rsidR="00C4729C" w:rsidRPr="00E83B7E" w14:paraId="7BFB4721" w14:textId="77777777" w:rsidTr="00C4729C">
        <w:trPr>
          <w:trHeight w:val="1500"/>
        </w:trPr>
        <w:tc>
          <w:tcPr>
            <w:tcW w:w="498" w:type="dxa"/>
            <w:noWrap/>
            <w:textDirection w:val="btLr"/>
            <w:hideMark/>
          </w:tcPr>
          <w:p w14:paraId="1029816A" w14:textId="77777777" w:rsidR="00C4729C" w:rsidRPr="00E83B7E" w:rsidRDefault="00C4729C" w:rsidP="0007292C">
            <w:pPr>
              <w:jc w:val="center"/>
              <w:rPr>
                <w:lang w:val="es-ES_tradnl"/>
              </w:rPr>
            </w:pPr>
            <w:r w:rsidRPr="00E83B7E">
              <w:rPr>
                <w:lang w:val="es-ES_tradnl"/>
              </w:rPr>
              <w:t>Patrimonial</w:t>
            </w:r>
          </w:p>
        </w:tc>
        <w:tc>
          <w:tcPr>
            <w:tcW w:w="498" w:type="dxa"/>
            <w:noWrap/>
            <w:textDirection w:val="btLr"/>
            <w:hideMark/>
          </w:tcPr>
          <w:p w14:paraId="23568378" w14:textId="77777777" w:rsidR="00C4729C" w:rsidRPr="00E83B7E" w:rsidRDefault="00C4729C" w:rsidP="0007292C">
            <w:pPr>
              <w:jc w:val="center"/>
              <w:rPr>
                <w:lang w:val="es-ES_tradnl"/>
              </w:rPr>
            </w:pPr>
            <w:r w:rsidRPr="00E83B7E">
              <w:rPr>
                <w:lang w:val="es-ES_tradnl"/>
              </w:rPr>
              <w:t>Patrimonial</w:t>
            </w:r>
          </w:p>
        </w:tc>
        <w:tc>
          <w:tcPr>
            <w:tcW w:w="1647" w:type="dxa"/>
            <w:hideMark/>
          </w:tcPr>
          <w:p w14:paraId="48FE62C4" w14:textId="77777777" w:rsidR="00C4729C" w:rsidRPr="00E83B7E" w:rsidRDefault="00C4729C" w:rsidP="0007292C">
            <w:pPr>
              <w:rPr>
                <w:lang w:val="es-ES_tradnl"/>
              </w:rPr>
            </w:pPr>
            <w:r w:rsidRPr="00E83B7E">
              <w:rPr>
                <w:lang w:val="es-ES_tradnl"/>
              </w:rPr>
              <w:t>Reducción del valor de los activos reales por retracción de la demanda</w:t>
            </w:r>
          </w:p>
        </w:tc>
        <w:tc>
          <w:tcPr>
            <w:tcW w:w="6707" w:type="dxa"/>
            <w:hideMark/>
          </w:tcPr>
          <w:p w14:paraId="621FE0AD" w14:textId="77777777" w:rsidR="00C4729C" w:rsidRPr="00E83B7E" w:rsidRDefault="00C4729C" w:rsidP="0007292C">
            <w:pPr>
              <w:rPr>
                <w:lang w:val="es-ES_tradnl"/>
              </w:rPr>
            </w:pPr>
            <w:r w:rsidRPr="00E83B7E">
              <w:rPr>
                <w:lang w:val="es-ES_tradnl"/>
              </w:rPr>
              <w:t>Reducción del valor de los activos reales por retracción de la demanda (valor edificios, terrenos, inventarios, etc.) y depreciación (ej. vencimientos de mercadería).</w:t>
            </w:r>
            <w:r w:rsidRPr="00E83B7E">
              <w:rPr>
                <w:lang w:val="es-ES_tradnl"/>
              </w:rPr>
              <w:br/>
            </w:r>
            <w:r w:rsidRPr="00E83B7E">
              <w:rPr>
                <w:lang w:val="es-ES_tradnl"/>
              </w:rPr>
              <w:br/>
              <w:t>Considerar en términos reales.</w:t>
            </w:r>
          </w:p>
        </w:tc>
      </w:tr>
      <w:tr w:rsidR="00C4729C" w:rsidRPr="00DA6BC4" w14:paraId="7774CA64" w14:textId="77777777" w:rsidTr="00C4729C">
        <w:trPr>
          <w:trHeight w:val="1500"/>
        </w:trPr>
        <w:tc>
          <w:tcPr>
            <w:tcW w:w="498" w:type="dxa"/>
            <w:noWrap/>
            <w:textDirection w:val="btLr"/>
            <w:hideMark/>
          </w:tcPr>
          <w:p w14:paraId="71E4A79C" w14:textId="77777777" w:rsidR="00C4729C" w:rsidRPr="00E83B7E" w:rsidRDefault="00C4729C" w:rsidP="0007292C">
            <w:pPr>
              <w:jc w:val="center"/>
              <w:rPr>
                <w:lang w:val="es-ES_tradnl"/>
              </w:rPr>
            </w:pPr>
            <w:r w:rsidRPr="00E83B7E">
              <w:rPr>
                <w:lang w:val="es-ES_tradnl"/>
              </w:rPr>
              <w:t>Patrimonial</w:t>
            </w:r>
          </w:p>
        </w:tc>
        <w:tc>
          <w:tcPr>
            <w:tcW w:w="498" w:type="dxa"/>
            <w:noWrap/>
            <w:textDirection w:val="btLr"/>
            <w:hideMark/>
          </w:tcPr>
          <w:p w14:paraId="6BFEF7CB" w14:textId="77777777" w:rsidR="00C4729C" w:rsidRPr="00E83B7E" w:rsidRDefault="00C4729C" w:rsidP="0007292C">
            <w:pPr>
              <w:jc w:val="center"/>
              <w:rPr>
                <w:lang w:val="es-ES_tradnl"/>
              </w:rPr>
            </w:pPr>
            <w:r w:rsidRPr="00E83B7E">
              <w:rPr>
                <w:lang w:val="es-ES_tradnl"/>
              </w:rPr>
              <w:t>Operativo</w:t>
            </w:r>
          </w:p>
        </w:tc>
        <w:tc>
          <w:tcPr>
            <w:tcW w:w="1647" w:type="dxa"/>
            <w:hideMark/>
          </w:tcPr>
          <w:p w14:paraId="2F7504C8" w14:textId="77777777" w:rsidR="00C4729C" w:rsidRPr="00E83B7E" w:rsidRDefault="00C4729C" w:rsidP="0007292C">
            <w:pPr>
              <w:rPr>
                <w:lang w:val="es-ES_tradnl"/>
              </w:rPr>
            </w:pPr>
            <w:r w:rsidRPr="00E83B7E">
              <w:rPr>
                <w:lang w:val="es-ES_tradnl"/>
              </w:rPr>
              <w:t>Acumulación de pasivos (alquileres, sueldos, etc.)</w:t>
            </w:r>
          </w:p>
        </w:tc>
        <w:tc>
          <w:tcPr>
            <w:tcW w:w="6707" w:type="dxa"/>
            <w:hideMark/>
          </w:tcPr>
          <w:p w14:paraId="374544FF" w14:textId="77777777" w:rsidR="00C4729C" w:rsidRPr="00E83B7E" w:rsidRDefault="00C4729C" w:rsidP="0007292C">
            <w:pPr>
              <w:rPr>
                <w:lang w:val="es-ES_tradnl"/>
              </w:rPr>
            </w:pPr>
            <w:r w:rsidRPr="00E83B7E">
              <w:rPr>
                <w:lang w:val="es-ES_tradnl"/>
              </w:rPr>
              <w:t>Considerar principalmente el aumento de pasivos asociados a la falta de ingresos por ventas que normalmente se utilizarían, por ejemplo, pago de salarios, alquileres, obligaciones impositivas, pago de servicios (energía, comunicaciones), etc. Considerar los endeudamientos incurridos para mantener dichos pagos (ejemplo, préstamos para pago de sueldos y jornales).</w:t>
            </w:r>
          </w:p>
        </w:tc>
      </w:tr>
      <w:tr w:rsidR="00C4729C" w:rsidRPr="00DA6BC4" w14:paraId="148667C4" w14:textId="77777777" w:rsidTr="00C4729C">
        <w:trPr>
          <w:trHeight w:val="2100"/>
        </w:trPr>
        <w:tc>
          <w:tcPr>
            <w:tcW w:w="498" w:type="dxa"/>
            <w:noWrap/>
            <w:textDirection w:val="btLr"/>
            <w:hideMark/>
          </w:tcPr>
          <w:p w14:paraId="568563C6" w14:textId="77777777" w:rsidR="00C4729C" w:rsidRPr="00E83B7E" w:rsidRDefault="00C4729C" w:rsidP="0007292C">
            <w:pPr>
              <w:jc w:val="center"/>
              <w:rPr>
                <w:lang w:val="es-ES_tradnl"/>
              </w:rPr>
            </w:pPr>
            <w:r w:rsidRPr="00E83B7E">
              <w:rPr>
                <w:lang w:val="es-ES_tradnl"/>
              </w:rPr>
              <w:t>Institucionales</w:t>
            </w:r>
          </w:p>
        </w:tc>
        <w:tc>
          <w:tcPr>
            <w:tcW w:w="498" w:type="dxa"/>
            <w:noWrap/>
            <w:textDirection w:val="btLr"/>
            <w:hideMark/>
          </w:tcPr>
          <w:p w14:paraId="56519019" w14:textId="77777777" w:rsidR="00C4729C" w:rsidRPr="00E83B7E" w:rsidRDefault="00C4729C" w:rsidP="0007292C">
            <w:pPr>
              <w:jc w:val="center"/>
              <w:rPr>
                <w:lang w:val="es-ES_tradnl"/>
              </w:rPr>
            </w:pPr>
            <w:proofErr w:type="spellStart"/>
            <w:r w:rsidRPr="00E83B7E">
              <w:rPr>
                <w:lang w:val="es-ES_tradnl"/>
              </w:rPr>
              <w:t>Sist</w:t>
            </w:r>
            <w:proofErr w:type="spellEnd"/>
            <w:r w:rsidRPr="00E83B7E">
              <w:rPr>
                <w:lang w:val="es-ES_tradnl"/>
              </w:rPr>
              <w:t xml:space="preserve"> y reg.</w:t>
            </w:r>
          </w:p>
        </w:tc>
        <w:tc>
          <w:tcPr>
            <w:tcW w:w="1647" w:type="dxa"/>
            <w:hideMark/>
          </w:tcPr>
          <w:p w14:paraId="121201E0" w14:textId="654DB5F5" w:rsidR="00C4729C" w:rsidRPr="00E83B7E" w:rsidRDefault="00C4729C" w:rsidP="0007292C">
            <w:pPr>
              <w:rPr>
                <w:lang w:val="es-ES_tradnl"/>
              </w:rPr>
            </w:pPr>
            <w:r w:rsidRPr="00E83B7E">
              <w:rPr>
                <w:lang w:val="es-ES_tradnl"/>
              </w:rPr>
              <w:t>Inestabilidad política y social</w:t>
            </w:r>
          </w:p>
        </w:tc>
        <w:tc>
          <w:tcPr>
            <w:tcW w:w="6707" w:type="dxa"/>
            <w:hideMark/>
          </w:tcPr>
          <w:p w14:paraId="57DEAC57" w14:textId="77777777" w:rsidR="00C4729C" w:rsidRPr="00E83B7E" w:rsidRDefault="00C4729C" w:rsidP="0007292C">
            <w:pPr>
              <w:rPr>
                <w:lang w:val="es-ES_tradnl"/>
              </w:rPr>
            </w:pPr>
            <w:r w:rsidRPr="00E83B7E">
              <w:rPr>
                <w:lang w:val="es-ES_tradnl"/>
              </w:rPr>
              <w:t xml:space="preserve">Impacto que la inestabilidad política y social puede tener en el giro de negocios. </w:t>
            </w:r>
            <w:r w:rsidRPr="00E83B7E">
              <w:rPr>
                <w:lang w:val="es-ES_tradnl"/>
              </w:rPr>
              <w:br/>
            </w:r>
            <w:r w:rsidRPr="00E83B7E">
              <w:rPr>
                <w:lang w:val="es-ES_tradnl"/>
              </w:rPr>
              <w:br/>
              <w:t>Considerar un escenario moderado de inestabilidad política y social (desordenes sociales localizados y contenidos; saqueos y aumento de la violencia y criminalidad localizado y contenido).</w:t>
            </w:r>
          </w:p>
        </w:tc>
      </w:tr>
      <w:tr w:rsidR="00C4729C" w:rsidRPr="00DA6BC4" w14:paraId="451F8475" w14:textId="77777777" w:rsidTr="00CE223E">
        <w:trPr>
          <w:cantSplit/>
          <w:trHeight w:val="2115"/>
        </w:trPr>
        <w:tc>
          <w:tcPr>
            <w:tcW w:w="498" w:type="dxa"/>
            <w:tcBorders>
              <w:bottom w:val="single" w:sz="4" w:space="0" w:color="auto"/>
            </w:tcBorders>
            <w:noWrap/>
            <w:textDirection w:val="btLr"/>
            <w:hideMark/>
          </w:tcPr>
          <w:p w14:paraId="03477BBC" w14:textId="77777777" w:rsidR="00C4729C" w:rsidRPr="00E83B7E" w:rsidRDefault="00C4729C" w:rsidP="00CE223E">
            <w:pPr>
              <w:ind w:left="113" w:right="113"/>
              <w:jc w:val="center"/>
              <w:rPr>
                <w:lang w:val="es-ES_tradnl"/>
              </w:rPr>
            </w:pPr>
            <w:r w:rsidRPr="00E83B7E">
              <w:rPr>
                <w:lang w:val="es-ES_tradnl"/>
              </w:rPr>
              <w:t>Institucionales</w:t>
            </w:r>
          </w:p>
        </w:tc>
        <w:tc>
          <w:tcPr>
            <w:tcW w:w="498" w:type="dxa"/>
            <w:tcBorders>
              <w:bottom w:val="single" w:sz="4" w:space="0" w:color="auto"/>
            </w:tcBorders>
            <w:noWrap/>
            <w:textDirection w:val="btLr"/>
            <w:hideMark/>
          </w:tcPr>
          <w:p w14:paraId="6862913E" w14:textId="77777777" w:rsidR="00C4729C" w:rsidRPr="00E83B7E" w:rsidRDefault="00C4729C" w:rsidP="00CE223E">
            <w:pPr>
              <w:ind w:left="113" w:right="113"/>
              <w:jc w:val="center"/>
              <w:rPr>
                <w:lang w:val="es-ES_tradnl"/>
              </w:rPr>
            </w:pPr>
            <w:proofErr w:type="spellStart"/>
            <w:r w:rsidRPr="00E83B7E">
              <w:rPr>
                <w:lang w:val="es-ES_tradnl"/>
              </w:rPr>
              <w:t>Sist</w:t>
            </w:r>
            <w:proofErr w:type="spellEnd"/>
            <w:r w:rsidRPr="00E83B7E">
              <w:rPr>
                <w:lang w:val="es-ES_tradnl"/>
              </w:rPr>
              <w:t xml:space="preserve"> y reg.</w:t>
            </w:r>
          </w:p>
        </w:tc>
        <w:tc>
          <w:tcPr>
            <w:tcW w:w="1647" w:type="dxa"/>
            <w:tcBorders>
              <w:bottom w:val="single" w:sz="4" w:space="0" w:color="auto"/>
            </w:tcBorders>
            <w:hideMark/>
          </w:tcPr>
          <w:p w14:paraId="286AEF56" w14:textId="77777777" w:rsidR="00C4729C" w:rsidRPr="00E83B7E" w:rsidRDefault="00C4729C" w:rsidP="0007292C">
            <w:pPr>
              <w:rPr>
                <w:lang w:val="es-ES_tradnl"/>
              </w:rPr>
            </w:pPr>
            <w:r w:rsidRPr="00E83B7E">
              <w:rPr>
                <w:lang w:val="es-ES_tradnl"/>
              </w:rPr>
              <w:t>Incertidumbre institucional y legal</w:t>
            </w:r>
          </w:p>
        </w:tc>
        <w:tc>
          <w:tcPr>
            <w:tcW w:w="6707" w:type="dxa"/>
            <w:tcBorders>
              <w:bottom w:val="single" w:sz="4" w:space="0" w:color="auto"/>
            </w:tcBorders>
            <w:hideMark/>
          </w:tcPr>
          <w:p w14:paraId="296C91BB" w14:textId="6D718C0C" w:rsidR="00C4729C" w:rsidRPr="00E83B7E" w:rsidRDefault="00C4729C" w:rsidP="0007292C">
            <w:pPr>
              <w:rPr>
                <w:lang w:val="es-ES_tradnl"/>
              </w:rPr>
            </w:pPr>
            <w:r w:rsidRPr="00E83B7E">
              <w:rPr>
                <w:lang w:val="es-ES_tradnl"/>
              </w:rPr>
              <w:t xml:space="preserve">Impacto que la inestabilidad institucional y legal puede tener en el giro de negocios. </w:t>
            </w:r>
            <w:r w:rsidRPr="00E83B7E">
              <w:rPr>
                <w:lang w:val="es-ES_tradnl"/>
              </w:rPr>
              <w:br/>
            </w:r>
            <w:r w:rsidRPr="00E83B7E">
              <w:rPr>
                <w:lang w:val="es-ES_tradnl"/>
              </w:rPr>
              <w:br/>
              <w:t>Considerar un escenario moderado de inestabilidad institucional y legal de mantenimiento general del orden constitucional, estado de derecho y protección de la propiedad privada y derechos civiles, pero con avances sobre la propiedad privada y los contratos entre privados.</w:t>
            </w:r>
          </w:p>
        </w:tc>
      </w:tr>
      <w:tr w:rsidR="00C4729C" w:rsidRPr="00E83B7E" w14:paraId="42B382D8" w14:textId="77777777" w:rsidTr="00CE223E">
        <w:trPr>
          <w:trHeight w:val="197"/>
        </w:trPr>
        <w:tc>
          <w:tcPr>
            <w:tcW w:w="9350" w:type="dxa"/>
            <w:gridSpan w:val="4"/>
            <w:tcBorders>
              <w:top w:val="single" w:sz="4" w:space="0" w:color="auto"/>
              <w:left w:val="nil"/>
              <w:bottom w:val="nil"/>
              <w:right w:val="nil"/>
            </w:tcBorders>
            <w:noWrap/>
          </w:tcPr>
          <w:p w14:paraId="3213F53A" w14:textId="657A0839" w:rsidR="00C4729C" w:rsidRPr="00E83B7E" w:rsidRDefault="00C4729C" w:rsidP="00C4729C">
            <w:pPr>
              <w:rPr>
                <w:sz w:val="18"/>
                <w:szCs w:val="18"/>
                <w:lang w:val="es-ES_tradnl"/>
              </w:rPr>
            </w:pPr>
            <w:r w:rsidRPr="00E83B7E">
              <w:rPr>
                <w:sz w:val="18"/>
                <w:szCs w:val="18"/>
                <w:lang w:val="es-ES_tradnl"/>
              </w:rPr>
              <w:t>Fuente: IFD/CMF.</w:t>
            </w:r>
          </w:p>
        </w:tc>
      </w:tr>
    </w:tbl>
    <w:p w14:paraId="19CCDAB1" w14:textId="77777777" w:rsidR="00C42147" w:rsidRPr="00E83B7E" w:rsidRDefault="00C42147" w:rsidP="00DA6BC4">
      <w:pPr>
        <w:jc w:val="both"/>
        <w:rPr>
          <w:b/>
          <w:bCs/>
          <w:sz w:val="24"/>
          <w:szCs w:val="24"/>
          <w:lang w:val="es-ES_tradnl"/>
        </w:rPr>
      </w:pPr>
    </w:p>
    <w:sectPr w:rsidR="00C42147" w:rsidRPr="00E83B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173657" w14:textId="77777777" w:rsidR="00986D26" w:rsidRDefault="00986D26" w:rsidP="00BF3440">
      <w:pPr>
        <w:spacing w:after="0" w:line="240" w:lineRule="auto"/>
      </w:pPr>
      <w:r>
        <w:separator/>
      </w:r>
    </w:p>
  </w:endnote>
  <w:endnote w:type="continuationSeparator" w:id="0">
    <w:p w14:paraId="410712D4" w14:textId="77777777" w:rsidR="00986D26" w:rsidRDefault="00986D26" w:rsidP="00BF3440">
      <w:pPr>
        <w:spacing w:after="0" w:line="240" w:lineRule="auto"/>
      </w:pPr>
      <w:r>
        <w:continuationSeparator/>
      </w:r>
    </w:p>
  </w:endnote>
  <w:endnote w:type="continuationNotice" w:id="1">
    <w:p w14:paraId="50071BB6" w14:textId="77777777" w:rsidR="00986D26" w:rsidRDefault="00986D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D9013" w14:textId="77777777" w:rsidR="00986D26" w:rsidRDefault="00986D26" w:rsidP="00BF3440">
      <w:pPr>
        <w:spacing w:after="0" w:line="240" w:lineRule="auto"/>
      </w:pPr>
      <w:r>
        <w:separator/>
      </w:r>
    </w:p>
  </w:footnote>
  <w:footnote w:type="continuationSeparator" w:id="0">
    <w:p w14:paraId="2A293027" w14:textId="77777777" w:rsidR="00986D26" w:rsidRDefault="00986D26" w:rsidP="00BF3440">
      <w:pPr>
        <w:spacing w:after="0" w:line="240" w:lineRule="auto"/>
      </w:pPr>
      <w:r>
        <w:continuationSeparator/>
      </w:r>
    </w:p>
  </w:footnote>
  <w:footnote w:type="continuationNotice" w:id="1">
    <w:p w14:paraId="04C3752F" w14:textId="77777777" w:rsidR="00986D26" w:rsidRDefault="00986D26">
      <w:pPr>
        <w:spacing w:after="0" w:line="240" w:lineRule="auto"/>
      </w:pPr>
    </w:p>
  </w:footnote>
  <w:footnote w:id="2">
    <w:p w14:paraId="0FB5163B" w14:textId="5C64EA52" w:rsidR="008B46A6" w:rsidRPr="0007292C" w:rsidRDefault="008B46A6">
      <w:pPr>
        <w:pStyle w:val="FootnoteText"/>
        <w:rPr>
          <w:lang w:val="es-AR"/>
        </w:rPr>
      </w:pPr>
      <w:r>
        <w:rPr>
          <w:rStyle w:val="FootnoteReference"/>
        </w:rPr>
        <w:footnoteRef/>
      </w:r>
      <w:r w:rsidRPr="0007292C">
        <w:rPr>
          <w:lang w:val="es-AR"/>
        </w:rPr>
        <w:t xml:space="preserve"> </w:t>
      </w:r>
      <w:r>
        <w:rPr>
          <w:lang w:val="es-AR"/>
        </w:rPr>
        <w:t>Una descripción detallada de estos factores se da en el Anexo I.</w:t>
      </w:r>
    </w:p>
  </w:footnote>
  <w:footnote w:id="3">
    <w:p w14:paraId="4E678BF6" w14:textId="640E3DDF" w:rsidR="008B46A6" w:rsidRPr="0007292C" w:rsidRDefault="008B46A6">
      <w:pPr>
        <w:pStyle w:val="FootnoteText"/>
        <w:rPr>
          <w:lang w:val="es-AR"/>
        </w:rPr>
      </w:pPr>
      <w:r>
        <w:rPr>
          <w:rStyle w:val="FootnoteReference"/>
        </w:rPr>
        <w:footnoteRef/>
      </w:r>
      <w:r w:rsidRPr="00E97C66">
        <w:rPr>
          <w:lang w:val="es-AR"/>
        </w:rPr>
        <w:t xml:space="preserve"> </w:t>
      </w:r>
      <w:r>
        <w:rPr>
          <w:lang w:val="es-AR"/>
        </w:rPr>
        <w:t>Para mayor detalle analítico ver Anexo I.</w:t>
      </w:r>
    </w:p>
  </w:footnote>
  <w:footnote w:id="4">
    <w:p w14:paraId="32143FE8" w14:textId="2E5B66C7" w:rsidR="008B46A6" w:rsidRPr="0007292C" w:rsidRDefault="008B46A6">
      <w:pPr>
        <w:pStyle w:val="FootnoteText"/>
        <w:rPr>
          <w:lang w:val="es-AR"/>
        </w:rPr>
      </w:pPr>
      <w:r>
        <w:rPr>
          <w:rStyle w:val="FootnoteReference"/>
        </w:rPr>
        <w:footnoteRef/>
      </w:r>
      <w:r w:rsidRPr="00E97C66">
        <w:rPr>
          <w:lang w:val="es-AR"/>
        </w:rPr>
        <w:t xml:space="preserve"> </w:t>
      </w:r>
      <w:r>
        <w:rPr>
          <w:lang w:val="es-AR"/>
        </w:rPr>
        <w:t>Para mayor detalle analítico ver Anexo I.</w:t>
      </w:r>
    </w:p>
  </w:footnote>
  <w:footnote w:id="5">
    <w:p w14:paraId="5D6E8333" w14:textId="7AFAA6DB" w:rsidR="008B46A6" w:rsidRPr="004F08B2" w:rsidRDefault="008B46A6">
      <w:pPr>
        <w:pStyle w:val="FootnoteText"/>
        <w:rPr>
          <w:lang w:val="es-ES"/>
        </w:rPr>
      </w:pPr>
      <w:r>
        <w:rPr>
          <w:rStyle w:val="FootnoteReference"/>
        </w:rPr>
        <w:footnoteRef/>
      </w:r>
      <w:r w:rsidRPr="004F08B2">
        <w:rPr>
          <w:lang w:val="es-ES"/>
        </w:rPr>
        <w:t xml:space="preserve"> En un ranking de 140 países,</w:t>
      </w:r>
      <w:r>
        <w:rPr>
          <w:lang w:val="es-ES"/>
        </w:rPr>
        <w:t xml:space="preserve"> se sitúa en un ranking de 5</w:t>
      </w:r>
      <w:r w:rsidR="008A4032">
        <w:rPr>
          <w:lang w:val="es-ES"/>
        </w:rPr>
        <w:t>5</w:t>
      </w:r>
      <w:r>
        <w:rPr>
          <w:lang w:val="es-ES"/>
        </w:rPr>
        <w:t xml:space="preserve"> en transacciones </w:t>
      </w:r>
      <w:r w:rsidRPr="004F08B2">
        <w:rPr>
          <w:i/>
          <w:iCs/>
          <w:lang w:val="es-ES"/>
        </w:rPr>
        <w:t>business to business</w:t>
      </w:r>
      <w:r>
        <w:rPr>
          <w:lang w:val="es-ES"/>
        </w:rPr>
        <w:t xml:space="preserve"> y en el </w:t>
      </w:r>
      <w:r w:rsidR="008A4032">
        <w:rPr>
          <w:lang w:val="es-ES"/>
        </w:rPr>
        <w:t>85</w:t>
      </w:r>
      <w:r>
        <w:rPr>
          <w:lang w:val="es-ES"/>
        </w:rPr>
        <w:t xml:space="preserve"> en transacciones </w:t>
      </w:r>
      <w:r w:rsidRPr="004F08B2">
        <w:rPr>
          <w:i/>
          <w:iCs/>
          <w:lang w:val="es-ES"/>
        </w:rPr>
        <w:t>business to consumer</w:t>
      </w:r>
      <w:r>
        <w:rPr>
          <w:lang w:val="es-E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2F7A4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147"/>
    <w:rsid w:val="00012AD7"/>
    <w:rsid w:val="000130CF"/>
    <w:rsid w:val="000153AA"/>
    <w:rsid w:val="0001715E"/>
    <w:rsid w:val="00023A86"/>
    <w:rsid w:val="000243B9"/>
    <w:rsid w:val="00024A68"/>
    <w:rsid w:val="00043713"/>
    <w:rsid w:val="00046679"/>
    <w:rsid w:val="00054F6D"/>
    <w:rsid w:val="000612A6"/>
    <w:rsid w:val="00063F34"/>
    <w:rsid w:val="0007292C"/>
    <w:rsid w:val="00077DD7"/>
    <w:rsid w:val="00094F02"/>
    <w:rsid w:val="000A2F6D"/>
    <w:rsid w:val="000A742C"/>
    <w:rsid w:val="000B0EA0"/>
    <w:rsid w:val="000B2210"/>
    <w:rsid w:val="000B35B1"/>
    <w:rsid w:val="000C1350"/>
    <w:rsid w:val="000D4171"/>
    <w:rsid w:val="000E23D0"/>
    <w:rsid w:val="000E6E1E"/>
    <w:rsid w:val="000F0075"/>
    <w:rsid w:val="000F3D91"/>
    <w:rsid w:val="000F59E6"/>
    <w:rsid w:val="00101F9B"/>
    <w:rsid w:val="00121F3B"/>
    <w:rsid w:val="001321AA"/>
    <w:rsid w:val="00132CB7"/>
    <w:rsid w:val="00143DE2"/>
    <w:rsid w:val="001470EC"/>
    <w:rsid w:val="001570DD"/>
    <w:rsid w:val="00163F37"/>
    <w:rsid w:val="0017060A"/>
    <w:rsid w:val="0018115D"/>
    <w:rsid w:val="00182894"/>
    <w:rsid w:val="0019222A"/>
    <w:rsid w:val="001953C0"/>
    <w:rsid w:val="001A2D24"/>
    <w:rsid w:val="001A58E1"/>
    <w:rsid w:val="001B58F2"/>
    <w:rsid w:val="001C01FF"/>
    <w:rsid w:val="001C16D9"/>
    <w:rsid w:val="001C6940"/>
    <w:rsid w:val="001C71B9"/>
    <w:rsid w:val="001E5AD1"/>
    <w:rsid w:val="001E6937"/>
    <w:rsid w:val="0020236E"/>
    <w:rsid w:val="00202828"/>
    <w:rsid w:val="0020497F"/>
    <w:rsid w:val="002104C9"/>
    <w:rsid w:val="002145E1"/>
    <w:rsid w:val="002263BE"/>
    <w:rsid w:val="00231254"/>
    <w:rsid w:val="00236DA8"/>
    <w:rsid w:val="00263A04"/>
    <w:rsid w:val="00280514"/>
    <w:rsid w:val="002844AD"/>
    <w:rsid w:val="00285CD3"/>
    <w:rsid w:val="002B00EE"/>
    <w:rsid w:val="002B14AC"/>
    <w:rsid w:val="002B3175"/>
    <w:rsid w:val="002C1F33"/>
    <w:rsid w:val="002E4B4A"/>
    <w:rsid w:val="002F60E9"/>
    <w:rsid w:val="00303A21"/>
    <w:rsid w:val="003124BB"/>
    <w:rsid w:val="003202C0"/>
    <w:rsid w:val="00330377"/>
    <w:rsid w:val="0033629B"/>
    <w:rsid w:val="003426B4"/>
    <w:rsid w:val="00357892"/>
    <w:rsid w:val="003625CE"/>
    <w:rsid w:val="00364A96"/>
    <w:rsid w:val="00366688"/>
    <w:rsid w:val="003708D1"/>
    <w:rsid w:val="00376D7C"/>
    <w:rsid w:val="00380CB5"/>
    <w:rsid w:val="0038219B"/>
    <w:rsid w:val="00382E7B"/>
    <w:rsid w:val="003845F7"/>
    <w:rsid w:val="003871AA"/>
    <w:rsid w:val="0039233C"/>
    <w:rsid w:val="003941F4"/>
    <w:rsid w:val="003A4989"/>
    <w:rsid w:val="003A5830"/>
    <w:rsid w:val="003A6D81"/>
    <w:rsid w:val="003B358E"/>
    <w:rsid w:val="003B4323"/>
    <w:rsid w:val="003B6735"/>
    <w:rsid w:val="003C033C"/>
    <w:rsid w:val="003C6DCD"/>
    <w:rsid w:val="003E1812"/>
    <w:rsid w:val="003E2301"/>
    <w:rsid w:val="003E7003"/>
    <w:rsid w:val="00404E61"/>
    <w:rsid w:val="0041747A"/>
    <w:rsid w:val="00420B9E"/>
    <w:rsid w:val="00421C29"/>
    <w:rsid w:val="00425068"/>
    <w:rsid w:val="0043226E"/>
    <w:rsid w:val="004467EE"/>
    <w:rsid w:val="004656DB"/>
    <w:rsid w:val="004732C1"/>
    <w:rsid w:val="0048150E"/>
    <w:rsid w:val="0048338B"/>
    <w:rsid w:val="00490F29"/>
    <w:rsid w:val="00491164"/>
    <w:rsid w:val="004A113A"/>
    <w:rsid w:val="004B3258"/>
    <w:rsid w:val="004B5F36"/>
    <w:rsid w:val="004B789A"/>
    <w:rsid w:val="004C6262"/>
    <w:rsid w:val="004D645F"/>
    <w:rsid w:val="004F08B2"/>
    <w:rsid w:val="004F0E70"/>
    <w:rsid w:val="004F2E76"/>
    <w:rsid w:val="004F54FB"/>
    <w:rsid w:val="00501774"/>
    <w:rsid w:val="0050208F"/>
    <w:rsid w:val="0050643B"/>
    <w:rsid w:val="00517203"/>
    <w:rsid w:val="00524B11"/>
    <w:rsid w:val="00531D5F"/>
    <w:rsid w:val="005342F5"/>
    <w:rsid w:val="00550023"/>
    <w:rsid w:val="00553C9F"/>
    <w:rsid w:val="00556998"/>
    <w:rsid w:val="00560F55"/>
    <w:rsid w:val="005617F8"/>
    <w:rsid w:val="00566663"/>
    <w:rsid w:val="00567FA8"/>
    <w:rsid w:val="0057313D"/>
    <w:rsid w:val="0059582D"/>
    <w:rsid w:val="005A31A7"/>
    <w:rsid w:val="005C49E3"/>
    <w:rsid w:val="005C6CA8"/>
    <w:rsid w:val="005D1844"/>
    <w:rsid w:val="00611B36"/>
    <w:rsid w:val="006221D8"/>
    <w:rsid w:val="006239C6"/>
    <w:rsid w:val="006249A6"/>
    <w:rsid w:val="00636076"/>
    <w:rsid w:val="00650B03"/>
    <w:rsid w:val="00651B7E"/>
    <w:rsid w:val="00667CD9"/>
    <w:rsid w:val="006809DE"/>
    <w:rsid w:val="00680EB8"/>
    <w:rsid w:val="00681B57"/>
    <w:rsid w:val="00681D94"/>
    <w:rsid w:val="00697AEF"/>
    <w:rsid w:val="006B2D10"/>
    <w:rsid w:val="006B4520"/>
    <w:rsid w:val="006B79AB"/>
    <w:rsid w:val="006D0655"/>
    <w:rsid w:val="006D4EEB"/>
    <w:rsid w:val="006F1929"/>
    <w:rsid w:val="006F6A85"/>
    <w:rsid w:val="00702813"/>
    <w:rsid w:val="00710EE5"/>
    <w:rsid w:val="007216B6"/>
    <w:rsid w:val="00725F1A"/>
    <w:rsid w:val="00746F48"/>
    <w:rsid w:val="00755EA6"/>
    <w:rsid w:val="0076789E"/>
    <w:rsid w:val="0077797C"/>
    <w:rsid w:val="00781E24"/>
    <w:rsid w:val="0078223F"/>
    <w:rsid w:val="00794557"/>
    <w:rsid w:val="007B207F"/>
    <w:rsid w:val="007B6C0F"/>
    <w:rsid w:val="007C05F4"/>
    <w:rsid w:val="007D7E6F"/>
    <w:rsid w:val="007E4C60"/>
    <w:rsid w:val="007E7523"/>
    <w:rsid w:val="007E7BA1"/>
    <w:rsid w:val="007F33A0"/>
    <w:rsid w:val="007F55F8"/>
    <w:rsid w:val="007F5D75"/>
    <w:rsid w:val="00803756"/>
    <w:rsid w:val="0080449E"/>
    <w:rsid w:val="0081327D"/>
    <w:rsid w:val="00815C71"/>
    <w:rsid w:val="00816025"/>
    <w:rsid w:val="00816670"/>
    <w:rsid w:val="00817E09"/>
    <w:rsid w:val="00825D67"/>
    <w:rsid w:val="0082722B"/>
    <w:rsid w:val="00844123"/>
    <w:rsid w:val="00851347"/>
    <w:rsid w:val="00861224"/>
    <w:rsid w:val="008614E1"/>
    <w:rsid w:val="00872C9D"/>
    <w:rsid w:val="008973CA"/>
    <w:rsid w:val="008A4032"/>
    <w:rsid w:val="008B19F4"/>
    <w:rsid w:val="008B226C"/>
    <w:rsid w:val="008B26E9"/>
    <w:rsid w:val="008B46A6"/>
    <w:rsid w:val="008C0398"/>
    <w:rsid w:val="008C0FCF"/>
    <w:rsid w:val="008D0AB6"/>
    <w:rsid w:val="008D2824"/>
    <w:rsid w:val="008E02A8"/>
    <w:rsid w:val="008F3CE9"/>
    <w:rsid w:val="008F48D9"/>
    <w:rsid w:val="008F50E1"/>
    <w:rsid w:val="008F610A"/>
    <w:rsid w:val="00900E28"/>
    <w:rsid w:val="009039AB"/>
    <w:rsid w:val="009111B6"/>
    <w:rsid w:val="0091146C"/>
    <w:rsid w:val="00913238"/>
    <w:rsid w:val="00913643"/>
    <w:rsid w:val="00933D73"/>
    <w:rsid w:val="00933DA6"/>
    <w:rsid w:val="00941B33"/>
    <w:rsid w:val="0094371B"/>
    <w:rsid w:val="00945B21"/>
    <w:rsid w:val="00947AA8"/>
    <w:rsid w:val="00953364"/>
    <w:rsid w:val="00955F8B"/>
    <w:rsid w:val="0096126B"/>
    <w:rsid w:val="009634E7"/>
    <w:rsid w:val="00975CD3"/>
    <w:rsid w:val="00986D26"/>
    <w:rsid w:val="00994BAE"/>
    <w:rsid w:val="009B6388"/>
    <w:rsid w:val="009B6E24"/>
    <w:rsid w:val="009C4F7E"/>
    <w:rsid w:val="009C798A"/>
    <w:rsid w:val="009E067C"/>
    <w:rsid w:val="009E4173"/>
    <w:rsid w:val="009E655F"/>
    <w:rsid w:val="00A0198E"/>
    <w:rsid w:val="00A0202B"/>
    <w:rsid w:val="00A044C9"/>
    <w:rsid w:val="00A07C6D"/>
    <w:rsid w:val="00A14F89"/>
    <w:rsid w:val="00A17353"/>
    <w:rsid w:val="00A216E1"/>
    <w:rsid w:val="00A306E2"/>
    <w:rsid w:val="00A330BA"/>
    <w:rsid w:val="00A33B4C"/>
    <w:rsid w:val="00A40BFB"/>
    <w:rsid w:val="00A4357D"/>
    <w:rsid w:val="00A460CE"/>
    <w:rsid w:val="00A55D13"/>
    <w:rsid w:val="00A5757F"/>
    <w:rsid w:val="00A60952"/>
    <w:rsid w:val="00A60EBD"/>
    <w:rsid w:val="00A700FB"/>
    <w:rsid w:val="00A81985"/>
    <w:rsid w:val="00A87C9A"/>
    <w:rsid w:val="00A91C1A"/>
    <w:rsid w:val="00A97C96"/>
    <w:rsid w:val="00A97D13"/>
    <w:rsid w:val="00AA0B5F"/>
    <w:rsid w:val="00AA1A09"/>
    <w:rsid w:val="00AA2010"/>
    <w:rsid w:val="00AB05B2"/>
    <w:rsid w:val="00AB406C"/>
    <w:rsid w:val="00AC0CAA"/>
    <w:rsid w:val="00AD37D8"/>
    <w:rsid w:val="00AD7842"/>
    <w:rsid w:val="00AE17AB"/>
    <w:rsid w:val="00B0788D"/>
    <w:rsid w:val="00B209E1"/>
    <w:rsid w:val="00B2795F"/>
    <w:rsid w:val="00B31740"/>
    <w:rsid w:val="00B506B7"/>
    <w:rsid w:val="00B604EF"/>
    <w:rsid w:val="00B62285"/>
    <w:rsid w:val="00B629B3"/>
    <w:rsid w:val="00B75B80"/>
    <w:rsid w:val="00B85ED7"/>
    <w:rsid w:val="00B90260"/>
    <w:rsid w:val="00B905DF"/>
    <w:rsid w:val="00B9430F"/>
    <w:rsid w:val="00BB09E7"/>
    <w:rsid w:val="00BD6E18"/>
    <w:rsid w:val="00BE4C81"/>
    <w:rsid w:val="00BF3440"/>
    <w:rsid w:val="00C044A5"/>
    <w:rsid w:val="00C07272"/>
    <w:rsid w:val="00C07C7C"/>
    <w:rsid w:val="00C1409E"/>
    <w:rsid w:val="00C21AD8"/>
    <w:rsid w:val="00C24074"/>
    <w:rsid w:val="00C42147"/>
    <w:rsid w:val="00C42BBE"/>
    <w:rsid w:val="00C45AE8"/>
    <w:rsid w:val="00C4729C"/>
    <w:rsid w:val="00C50950"/>
    <w:rsid w:val="00C53D5D"/>
    <w:rsid w:val="00C54B08"/>
    <w:rsid w:val="00C5740C"/>
    <w:rsid w:val="00C658C9"/>
    <w:rsid w:val="00C705C2"/>
    <w:rsid w:val="00C7727D"/>
    <w:rsid w:val="00C85F68"/>
    <w:rsid w:val="00C9667A"/>
    <w:rsid w:val="00CA2B45"/>
    <w:rsid w:val="00CA665E"/>
    <w:rsid w:val="00CC1B3A"/>
    <w:rsid w:val="00CC1EF9"/>
    <w:rsid w:val="00CC532E"/>
    <w:rsid w:val="00CD4B33"/>
    <w:rsid w:val="00CE223E"/>
    <w:rsid w:val="00CE228D"/>
    <w:rsid w:val="00CE3E2B"/>
    <w:rsid w:val="00CE43C9"/>
    <w:rsid w:val="00D316B0"/>
    <w:rsid w:val="00D34DFA"/>
    <w:rsid w:val="00D41616"/>
    <w:rsid w:val="00D42F82"/>
    <w:rsid w:val="00D4307D"/>
    <w:rsid w:val="00D46351"/>
    <w:rsid w:val="00D46C1C"/>
    <w:rsid w:val="00D536DF"/>
    <w:rsid w:val="00D60AA3"/>
    <w:rsid w:val="00D66202"/>
    <w:rsid w:val="00D755A2"/>
    <w:rsid w:val="00D817F2"/>
    <w:rsid w:val="00D85674"/>
    <w:rsid w:val="00D92E9C"/>
    <w:rsid w:val="00D97C15"/>
    <w:rsid w:val="00DA3884"/>
    <w:rsid w:val="00DA5A02"/>
    <w:rsid w:val="00DA6870"/>
    <w:rsid w:val="00DA6BC4"/>
    <w:rsid w:val="00DB4934"/>
    <w:rsid w:val="00DC3871"/>
    <w:rsid w:val="00DC4A64"/>
    <w:rsid w:val="00DE17A5"/>
    <w:rsid w:val="00DE241A"/>
    <w:rsid w:val="00DE5A58"/>
    <w:rsid w:val="00DF757D"/>
    <w:rsid w:val="00E057B0"/>
    <w:rsid w:val="00E05E9E"/>
    <w:rsid w:val="00E11089"/>
    <w:rsid w:val="00E1357D"/>
    <w:rsid w:val="00E20DFC"/>
    <w:rsid w:val="00E26F82"/>
    <w:rsid w:val="00E34617"/>
    <w:rsid w:val="00E356BD"/>
    <w:rsid w:val="00E3628F"/>
    <w:rsid w:val="00E3658E"/>
    <w:rsid w:val="00E46B00"/>
    <w:rsid w:val="00E5067B"/>
    <w:rsid w:val="00E50C4A"/>
    <w:rsid w:val="00E514F4"/>
    <w:rsid w:val="00E5440E"/>
    <w:rsid w:val="00E54526"/>
    <w:rsid w:val="00E56942"/>
    <w:rsid w:val="00E613E4"/>
    <w:rsid w:val="00E70BB1"/>
    <w:rsid w:val="00E724E1"/>
    <w:rsid w:val="00E72BE4"/>
    <w:rsid w:val="00E83B7E"/>
    <w:rsid w:val="00E97C66"/>
    <w:rsid w:val="00EA29AA"/>
    <w:rsid w:val="00EA4073"/>
    <w:rsid w:val="00EA4C51"/>
    <w:rsid w:val="00EA5F98"/>
    <w:rsid w:val="00EA6A8A"/>
    <w:rsid w:val="00EA71EF"/>
    <w:rsid w:val="00EC2E9B"/>
    <w:rsid w:val="00EC45B4"/>
    <w:rsid w:val="00ED27CF"/>
    <w:rsid w:val="00ED6F69"/>
    <w:rsid w:val="00EE704E"/>
    <w:rsid w:val="00F03121"/>
    <w:rsid w:val="00F03FC6"/>
    <w:rsid w:val="00F24416"/>
    <w:rsid w:val="00F3219B"/>
    <w:rsid w:val="00F3704F"/>
    <w:rsid w:val="00F40B80"/>
    <w:rsid w:val="00F55390"/>
    <w:rsid w:val="00F6028B"/>
    <w:rsid w:val="00F61082"/>
    <w:rsid w:val="00F63089"/>
    <w:rsid w:val="00F657E7"/>
    <w:rsid w:val="00F7216E"/>
    <w:rsid w:val="00F74A03"/>
    <w:rsid w:val="00F86B31"/>
    <w:rsid w:val="00F95A60"/>
    <w:rsid w:val="00FD03ED"/>
    <w:rsid w:val="00FD67A8"/>
    <w:rsid w:val="00FD6DDF"/>
    <w:rsid w:val="00FD7E3E"/>
    <w:rsid w:val="00FE18AA"/>
    <w:rsid w:val="00FE550B"/>
    <w:rsid w:val="00FF1802"/>
    <w:rsid w:val="00FF21F3"/>
    <w:rsid w:val="00FF3D6E"/>
    <w:rsid w:val="00FF4E49"/>
    <w:rsid w:val="00FF5330"/>
    <w:rsid w:val="05D548EB"/>
    <w:rsid w:val="0A291431"/>
    <w:rsid w:val="0A81EE1D"/>
    <w:rsid w:val="0B269FCD"/>
    <w:rsid w:val="0DE8370F"/>
    <w:rsid w:val="17206411"/>
    <w:rsid w:val="17251BEA"/>
    <w:rsid w:val="1B340F0C"/>
    <w:rsid w:val="27356D79"/>
    <w:rsid w:val="388D4838"/>
    <w:rsid w:val="39BE0D4D"/>
    <w:rsid w:val="3A3DE7C2"/>
    <w:rsid w:val="3C122E93"/>
    <w:rsid w:val="3E377DAC"/>
    <w:rsid w:val="40F25CF6"/>
    <w:rsid w:val="464C3263"/>
    <w:rsid w:val="46BE3271"/>
    <w:rsid w:val="47636CBB"/>
    <w:rsid w:val="49E642BF"/>
    <w:rsid w:val="4BEBFC7E"/>
    <w:rsid w:val="4C6478FC"/>
    <w:rsid w:val="4C86B6B0"/>
    <w:rsid w:val="53A60544"/>
    <w:rsid w:val="56F10468"/>
    <w:rsid w:val="5A1761A0"/>
    <w:rsid w:val="5ED60937"/>
    <w:rsid w:val="661FEBC4"/>
    <w:rsid w:val="66AB0C64"/>
    <w:rsid w:val="6A881B99"/>
    <w:rsid w:val="6B2280BB"/>
    <w:rsid w:val="6BEB82F3"/>
    <w:rsid w:val="6EADD849"/>
    <w:rsid w:val="73C9812E"/>
    <w:rsid w:val="74C6EF87"/>
    <w:rsid w:val="74DF2FA9"/>
    <w:rsid w:val="75BE55CF"/>
    <w:rsid w:val="76C1505E"/>
    <w:rsid w:val="792EC07A"/>
    <w:rsid w:val="7A9CAA33"/>
    <w:rsid w:val="7BD03FAF"/>
    <w:rsid w:val="7D4C5BEE"/>
    <w:rsid w:val="7F3A9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6549D"/>
  <w15:chartTrackingRefBased/>
  <w15:docId w15:val="{98BA54C0-07E3-49E2-8AC8-20FE0CD3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17AB"/>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5B21"/>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45B21"/>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45B2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45B21"/>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45B2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45B2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45B2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45B2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21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147"/>
    <w:rPr>
      <w:rFonts w:ascii="Segoe UI" w:hAnsi="Segoe UI" w:cs="Segoe UI"/>
      <w:sz w:val="18"/>
      <w:szCs w:val="18"/>
    </w:rPr>
  </w:style>
  <w:style w:type="table" w:styleId="TableGrid">
    <w:name w:val="Table Grid"/>
    <w:basedOn w:val="TableNormal"/>
    <w:uiPriority w:val="39"/>
    <w:rsid w:val="00AE1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E17AB"/>
    <w:pPr>
      <w:spacing w:after="0" w:line="240" w:lineRule="auto"/>
    </w:pPr>
    <w:rPr>
      <w:rFonts w:eastAsiaTheme="minorEastAsia"/>
    </w:rPr>
  </w:style>
  <w:style w:type="character" w:customStyle="1" w:styleId="NoSpacingChar">
    <w:name w:val="No Spacing Char"/>
    <w:basedOn w:val="DefaultParagraphFont"/>
    <w:link w:val="NoSpacing"/>
    <w:uiPriority w:val="1"/>
    <w:rsid w:val="00AE17AB"/>
    <w:rPr>
      <w:rFonts w:eastAsiaTheme="minorEastAsia"/>
    </w:rPr>
  </w:style>
  <w:style w:type="character" w:customStyle="1" w:styleId="Heading1Char">
    <w:name w:val="Heading 1 Char"/>
    <w:basedOn w:val="DefaultParagraphFont"/>
    <w:link w:val="Heading1"/>
    <w:uiPriority w:val="9"/>
    <w:rsid w:val="00AE17A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E17AB"/>
    <w:pPr>
      <w:outlineLvl w:val="9"/>
    </w:pPr>
  </w:style>
  <w:style w:type="paragraph" w:styleId="TOC1">
    <w:name w:val="toc 1"/>
    <w:basedOn w:val="Normal"/>
    <w:next w:val="Normal"/>
    <w:autoRedefine/>
    <w:uiPriority w:val="39"/>
    <w:unhideWhenUsed/>
    <w:rsid w:val="00AE17AB"/>
    <w:pPr>
      <w:spacing w:after="100"/>
    </w:pPr>
  </w:style>
  <w:style w:type="paragraph" w:styleId="TOC2">
    <w:name w:val="toc 2"/>
    <w:basedOn w:val="Normal"/>
    <w:next w:val="Normal"/>
    <w:autoRedefine/>
    <w:uiPriority w:val="39"/>
    <w:unhideWhenUsed/>
    <w:rsid w:val="00AE17AB"/>
    <w:pPr>
      <w:spacing w:after="100"/>
      <w:ind w:left="220"/>
    </w:pPr>
  </w:style>
  <w:style w:type="paragraph" w:styleId="TOC3">
    <w:name w:val="toc 3"/>
    <w:basedOn w:val="Normal"/>
    <w:next w:val="Normal"/>
    <w:autoRedefine/>
    <w:uiPriority w:val="39"/>
    <w:unhideWhenUsed/>
    <w:rsid w:val="00AE17AB"/>
    <w:pPr>
      <w:spacing w:after="100"/>
      <w:ind w:left="440"/>
    </w:pPr>
  </w:style>
  <w:style w:type="character" w:styleId="Hyperlink">
    <w:name w:val="Hyperlink"/>
    <w:basedOn w:val="DefaultParagraphFont"/>
    <w:uiPriority w:val="99"/>
    <w:unhideWhenUsed/>
    <w:rsid w:val="00AE17AB"/>
    <w:rPr>
      <w:color w:val="0563C1" w:themeColor="hyperlink"/>
      <w:u w:val="single"/>
    </w:rPr>
  </w:style>
  <w:style w:type="character" w:customStyle="1" w:styleId="Heading2Char">
    <w:name w:val="Heading 2 Char"/>
    <w:basedOn w:val="DefaultParagraphFont"/>
    <w:link w:val="Heading2"/>
    <w:uiPriority w:val="9"/>
    <w:rsid w:val="00945B2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45B21"/>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45B2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45B21"/>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45B21"/>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45B21"/>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45B2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45B21"/>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rsid w:val="00BF34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3440"/>
    <w:rPr>
      <w:sz w:val="20"/>
      <w:szCs w:val="20"/>
    </w:rPr>
  </w:style>
  <w:style w:type="character" w:styleId="FootnoteReference">
    <w:name w:val="footnote reference"/>
    <w:basedOn w:val="DefaultParagraphFont"/>
    <w:uiPriority w:val="99"/>
    <w:semiHidden/>
    <w:unhideWhenUsed/>
    <w:rsid w:val="00BF3440"/>
    <w:rPr>
      <w:vertAlign w:val="superscript"/>
    </w:rPr>
  </w:style>
  <w:style w:type="paragraph" w:styleId="Header">
    <w:name w:val="header"/>
    <w:basedOn w:val="Normal"/>
    <w:link w:val="HeaderChar"/>
    <w:uiPriority w:val="99"/>
    <w:semiHidden/>
    <w:unhideWhenUsed/>
    <w:rsid w:val="00C42B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BBE"/>
  </w:style>
  <w:style w:type="paragraph" w:styleId="Footer">
    <w:name w:val="footer"/>
    <w:basedOn w:val="Normal"/>
    <w:link w:val="FooterChar"/>
    <w:uiPriority w:val="99"/>
    <w:semiHidden/>
    <w:unhideWhenUsed/>
    <w:rsid w:val="00C42B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2BBE"/>
  </w:style>
  <w:style w:type="character" w:styleId="CommentReference">
    <w:name w:val="annotation reference"/>
    <w:basedOn w:val="DefaultParagraphFont"/>
    <w:uiPriority w:val="99"/>
    <w:semiHidden/>
    <w:unhideWhenUsed/>
    <w:rsid w:val="007E4C60"/>
    <w:rPr>
      <w:sz w:val="16"/>
      <w:szCs w:val="16"/>
    </w:rPr>
  </w:style>
  <w:style w:type="paragraph" w:styleId="CommentText">
    <w:name w:val="annotation text"/>
    <w:basedOn w:val="Normal"/>
    <w:link w:val="CommentTextChar"/>
    <w:uiPriority w:val="99"/>
    <w:semiHidden/>
    <w:unhideWhenUsed/>
    <w:rsid w:val="007E4C60"/>
    <w:pPr>
      <w:spacing w:line="240" w:lineRule="auto"/>
    </w:pPr>
    <w:rPr>
      <w:sz w:val="20"/>
      <w:szCs w:val="20"/>
    </w:rPr>
  </w:style>
  <w:style w:type="character" w:customStyle="1" w:styleId="CommentTextChar">
    <w:name w:val="Comment Text Char"/>
    <w:basedOn w:val="DefaultParagraphFont"/>
    <w:link w:val="CommentText"/>
    <w:uiPriority w:val="99"/>
    <w:semiHidden/>
    <w:rsid w:val="007E4C60"/>
    <w:rPr>
      <w:sz w:val="20"/>
      <w:szCs w:val="20"/>
    </w:rPr>
  </w:style>
  <w:style w:type="paragraph" w:styleId="CommentSubject">
    <w:name w:val="annotation subject"/>
    <w:basedOn w:val="CommentText"/>
    <w:next w:val="CommentText"/>
    <w:link w:val="CommentSubjectChar"/>
    <w:uiPriority w:val="99"/>
    <w:semiHidden/>
    <w:unhideWhenUsed/>
    <w:rsid w:val="007E4C60"/>
    <w:rPr>
      <w:b/>
      <w:bCs/>
    </w:rPr>
  </w:style>
  <w:style w:type="character" w:customStyle="1" w:styleId="CommentSubjectChar">
    <w:name w:val="Comment Subject Char"/>
    <w:basedOn w:val="CommentTextChar"/>
    <w:link w:val="CommentSubject"/>
    <w:uiPriority w:val="99"/>
    <w:semiHidden/>
    <w:rsid w:val="007E4C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658117">
      <w:bodyDiv w:val="1"/>
      <w:marLeft w:val="0"/>
      <w:marRight w:val="0"/>
      <w:marTop w:val="0"/>
      <w:marBottom w:val="0"/>
      <w:divBdr>
        <w:top w:val="none" w:sz="0" w:space="0" w:color="auto"/>
        <w:left w:val="none" w:sz="0" w:space="0" w:color="auto"/>
        <w:bottom w:val="none" w:sz="0" w:space="0" w:color="auto"/>
        <w:right w:val="none" w:sz="0" w:space="0" w:color="auto"/>
      </w:divBdr>
    </w:div>
    <w:div w:id="609238892">
      <w:bodyDiv w:val="1"/>
      <w:marLeft w:val="0"/>
      <w:marRight w:val="0"/>
      <w:marTop w:val="0"/>
      <w:marBottom w:val="0"/>
      <w:divBdr>
        <w:top w:val="none" w:sz="0" w:space="0" w:color="auto"/>
        <w:left w:val="none" w:sz="0" w:space="0" w:color="auto"/>
        <w:bottom w:val="none" w:sz="0" w:space="0" w:color="auto"/>
        <w:right w:val="none" w:sz="0" w:space="0" w:color="auto"/>
      </w:divBdr>
    </w:div>
    <w:div w:id="653919601">
      <w:bodyDiv w:val="1"/>
      <w:marLeft w:val="0"/>
      <w:marRight w:val="0"/>
      <w:marTop w:val="0"/>
      <w:marBottom w:val="0"/>
      <w:divBdr>
        <w:top w:val="none" w:sz="0" w:space="0" w:color="auto"/>
        <w:left w:val="none" w:sz="0" w:space="0" w:color="auto"/>
        <w:bottom w:val="none" w:sz="0" w:space="0" w:color="auto"/>
        <w:right w:val="none" w:sz="0" w:space="0" w:color="auto"/>
      </w:divBdr>
    </w:div>
    <w:div w:id="1104692667">
      <w:bodyDiv w:val="1"/>
      <w:marLeft w:val="0"/>
      <w:marRight w:val="0"/>
      <w:marTop w:val="0"/>
      <w:marBottom w:val="0"/>
      <w:divBdr>
        <w:top w:val="none" w:sz="0" w:space="0" w:color="auto"/>
        <w:left w:val="none" w:sz="0" w:space="0" w:color="auto"/>
        <w:bottom w:val="none" w:sz="0" w:space="0" w:color="auto"/>
        <w:right w:val="none" w:sz="0" w:space="0" w:color="auto"/>
      </w:divBdr>
    </w:div>
    <w:div w:id="1384714488">
      <w:bodyDiv w:val="1"/>
      <w:marLeft w:val="0"/>
      <w:marRight w:val="0"/>
      <w:marTop w:val="0"/>
      <w:marBottom w:val="0"/>
      <w:divBdr>
        <w:top w:val="none" w:sz="0" w:space="0" w:color="auto"/>
        <w:left w:val="none" w:sz="0" w:space="0" w:color="auto"/>
        <w:bottom w:val="none" w:sz="0" w:space="0" w:color="auto"/>
        <w:right w:val="none" w:sz="0" w:space="0" w:color="auto"/>
      </w:divBdr>
    </w:div>
    <w:div w:id="1443455184">
      <w:bodyDiv w:val="1"/>
      <w:marLeft w:val="0"/>
      <w:marRight w:val="0"/>
      <w:marTop w:val="0"/>
      <w:marBottom w:val="0"/>
      <w:divBdr>
        <w:top w:val="none" w:sz="0" w:space="0" w:color="auto"/>
        <w:left w:val="none" w:sz="0" w:space="0" w:color="auto"/>
        <w:bottom w:val="none" w:sz="0" w:space="0" w:color="auto"/>
        <w:right w:val="none" w:sz="0" w:space="0" w:color="auto"/>
      </w:divBdr>
    </w:div>
    <w:div w:id="1558128332">
      <w:bodyDiv w:val="1"/>
      <w:marLeft w:val="0"/>
      <w:marRight w:val="0"/>
      <w:marTop w:val="0"/>
      <w:marBottom w:val="0"/>
      <w:divBdr>
        <w:top w:val="none" w:sz="0" w:space="0" w:color="auto"/>
        <w:left w:val="none" w:sz="0" w:space="0" w:color="auto"/>
        <w:bottom w:val="none" w:sz="0" w:space="0" w:color="auto"/>
        <w:right w:val="none" w:sz="0" w:space="0" w:color="auto"/>
      </w:divBdr>
    </w:div>
    <w:div w:id="1561595167">
      <w:bodyDiv w:val="1"/>
      <w:marLeft w:val="0"/>
      <w:marRight w:val="0"/>
      <w:marTop w:val="0"/>
      <w:marBottom w:val="0"/>
      <w:divBdr>
        <w:top w:val="none" w:sz="0" w:space="0" w:color="auto"/>
        <w:left w:val="none" w:sz="0" w:space="0" w:color="auto"/>
        <w:bottom w:val="none" w:sz="0" w:space="0" w:color="auto"/>
        <w:right w:val="none" w:sz="0" w:space="0" w:color="auto"/>
      </w:divBdr>
    </w:div>
    <w:div w:id="1676885892">
      <w:bodyDiv w:val="1"/>
      <w:marLeft w:val="0"/>
      <w:marRight w:val="0"/>
      <w:marTop w:val="0"/>
      <w:marBottom w:val="0"/>
      <w:divBdr>
        <w:top w:val="none" w:sz="0" w:space="0" w:color="auto"/>
        <w:left w:val="none" w:sz="0" w:space="0" w:color="auto"/>
        <w:bottom w:val="none" w:sz="0" w:space="0" w:color="auto"/>
        <w:right w:val="none" w:sz="0" w:space="0" w:color="auto"/>
      </w:divBdr>
    </w:div>
    <w:div w:id="1689982660">
      <w:bodyDiv w:val="1"/>
      <w:marLeft w:val="0"/>
      <w:marRight w:val="0"/>
      <w:marTop w:val="0"/>
      <w:marBottom w:val="0"/>
      <w:divBdr>
        <w:top w:val="none" w:sz="0" w:space="0" w:color="auto"/>
        <w:left w:val="none" w:sz="0" w:space="0" w:color="auto"/>
        <w:bottom w:val="none" w:sz="0" w:space="0" w:color="auto"/>
        <w:right w:val="none" w:sz="0" w:space="0" w:color="auto"/>
      </w:divBdr>
    </w:div>
    <w:div w:id="172251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321</Value>
      <Value>117</Value>
      <Value>109</Value>
      <Value>1</Value>
      <Value>112</Value>
    </TaxCatchAll>
    <Operation_x0020_Type xmlns="cdc7663a-08f0-4737-9e8c-148ce897a09c" xsi:nil="true"/>
    <Package_x0020_Code xmlns="cdc7663a-08f0-4737-9e8c-148ce897a09c" xsi:nil="true"/>
    <Identifier xmlns="cdc7663a-08f0-4737-9e8c-148ce897a09c">EEO</Identifier>
    <Project_x0020_Number xmlns="cdc7663a-08f0-4737-9e8c-148ce897a09c">HO-L1216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EZSHARE-436740228-2</_dlc_DocId>
    <_dlc_DocIdUrl xmlns="cdc7663a-08f0-4737-9e8c-148ce897a09c">
      <Url>https://idbg.sharepoint.com/teams/EZ-HO-LON/HO-L1216/_layouts/15/DocIdRedir.aspx?ID=EZSHARE-436740228-2</Url>
      <Description>EZSHARE-436740228-2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D7ACB815652D94FA5FFB5B80CD3E726" ma:contentTypeVersion="0" ma:contentTypeDescription="A content type to manage public (operations) IDB documents" ma:contentTypeScope="" ma:versionID="dfb65fe478de91a25f7ce9cd223a2a37">
  <xsd:schema xmlns:xsd="http://www.w3.org/2001/XMLSchema" xmlns:xs="http://www.w3.org/2001/XMLSchema" xmlns:p="http://schemas.microsoft.com/office/2006/metadata/properties" xmlns:ns2="cdc7663a-08f0-4737-9e8c-148ce897a09c" targetNamespace="http://schemas.microsoft.com/office/2006/metadata/properties" ma:root="true" ma:fieldsID="6a983b71924713453b637dc837f9d7c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21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856396C-2313-47C8-954B-BAFCC8AFA019}">
  <ds:schemaRefs>
    <ds:schemaRef ds:uri="http://schemas.microsoft.com/office/infopath/2007/PartnerControls"/>
    <ds:schemaRef ds:uri="http://purl.org/dc/elements/1.1/"/>
    <ds:schemaRef ds:uri="http://schemas.microsoft.com/office/2006/metadata/properties"/>
    <ds:schemaRef ds:uri="00a23cd6-e6f6-4b48-b378-fe6b5d322c53"/>
    <ds:schemaRef ds:uri="http://purl.org/dc/terms/"/>
    <ds:schemaRef ds:uri="http://schemas.openxmlformats.org/package/2006/metadata/core-properties"/>
    <ds:schemaRef ds:uri="http://schemas.microsoft.com/office/2006/documentManagement/types"/>
    <ds:schemaRef ds:uri="d6aabb3d-2200-4d75-8f41-4312ac664642"/>
    <ds:schemaRef ds:uri="http://www.w3.org/XML/1998/namespace"/>
    <ds:schemaRef ds:uri="http://purl.org/dc/dcmitype/"/>
  </ds:schemaRefs>
</ds:datastoreItem>
</file>

<file path=customXml/itemProps2.xml><?xml version="1.0" encoding="utf-8"?>
<ds:datastoreItem xmlns:ds="http://schemas.openxmlformats.org/officeDocument/2006/customXml" ds:itemID="{E43CFEE0-CDF5-4DA4-9B8F-3BC35B07BCF2}">
  <ds:schemaRefs>
    <ds:schemaRef ds:uri="http://schemas.microsoft.com/sharepoint/v3/contenttype/forms"/>
  </ds:schemaRefs>
</ds:datastoreItem>
</file>

<file path=customXml/itemProps3.xml><?xml version="1.0" encoding="utf-8"?>
<ds:datastoreItem xmlns:ds="http://schemas.openxmlformats.org/officeDocument/2006/customXml" ds:itemID="{C9A22990-7825-475A-882C-C54876BA634C}"/>
</file>

<file path=customXml/itemProps4.xml><?xml version="1.0" encoding="utf-8"?>
<ds:datastoreItem xmlns:ds="http://schemas.openxmlformats.org/officeDocument/2006/customXml" ds:itemID="{6772E0E1-6A55-478C-BB64-9596B5ABAAD4}">
  <ds:schemaRefs>
    <ds:schemaRef ds:uri="http://schemas.openxmlformats.org/officeDocument/2006/bibliography"/>
  </ds:schemaRefs>
</ds:datastoreItem>
</file>

<file path=customXml/itemProps5.xml><?xml version="1.0" encoding="utf-8"?>
<ds:datastoreItem xmlns:ds="http://schemas.openxmlformats.org/officeDocument/2006/customXml" ds:itemID="{9BB26810-FDD3-4D2B-8602-D222CC0A9833}"/>
</file>

<file path=customXml/itemProps6.xml><?xml version="1.0" encoding="utf-8"?>
<ds:datastoreItem xmlns:ds="http://schemas.openxmlformats.org/officeDocument/2006/customXml" ds:itemID="{C8C12C8F-683F-4F66-B598-CE88515531A0}"/>
</file>

<file path=customXml/itemProps7.xml><?xml version="1.0" encoding="utf-8"?>
<ds:datastoreItem xmlns:ds="http://schemas.openxmlformats.org/officeDocument/2006/customXml" ds:itemID="{68CFD931-750B-483A-B083-4383CD0A33B3}"/>
</file>

<file path=docProps/app.xml><?xml version="1.0" encoding="utf-8"?>
<Properties xmlns="http://schemas.openxmlformats.org/officeDocument/2006/extended-properties" xmlns:vt="http://schemas.openxmlformats.org/officeDocument/2006/docPropsVTypes">
  <Template>Normal</Template>
  <TotalTime>2</TotalTime>
  <Pages>14</Pages>
  <Words>4549</Words>
  <Characters>23023</Characters>
  <Application>Microsoft Office Word</Application>
  <DocSecurity>4</DocSecurity>
  <Lines>1001</Lines>
  <Paragraphs>417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Carmen Fernández díez (IFD/CMF), SIMON FERNANDEZ (IFD/CMF) Alejandro TÁmola (IFD/CMF), Alexander vasa (IFD/CMF), Sergio Deambrossi (INE/TSP), ana rios (CSD/RND), Olga Gómez (CSD/RND) y Erick Mendez (INT/TIN)</dc:creator>
  <cp:keywords/>
  <dc:description/>
  <cp:lastModifiedBy>Lozano Miranda, Ana Lucia</cp:lastModifiedBy>
  <cp:revision>2</cp:revision>
  <dcterms:created xsi:type="dcterms:W3CDTF">2020-06-18T20:44:00Z</dcterms:created>
  <dcterms:modified xsi:type="dcterms:W3CDTF">2020-06-18T20:44:00Z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321;#BANKING MARKET DEVELOPMENT|5f08329b-f2bb-4342-ba75-eb4216b403d4</vt:lpwstr>
  </property>
  <property fmtid="{D5CDD505-2E9C-101B-9397-08002B2CF9AE}" pid="7" name="Fund IDB">
    <vt:lpwstr>117;#ORC|c028a4b2-ad8b-4cf4-9cac-a2ae6a778e23</vt:lpwstr>
  </property>
  <property fmtid="{D5CDD505-2E9C-101B-9397-08002B2CF9AE}" pid="8" name="Country">
    <vt:lpwstr>112;#Ecuador|8f163189-00fa-4e7c-827d-28fb5798781c</vt:lpwstr>
  </property>
  <property fmtid="{D5CDD505-2E9C-101B-9397-08002B2CF9AE}" pid="9" name="Sector IDB">
    <vt:lpwstr>109;#FINANCIAL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982cb9df-0c75-4045-abc7-f774283448c5</vt:lpwstr>
  </property>
  <property fmtid="{D5CDD505-2E9C-101B-9397-08002B2CF9AE}" pid="12" name="ContentTypeId">
    <vt:lpwstr>0x0101001A458A224826124E8B45B1D613300CFC005D7ACB815652D94FA5FFB5B80CD3E726</vt:lpwstr>
  </property>
</Properties>
</file>