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6A02A" w14:textId="77777777" w:rsidR="00B84211" w:rsidRPr="008070E4" w:rsidRDefault="00CF5271" w:rsidP="007E6104">
      <w:pPr>
        <w:pStyle w:val="Title"/>
        <w:tabs>
          <w:tab w:val="clear" w:pos="1440"/>
          <w:tab w:val="clear" w:pos="3060"/>
        </w:tabs>
        <w:ind w:left="567" w:hanging="567"/>
        <w:outlineLvl w:val="9"/>
        <w:rPr>
          <w:rFonts w:ascii="Arial" w:hAnsi="Arial" w:cs="Arial"/>
          <w:smallCaps/>
          <w:szCs w:val="24"/>
          <w:lang w:val="es-ES"/>
        </w:rPr>
      </w:pPr>
      <w:r w:rsidRPr="008070E4">
        <w:rPr>
          <w:rFonts w:ascii="Arial" w:hAnsi="Arial" w:cs="Arial"/>
          <w:smallCaps/>
          <w:szCs w:val="24"/>
          <w:lang w:val="es-ES"/>
        </w:rPr>
        <w:t>Document</w:t>
      </w:r>
      <w:r w:rsidR="007A1860" w:rsidRPr="008070E4">
        <w:rPr>
          <w:rFonts w:ascii="Arial" w:hAnsi="Arial" w:cs="Arial"/>
          <w:smallCaps/>
          <w:szCs w:val="24"/>
          <w:lang w:val="es-ES"/>
        </w:rPr>
        <w:t>o del Banco Interameric</w:t>
      </w:r>
      <w:r w:rsidR="0002382F" w:rsidRPr="008070E4">
        <w:rPr>
          <w:rFonts w:ascii="Arial" w:hAnsi="Arial" w:cs="Arial"/>
          <w:smallCaps/>
          <w:szCs w:val="24"/>
          <w:lang w:val="es-ES"/>
        </w:rPr>
        <w:t>a</w:t>
      </w:r>
      <w:r w:rsidR="007D03A1" w:rsidRPr="008070E4">
        <w:rPr>
          <w:rFonts w:ascii="Arial" w:hAnsi="Arial" w:cs="Arial"/>
          <w:smallCaps/>
          <w:szCs w:val="24"/>
          <w:lang w:val="es-ES"/>
        </w:rPr>
        <w:t>n</w:t>
      </w:r>
      <w:r w:rsidR="0002382F" w:rsidRPr="008070E4">
        <w:rPr>
          <w:rFonts w:ascii="Arial" w:hAnsi="Arial" w:cs="Arial"/>
          <w:smallCaps/>
          <w:szCs w:val="24"/>
          <w:lang w:val="es-ES"/>
        </w:rPr>
        <w:t>o</w:t>
      </w:r>
      <w:r w:rsidR="007A1860" w:rsidRPr="008070E4">
        <w:rPr>
          <w:rFonts w:ascii="Arial" w:hAnsi="Arial" w:cs="Arial"/>
          <w:smallCaps/>
          <w:szCs w:val="24"/>
          <w:lang w:val="es-ES"/>
        </w:rPr>
        <w:t xml:space="preserve"> de Desarrollo</w:t>
      </w:r>
    </w:p>
    <w:p w14:paraId="084B312B" w14:textId="77777777" w:rsidR="00B84211" w:rsidRPr="008070E4" w:rsidRDefault="00B84211" w:rsidP="007E6104">
      <w:pPr>
        <w:pStyle w:val="ListParagraph"/>
        <w:spacing w:before="120" w:after="0" w:line="360" w:lineRule="auto"/>
        <w:ind w:left="567" w:hanging="567"/>
        <w:jc w:val="center"/>
        <w:rPr>
          <w:rFonts w:ascii="Arial" w:hAnsi="Arial" w:cs="Arial"/>
          <w:b/>
          <w:sz w:val="24"/>
          <w:szCs w:val="24"/>
          <w:lang w:val="es-ES"/>
        </w:rPr>
      </w:pPr>
    </w:p>
    <w:p w14:paraId="47AA0428" w14:textId="77777777" w:rsidR="00B84211" w:rsidRPr="008070E4" w:rsidRDefault="00B84211" w:rsidP="007E6104">
      <w:pPr>
        <w:tabs>
          <w:tab w:val="left" w:pos="1440"/>
          <w:tab w:val="left" w:pos="3060"/>
        </w:tabs>
        <w:ind w:left="567" w:hanging="567"/>
        <w:jc w:val="center"/>
        <w:rPr>
          <w:rFonts w:ascii="Arial" w:hAnsi="Arial" w:cs="Arial"/>
          <w:b/>
          <w:smallCaps/>
          <w:sz w:val="24"/>
          <w:szCs w:val="24"/>
          <w:lang w:val="es-ES"/>
        </w:rPr>
      </w:pPr>
    </w:p>
    <w:p w14:paraId="606E3B96" w14:textId="77777777" w:rsidR="00C75575" w:rsidRPr="008070E4" w:rsidRDefault="00C75575" w:rsidP="007E6104">
      <w:pPr>
        <w:tabs>
          <w:tab w:val="left" w:pos="1440"/>
          <w:tab w:val="left" w:pos="3060"/>
        </w:tabs>
        <w:ind w:left="567" w:hanging="567"/>
        <w:jc w:val="center"/>
        <w:rPr>
          <w:rFonts w:ascii="Arial" w:hAnsi="Arial" w:cs="Arial"/>
          <w:b/>
          <w:smallCaps/>
          <w:sz w:val="24"/>
          <w:szCs w:val="24"/>
          <w:lang w:val="es-ES"/>
        </w:rPr>
      </w:pPr>
    </w:p>
    <w:p w14:paraId="7FF0C726" w14:textId="77777777" w:rsidR="00C75575" w:rsidRPr="008070E4" w:rsidRDefault="00C75575" w:rsidP="007E6104">
      <w:pPr>
        <w:tabs>
          <w:tab w:val="left" w:pos="1440"/>
          <w:tab w:val="left" w:pos="3060"/>
        </w:tabs>
        <w:ind w:left="567" w:hanging="567"/>
        <w:jc w:val="center"/>
        <w:rPr>
          <w:rFonts w:ascii="Arial" w:hAnsi="Arial" w:cs="Arial"/>
          <w:b/>
          <w:smallCaps/>
          <w:sz w:val="24"/>
          <w:szCs w:val="24"/>
          <w:lang w:val="es-ES"/>
        </w:rPr>
      </w:pPr>
    </w:p>
    <w:p w14:paraId="5314FEF4" w14:textId="77777777" w:rsidR="00C75575" w:rsidRPr="008070E4" w:rsidRDefault="00C75575" w:rsidP="007E6104">
      <w:pPr>
        <w:tabs>
          <w:tab w:val="left" w:pos="1440"/>
          <w:tab w:val="left" w:pos="3060"/>
        </w:tabs>
        <w:ind w:left="567" w:hanging="567"/>
        <w:jc w:val="center"/>
        <w:rPr>
          <w:rFonts w:ascii="Arial" w:hAnsi="Arial" w:cs="Arial"/>
          <w:b/>
          <w:smallCaps/>
          <w:sz w:val="24"/>
          <w:szCs w:val="24"/>
          <w:lang w:val="es-ES"/>
        </w:rPr>
      </w:pPr>
    </w:p>
    <w:p w14:paraId="6785C41C" w14:textId="77777777" w:rsidR="00B84211" w:rsidRPr="008070E4" w:rsidRDefault="00B84211" w:rsidP="007E6104">
      <w:pPr>
        <w:tabs>
          <w:tab w:val="left" w:pos="1440"/>
          <w:tab w:val="left" w:pos="3060"/>
        </w:tabs>
        <w:ind w:left="567" w:hanging="567"/>
        <w:jc w:val="center"/>
        <w:rPr>
          <w:rFonts w:ascii="Arial" w:hAnsi="Arial" w:cs="Arial"/>
          <w:b/>
          <w:smallCaps/>
          <w:sz w:val="24"/>
          <w:szCs w:val="24"/>
          <w:lang w:val="es-ES"/>
        </w:rPr>
      </w:pPr>
    </w:p>
    <w:p w14:paraId="11C14E7A" w14:textId="4BDC51D8" w:rsidR="00F54627" w:rsidRPr="008070E4" w:rsidRDefault="00F54627" w:rsidP="00F54627">
      <w:pPr>
        <w:tabs>
          <w:tab w:val="left" w:pos="1440"/>
          <w:tab w:val="left" w:pos="3060"/>
        </w:tabs>
        <w:jc w:val="center"/>
        <w:rPr>
          <w:rFonts w:ascii="Arial" w:eastAsia="Arial" w:hAnsi="Arial" w:cs="Arial"/>
          <w:b/>
          <w:bCs/>
          <w:sz w:val="28"/>
          <w:szCs w:val="28"/>
          <w:lang w:val="es-ES"/>
        </w:rPr>
      </w:pPr>
      <w:r w:rsidRPr="008070E4">
        <w:rPr>
          <w:rFonts w:ascii="Arial" w:eastAsia="Arial" w:hAnsi="Arial" w:cs="Arial"/>
          <w:b/>
          <w:bCs/>
          <w:smallCaps/>
          <w:sz w:val="28"/>
          <w:szCs w:val="28"/>
          <w:lang w:val="es-ES"/>
        </w:rPr>
        <w:t>P</w:t>
      </w:r>
      <w:r w:rsidR="002A74E4" w:rsidRPr="008070E4">
        <w:rPr>
          <w:rFonts w:ascii="Arial" w:eastAsia="Arial" w:hAnsi="Arial" w:cs="Arial"/>
          <w:b/>
          <w:bCs/>
          <w:smallCaps/>
          <w:sz w:val="28"/>
          <w:szCs w:val="28"/>
          <w:lang w:val="es-ES"/>
        </w:rPr>
        <w:t>erú</w:t>
      </w:r>
    </w:p>
    <w:p w14:paraId="3FEC4BCD" w14:textId="77777777" w:rsidR="00F54627" w:rsidRPr="008070E4" w:rsidRDefault="00F54627" w:rsidP="00F54627">
      <w:pPr>
        <w:tabs>
          <w:tab w:val="left" w:pos="1440"/>
          <w:tab w:val="left" w:pos="3060"/>
        </w:tabs>
        <w:jc w:val="center"/>
        <w:rPr>
          <w:rFonts w:ascii="Arial" w:eastAsia="Times New Roman" w:hAnsi="Arial" w:cs="Arial"/>
          <w:smallCaps/>
          <w:lang w:val="es-ES"/>
        </w:rPr>
      </w:pPr>
    </w:p>
    <w:p w14:paraId="6724DB20" w14:textId="77777777" w:rsidR="00F54627" w:rsidRPr="008070E4" w:rsidRDefault="00F54627" w:rsidP="00F54627">
      <w:pPr>
        <w:tabs>
          <w:tab w:val="left" w:pos="1440"/>
          <w:tab w:val="left" w:pos="3060"/>
        </w:tabs>
        <w:jc w:val="center"/>
        <w:rPr>
          <w:rFonts w:ascii="Arial" w:hAnsi="Arial" w:cs="Arial"/>
          <w:smallCaps/>
          <w:lang w:val="es-ES"/>
        </w:rPr>
      </w:pPr>
    </w:p>
    <w:p w14:paraId="0BF74ACC" w14:textId="77777777" w:rsidR="00F54627" w:rsidRPr="008070E4" w:rsidRDefault="00F54627" w:rsidP="00F54627">
      <w:pPr>
        <w:tabs>
          <w:tab w:val="left" w:pos="1440"/>
          <w:tab w:val="left" w:pos="3060"/>
        </w:tabs>
        <w:jc w:val="center"/>
        <w:rPr>
          <w:rFonts w:ascii="Arial" w:hAnsi="Arial" w:cs="Arial"/>
          <w:smallCaps/>
          <w:lang w:val="es-ES"/>
        </w:rPr>
      </w:pPr>
    </w:p>
    <w:p w14:paraId="28FD245D" w14:textId="77777777" w:rsidR="00F54627" w:rsidRPr="008070E4" w:rsidRDefault="00F54627" w:rsidP="00F54627">
      <w:pPr>
        <w:tabs>
          <w:tab w:val="left" w:pos="1440"/>
          <w:tab w:val="left" w:pos="3060"/>
        </w:tabs>
        <w:jc w:val="center"/>
        <w:rPr>
          <w:rFonts w:ascii="Arial" w:hAnsi="Arial" w:cs="Arial"/>
          <w:smallCaps/>
          <w:lang w:val="es-ES"/>
        </w:rPr>
      </w:pPr>
    </w:p>
    <w:p w14:paraId="1268DCBA" w14:textId="77777777" w:rsidR="00F54627" w:rsidRPr="008070E4" w:rsidRDefault="00F54627" w:rsidP="00F54627">
      <w:pPr>
        <w:tabs>
          <w:tab w:val="left" w:pos="1440"/>
          <w:tab w:val="left" w:pos="3060"/>
        </w:tabs>
        <w:jc w:val="center"/>
        <w:rPr>
          <w:rFonts w:ascii="Arial" w:hAnsi="Arial" w:cs="Arial"/>
          <w:smallCaps/>
          <w:lang w:val="es-ES"/>
        </w:rPr>
      </w:pPr>
    </w:p>
    <w:p w14:paraId="725DBC25" w14:textId="77777777" w:rsidR="00A31B45" w:rsidRPr="008070E4" w:rsidRDefault="00A31B45" w:rsidP="00A31B45">
      <w:pPr>
        <w:tabs>
          <w:tab w:val="left" w:pos="1440"/>
          <w:tab w:val="left" w:pos="3060"/>
        </w:tabs>
        <w:jc w:val="center"/>
        <w:rPr>
          <w:rFonts w:ascii="Arial" w:hAnsi="Arial" w:cs="Arial"/>
          <w:b/>
          <w:smallCaps/>
          <w:sz w:val="28"/>
          <w:szCs w:val="28"/>
          <w:lang w:val="es-ES"/>
        </w:rPr>
      </w:pPr>
      <w:r w:rsidRPr="008070E4">
        <w:rPr>
          <w:rFonts w:ascii="Arial" w:hAnsi="Arial" w:cs="Arial"/>
          <w:b/>
          <w:smallCaps/>
          <w:sz w:val="28"/>
          <w:szCs w:val="28"/>
          <w:lang w:val="es-ES"/>
        </w:rPr>
        <w:t>Mejoramiento de los Servicios de Prevención del Delito en la Población más Vulnerable al Crimen y la Violencia en el Perú</w:t>
      </w:r>
    </w:p>
    <w:p w14:paraId="22AACD4B" w14:textId="77777777" w:rsidR="00F54627" w:rsidRPr="008070E4" w:rsidRDefault="00F54627" w:rsidP="00F54627">
      <w:pPr>
        <w:pStyle w:val="Newpage"/>
        <w:rPr>
          <w:rFonts w:ascii="Arial" w:hAnsi="Arial"/>
          <w:b w:val="0"/>
          <w:caps/>
          <w:sz w:val="22"/>
          <w:szCs w:val="22"/>
          <w:lang w:val="es-ES"/>
        </w:rPr>
      </w:pPr>
    </w:p>
    <w:p w14:paraId="0D9285E6" w14:textId="1CEFD4F9" w:rsidR="00F54627" w:rsidRPr="008070E4" w:rsidRDefault="00F54627" w:rsidP="00F54627">
      <w:pPr>
        <w:tabs>
          <w:tab w:val="left" w:pos="1440"/>
          <w:tab w:val="left" w:pos="3060"/>
        </w:tabs>
        <w:jc w:val="center"/>
        <w:rPr>
          <w:rFonts w:ascii="Arial" w:eastAsia="Arial" w:hAnsi="Arial" w:cs="Arial"/>
          <w:b/>
          <w:bCs/>
          <w:lang w:val="es-ES"/>
        </w:rPr>
      </w:pPr>
      <w:r w:rsidRPr="008070E4">
        <w:rPr>
          <w:rFonts w:ascii="Arial" w:eastAsia="Arial" w:hAnsi="Arial" w:cs="Arial"/>
          <w:b/>
          <w:bCs/>
          <w:smallCaps/>
          <w:lang w:val="es-ES"/>
        </w:rPr>
        <w:t>P</w:t>
      </w:r>
      <w:r w:rsidR="002A74E4" w:rsidRPr="008070E4">
        <w:rPr>
          <w:rFonts w:ascii="Arial" w:eastAsia="Arial" w:hAnsi="Arial" w:cs="Arial"/>
          <w:b/>
          <w:bCs/>
          <w:smallCaps/>
          <w:lang w:val="es-ES"/>
        </w:rPr>
        <w:t>E</w:t>
      </w:r>
      <w:r w:rsidRPr="008070E4">
        <w:rPr>
          <w:rFonts w:ascii="Arial" w:eastAsia="Arial" w:hAnsi="Arial" w:cs="Arial"/>
          <w:b/>
          <w:bCs/>
          <w:smallCaps/>
          <w:lang w:val="es-ES"/>
        </w:rPr>
        <w:t>-L1</w:t>
      </w:r>
      <w:r w:rsidR="002A74E4" w:rsidRPr="008070E4">
        <w:rPr>
          <w:rFonts w:ascii="Arial" w:eastAsia="Arial" w:hAnsi="Arial" w:cs="Arial"/>
          <w:b/>
          <w:bCs/>
          <w:smallCaps/>
          <w:lang w:val="es-ES"/>
        </w:rPr>
        <w:t>2</w:t>
      </w:r>
      <w:r w:rsidR="00A31B45" w:rsidRPr="008070E4">
        <w:rPr>
          <w:rFonts w:ascii="Arial" w:eastAsia="Arial" w:hAnsi="Arial" w:cs="Arial"/>
          <w:b/>
          <w:bCs/>
          <w:smallCaps/>
          <w:lang w:val="es-ES"/>
        </w:rPr>
        <w:t>24</w:t>
      </w:r>
    </w:p>
    <w:p w14:paraId="49277F41" w14:textId="77777777" w:rsidR="00C75575" w:rsidRPr="008070E4" w:rsidRDefault="00C75575" w:rsidP="007E6104">
      <w:pPr>
        <w:tabs>
          <w:tab w:val="left" w:pos="1440"/>
          <w:tab w:val="left" w:pos="3060"/>
        </w:tabs>
        <w:ind w:left="567" w:hanging="567"/>
        <w:jc w:val="center"/>
        <w:rPr>
          <w:rFonts w:ascii="Arial" w:hAnsi="Arial" w:cs="Arial"/>
          <w:smallCaps/>
          <w:sz w:val="24"/>
          <w:szCs w:val="24"/>
          <w:lang w:val="es-ES"/>
        </w:rPr>
      </w:pPr>
    </w:p>
    <w:p w14:paraId="0B49AB05" w14:textId="77777777" w:rsidR="00B84211" w:rsidRPr="008070E4" w:rsidRDefault="007A1860" w:rsidP="007E6104">
      <w:pPr>
        <w:tabs>
          <w:tab w:val="left" w:pos="1440"/>
          <w:tab w:val="left" w:pos="3060"/>
        </w:tabs>
        <w:ind w:left="567" w:hanging="567"/>
        <w:jc w:val="center"/>
        <w:outlineLvl w:val="0"/>
        <w:rPr>
          <w:rFonts w:ascii="Arial" w:hAnsi="Arial" w:cs="Arial"/>
          <w:b/>
          <w:smallCaps/>
          <w:sz w:val="24"/>
          <w:szCs w:val="24"/>
          <w:lang w:val="es-ES_tradnl"/>
        </w:rPr>
      </w:pPr>
      <w:r w:rsidRPr="008070E4">
        <w:rPr>
          <w:rFonts w:ascii="Arial" w:hAnsi="Arial" w:cs="Arial"/>
          <w:b/>
          <w:smallCaps/>
          <w:sz w:val="24"/>
          <w:szCs w:val="24"/>
          <w:lang w:val="es-ES_tradnl"/>
        </w:rPr>
        <w:t>Análisis Económico</w:t>
      </w:r>
    </w:p>
    <w:p w14:paraId="2432A075" w14:textId="61145A27" w:rsidR="00B84211" w:rsidRPr="008070E4" w:rsidRDefault="00B84211" w:rsidP="007E6104">
      <w:pPr>
        <w:tabs>
          <w:tab w:val="left" w:pos="1440"/>
          <w:tab w:val="left" w:pos="3060"/>
        </w:tabs>
        <w:ind w:left="567" w:hanging="567"/>
        <w:jc w:val="center"/>
        <w:outlineLvl w:val="0"/>
        <w:rPr>
          <w:rFonts w:ascii="Arial" w:hAnsi="Arial" w:cs="Arial"/>
          <w:b/>
          <w:smallCaps/>
          <w:sz w:val="24"/>
          <w:szCs w:val="24"/>
          <w:lang w:val="es-ES_tradnl"/>
        </w:rPr>
      </w:pPr>
    </w:p>
    <w:p w14:paraId="4542607A" w14:textId="77777777" w:rsidR="00B84211" w:rsidRPr="008070E4" w:rsidRDefault="00B84211" w:rsidP="007E6104">
      <w:pPr>
        <w:pStyle w:val="ListParagraph"/>
        <w:spacing w:before="120" w:after="0" w:line="360" w:lineRule="auto"/>
        <w:ind w:left="567" w:hanging="567"/>
        <w:jc w:val="center"/>
        <w:rPr>
          <w:rFonts w:ascii="Arial" w:hAnsi="Arial" w:cs="Arial"/>
          <w:b/>
          <w:sz w:val="24"/>
          <w:szCs w:val="24"/>
          <w:lang w:val="es-ES_tradnl"/>
        </w:rPr>
      </w:pPr>
    </w:p>
    <w:p w14:paraId="1E7BF619" w14:textId="77777777" w:rsidR="00B84211" w:rsidRPr="008070E4" w:rsidRDefault="00B84211" w:rsidP="007E6104">
      <w:pPr>
        <w:pStyle w:val="ListParagraph"/>
        <w:spacing w:before="120" w:after="0" w:line="360" w:lineRule="auto"/>
        <w:ind w:left="567" w:hanging="567"/>
        <w:jc w:val="both"/>
        <w:rPr>
          <w:rFonts w:ascii="Arial" w:hAnsi="Arial" w:cs="Arial"/>
          <w:b/>
          <w:sz w:val="24"/>
          <w:szCs w:val="24"/>
          <w:lang w:val="es-ES_tradnl"/>
        </w:rPr>
      </w:pPr>
    </w:p>
    <w:p w14:paraId="149CE564" w14:textId="77777777" w:rsidR="00B84211" w:rsidRPr="008070E4" w:rsidRDefault="00B84211" w:rsidP="007E6104">
      <w:pPr>
        <w:pStyle w:val="ListParagraph"/>
        <w:spacing w:before="120" w:after="0" w:line="360" w:lineRule="auto"/>
        <w:ind w:left="567" w:hanging="567"/>
        <w:jc w:val="both"/>
        <w:rPr>
          <w:rFonts w:ascii="Arial" w:hAnsi="Arial" w:cs="Arial"/>
          <w:b/>
          <w:sz w:val="24"/>
          <w:szCs w:val="24"/>
          <w:lang w:val="es-ES_tradnl"/>
        </w:rPr>
      </w:pPr>
    </w:p>
    <w:p w14:paraId="6218EBAB" w14:textId="77777777" w:rsidR="00B84211" w:rsidRPr="008070E4" w:rsidRDefault="00B84211" w:rsidP="007E6104">
      <w:pPr>
        <w:pStyle w:val="ListParagraph"/>
        <w:spacing w:before="120" w:after="0" w:line="360" w:lineRule="auto"/>
        <w:ind w:left="567" w:hanging="567"/>
        <w:jc w:val="both"/>
        <w:rPr>
          <w:rFonts w:ascii="Arial" w:hAnsi="Arial" w:cs="Arial"/>
          <w:b/>
          <w:sz w:val="24"/>
          <w:szCs w:val="24"/>
          <w:lang w:val="es-ES_tradnl"/>
        </w:rPr>
      </w:pPr>
    </w:p>
    <w:p w14:paraId="7115DDC1" w14:textId="64450FAF" w:rsidR="000E6DC9" w:rsidRDefault="000E6DC9">
      <w:pPr>
        <w:spacing w:after="0" w:line="240" w:lineRule="auto"/>
        <w:rPr>
          <w:rFonts w:ascii="Arial" w:hAnsi="Arial" w:cs="Arial"/>
          <w:sz w:val="24"/>
          <w:szCs w:val="24"/>
          <w:lang w:val="es-ES_tradnl"/>
        </w:rPr>
      </w:pPr>
      <w:r>
        <w:rPr>
          <w:rFonts w:ascii="Arial" w:hAnsi="Arial" w:cs="Arial"/>
          <w:sz w:val="24"/>
          <w:szCs w:val="24"/>
          <w:lang w:val="es-ES_tradnl"/>
        </w:rPr>
        <w:br w:type="page"/>
      </w:r>
    </w:p>
    <w:p w14:paraId="4877A91B" w14:textId="77777777" w:rsidR="00B84211" w:rsidRPr="008070E4" w:rsidRDefault="00B84211" w:rsidP="007E6104">
      <w:pPr>
        <w:tabs>
          <w:tab w:val="left" w:pos="1440"/>
          <w:tab w:val="left" w:pos="3060"/>
        </w:tabs>
        <w:ind w:left="567" w:hanging="567"/>
        <w:jc w:val="both"/>
        <w:rPr>
          <w:rFonts w:ascii="Arial" w:hAnsi="Arial" w:cs="Arial"/>
          <w:sz w:val="24"/>
          <w:szCs w:val="24"/>
          <w:lang w:val="es-ES_tradnl"/>
        </w:rPr>
      </w:pPr>
    </w:p>
    <w:p w14:paraId="41BEE196" w14:textId="77777777" w:rsidR="00A31B45" w:rsidRPr="008070E4" w:rsidRDefault="00A31B45" w:rsidP="00A31B45">
      <w:pPr>
        <w:numPr>
          <w:ilvl w:val="0"/>
          <w:numId w:val="1"/>
        </w:numPr>
        <w:spacing w:after="0" w:line="480" w:lineRule="auto"/>
        <w:ind w:left="567" w:hanging="567"/>
        <w:jc w:val="both"/>
        <w:rPr>
          <w:rFonts w:ascii="Arial" w:hAnsi="Arial" w:cs="Arial"/>
          <w:b/>
          <w:sz w:val="24"/>
          <w:szCs w:val="24"/>
          <w:lang w:val="es-ES"/>
        </w:rPr>
      </w:pPr>
      <w:r w:rsidRPr="008070E4">
        <w:rPr>
          <w:rFonts w:ascii="Arial" w:hAnsi="Arial" w:cs="Arial"/>
          <w:b/>
          <w:sz w:val="24"/>
          <w:szCs w:val="24"/>
          <w:lang w:val="es-ES"/>
        </w:rPr>
        <w:t>Introducción</w:t>
      </w:r>
    </w:p>
    <w:p w14:paraId="4EAF1D68" w14:textId="77777777"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El Proyecto Mejora de los Servicios de Prevención y Atención al Delito en Barrios Vulnerables al Crimen y la Violencia en el Perú tiene como objetivo general el mejorar la efectividad de los servicios de prevención del delito que brinda el MININTER a la población urbana más vulnerable al crimen y la violencia.</w:t>
      </w:r>
    </w:p>
    <w:p w14:paraId="2F08037C" w14:textId="77777777"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La operación se ha diseñado con tres componentes, cada uno de los cuales busca mejorar, respectivamente: (i) la efectividad policial en la prevención del delito; (ii) la efectividad de la inteligencia policial; y, (iii) la prevención comunitaria.</w:t>
      </w:r>
    </w:p>
    <w:p w14:paraId="617A8AAE" w14:textId="77777777"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Se prevé actuar sobre 107 jurisdicciones, las cuáles presentan la mayor incidencia del delito en el país.  Cada jurisdicción es atendida por una Comisaría.</w:t>
      </w:r>
    </w:p>
    <w:p w14:paraId="35271EDC" w14:textId="2ACE33FF"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 xml:space="preserve">Para financiar las actividades del Proyecto, se prevé un préstamo a la República del Perú equivalente a los US$ </w:t>
      </w:r>
      <w:r w:rsidR="00FF080C" w:rsidRPr="008070E4">
        <w:rPr>
          <w:rFonts w:ascii="Arial" w:hAnsi="Arial" w:cs="Arial"/>
          <w:szCs w:val="24"/>
        </w:rPr>
        <w:t xml:space="preserve">40 </w:t>
      </w:r>
      <w:r w:rsidRPr="008070E4">
        <w:rPr>
          <w:rFonts w:ascii="Arial" w:hAnsi="Arial" w:cs="Arial"/>
          <w:szCs w:val="24"/>
        </w:rPr>
        <w:t>millones, al cual se le añadiría US$ 1</w:t>
      </w:r>
      <w:r w:rsidR="00FF080C" w:rsidRPr="008070E4">
        <w:rPr>
          <w:rFonts w:ascii="Arial" w:hAnsi="Arial" w:cs="Arial"/>
          <w:szCs w:val="24"/>
        </w:rPr>
        <w:t>6</w:t>
      </w:r>
      <w:r w:rsidRPr="008070E4">
        <w:rPr>
          <w:rFonts w:ascii="Arial" w:hAnsi="Arial" w:cs="Arial"/>
          <w:szCs w:val="24"/>
        </w:rPr>
        <w:t>,5</w:t>
      </w:r>
      <w:r w:rsidR="00FF080C" w:rsidRPr="008070E4">
        <w:rPr>
          <w:rFonts w:ascii="Arial" w:hAnsi="Arial" w:cs="Arial"/>
          <w:szCs w:val="24"/>
        </w:rPr>
        <w:t>9</w:t>
      </w:r>
      <w:r w:rsidRPr="008070E4">
        <w:rPr>
          <w:rFonts w:ascii="Arial" w:hAnsi="Arial" w:cs="Arial"/>
          <w:szCs w:val="24"/>
        </w:rPr>
        <w:t xml:space="preserve"> millones de contrapartida local.  Se prevé que las actividades se iniciarían a inicios de 20</w:t>
      </w:r>
      <w:r w:rsidR="00FF080C" w:rsidRPr="008070E4">
        <w:rPr>
          <w:rFonts w:ascii="Arial" w:hAnsi="Arial" w:cs="Arial"/>
          <w:szCs w:val="24"/>
        </w:rPr>
        <w:t>20</w:t>
      </w:r>
      <w:r w:rsidRPr="008070E4">
        <w:rPr>
          <w:rFonts w:ascii="Arial" w:hAnsi="Arial" w:cs="Arial"/>
          <w:szCs w:val="24"/>
        </w:rPr>
        <w:t>, por un lapso de 5 años.</w:t>
      </w:r>
    </w:p>
    <w:p w14:paraId="38D7BC1C" w14:textId="77777777"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 xml:space="preserve">Los resultados esperados del proyecto se resumen en la Matriz de Resultados, la cual contempla disminuciones en la tasa de victimización en general y de homicidios, robos y hurtos en particular.  Además, se prevé un aumento en las tasas de denuncias de delitos en general, y de casos de violencia </w:t>
      </w:r>
      <w:proofErr w:type="spellStart"/>
      <w:r w:rsidRPr="008070E4">
        <w:rPr>
          <w:rFonts w:ascii="Arial" w:hAnsi="Arial" w:cs="Arial"/>
          <w:szCs w:val="24"/>
        </w:rPr>
        <w:t>intra-familiar</w:t>
      </w:r>
      <w:proofErr w:type="spellEnd"/>
      <w:r w:rsidRPr="008070E4">
        <w:rPr>
          <w:rFonts w:ascii="Arial" w:hAnsi="Arial" w:cs="Arial"/>
          <w:szCs w:val="24"/>
        </w:rPr>
        <w:t xml:space="preserve"> en particular.</w:t>
      </w:r>
    </w:p>
    <w:p w14:paraId="47583E03" w14:textId="502E2252"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 xml:space="preserve">Este informe presenta una estimación de los costos y los beneficios de la implementación del Proyecto.  Los costos se derivan de los US$ </w:t>
      </w:r>
      <w:r w:rsidR="00FF080C" w:rsidRPr="008070E4">
        <w:rPr>
          <w:rFonts w:ascii="Arial" w:hAnsi="Arial" w:cs="Arial"/>
          <w:szCs w:val="24"/>
        </w:rPr>
        <w:t>56.59</w:t>
      </w:r>
      <w:r w:rsidRPr="008070E4">
        <w:rPr>
          <w:rFonts w:ascii="Arial" w:hAnsi="Arial" w:cs="Arial"/>
          <w:szCs w:val="24"/>
        </w:rPr>
        <w:t xml:space="preserve"> millones que cuesta el Proyecto, además de su mantenimiento y operación, mientras que los beneficios tienen que ver con la cuantificación de los resultados esperados en la Matriz de Resultados.  La comparación de costos y beneficios generan flujos netos de recursos, cuyo valor presente debe ser positivo para que el proyecto sea económicamente viable.</w:t>
      </w:r>
    </w:p>
    <w:p w14:paraId="1F4FC9A4" w14:textId="03FFA73D" w:rsidR="00A31B45" w:rsidRPr="000E6DC9" w:rsidRDefault="00A31B45" w:rsidP="00A31B45">
      <w:pPr>
        <w:pStyle w:val="ListParagraph"/>
        <w:rPr>
          <w:rFonts w:ascii="Arial" w:hAnsi="Arial" w:cs="Arial"/>
          <w:lang w:val="es-419"/>
        </w:rPr>
      </w:pPr>
    </w:p>
    <w:p w14:paraId="2CA16644" w14:textId="2BA3F72C" w:rsidR="00A31B45" w:rsidRPr="008070E4" w:rsidRDefault="00A31B45" w:rsidP="00A31B45">
      <w:pPr>
        <w:numPr>
          <w:ilvl w:val="0"/>
          <w:numId w:val="1"/>
        </w:numPr>
        <w:spacing w:after="0" w:line="480" w:lineRule="auto"/>
        <w:ind w:left="567" w:hanging="567"/>
        <w:jc w:val="both"/>
        <w:rPr>
          <w:rFonts w:ascii="Arial" w:hAnsi="Arial" w:cs="Arial"/>
          <w:b/>
          <w:sz w:val="24"/>
          <w:szCs w:val="24"/>
          <w:lang w:val="es-ES"/>
        </w:rPr>
      </w:pPr>
      <w:r w:rsidRPr="008070E4">
        <w:rPr>
          <w:rFonts w:ascii="Arial" w:hAnsi="Arial" w:cs="Arial"/>
          <w:b/>
          <w:sz w:val="24"/>
          <w:szCs w:val="24"/>
          <w:lang w:val="es-ES"/>
        </w:rPr>
        <w:t>Metodología</w:t>
      </w:r>
    </w:p>
    <w:p w14:paraId="52F7562B" w14:textId="77777777"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Los cálculos realizados parten de la base de un grupo de Datos y de otro grupo de Supuestos, los que se describen a continuación.  Con esa información, se procede a definir los beneficios y costos del Proyecto.</w:t>
      </w:r>
    </w:p>
    <w:p w14:paraId="75B1954C" w14:textId="4B2122CA" w:rsidR="00A31B45" w:rsidRPr="008070E4" w:rsidRDefault="00A31B45" w:rsidP="00A31B45">
      <w:pPr>
        <w:pStyle w:val="Paragraph"/>
        <w:numPr>
          <w:ilvl w:val="0"/>
          <w:numId w:val="0"/>
        </w:numPr>
        <w:spacing w:before="0" w:after="0"/>
        <w:ind w:left="567"/>
        <w:rPr>
          <w:rFonts w:ascii="Arial" w:hAnsi="Arial" w:cs="Arial"/>
          <w:szCs w:val="24"/>
        </w:rPr>
      </w:pPr>
    </w:p>
    <w:p w14:paraId="38B9711B" w14:textId="77777777"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En el cuadro siguiente se resumen los datos y sus respectivas fuentes, empleados para los cálculos del costo y beneficio del Proyecto.</w:t>
      </w:r>
    </w:p>
    <w:p w14:paraId="3D34F33F" w14:textId="77777777" w:rsidR="00A31B45" w:rsidRPr="008070E4" w:rsidRDefault="00A31B45" w:rsidP="006A7DC9">
      <w:pPr>
        <w:pStyle w:val="Paragraph"/>
        <w:numPr>
          <w:ilvl w:val="0"/>
          <w:numId w:val="0"/>
        </w:numPr>
        <w:spacing w:before="0" w:after="0"/>
        <w:rPr>
          <w:rFonts w:ascii="Arial" w:hAnsi="Arial" w:cs="Arial"/>
          <w:szCs w:val="24"/>
        </w:rPr>
      </w:pPr>
    </w:p>
    <w:p w14:paraId="1B7876C1" w14:textId="14E78DAA"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12327F7D" w14:textId="365191E3"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72568322" w14:textId="7BF1AF1A"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01D76D1D" w14:textId="40819DF8"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479601EC" w14:textId="60D48882"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5485D1E5" w14:textId="2CD222E6"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149189D4" w14:textId="2E614D4D"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65DF6128" w14:textId="77777777"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340CFED1" w14:textId="77777777"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01203491" w14:textId="77777777" w:rsidR="00FF080C" w:rsidRPr="008070E4" w:rsidRDefault="00FF080C" w:rsidP="00A31B45">
      <w:pPr>
        <w:pStyle w:val="ListParagraph"/>
        <w:spacing w:after="0" w:line="240" w:lineRule="auto"/>
        <w:ind w:left="567"/>
        <w:jc w:val="center"/>
        <w:rPr>
          <w:rFonts w:ascii="Arial" w:hAnsi="Arial" w:cs="Arial"/>
          <w:b/>
          <w:sz w:val="20"/>
          <w:szCs w:val="20"/>
          <w:lang w:val="es-ES_tradnl"/>
        </w:rPr>
      </w:pPr>
    </w:p>
    <w:p w14:paraId="1CDA7BA8" w14:textId="55556108" w:rsidR="00A31B45" w:rsidRPr="008070E4" w:rsidRDefault="001B28C4" w:rsidP="00A31B45">
      <w:pPr>
        <w:pStyle w:val="ListParagraph"/>
        <w:spacing w:after="0" w:line="240" w:lineRule="auto"/>
        <w:ind w:left="567"/>
        <w:jc w:val="center"/>
        <w:rPr>
          <w:rFonts w:ascii="Arial" w:hAnsi="Arial" w:cs="Arial"/>
          <w:b/>
          <w:sz w:val="20"/>
          <w:szCs w:val="20"/>
          <w:lang w:val="es-ES_tradnl"/>
        </w:rPr>
      </w:pPr>
      <w:r>
        <w:rPr>
          <w:rFonts w:ascii="Arial" w:hAnsi="Arial" w:cs="Arial"/>
          <w:b/>
          <w:sz w:val="20"/>
          <w:szCs w:val="20"/>
          <w:lang w:val="es-ES_tradnl"/>
        </w:rPr>
        <w:t>Cuadro 1  Datos Bá</w:t>
      </w:r>
      <w:r w:rsidR="00A31B45" w:rsidRPr="008070E4">
        <w:rPr>
          <w:rFonts w:ascii="Arial" w:hAnsi="Arial" w:cs="Arial"/>
          <w:b/>
          <w:sz w:val="20"/>
          <w:szCs w:val="20"/>
          <w:lang w:val="es-ES_tradnl"/>
        </w:rPr>
        <w:t>sicos</w:t>
      </w:r>
    </w:p>
    <w:p w14:paraId="33649AF1" w14:textId="200FE540" w:rsidR="00A31B45" w:rsidRPr="008070E4" w:rsidRDefault="00A31B45" w:rsidP="00A31B45">
      <w:pPr>
        <w:jc w:val="center"/>
        <w:rPr>
          <w:rFonts w:ascii="Arial" w:hAnsi="Arial"/>
          <w:b/>
          <w:lang w:val="es-ES_tradnl"/>
        </w:rPr>
      </w:pPr>
    </w:p>
    <w:tbl>
      <w:tblPr>
        <w:tblStyle w:val="TableGrid"/>
        <w:tblW w:w="9067" w:type="dxa"/>
        <w:tblLook w:val="04A0" w:firstRow="1" w:lastRow="0" w:firstColumn="1" w:lastColumn="0" w:noHBand="0" w:noVBand="1"/>
      </w:tblPr>
      <w:tblGrid>
        <w:gridCol w:w="3681"/>
        <w:gridCol w:w="1417"/>
        <w:gridCol w:w="1985"/>
        <w:gridCol w:w="1984"/>
      </w:tblGrid>
      <w:tr w:rsidR="00A31B45" w:rsidRPr="008070E4" w14:paraId="5C099BB1" w14:textId="77777777" w:rsidTr="008070E4">
        <w:trPr>
          <w:trHeight w:val="300"/>
        </w:trPr>
        <w:tc>
          <w:tcPr>
            <w:tcW w:w="3681" w:type="dxa"/>
            <w:shd w:val="clear" w:color="auto" w:fill="D9D9D9" w:themeFill="background1" w:themeFillShade="D9"/>
            <w:noWrap/>
            <w:hideMark/>
          </w:tcPr>
          <w:p w14:paraId="3598EE56" w14:textId="77777777" w:rsidR="00A31B45" w:rsidRPr="008070E4" w:rsidRDefault="00A31B45" w:rsidP="008070E4">
            <w:pPr>
              <w:rPr>
                <w:rFonts w:ascii="Arial" w:eastAsia="Times New Roman" w:hAnsi="Arial" w:cs="Calibri"/>
                <w:color w:val="000000"/>
                <w:sz w:val="20"/>
                <w:szCs w:val="20"/>
                <w:lang w:val="es-ES_tradnl" w:eastAsia="es-PE"/>
              </w:rPr>
            </w:pPr>
            <w:r w:rsidRPr="008070E4">
              <w:rPr>
                <w:rFonts w:ascii="Arial" w:eastAsia="Times New Roman" w:hAnsi="Arial" w:cs="Calibri"/>
                <w:color w:val="000000"/>
                <w:sz w:val="20"/>
                <w:szCs w:val="20"/>
                <w:lang w:val="es-ES_tradnl" w:eastAsia="es-PE"/>
              </w:rPr>
              <w:t> </w:t>
            </w:r>
          </w:p>
        </w:tc>
        <w:tc>
          <w:tcPr>
            <w:tcW w:w="1417" w:type="dxa"/>
            <w:shd w:val="clear" w:color="auto" w:fill="D9D9D9" w:themeFill="background1" w:themeFillShade="D9"/>
            <w:noWrap/>
            <w:hideMark/>
          </w:tcPr>
          <w:p w14:paraId="46FC2A77" w14:textId="77777777" w:rsidR="00A31B45" w:rsidRPr="008070E4" w:rsidRDefault="00A31B45" w:rsidP="008070E4">
            <w:pPr>
              <w:jc w:val="center"/>
              <w:rPr>
                <w:rFonts w:ascii="Arial" w:eastAsia="Times New Roman" w:hAnsi="Arial" w:cs="Calibri"/>
                <w:b/>
                <w:bCs/>
                <w:color w:val="000000"/>
                <w:sz w:val="20"/>
                <w:szCs w:val="20"/>
                <w:lang w:eastAsia="es-PE"/>
              </w:rPr>
            </w:pPr>
            <w:proofErr w:type="spellStart"/>
            <w:r w:rsidRPr="008070E4">
              <w:rPr>
                <w:rFonts w:ascii="Arial" w:eastAsia="Times New Roman" w:hAnsi="Arial" w:cs="Calibri"/>
                <w:b/>
                <w:bCs/>
                <w:color w:val="000000"/>
                <w:sz w:val="20"/>
                <w:szCs w:val="20"/>
                <w:lang w:eastAsia="es-PE"/>
              </w:rPr>
              <w:t>Línea</w:t>
            </w:r>
            <w:proofErr w:type="spellEnd"/>
            <w:r w:rsidRPr="008070E4">
              <w:rPr>
                <w:rFonts w:ascii="Arial" w:eastAsia="Times New Roman" w:hAnsi="Arial" w:cs="Calibri"/>
                <w:b/>
                <w:bCs/>
                <w:color w:val="000000"/>
                <w:sz w:val="20"/>
                <w:szCs w:val="20"/>
                <w:lang w:eastAsia="es-PE"/>
              </w:rPr>
              <w:t xml:space="preserve"> de Base</w:t>
            </w:r>
          </w:p>
        </w:tc>
        <w:tc>
          <w:tcPr>
            <w:tcW w:w="1985" w:type="dxa"/>
            <w:shd w:val="clear" w:color="auto" w:fill="D9D9D9" w:themeFill="background1" w:themeFillShade="D9"/>
            <w:noWrap/>
            <w:hideMark/>
          </w:tcPr>
          <w:p w14:paraId="52F5ED2C" w14:textId="77777777" w:rsidR="00A31B45" w:rsidRPr="008070E4" w:rsidRDefault="00A31B45" w:rsidP="008070E4">
            <w:pPr>
              <w:jc w:val="center"/>
              <w:rPr>
                <w:rFonts w:ascii="Arial" w:eastAsia="Times New Roman" w:hAnsi="Arial" w:cs="Calibri"/>
                <w:b/>
                <w:bCs/>
                <w:color w:val="000000"/>
                <w:sz w:val="20"/>
                <w:szCs w:val="20"/>
                <w:lang w:eastAsia="es-PE"/>
              </w:rPr>
            </w:pPr>
            <w:proofErr w:type="spellStart"/>
            <w:r w:rsidRPr="008070E4">
              <w:rPr>
                <w:rFonts w:ascii="Arial" w:eastAsia="Times New Roman" w:hAnsi="Arial" w:cs="Calibri"/>
                <w:b/>
                <w:bCs/>
                <w:color w:val="000000"/>
                <w:sz w:val="20"/>
                <w:szCs w:val="20"/>
                <w:lang w:eastAsia="es-PE"/>
              </w:rPr>
              <w:t>Año</w:t>
            </w:r>
            <w:proofErr w:type="spellEnd"/>
          </w:p>
        </w:tc>
        <w:tc>
          <w:tcPr>
            <w:tcW w:w="1984" w:type="dxa"/>
            <w:shd w:val="clear" w:color="auto" w:fill="D9D9D9" w:themeFill="background1" w:themeFillShade="D9"/>
            <w:noWrap/>
            <w:hideMark/>
          </w:tcPr>
          <w:p w14:paraId="3F9897F0" w14:textId="77777777" w:rsidR="00A31B45" w:rsidRPr="008070E4" w:rsidRDefault="00A31B45" w:rsidP="008070E4">
            <w:pPr>
              <w:jc w:val="center"/>
              <w:rPr>
                <w:rFonts w:ascii="Arial" w:eastAsia="Times New Roman" w:hAnsi="Arial" w:cs="Calibri"/>
                <w:b/>
                <w:bCs/>
                <w:color w:val="000000"/>
                <w:sz w:val="20"/>
                <w:szCs w:val="20"/>
                <w:lang w:eastAsia="es-PE"/>
              </w:rPr>
            </w:pPr>
            <w:r w:rsidRPr="008070E4">
              <w:rPr>
                <w:rFonts w:ascii="Arial" w:eastAsia="Times New Roman" w:hAnsi="Arial" w:cs="Calibri"/>
                <w:b/>
                <w:bCs/>
                <w:color w:val="000000"/>
                <w:sz w:val="20"/>
                <w:szCs w:val="20"/>
                <w:lang w:eastAsia="es-PE"/>
              </w:rPr>
              <w:t>Fuente</w:t>
            </w:r>
          </w:p>
        </w:tc>
      </w:tr>
      <w:tr w:rsidR="00A31B45" w:rsidRPr="008070E4" w14:paraId="2798CBEC" w14:textId="77777777" w:rsidTr="00FF080C">
        <w:trPr>
          <w:trHeight w:val="647"/>
        </w:trPr>
        <w:tc>
          <w:tcPr>
            <w:tcW w:w="3681" w:type="dxa"/>
            <w:noWrap/>
            <w:hideMark/>
          </w:tcPr>
          <w:p w14:paraId="77A6B668" w14:textId="51E86E2C" w:rsidR="00A31B45" w:rsidRPr="008070E4" w:rsidRDefault="00A31B45" w:rsidP="00F25C20">
            <w:pPr>
              <w:rPr>
                <w:rFonts w:ascii="Arial" w:eastAsia="Times New Roman" w:hAnsi="Arial" w:cs="Calibri"/>
                <w:color w:val="000000"/>
                <w:sz w:val="20"/>
                <w:szCs w:val="20"/>
                <w:lang w:val="es-ES_tradnl" w:eastAsia="es-PE"/>
              </w:rPr>
            </w:pPr>
            <w:r w:rsidRPr="008070E4">
              <w:rPr>
                <w:rFonts w:ascii="Arial" w:eastAsia="Times New Roman" w:hAnsi="Arial" w:cs="Calibri"/>
                <w:color w:val="000000"/>
                <w:sz w:val="20"/>
                <w:szCs w:val="20"/>
                <w:lang w:val="es-ES_tradnl" w:eastAsia="es-PE"/>
              </w:rPr>
              <w:t>Tasa de Homicidios en jurisdicciones</w:t>
            </w:r>
            <w:r w:rsidR="0064061F">
              <w:rPr>
                <w:rFonts w:ascii="Arial" w:eastAsia="Times New Roman" w:hAnsi="Arial" w:cs="Calibri"/>
                <w:color w:val="000000"/>
                <w:sz w:val="20"/>
                <w:szCs w:val="20"/>
                <w:lang w:val="es-ES_tradnl" w:eastAsia="es-PE"/>
              </w:rPr>
              <w:t xml:space="preserve">. (homicidios por cada 100.000 habitantes) </w:t>
            </w:r>
          </w:p>
        </w:tc>
        <w:tc>
          <w:tcPr>
            <w:tcW w:w="1417" w:type="dxa"/>
            <w:noWrap/>
            <w:hideMark/>
          </w:tcPr>
          <w:p w14:paraId="3BBEA40C" w14:textId="77777777" w:rsidR="00A31B45" w:rsidRPr="008070E4" w:rsidRDefault="00A31B45" w:rsidP="00FF080C">
            <w:pPr>
              <w:jc w:val="center"/>
              <w:rPr>
                <w:rFonts w:ascii="Arial" w:hAnsi="Arial" w:cs="Calibri"/>
                <w:color w:val="000000"/>
                <w:sz w:val="20"/>
                <w:szCs w:val="20"/>
              </w:rPr>
            </w:pPr>
            <w:r w:rsidRPr="008070E4">
              <w:rPr>
                <w:rFonts w:ascii="Arial" w:hAnsi="Arial" w:cs="Calibri"/>
                <w:color w:val="000000"/>
                <w:sz w:val="20"/>
                <w:szCs w:val="20"/>
              </w:rPr>
              <w:t>14</w:t>
            </w:r>
          </w:p>
          <w:p w14:paraId="51B09D34" w14:textId="7AC391D5" w:rsidR="006A7DC9" w:rsidRPr="008070E4" w:rsidRDefault="006A7DC9" w:rsidP="00FF080C">
            <w:pPr>
              <w:jc w:val="center"/>
              <w:rPr>
                <w:rFonts w:ascii="Arial" w:hAnsi="Arial" w:cs="Calibri"/>
                <w:color w:val="000000"/>
                <w:sz w:val="20"/>
                <w:szCs w:val="20"/>
              </w:rPr>
            </w:pPr>
          </w:p>
        </w:tc>
        <w:tc>
          <w:tcPr>
            <w:tcW w:w="1985" w:type="dxa"/>
            <w:noWrap/>
            <w:hideMark/>
          </w:tcPr>
          <w:p w14:paraId="7F8BC39B" w14:textId="250475D6" w:rsidR="00A31B45" w:rsidRPr="008070E4" w:rsidRDefault="00A31B45" w:rsidP="00FF080C">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2019</w:t>
            </w:r>
          </w:p>
        </w:tc>
        <w:tc>
          <w:tcPr>
            <w:tcW w:w="1984" w:type="dxa"/>
            <w:noWrap/>
            <w:vAlign w:val="center"/>
            <w:hideMark/>
          </w:tcPr>
          <w:p w14:paraId="2FDC0AD8" w14:textId="56DB0721" w:rsidR="00A31B45" w:rsidRPr="008070E4" w:rsidRDefault="0064061F" w:rsidP="00FF080C">
            <w:pPr>
              <w:rPr>
                <w:rFonts w:ascii="Arial" w:eastAsia="Times New Roman" w:hAnsi="Arial" w:cs="Calibri"/>
                <w:color w:val="000000"/>
                <w:sz w:val="20"/>
                <w:szCs w:val="20"/>
                <w:lang w:eastAsia="es-PE"/>
              </w:rPr>
            </w:pPr>
            <w:proofErr w:type="spellStart"/>
            <w:r>
              <w:rPr>
                <w:rFonts w:ascii="Arial" w:eastAsia="Times New Roman" w:hAnsi="Arial" w:cs="Calibri"/>
                <w:color w:val="000000"/>
                <w:sz w:val="20"/>
                <w:szCs w:val="20"/>
                <w:lang w:eastAsia="es-PE"/>
              </w:rPr>
              <w:t>Estadí</w:t>
            </w:r>
            <w:r w:rsidR="006A7DC9" w:rsidRPr="008070E4">
              <w:rPr>
                <w:rFonts w:ascii="Arial" w:eastAsia="Times New Roman" w:hAnsi="Arial" w:cs="Calibri"/>
                <w:color w:val="000000"/>
                <w:sz w:val="20"/>
                <w:szCs w:val="20"/>
                <w:lang w:eastAsia="es-PE"/>
              </w:rPr>
              <w:t>sticas</w:t>
            </w:r>
            <w:proofErr w:type="spellEnd"/>
            <w:r w:rsidR="006A7DC9" w:rsidRPr="008070E4">
              <w:rPr>
                <w:rFonts w:ascii="Arial" w:eastAsia="Times New Roman" w:hAnsi="Arial" w:cs="Calibri"/>
                <w:color w:val="000000"/>
                <w:sz w:val="20"/>
                <w:szCs w:val="20"/>
                <w:lang w:eastAsia="es-PE"/>
              </w:rPr>
              <w:t xml:space="preserve"> </w:t>
            </w:r>
            <w:proofErr w:type="spellStart"/>
            <w:r w:rsidR="006A7DC9" w:rsidRPr="008070E4">
              <w:rPr>
                <w:rFonts w:ascii="Arial" w:eastAsia="Times New Roman" w:hAnsi="Arial" w:cs="Calibri"/>
                <w:color w:val="000000"/>
                <w:sz w:val="20"/>
                <w:szCs w:val="20"/>
                <w:lang w:eastAsia="es-PE"/>
              </w:rPr>
              <w:t>seguridad</w:t>
            </w:r>
            <w:proofErr w:type="spellEnd"/>
            <w:r w:rsidR="006A7DC9" w:rsidRPr="008070E4">
              <w:rPr>
                <w:rFonts w:ascii="Arial" w:eastAsia="Times New Roman" w:hAnsi="Arial" w:cs="Calibri"/>
                <w:color w:val="000000"/>
                <w:sz w:val="20"/>
                <w:szCs w:val="20"/>
                <w:lang w:eastAsia="es-PE"/>
              </w:rPr>
              <w:t xml:space="preserve"> </w:t>
            </w:r>
            <w:proofErr w:type="spellStart"/>
            <w:r w:rsidR="006A7DC9" w:rsidRPr="008070E4">
              <w:rPr>
                <w:rFonts w:ascii="Arial" w:eastAsia="Times New Roman" w:hAnsi="Arial" w:cs="Calibri"/>
                <w:color w:val="000000"/>
                <w:sz w:val="20"/>
                <w:szCs w:val="20"/>
                <w:lang w:eastAsia="es-PE"/>
              </w:rPr>
              <w:t>ciudadana</w:t>
            </w:r>
            <w:proofErr w:type="spellEnd"/>
            <w:r w:rsidR="006A7DC9" w:rsidRPr="008070E4">
              <w:rPr>
                <w:rFonts w:ascii="Arial" w:eastAsia="Times New Roman" w:hAnsi="Arial" w:cs="Calibri"/>
                <w:color w:val="000000"/>
                <w:sz w:val="20"/>
                <w:szCs w:val="20"/>
                <w:lang w:eastAsia="es-PE"/>
              </w:rPr>
              <w:t xml:space="preserve">  </w:t>
            </w:r>
            <w:hyperlink r:id="rId12" w:history="1">
              <w:proofErr w:type="spellStart"/>
              <w:r w:rsidR="006A7DC9" w:rsidRPr="008070E4">
                <w:rPr>
                  <w:rStyle w:val="Hyperlink"/>
                  <w:rFonts w:ascii="Arial" w:eastAsia="Times New Roman" w:hAnsi="Arial" w:cs="Calibri"/>
                  <w:sz w:val="20"/>
                  <w:szCs w:val="20"/>
                  <w:lang w:eastAsia="es-PE"/>
                </w:rPr>
                <w:t>INEI</w:t>
              </w:r>
              <w:proofErr w:type="spellEnd"/>
            </w:hyperlink>
          </w:p>
        </w:tc>
      </w:tr>
      <w:tr w:rsidR="00A31B45" w:rsidRPr="008070E4" w14:paraId="6A2FE61A" w14:textId="77777777" w:rsidTr="00FF080C">
        <w:trPr>
          <w:trHeight w:val="300"/>
        </w:trPr>
        <w:tc>
          <w:tcPr>
            <w:tcW w:w="3681" w:type="dxa"/>
            <w:noWrap/>
            <w:hideMark/>
          </w:tcPr>
          <w:p w14:paraId="2BD3F334" w14:textId="5CD7747C" w:rsidR="00A31B45" w:rsidRPr="008070E4" w:rsidRDefault="00A31B45" w:rsidP="0064061F">
            <w:pPr>
              <w:rPr>
                <w:rFonts w:ascii="Arial" w:eastAsia="Times New Roman" w:hAnsi="Arial" w:cs="Calibri"/>
                <w:color w:val="000000"/>
                <w:sz w:val="20"/>
                <w:szCs w:val="20"/>
                <w:lang w:val="es-ES_tradnl" w:eastAsia="es-PE"/>
              </w:rPr>
            </w:pPr>
            <w:r w:rsidRPr="008070E4">
              <w:rPr>
                <w:rFonts w:ascii="Arial" w:eastAsia="Times New Roman" w:hAnsi="Arial" w:cs="Calibri"/>
                <w:color w:val="000000"/>
                <w:sz w:val="20"/>
                <w:szCs w:val="20"/>
                <w:lang w:val="es-ES_tradnl" w:eastAsia="es-PE"/>
              </w:rPr>
              <w:t>Tasa de robo de celulares y carteras en jurisdicciones</w:t>
            </w:r>
            <w:r w:rsidR="0064061F">
              <w:rPr>
                <w:rFonts w:ascii="Arial" w:eastAsia="Times New Roman" w:hAnsi="Arial" w:cs="Calibri"/>
                <w:color w:val="000000"/>
                <w:sz w:val="20"/>
                <w:szCs w:val="20"/>
                <w:lang w:val="es-ES_tradnl" w:eastAsia="es-PE"/>
              </w:rPr>
              <w:t xml:space="preserve">. </w:t>
            </w:r>
            <w:r w:rsidR="0064061F">
              <w:rPr>
                <w:rFonts w:ascii="Arial" w:eastAsia="Times New Roman" w:hAnsi="Arial" w:cs="Calibri"/>
                <w:color w:val="000000"/>
                <w:sz w:val="20"/>
                <w:szCs w:val="20"/>
                <w:lang w:val="es-ES_tradnl" w:eastAsia="es-PE"/>
              </w:rPr>
              <w:br/>
              <w:t>(robos de celulares y carteras por cada 100.000 habitantes)</w:t>
            </w:r>
          </w:p>
        </w:tc>
        <w:tc>
          <w:tcPr>
            <w:tcW w:w="1417" w:type="dxa"/>
            <w:noWrap/>
            <w:vAlign w:val="center"/>
            <w:hideMark/>
          </w:tcPr>
          <w:p w14:paraId="7D25DCE4" w14:textId="24DE0D50" w:rsidR="00A31B45" w:rsidRPr="008070E4" w:rsidRDefault="006A7DC9" w:rsidP="008070E4">
            <w:pPr>
              <w:jc w:val="center"/>
              <w:rPr>
                <w:rFonts w:ascii="Arial" w:hAnsi="Arial" w:cs="Calibri"/>
                <w:color w:val="000000"/>
                <w:sz w:val="20"/>
                <w:szCs w:val="20"/>
              </w:rPr>
            </w:pPr>
            <w:r w:rsidRPr="008070E4">
              <w:rPr>
                <w:rFonts w:ascii="Arial" w:hAnsi="Arial" w:cs="Calibri"/>
                <w:color w:val="000000"/>
                <w:sz w:val="20"/>
                <w:szCs w:val="20"/>
              </w:rPr>
              <w:t>16.4</w:t>
            </w:r>
          </w:p>
        </w:tc>
        <w:tc>
          <w:tcPr>
            <w:tcW w:w="1985" w:type="dxa"/>
            <w:noWrap/>
            <w:hideMark/>
          </w:tcPr>
          <w:p w14:paraId="30981037" w14:textId="45F33E74"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2019</w:t>
            </w:r>
          </w:p>
        </w:tc>
        <w:tc>
          <w:tcPr>
            <w:tcW w:w="1984" w:type="dxa"/>
            <w:noWrap/>
            <w:vAlign w:val="center"/>
            <w:hideMark/>
          </w:tcPr>
          <w:p w14:paraId="54B2CB59" w14:textId="09A4AE23" w:rsidR="00A31B45" w:rsidRPr="008070E4" w:rsidRDefault="0064061F" w:rsidP="00FF080C">
            <w:pPr>
              <w:rPr>
                <w:rFonts w:ascii="Arial" w:eastAsia="Times New Roman" w:hAnsi="Arial" w:cs="Calibri"/>
                <w:color w:val="000000"/>
                <w:sz w:val="20"/>
                <w:szCs w:val="20"/>
                <w:lang w:eastAsia="es-PE"/>
              </w:rPr>
            </w:pPr>
            <w:proofErr w:type="spellStart"/>
            <w:r>
              <w:rPr>
                <w:rFonts w:ascii="Arial" w:eastAsia="Times New Roman" w:hAnsi="Arial" w:cs="Calibri"/>
                <w:color w:val="000000"/>
                <w:sz w:val="20"/>
                <w:szCs w:val="20"/>
                <w:lang w:eastAsia="es-PE"/>
              </w:rPr>
              <w:t>Estadí</w:t>
            </w:r>
            <w:r w:rsidR="006A7DC9" w:rsidRPr="008070E4">
              <w:rPr>
                <w:rFonts w:ascii="Arial" w:eastAsia="Times New Roman" w:hAnsi="Arial" w:cs="Calibri"/>
                <w:color w:val="000000"/>
                <w:sz w:val="20"/>
                <w:szCs w:val="20"/>
                <w:lang w:eastAsia="es-PE"/>
              </w:rPr>
              <w:t>sticas</w:t>
            </w:r>
            <w:proofErr w:type="spellEnd"/>
            <w:r w:rsidR="006A7DC9" w:rsidRPr="008070E4">
              <w:rPr>
                <w:rFonts w:ascii="Arial" w:eastAsia="Times New Roman" w:hAnsi="Arial" w:cs="Calibri"/>
                <w:color w:val="000000"/>
                <w:sz w:val="20"/>
                <w:szCs w:val="20"/>
                <w:lang w:eastAsia="es-PE"/>
              </w:rPr>
              <w:t xml:space="preserve"> </w:t>
            </w:r>
            <w:proofErr w:type="spellStart"/>
            <w:r w:rsidR="006A7DC9" w:rsidRPr="008070E4">
              <w:rPr>
                <w:rFonts w:ascii="Arial" w:eastAsia="Times New Roman" w:hAnsi="Arial" w:cs="Calibri"/>
                <w:color w:val="000000"/>
                <w:sz w:val="20"/>
                <w:szCs w:val="20"/>
                <w:lang w:eastAsia="es-PE"/>
              </w:rPr>
              <w:t>seguridad</w:t>
            </w:r>
            <w:proofErr w:type="spellEnd"/>
            <w:r w:rsidR="006A7DC9" w:rsidRPr="008070E4">
              <w:rPr>
                <w:rFonts w:ascii="Arial" w:eastAsia="Times New Roman" w:hAnsi="Arial" w:cs="Calibri"/>
                <w:color w:val="000000"/>
                <w:sz w:val="20"/>
                <w:szCs w:val="20"/>
                <w:lang w:eastAsia="es-PE"/>
              </w:rPr>
              <w:t xml:space="preserve"> </w:t>
            </w:r>
            <w:proofErr w:type="spellStart"/>
            <w:r w:rsidR="006A7DC9" w:rsidRPr="008070E4">
              <w:rPr>
                <w:rFonts w:ascii="Arial" w:eastAsia="Times New Roman" w:hAnsi="Arial" w:cs="Calibri"/>
                <w:color w:val="000000"/>
                <w:sz w:val="20"/>
                <w:szCs w:val="20"/>
                <w:lang w:eastAsia="es-PE"/>
              </w:rPr>
              <w:t>ciudadana</w:t>
            </w:r>
            <w:proofErr w:type="spellEnd"/>
            <w:r w:rsidR="006A7DC9" w:rsidRPr="008070E4">
              <w:rPr>
                <w:rFonts w:ascii="Arial" w:eastAsia="Times New Roman" w:hAnsi="Arial" w:cs="Calibri"/>
                <w:color w:val="000000"/>
                <w:sz w:val="20"/>
                <w:szCs w:val="20"/>
                <w:lang w:eastAsia="es-PE"/>
              </w:rPr>
              <w:t xml:space="preserve">  </w:t>
            </w:r>
            <w:hyperlink r:id="rId13" w:history="1">
              <w:proofErr w:type="spellStart"/>
              <w:r w:rsidR="006A7DC9" w:rsidRPr="008070E4">
                <w:rPr>
                  <w:rStyle w:val="Hyperlink"/>
                  <w:rFonts w:ascii="Arial" w:eastAsia="Times New Roman" w:hAnsi="Arial" w:cs="Calibri"/>
                  <w:sz w:val="20"/>
                  <w:szCs w:val="20"/>
                  <w:lang w:eastAsia="es-PE"/>
                </w:rPr>
                <w:t>INEI</w:t>
              </w:r>
              <w:proofErr w:type="spellEnd"/>
            </w:hyperlink>
          </w:p>
        </w:tc>
      </w:tr>
      <w:tr w:rsidR="00A31B45" w:rsidRPr="008070E4" w14:paraId="62F31135" w14:textId="77777777" w:rsidTr="00FF080C">
        <w:trPr>
          <w:trHeight w:val="773"/>
        </w:trPr>
        <w:tc>
          <w:tcPr>
            <w:tcW w:w="3681" w:type="dxa"/>
            <w:noWrap/>
            <w:hideMark/>
          </w:tcPr>
          <w:p w14:paraId="4A9B6C4E" w14:textId="40E91ED4" w:rsidR="00A31B45" w:rsidRPr="008070E4" w:rsidRDefault="00A31B45" w:rsidP="0064061F">
            <w:pPr>
              <w:rPr>
                <w:rFonts w:ascii="Arial" w:eastAsia="Times New Roman" w:hAnsi="Arial" w:cs="Calibri"/>
                <w:color w:val="000000"/>
                <w:sz w:val="20"/>
                <w:szCs w:val="20"/>
                <w:lang w:val="es-ES_tradnl" w:eastAsia="es-PE"/>
              </w:rPr>
            </w:pPr>
            <w:r w:rsidRPr="008070E4">
              <w:rPr>
                <w:rFonts w:ascii="Arial" w:eastAsia="Times New Roman" w:hAnsi="Arial" w:cs="Calibri"/>
                <w:color w:val="000000"/>
                <w:sz w:val="20"/>
                <w:szCs w:val="20"/>
                <w:lang w:val="es-ES_tradnl" w:eastAsia="es-PE"/>
              </w:rPr>
              <w:t xml:space="preserve">Tasa de robo de vehículos </w:t>
            </w:r>
            <w:r w:rsidR="00F25C20" w:rsidRPr="008070E4">
              <w:rPr>
                <w:rFonts w:ascii="Arial" w:eastAsia="Times New Roman" w:hAnsi="Arial" w:cs="Calibri"/>
                <w:color w:val="000000"/>
                <w:sz w:val="20"/>
                <w:szCs w:val="20"/>
                <w:lang w:val="es-ES_tradnl" w:eastAsia="es-PE"/>
              </w:rPr>
              <w:t>en jurisdicciones</w:t>
            </w:r>
            <w:r w:rsidR="0064061F">
              <w:rPr>
                <w:rFonts w:ascii="Arial" w:eastAsia="Times New Roman" w:hAnsi="Arial" w:cs="Calibri"/>
                <w:color w:val="000000"/>
                <w:sz w:val="20"/>
                <w:szCs w:val="20"/>
                <w:lang w:val="es-ES_tradnl" w:eastAsia="es-PE"/>
              </w:rPr>
              <w:t>.</w:t>
            </w:r>
            <w:r w:rsidR="0064061F">
              <w:rPr>
                <w:rFonts w:ascii="Arial" w:eastAsia="Times New Roman" w:hAnsi="Arial" w:cs="Calibri"/>
                <w:color w:val="000000"/>
                <w:sz w:val="20"/>
                <w:szCs w:val="20"/>
                <w:lang w:val="es-ES_tradnl" w:eastAsia="es-PE"/>
              </w:rPr>
              <w:br/>
              <w:t>(robos de vehículos por cada 100.000 habitantes)</w:t>
            </w:r>
          </w:p>
        </w:tc>
        <w:tc>
          <w:tcPr>
            <w:tcW w:w="1417" w:type="dxa"/>
            <w:noWrap/>
            <w:vAlign w:val="center"/>
            <w:hideMark/>
          </w:tcPr>
          <w:p w14:paraId="4796C5A6" w14:textId="65472C54" w:rsidR="00A31B45" w:rsidRPr="008070E4" w:rsidRDefault="006A7DC9" w:rsidP="008070E4">
            <w:pPr>
              <w:jc w:val="center"/>
              <w:rPr>
                <w:rFonts w:ascii="Arial" w:hAnsi="Arial" w:cs="Calibri"/>
                <w:color w:val="000000"/>
                <w:sz w:val="20"/>
                <w:szCs w:val="20"/>
              </w:rPr>
            </w:pPr>
            <w:r w:rsidRPr="008070E4">
              <w:rPr>
                <w:rFonts w:ascii="Arial" w:hAnsi="Arial" w:cs="Calibri"/>
                <w:color w:val="000000"/>
                <w:sz w:val="20"/>
                <w:szCs w:val="20"/>
              </w:rPr>
              <w:t>2.3</w:t>
            </w:r>
          </w:p>
        </w:tc>
        <w:tc>
          <w:tcPr>
            <w:tcW w:w="1985" w:type="dxa"/>
            <w:noWrap/>
            <w:hideMark/>
          </w:tcPr>
          <w:p w14:paraId="7E295EEC" w14:textId="36D0D36A"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2019</w:t>
            </w:r>
          </w:p>
        </w:tc>
        <w:tc>
          <w:tcPr>
            <w:tcW w:w="1984" w:type="dxa"/>
            <w:noWrap/>
            <w:vAlign w:val="center"/>
            <w:hideMark/>
          </w:tcPr>
          <w:p w14:paraId="142B79F9" w14:textId="19D6CB9F" w:rsidR="00A31B45" w:rsidRPr="008070E4" w:rsidRDefault="006A7DC9" w:rsidP="00FF080C">
            <w:pPr>
              <w:rPr>
                <w:rFonts w:ascii="Arial" w:eastAsia="Times New Roman" w:hAnsi="Arial" w:cs="Calibri"/>
                <w:color w:val="000000"/>
                <w:sz w:val="20"/>
                <w:szCs w:val="20"/>
                <w:lang w:eastAsia="es-PE"/>
              </w:rPr>
            </w:pPr>
            <w:proofErr w:type="spellStart"/>
            <w:r w:rsidRPr="008070E4">
              <w:rPr>
                <w:rFonts w:ascii="Arial" w:eastAsia="Times New Roman" w:hAnsi="Arial" w:cs="Calibri"/>
                <w:color w:val="000000"/>
                <w:sz w:val="20"/>
                <w:szCs w:val="20"/>
                <w:lang w:eastAsia="es-PE"/>
              </w:rPr>
              <w:t>Estadisticas</w:t>
            </w:r>
            <w:proofErr w:type="spellEnd"/>
            <w:r w:rsidRPr="008070E4">
              <w:rPr>
                <w:rFonts w:ascii="Arial" w:eastAsia="Times New Roman" w:hAnsi="Arial" w:cs="Calibri"/>
                <w:color w:val="000000"/>
                <w:sz w:val="20"/>
                <w:szCs w:val="20"/>
                <w:lang w:eastAsia="es-PE"/>
              </w:rPr>
              <w:t xml:space="preserve"> </w:t>
            </w:r>
            <w:proofErr w:type="spellStart"/>
            <w:r w:rsidRPr="008070E4">
              <w:rPr>
                <w:rFonts w:ascii="Arial" w:eastAsia="Times New Roman" w:hAnsi="Arial" w:cs="Calibri"/>
                <w:color w:val="000000"/>
                <w:sz w:val="20"/>
                <w:szCs w:val="20"/>
                <w:lang w:eastAsia="es-PE"/>
              </w:rPr>
              <w:t>seguridad</w:t>
            </w:r>
            <w:proofErr w:type="spellEnd"/>
            <w:r w:rsidRPr="008070E4">
              <w:rPr>
                <w:rFonts w:ascii="Arial" w:eastAsia="Times New Roman" w:hAnsi="Arial" w:cs="Calibri"/>
                <w:color w:val="000000"/>
                <w:sz w:val="20"/>
                <w:szCs w:val="20"/>
                <w:lang w:eastAsia="es-PE"/>
              </w:rPr>
              <w:t xml:space="preserve"> </w:t>
            </w:r>
            <w:proofErr w:type="spellStart"/>
            <w:r w:rsidRPr="008070E4">
              <w:rPr>
                <w:rFonts w:ascii="Arial" w:eastAsia="Times New Roman" w:hAnsi="Arial" w:cs="Calibri"/>
                <w:color w:val="000000"/>
                <w:sz w:val="20"/>
                <w:szCs w:val="20"/>
                <w:lang w:eastAsia="es-PE"/>
              </w:rPr>
              <w:t>ciudadana</w:t>
            </w:r>
            <w:proofErr w:type="spellEnd"/>
            <w:r w:rsidRPr="008070E4">
              <w:rPr>
                <w:rFonts w:ascii="Arial" w:eastAsia="Times New Roman" w:hAnsi="Arial" w:cs="Calibri"/>
                <w:color w:val="000000"/>
                <w:sz w:val="20"/>
                <w:szCs w:val="20"/>
                <w:lang w:eastAsia="es-PE"/>
              </w:rPr>
              <w:t xml:space="preserve">  </w:t>
            </w:r>
            <w:hyperlink r:id="rId14" w:history="1">
              <w:proofErr w:type="spellStart"/>
              <w:r w:rsidRPr="008070E4">
                <w:rPr>
                  <w:rStyle w:val="Hyperlink"/>
                  <w:rFonts w:ascii="Arial" w:eastAsia="Times New Roman" w:hAnsi="Arial" w:cs="Calibri"/>
                  <w:sz w:val="20"/>
                  <w:szCs w:val="20"/>
                  <w:lang w:eastAsia="es-PE"/>
                </w:rPr>
                <w:t>INEI</w:t>
              </w:r>
              <w:proofErr w:type="spellEnd"/>
            </w:hyperlink>
            <w:r w:rsidRPr="008070E4">
              <w:rPr>
                <w:rFonts w:ascii="Arial" w:eastAsia="Times New Roman" w:hAnsi="Arial" w:cs="Calibri"/>
                <w:color w:val="000000"/>
                <w:sz w:val="20"/>
                <w:szCs w:val="20"/>
                <w:lang w:eastAsia="es-PE"/>
              </w:rPr>
              <w:t xml:space="preserve"> </w:t>
            </w:r>
          </w:p>
        </w:tc>
      </w:tr>
      <w:tr w:rsidR="00A31B45" w:rsidRPr="008070E4" w14:paraId="587AE801" w14:textId="77777777" w:rsidTr="008070E4">
        <w:trPr>
          <w:trHeight w:val="300"/>
        </w:trPr>
        <w:tc>
          <w:tcPr>
            <w:tcW w:w="3681" w:type="dxa"/>
            <w:noWrap/>
            <w:hideMark/>
          </w:tcPr>
          <w:p w14:paraId="4E3DB9A1" w14:textId="77777777" w:rsidR="00A31B45" w:rsidRPr="008070E4" w:rsidRDefault="00A31B45" w:rsidP="008070E4">
            <w:pPr>
              <w:rPr>
                <w:rFonts w:ascii="Arial" w:eastAsia="Times New Roman" w:hAnsi="Arial" w:cs="Calibri"/>
                <w:color w:val="000000"/>
                <w:sz w:val="20"/>
                <w:szCs w:val="20"/>
                <w:lang w:eastAsia="es-PE"/>
              </w:rPr>
            </w:pPr>
            <w:proofErr w:type="spellStart"/>
            <w:r w:rsidRPr="008070E4">
              <w:rPr>
                <w:rFonts w:ascii="Arial" w:eastAsia="Times New Roman" w:hAnsi="Arial" w:cs="Calibri"/>
                <w:color w:val="000000"/>
                <w:sz w:val="20"/>
                <w:szCs w:val="20"/>
                <w:lang w:eastAsia="es-PE"/>
              </w:rPr>
              <w:t>Ingreso</w:t>
            </w:r>
            <w:proofErr w:type="spellEnd"/>
            <w:r w:rsidRPr="008070E4">
              <w:rPr>
                <w:rFonts w:ascii="Arial" w:eastAsia="Times New Roman" w:hAnsi="Arial" w:cs="Calibri"/>
                <w:color w:val="000000"/>
                <w:sz w:val="20"/>
                <w:szCs w:val="20"/>
                <w:lang w:eastAsia="es-PE"/>
              </w:rPr>
              <w:t xml:space="preserve"> </w:t>
            </w:r>
            <w:proofErr w:type="spellStart"/>
            <w:r w:rsidRPr="008070E4">
              <w:rPr>
                <w:rFonts w:ascii="Arial" w:eastAsia="Times New Roman" w:hAnsi="Arial" w:cs="Calibri"/>
                <w:color w:val="000000"/>
                <w:sz w:val="20"/>
                <w:szCs w:val="20"/>
                <w:lang w:eastAsia="es-PE"/>
              </w:rPr>
              <w:t>promedio</w:t>
            </w:r>
            <w:proofErr w:type="spellEnd"/>
            <w:r w:rsidRPr="008070E4">
              <w:rPr>
                <w:rFonts w:ascii="Arial" w:eastAsia="Times New Roman" w:hAnsi="Arial" w:cs="Calibri"/>
                <w:color w:val="000000"/>
                <w:sz w:val="20"/>
                <w:szCs w:val="20"/>
                <w:lang w:eastAsia="es-PE"/>
              </w:rPr>
              <w:t xml:space="preserve"> </w:t>
            </w:r>
            <w:proofErr w:type="spellStart"/>
            <w:r w:rsidRPr="008070E4">
              <w:rPr>
                <w:rFonts w:ascii="Arial" w:eastAsia="Times New Roman" w:hAnsi="Arial" w:cs="Calibri"/>
                <w:color w:val="000000"/>
                <w:sz w:val="20"/>
                <w:szCs w:val="20"/>
                <w:lang w:eastAsia="es-PE"/>
              </w:rPr>
              <w:t>mensual</w:t>
            </w:r>
            <w:proofErr w:type="spellEnd"/>
            <w:r w:rsidRPr="008070E4">
              <w:rPr>
                <w:rFonts w:ascii="Arial" w:eastAsia="Times New Roman" w:hAnsi="Arial" w:cs="Calibri"/>
                <w:color w:val="000000"/>
                <w:sz w:val="20"/>
                <w:szCs w:val="20"/>
                <w:lang w:eastAsia="es-PE"/>
              </w:rPr>
              <w:t xml:space="preserve"> Perú (soles)</w:t>
            </w:r>
          </w:p>
        </w:tc>
        <w:tc>
          <w:tcPr>
            <w:tcW w:w="1417" w:type="dxa"/>
            <w:noWrap/>
            <w:hideMark/>
          </w:tcPr>
          <w:p w14:paraId="31073519" w14:textId="405F67D0"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1,</w:t>
            </w:r>
            <w:r w:rsidR="00713404" w:rsidRPr="008070E4">
              <w:rPr>
                <w:rFonts w:ascii="Arial" w:eastAsia="Times New Roman" w:hAnsi="Arial" w:cs="Calibri"/>
                <w:color w:val="000000"/>
                <w:sz w:val="20"/>
                <w:szCs w:val="20"/>
                <w:lang w:eastAsia="es-PE"/>
              </w:rPr>
              <w:t>685</w:t>
            </w:r>
          </w:p>
        </w:tc>
        <w:tc>
          <w:tcPr>
            <w:tcW w:w="1985" w:type="dxa"/>
            <w:noWrap/>
            <w:hideMark/>
          </w:tcPr>
          <w:p w14:paraId="7C8CD13A" w14:textId="57E19909"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201</w:t>
            </w:r>
            <w:r w:rsidR="00713404" w:rsidRPr="008070E4">
              <w:rPr>
                <w:rFonts w:ascii="Arial" w:eastAsia="Times New Roman" w:hAnsi="Arial" w:cs="Calibri"/>
                <w:color w:val="000000"/>
                <w:sz w:val="20"/>
                <w:szCs w:val="20"/>
                <w:lang w:eastAsia="es-PE"/>
              </w:rPr>
              <w:t>8</w:t>
            </w:r>
          </w:p>
        </w:tc>
        <w:tc>
          <w:tcPr>
            <w:tcW w:w="1984" w:type="dxa"/>
            <w:noWrap/>
            <w:hideMark/>
          </w:tcPr>
          <w:p w14:paraId="41439369" w14:textId="77777777" w:rsidR="00A31B45" w:rsidRPr="008070E4" w:rsidRDefault="00A31B45" w:rsidP="006A7DC9">
            <w:pP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INEI</w:t>
            </w:r>
          </w:p>
        </w:tc>
      </w:tr>
      <w:tr w:rsidR="00A31B45" w:rsidRPr="008070E4" w14:paraId="46B67664" w14:textId="77777777" w:rsidTr="008070E4">
        <w:trPr>
          <w:trHeight w:val="300"/>
        </w:trPr>
        <w:tc>
          <w:tcPr>
            <w:tcW w:w="3681" w:type="dxa"/>
            <w:noWrap/>
            <w:hideMark/>
          </w:tcPr>
          <w:p w14:paraId="7E23456D" w14:textId="77777777" w:rsidR="00A31B45" w:rsidRPr="008070E4" w:rsidRDefault="00A31B45" w:rsidP="008070E4">
            <w:pP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 xml:space="preserve">Tipo de </w:t>
            </w:r>
            <w:proofErr w:type="spellStart"/>
            <w:r w:rsidRPr="008070E4">
              <w:rPr>
                <w:rFonts w:ascii="Arial" w:eastAsia="Times New Roman" w:hAnsi="Arial" w:cs="Calibri"/>
                <w:color w:val="000000"/>
                <w:sz w:val="20"/>
                <w:szCs w:val="20"/>
                <w:lang w:eastAsia="es-PE"/>
              </w:rPr>
              <w:t>cambio</w:t>
            </w:r>
            <w:proofErr w:type="spellEnd"/>
            <w:r w:rsidRPr="008070E4">
              <w:rPr>
                <w:rFonts w:ascii="Arial" w:eastAsia="Times New Roman" w:hAnsi="Arial" w:cs="Calibri"/>
                <w:color w:val="000000"/>
                <w:sz w:val="20"/>
                <w:szCs w:val="20"/>
                <w:lang w:eastAsia="es-PE"/>
              </w:rPr>
              <w:t xml:space="preserve"> (S/ por US$)</w:t>
            </w:r>
          </w:p>
        </w:tc>
        <w:tc>
          <w:tcPr>
            <w:tcW w:w="1417" w:type="dxa"/>
            <w:noWrap/>
            <w:hideMark/>
          </w:tcPr>
          <w:p w14:paraId="2A2B6959" w14:textId="77777777"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3.27</w:t>
            </w:r>
          </w:p>
        </w:tc>
        <w:tc>
          <w:tcPr>
            <w:tcW w:w="1985" w:type="dxa"/>
            <w:noWrap/>
            <w:hideMark/>
          </w:tcPr>
          <w:p w14:paraId="5E7553D2" w14:textId="67CA06D2"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 xml:space="preserve">Prom. </w:t>
            </w:r>
            <w:proofErr w:type="spellStart"/>
            <w:r w:rsidRPr="008070E4">
              <w:rPr>
                <w:rFonts w:ascii="Arial" w:eastAsia="Times New Roman" w:hAnsi="Arial" w:cs="Calibri"/>
                <w:color w:val="000000"/>
                <w:sz w:val="20"/>
                <w:szCs w:val="20"/>
                <w:lang w:eastAsia="es-PE"/>
              </w:rPr>
              <w:t>ene-sep</w:t>
            </w:r>
            <w:proofErr w:type="spellEnd"/>
            <w:r w:rsidRPr="008070E4">
              <w:rPr>
                <w:rFonts w:ascii="Arial" w:eastAsia="Times New Roman" w:hAnsi="Arial" w:cs="Calibri"/>
                <w:color w:val="000000"/>
                <w:sz w:val="20"/>
                <w:szCs w:val="20"/>
                <w:lang w:eastAsia="es-PE"/>
              </w:rPr>
              <w:t xml:space="preserve"> 2019</w:t>
            </w:r>
          </w:p>
        </w:tc>
        <w:tc>
          <w:tcPr>
            <w:tcW w:w="1984" w:type="dxa"/>
            <w:noWrap/>
            <w:hideMark/>
          </w:tcPr>
          <w:p w14:paraId="561D8CFC" w14:textId="77777777" w:rsidR="00A31B45" w:rsidRPr="008070E4" w:rsidRDefault="00A31B45" w:rsidP="006A7DC9">
            <w:pP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BCRP</w:t>
            </w:r>
          </w:p>
        </w:tc>
      </w:tr>
      <w:tr w:rsidR="00A31B45" w:rsidRPr="008070E4" w14:paraId="29BE957A" w14:textId="77777777" w:rsidTr="008070E4">
        <w:trPr>
          <w:trHeight w:val="300"/>
        </w:trPr>
        <w:tc>
          <w:tcPr>
            <w:tcW w:w="3681" w:type="dxa"/>
            <w:noWrap/>
            <w:hideMark/>
          </w:tcPr>
          <w:p w14:paraId="60E8A1CF" w14:textId="77777777" w:rsidR="00A31B45" w:rsidRPr="008070E4" w:rsidRDefault="00A31B45" w:rsidP="008070E4">
            <w:pPr>
              <w:rPr>
                <w:rFonts w:ascii="Arial" w:eastAsia="Times New Roman" w:hAnsi="Arial" w:cs="Calibri"/>
                <w:color w:val="000000"/>
                <w:sz w:val="20"/>
                <w:szCs w:val="20"/>
                <w:lang w:eastAsia="es-PE"/>
              </w:rPr>
            </w:pPr>
            <w:proofErr w:type="spellStart"/>
            <w:r w:rsidRPr="008070E4">
              <w:rPr>
                <w:rFonts w:ascii="Arial" w:eastAsia="Times New Roman" w:hAnsi="Arial" w:cs="Calibri"/>
                <w:color w:val="000000"/>
                <w:sz w:val="20"/>
                <w:szCs w:val="20"/>
                <w:lang w:eastAsia="es-PE"/>
              </w:rPr>
              <w:t>Tasa</w:t>
            </w:r>
            <w:proofErr w:type="spellEnd"/>
            <w:r w:rsidRPr="008070E4">
              <w:rPr>
                <w:rFonts w:ascii="Arial" w:eastAsia="Times New Roman" w:hAnsi="Arial" w:cs="Calibri"/>
                <w:color w:val="000000"/>
                <w:sz w:val="20"/>
                <w:szCs w:val="20"/>
                <w:lang w:eastAsia="es-PE"/>
              </w:rPr>
              <w:t xml:space="preserve"> de </w:t>
            </w:r>
            <w:proofErr w:type="spellStart"/>
            <w:r w:rsidRPr="008070E4">
              <w:rPr>
                <w:rFonts w:ascii="Arial" w:eastAsia="Times New Roman" w:hAnsi="Arial" w:cs="Calibri"/>
                <w:color w:val="000000"/>
                <w:sz w:val="20"/>
                <w:szCs w:val="20"/>
                <w:lang w:eastAsia="es-PE"/>
              </w:rPr>
              <w:t>Desempleo</w:t>
            </w:r>
            <w:proofErr w:type="spellEnd"/>
            <w:r w:rsidRPr="008070E4">
              <w:rPr>
                <w:rFonts w:ascii="Arial" w:eastAsia="Times New Roman" w:hAnsi="Arial" w:cs="Calibri"/>
                <w:color w:val="000000"/>
                <w:sz w:val="20"/>
                <w:szCs w:val="20"/>
                <w:lang w:eastAsia="es-PE"/>
              </w:rPr>
              <w:t xml:space="preserve"> – Lima (%)</w:t>
            </w:r>
          </w:p>
        </w:tc>
        <w:tc>
          <w:tcPr>
            <w:tcW w:w="1417" w:type="dxa"/>
            <w:noWrap/>
            <w:hideMark/>
          </w:tcPr>
          <w:p w14:paraId="579466FA" w14:textId="77777777"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7.98%</w:t>
            </w:r>
          </w:p>
        </w:tc>
        <w:tc>
          <w:tcPr>
            <w:tcW w:w="1985" w:type="dxa"/>
            <w:noWrap/>
            <w:hideMark/>
          </w:tcPr>
          <w:p w14:paraId="733F6A6C" w14:textId="20CC4D71"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Prom. 2001-2019</w:t>
            </w:r>
          </w:p>
        </w:tc>
        <w:tc>
          <w:tcPr>
            <w:tcW w:w="1984" w:type="dxa"/>
            <w:noWrap/>
            <w:hideMark/>
          </w:tcPr>
          <w:p w14:paraId="62E296C3" w14:textId="77777777" w:rsidR="00A31B45" w:rsidRPr="008070E4" w:rsidRDefault="00A31B45" w:rsidP="006A7DC9">
            <w:pP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BCRP</w:t>
            </w:r>
          </w:p>
        </w:tc>
      </w:tr>
      <w:tr w:rsidR="00A31B45" w:rsidRPr="008070E4" w14:paraId="12DC681B" w14:textId="77777777" w:rsidTr="008070E4">
        <w:trPr>
          <w:trHeight w:val="300"/>
        </w:trPr>
        <w:tc>
          <w:tcPr>
            <w:tcW w:w="3681" w:type="dxa"/>
            <w:noWrap/>
            <w:hideMark/>
          </w:tcPr>
          <w:p w14:paraId="0F792C9C" w14:textId="77777777" w:rsidR="00A31B45" w:rsidRPr="008070E4" w:rsidRDefault="00A31B45" w:rsidP="008070E4">
            <w:pP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 xml:space="preserve">Esperanza de </w:t>
            </w:r>
            <w:proofErr w:type="spellStart"/>
            <w:r w:rsidRPr="008070E4">
              <w:rPr>
                <w:rFonts w:ascii="Arial" w:eastAsia="Times New Roman" w:hAnsi="Arial" w:cs="Calibri"/>
                <w:color w:val="000000"/>
                <w:sz w:val="20"/>
                <w:szCs w:val="20"/>
                <w:lang w:eastAsia="es-PE"/>
              </w:rPr>
              <w:t>vida</w:t>
            </w:r>
            <w:proofErr w:type="spellEnd"/>
            <w:r w:rsidRPr="008070E4">
              <w:rPr>
                <w:rFonts w:ascii="Arial" w:eastAsia="Times New Roman" w:hAnsi="Arial" w:cs="Calibri"/>
                <w:color w:val="000000"/>
                <w:sz w:val="20"/>
                <w:szCs w:val="20"/>
                <w:lang w:eastAsia="es-PE"/>
              </w:rPr>
              <w:t xml:space="preserve"> (</w:t>
            </w:r>
            <w:proofErr w:type="spellStart"/>
            <w:r w:rsidRPr="008070E4">
              <w:rPr>
                <w:rFonts w:ascii="Arial" w:eastAsia="Times New Roman" w:hAnsi="Arial" w:cs="Calibri"/>
                <w:color w:val="000000"/>
                <w:sz w:val="20"/>
                <w:szCs w:val="20"/>
                <w:lang w:eastAsia="es-PE"/>
              </w:rPr>
              <w:t>años</w:t>
            </w:r>
            <w:proofErr w:type="spellEnd"/>
            <w:r w:rsidRPr="008070E4">
              <w:rPr>
                <w:rFonts w:ascii="Arial" w:eastAsia="Times New Roman" w:hAnsi="Arial" w:cs="Calibri"/>
                <w:color w:val="000000"/>
                <w:sz w:val="20"/>
                <w:szCs w:val="20"/>
                <w:lang w:eastAsia="es-PE"/>
              </w:rPr>
              <w:t>)</w:t>
            </w:r>
          </w:p>
        </w:tc>
        <w:tc>
          <w:tcPr>
            <w:tcW w:w="1417" w:type="dxa"/>
            <w:noWrap/>
            <w:hideMark/>
          </w:tcPr>
          <w:p w14:paraId="36B1147F" w14:textId="77777777"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74.6</w:t>
            </w:r>
          </w:p>
        </w:tc>
        <w:tc>
          <w:tcPr>
            <w:tcW w:w="1985" w:type="dxa"/>
            <w:noWrap/>
            <w:hideMark/>
          </w:tcPr>
          <w:p w14:paraId="426C0BFA" w14:textId="6E38D66D"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201</w:t>
            </w:r>
            <w:r w:rsidR="006A7DC9" w:rsidRPr="008070E4">
              <w:rPr>
                <w:rFonts w:ascii="Arial" w:eastAsia="Times New Roman" w:hAnsi="Arial" w:cs="Calibri"/>
                <w:color w:val="000000"/>
                <w:sz w:val="20"/>
                <w:szCs w:val="20"/>
                <w:lang w:eastAsia="es-PE"/>
              </w:rPr>
              <w:t>8</w:t>
            </w:r>
          </w:p>
        </w:tc>
        <w:tc>
          <w:tcPr>
            <w:tcW w:w="1984" w:type="dxa"/>
            <w:noWrap/>
            <w:hideMark/>
          </w:tcPr>
          <w:p w14:paraId="4614465E" w14:textId="77777777" w:rsidR="00A31B45" w:rsidRPr="008070E4" w:rsidRDefault="00A31B45" w:rsidP="006A7DC9">
            <w:pP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INEI</w:t>
            </w:r>
          </w:p>
        </w:tc>
      </w:tr>
      <w:tr w:rsidR="00A31B45" w:rsidRPr="008070E4" w14:paraId="75480CBE" w14:textId="77777777" w:rsidTr="008070E4">
        <w:trPr>
          <w:trHeight w:val="300"/>
        </w:trPr>
        <w:tc>
          <w:tcPr>
            <w:tcW w:w="3681" w:type="dxa"/>
            <w:noWrap/>
            <w:hideMark/>
          </w:tcPr>
          <w:p w14:paraId="2C929320" w14:textId="77777777" w:rsidR="00A31B45" w:rsidRPr="008070E4" w:rsidRDefault="00A31B45" w:rsidP="008070E4">
            <w:pPr>
              <w:rPr>
                <w:rFonts w:ascii="Arial" w:eastAsia="Times New Roman" w:hAnsi="Arial" w:cs="Calibri"/>
                <w:color w:val="000000"/>
                <w:sz w:val="20"/>
                <w:szCs w:val="20"/>
                <w:lang w:eastAsia="es-PE"/>
              </w:rPr>
            </w:pPr>
            <w:proofErr w:type="spellStart"/>
            <w:r w:rsidRPr="008070E4">
              <w:rPr>
                <w:rFonts w:ascii="Arial" w:eastAsia="Times New Roman" w:hAnsi="Arial" w:cs="Calibri"/>
                <w:color w:val="000000"/>
                <w:sz w:val="20"/>
                <w:szCs w:val="20"/>
                <w:lang w:eastAsia="es-PE"/>
              </w:rPr>
              <w:t>Edad</w:t>
            </w:r>
            <w:proofErr w:type="spellEnd"/>
            <w:r w:rsidRPr="008070E4">
              <w:rPr>
                <w:rFonts w:ascii="Arial" w:eastAsia="Times New Roman" w:hAnsi="Arial" w:cs="Calibri"/>
                <w:color w:val="000000"/>
                <w:sz w:val="20"/>
                <w:szCs w:val="20"/>
                <w:lang w:eastAsia="es-PE"/>
              </w:rPr>
              <w:t xml:space="preserve"> </w:t>
            </w:r>
            <w:proofErr w:type="spellStart"/>
            <w:r w:rsidRPr="008070E4">
              <w:rPr>
                <w:rFonts w:ascii="Arial" w:eastAsia="Times New Roman" w:hAnsi="Arial" w:cs="Calibri"/>
                <w:color w:val="000000"/>
                <w:sz w:val="20"/>
                <w:szCs w:val="20"/>
                <w:lang w:eastAsia="es-PE"/>
              </w:rPr>
              <w:t>Mediana</w:t>
            </w:r>
            <w:proofErr w:type="spellEnd"/>
            <w:r w:rsidRPr="008070E4">
              <w:rPr>
                <w:rFonts w:ascii="Arial" w:eastAsia="Times New Roman" w:hAnsi="Arial" w:cs="Calibri"/>
                <w:color w:val="000000"/>
                <w:sz w:val="20"/>
                <w:szCs w:val="20"/>
                <w:lang w:eastAsia="es-PE"/>
              </w:rPr>
              <w:t xml:space="preserve"> - Perú (</w:t>
            </w:r>
            <w:proofErr w:type="spellStart"/>
            <w:r w:rsidRPr="008070E4">
              <w:rPr>
                <w:rFonts w:ascii="Arial" w:eastAsia="Times New Roman" w:hAnsi="Arial" w:cs="Calibri"/>
                <w:color w:val="000000"/>
                <w:sz w:val="20"/>
                <w:szCs w:val="20"/>
                <w:lang w:eastAsia="es-PE"/>
              </w:rPr>
              <w:t>años</w:t>
            </w:r>
            <w:proofErr w:type="spellEnd"/>
            <w:r w:rsidRPr="008070E4">
              <w:rPr>
                <w:rFonts w:ascii="Arial" w:eastAsia="Times New Roman" w:hAnsi="Arial" w:cs="Calibri"/>
                <w:color w:val="000000"/>
                <w:sz w:val="20"/>
                <w:szCs w:val="20"/>
                <w:lang w:eastAsia="es-PE"/>
              </w:rPr>
              <w:t>)</w:t>
            </w:r>
          </w:p>
        </w:tc>
        <w:tc>
          <w:tcPr>
            <w:tcW w:w="1417" w:type="dxa"/>
            <w:noWrap/>
            <w:hideMark/>
          </w:tcPr>
          <w:p w14:paraId="0E22F8C3" w14:textId="77777777"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25.5</w:t>
            </w:r>
          </w:p>
        </w:tc>
        <w:tc>
          <w:tcPr>
            <w:tcW w:w="1985" w:type="dxa"/>
            <w:noWrap/>
            <w:hideMark/>
          </w:tcPr>
          <w:p w14:paraId="6EAE04EA" w14:textId="77FE8903"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201</w:t>
            </w:r>
            <w:r w:rsidR="006A7DC9" w:rsidRPr="008070E4">
              <w:rPr>
                <w:rFonts w:ascii="Arial" w:eastAsia="Times New Roman" w:hAnsi="Arial" w:cs="Calibri"/>
                <w:color w:val="000000"/>
                <w:sz w:val="20"/>
                <w:szCs w:val="20"/>
                <w:lang w:eastAsia="es-PE"/>
              </w:rPr>
              <w:t>8</w:t>
            </w:r>
          </w:p>
        </w:tc>
        <w:tc>
          <w:tcPr>
            <w:tcW w:w="1984" w:type="dxa"/>
            <w:noWrap/>
            <w:hideMark/>
          </w:tcPr>
          <w:p w14:paraId="24FF6811" w14:textId="77777777" w:rsidR="00A31B45" w:rsidRPr="008070E4" w:rsidRDefault="00A31B45" w:rsidP="006A7DC9">
            <w:pP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INEI</w:t>
            </w:r>
          </w:p>
        </w:tc>
      </w:tr>
    </w:tbl>
    <w:p w14:paraId="681DDA8B" w14:textId="77777777" w:rsidR="00A31B45" w:rsidRPr="008070E4" w:rsidRDefault="00A31B45" w:rsidP="00A31B45">
      <w:pPr>
        <w:rPr>
          <w:rFonts w:ascii="Arial" w:hAnsi="Arial"/>
        </w:rPr>
      </w:pPr>
    </w:p>
    <w:p w14:paraId="5C55FAB5" w14:textId="01916E0C"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Cabe señalar que los datos de número de homicidios</w:t>
      </w:r>
      <w:r w:rsidR="00F25C20" w:rsidRPr="008070E4">
        <w:rPr>
          <w:rFonts w:ascii="Arial" w:hAnsi="Arial" w:cs="Arial"/>
          <w:szCs w:val="24"/>
        </w:rPr>
        <w:t xml:space="preserve"> y robos</w:t>
      </w:r>
      <w:r w:rsidRPr="008070E4">
        <w:rPr>
          <w:rFonts w:ascii="Arial" w:hAnsi="Arial" w:cs="Arial"/>
          <w:szCs w:val="24"/>
        </w:rPr>
        <w:t>, se calcularon para un total de 98 jurisdicciones, en vista de que no se pudo conseguir información confiable de 9 jurisdicciones.  Ello significa que los eventuales beneficios estarían ligeramente subestimados.</w:t>
      </w:r>
    </w:p>
    <w:p w14:paraId="697FE764" w14:textId="0DE0AF68" w:rsidR="00A31B45" w:rsidRPr="008070E4" w:rsidRDefault="00A31B45" w:rsidP="00A31B45">
      <w:pPr>
        <w:pStyle w:val="Paragraph"/>
        <w:numPr>
          <w:ilvl w:val="0"/>
          <w:numId w:val="0"/>
        </w:numPr>
        <w:spacing w:before="0" w:after="0"/>
        <w:rPr>
          <w:rFonts w:ascii="Arial" w:hAnsi="Arial" w:cs="Arial"/>
          <w:szCs w:val="24"/>
        </w:rPr>
      </w:pPr>
    </w:p>
    <w:p w14:paraId="2AD31FCF" w14:textId="47B279AC" w:rsidR="001B28C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En el cuadro siguiente se detallan los supuestos que se han considerado para efectuar las estimaciones.</w:t>
      </w:r>
    </w:p>
    <w:p w14:paraId="082F5026" w14:textId="77777777" w:rsidR="001B28C4" w:rsidRDefault="001B28C4" w:rsidP="001B28C4">
      <w:pPr>
        <w:pStyle w:val="Paragraph"/>
        <w:numPr>
          <w:ilvl w:val="0"/>
          <w:numId w:val="0"/>
        </w:numPr>
        <w:spacing w:before="0" w:after="0"/>
        <w:rPr>
          <w:rFonts w:ascii="Arial" w:hAnsi="Arial" w:cs="Arial"/>
          <w:szCs w:val="24"/>
        </w:rPr>
      </w:pPr>
    </w:p>
    <w:p w14:paraId="24F28D9C" w14:textId="77777777" w:rsidR="001B28C4" w:rsidRPr="001B28C4" w:rsidRDefault="001B28C4" w:rsidP="001B28C4">
      <w:pPr>
        <w:pStyle w:val="Paragraph"/>
        <w:numPr>
          <w:ilvl w:val="0"/>
          <w:numId w:val="0"/>
        </w:numPr>
        <w:spacing w:before="0" w:after="0"/>
        <w:ind w:left="720" w:hanging="720"/>
        <w:rPr>
          <w:rFonts w:ascii="Arial" w:hAnsi="Arial" w:cs="Arial"/>
          <w:szCs w:val="24"/>
        </w:rPr>
      </w:pPr>
    </w:p>
    <w:p w14:paraId="32EE14A8" w14:textId="77777777" w:rsidR="00A31B45" w:rsidRPr="008070E4" w:rsidRDefault="00A31B45" w:rsidP="00A31B45">
      <w:pPr>
        <w:jc w:val="center"/>
        <w:rPr>
          <w:rFonts w:ascii="Arial" w:hAnsi="Arial"/>
          <w:b/>
        </w:rPr>
      </w:pPr>
      <w:proofErr w:type="spellStart"/>
      <w:r w:rsidRPr="008070E4">
        <w:rPr>
          <w:rFonts w:ascii="Arial" w:hAnsi="Arial"/>
          <w:b/>
        </w:rPr>
        <w:t>Cuadro</w:t>
      </w:r>
      <w:proofErr w:type="spellEnd"/>
      <w:r w:rsidRPr="008070E4">
        <w:rPr>
          <w:rFonts w:ascii="Arial" w:hAnsi="Arial"/>
          <w:b/>
        </w:rPr>
        <w:t xml:space="preserve"> 2. </w:t>
      </w:r>
      <w:proofErr w:type="spellStart"/>
      <w:r w:rsidRPr="008070E4">
        <w:rPr>
          <w:rFonts w:ascii="Arial" w:hAnsi="Arial"/>
          <w:b/>
        </w:rPr>
        <w:t>Supuestos</w:t>
      </w:r>
      <w:proofErr w:type="spellEnd"/>
    </w:p>
    <w:tbl>
      <w:tblPr>
        <w:tblStyle w:val="TableGrid"/>
        <w:tblW w:w="8359" w:type="dxa"/>
        <w:jc w:val="center"/>
        <w:tblLook w:val="04A0" w:firstRow="1" w:lastRow="0" w:firstColumn="1" w:lastColumn="0" w:noHBand="0" w:noVBand="1"/>
      </w:tblPr>
      <w:tblGrid>
        <w:gridCol w:w="5807"/>
        <w:gridCol w:w="2552"/>
      </w:tblGrid>
      <w:tr w:rsidR="00A31B45" w:rsidRPr="008070E4" w14:paraId="47B2072A" w14:textId="77777777" w:rsidTr="008070E4">
        <w:trPr>
          <w:trHeight w:val="300"/>
          <w:jc w:val="center"/>
        </w:trPr>
        <w:tc>
          <w:tcPr>
            <w:tcW w:w="5807" w:type="dxa"/>
            <w:shd w:val="clear" w:color="auto" w:fill="D9D9D9" w:themeFill="background1" w:themeFillShade="D9"/>
            <w:noWrap/>
          </w:tcPr>
          <w:p w14:paraId="729B30CB" w14:textId="77777777" w:rsidR="00A31B45" w:rsidRPr="008070E4" w:rsidRDefault="00A31B45" w:rsidP="008070E4">
            <w:pPr>
              <w:rPr>
                <w:rFonts w:ascii="Arial" w:eastAsia="Times New Roman" w:hAnsi="Arial" w:cs="Calibri"/>
                <w:b/>
                <w:color w:val="000000"/>
                <w:sz w:val="20"/>
                <w:szCs w:val="20"/>
                <w:lang w:eastAsia="es-PE"/>
              </w:rPr>
            </w:pPr>
            <w:r w:rsidRPr="008070E4">
              <w:rPr>
                <w:rFonts w:ascii="Arial" w:eastAsia="Times New Roman" w:hAnsi="Arial" w:cs="Calibri"/>
                <w:b/>
                <w:color w:val="000000"/>
                <w:sz w:val="20"/>
                <w:szCs w:val="20"/>
                <w:lang w:eastAsia="es-PE"/>
              </w:rPr>
              <w:t>Variable</w:t>
            </w:r>
          </w:p>
        </w:tc>
        <w:tc>
          <w:tcPr>
            <w:tcW w:w="2552" w:type="dxa"/>
            <w:shd w:val="clear" w:color="auto" w:fill="D9D9D9" w:themeFill="background1" w:themeFillShade="D9"/>
            <w:noWrap/>
          </w:tcPr>
          <w:p w14:paraId="46ABCBB0" w14:textId="77777777" w:rsidR="00A31B45" w:rsidRPr="008070E4" w:rsidRDefault="00A31B45" w:rsidP="008070E4">
            <w:pPr>
              <w:jc w:val="center"/>
              <w:rPr>
                <w:rFonts w:ascii="Arial" w:eastAsia="Times New Roman" w:hAnsi="Arial" w:cs="Calibri"/>
                <w:b/>
                <w:color w:val="000000"/>
                <w:sz w:val="20"/>
                <w:szCs w:val="20"/>
                <w:lang w:eastAsia="es-PE"/>
              </w:rPr>
            </w:pPr>
            <w:r w:rsidRPr="008070E4">
              <w:rPr>
                <w:rFonts w:ascii="Arial" w:eastAsia="Times New Roman" w:hAnsi="Arial" w:cs="Calibri"/>
                <w:b/>
                <w:color w:val="000000"/>
                <w:sz w:val="20"/>
                <w:szCs w:val="20"/>
                <w:lang w:eastAsia="es-PE"/>
              </w:rPr>
              <w:t>Valor</w:t>
            </w:r>
          </w:p>
        </w:tc>
      </w:tr>
      <w:tr w:rsidR="00A31B45" w:rsidRPr="008070E4" w14:paraId="2043B66C" w14:textId="77777777" w:rsidTr="008070E4">
        <w:trPr>
          <w:trHeight w:val="300"/>
          <w:jc w:val="center"/>
        </w:trPr>
        <w:tc>
          <w:tcPr>
            <w:tcW w:w="5807" w:type="dxa"/>
            <w:noWrap/>
            <w:hideMark/>
          </w:tcPr>
          <w:p w14:paraId="13C9A323" w14:textId="77777777" w:rsidR="00A31B45" w:rsidRPr="008070E4" w:rsidRDefault="00A31B45" w:rsidP="008070E4">
            <w:pPr>
              <w:rPr>
                <w:rFonts w:ascii="Arial" w:eastAsia="Times New Roman" w:hAnsi="Arial" w:cs="Calibri"/>
                <w:color w:val="000000"/>
                <w:sz w:val="20"/>
                <w:szCs w:val="20"/>
                <w:lang w:val="es-ES_tradnl" w:eastAsia="es-PE"/>
              </w:rPr>
            </w:pPr>
            <w:r w:rsidRPr="008070E4">
              <w:rPr>
                <w:rFonts w:ascii="Arial" w:eastAsia="Times New Roman" w:hAnsi="Arial" w:cs="Calibri"/>
                <w:color w:val="000000"/>
                <w:sz w:val="20"/>
                <w:szCs w:val="20"/>
                <w:lang w:val="es-ES_tradnl" w:eastAsia="es-PE"/>
              </w:rPr>
              <w:t>Tasa Reducción total en Homicidios</w:t>
            </w:r>
          </w:p>
        </w:tc>
        <w:tc>
          <w:tcPr>
            <w:tcW w:w="2552" w:type="dxa"/>
            <w:noWrap/>
            <w:hideMark/>
          </w:tcPr>
          <w:p w14:paraId="39843721" w14:textId="77777777"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 xml:space="preserve">22% en 5 </w:t>
            </w:r>
            <w:proofErr w:type="spellStart"/>
            <w:r w:rsidRPr="008070E4">
              <w:rPr>
                <w:rFonts w:ascii="Arial" w:eastAsia="Times New Roman" w:hAnsi="Arial" w:cs="Calibri"/>
                <w:color w:val="000000"/>
                <w:sz w:val="20"/>
                <w:szCs w:val="20"/>
                <w:lang w:eastAsia="es-PE"/>
              </w:rPr>
              <w:t>años</w:t>
            </w:r>
            <w:proofErr w:type="spellEnd"/>
          </w:p>
        </w:tc>
      </w:tr>
      <w:tr w:rsidR="00A31B45" w:rsidRPr="008070E4" w14:paraId="69492155" w14:textId="77777777" w:rsidTr="008070E4">
        <w:trPr>
          <w:trHeight w:val="300"/>
          <w:jc w:val="center"/>
        </w:trPr>
        <w:tc>
          <w:tcPr>
            <w:tcW w:w="5807" w:type="dxa"/>
            <w:noWrap/>
            <w:hideMark/>
          </w:tcPr>
          <w:p w14:paraId="60BA0102" w14:textId="469ED122" w:rsidR="00A31B45" w:rsidRPr="008070E4" w:rsidRDefault="00A31B45" w:rsidP="008070E4">
            <w:pPr>
              <w:rPr>
                <w:rFonts w:ascii="Arial" w:eastAsia="Times New Roman" w:hAnsi="Arial" w:cs="Calibri"/>
                <w:color w:val="000000"/>
                <w:sz w:val="20"/>
                <w:szCs w:val="20"/>
                <w:lang w:val="es-ES_tradnl" w:eastAsia="es-PE"/>
              </w:rPr>
            </w:pPr>
            <w:r w:rsidRPr="008070E4">
              <w:rPr>
                <w:rFonts w:ascii="Arial" w:eastAsia="Times New Roman" w:hAnsi="Arial" w:cs="Calibri"/>
                <w:color w:val="000000"/>
                <w:sz w:val="20"/>
                <w:szCs w:val="20"/>
                <w:lang w:val="es-ES_tradnl" w:eastAsia="es-PE"/>
              </w:rPr>
              <w:t>Tasa Reducción total en Robos</w:t>
            </w:r>
            <w:r w:rsidR="00F25C20" w:rsidRPr="008070E4">
              <w:rPr>
                <w:rFonts w:ascii="Arial" w:eastAsia="Times New Roman" w:hAnsi="Arial" w:cs="Calibri"/>
                <w:color w:val="000000"/>
                <w:sz w:val="20"/>
                <w:szCs w:val="20"/>
                <w:lang w:val="es-ES_tradnl" w:eastAsia="es-PE"/>
              </w:rPr>
              <w:t xml:space="preserve"> de carteras y celulares</w:t>
            </w:r>
          </w:p>
        </w:tc>
        <w:tc>
          <w:tcPr>
            <w:tcW w:w="2552" w:type="dxa"/>
            <w:noWrap/>
            <w:hideMark/>
          </w:tcPr>
          <w:p w14:paraId="5AC59745" w14:textId="77777777"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 xml:space="preserve">5% en 5 </w:t>
            </w:r>
            <w:proofErr w:type="spellStart"/>
            <w:r w:rsidRPr="008070E4">
              <w:rPr>
                <w:rFonts w:ascii="Arial" w:eastAsia="Times New Roman" w:hAnsi="Arial" w:cs="Calibri"/>
                <w:color w:val="000000"/>
                <w:sz w:val="20"/>
                <w:szCs w:val="20"/>
                <w:lang w:eastAsia="es-PE"/>
              </w:rPr>
              <w:t>años</w:t>
            </w:r>
            <w:proofErr w:type="spellEnd"/>
          </w:p>
        </w:tc>
      </w:tr>
      <w:tr w:rsidR="00A31B45" w:rsidRPr="008070E4" w14:paraId="5561511F" w14:textId="77777777" w:rsidTr="008070E4">
        <w:trPr>
          <w:trHeight w:val="300"/>
          <w:jc w:val="center"/>
        </w:trPr>
        <w:tc>
          <w:tcPr>
            <w:tcW w:w="5807" w:type="dxa"/>
            <w:noWrap/>
            <w:hideMark/>
          </w:tcPr>
          <w:p w14:paraId="3590AFF8" w14:textId="7CF9D9AD" w:rsidR="00A31B45" w:rsidRPr="008070E4" w:rsidRDefault="00A31B45" w:rsidP="008070E4">
            <w:pPr>
              <w:rPr>
                <w:rFonts w:ascii="Arial" w:eastAsia="Times New Roman" w:hAnsi="Arial" w:cs="Calibri"/>
                <w:color w:val="000000"/>
                <w:sz w:val="20"/>
                <w:szCs w:val="20"/>
                <w:lang w:val="es-ES_tradnl" w:eastAsia="es-PE"/>
              </w:rPr>
            </w:pPr>
            <w:r w:rsidRPr="008070E4">
              <w:rPr>
                <w:rFonts w:ascii="Arial" w:eastAsia="Times New Roman" w:hAnsi="Arial" w:cs="Calibri"/>
                <w:color w:val="000000"/>
                <w:sz w:val="20"/>
                <w:szCs w:val="20"/>
                <w:lang w:val="es-ES_tradnl" w:eastAsia="es-PE"/>
              </w:rPr>
              <w:t xml:space="preserve">Tasa Reducción total </w:t>
            </w:r>
            <w:r w:rsidR="00F25C20" w:rsidRPr="008070E4">
              <w:rPr>
                <w:rFonts w:ascii="Arial" w:eastAsia="Times New Roman" w:hAnsi="Arial" w:cs="Calibri"/>
                <w:color w:val="000000"/>
                <w:sz w:val="20"/>
                <w:szCs w:val="20"/>
                <w:lang w:val="es-ES_tradnl" w:eastAsia="es-PE"/>
              </w:rPr>
              <w:t xml:space="preserve">en Robos de </w:t>
            </w:r>
            <w:proofErr w:type="spellStart"/>
            <w:r w:rsidR="00F25C20" w:rsidRPr="008070E4">
              <w:rPr>
                <w:rFonts w:ascii="Arial" w:eastAsia="Times New Roman" w:hAnsi="Arial" w:cs="Calibri"/>
                <w:color w:val="000000"/>
                <w:sz w:val="20"/>
                <w:szCs w:val="20"/>
                <w:lang w:val="es-ES_tradnl" w:eastAsia="es-PE"/>
              </w:rPr>
              <w:t>vehiculos</w:t>
            </w:r>
            <w:proofErr w:type="spellEnd"/>
          </w:p>
        </w:tc>
        <w:tc>
          <w:tcPr>
            <w:tcW w:w="2552" w:type="dxa"/>
            <w:noWrap/>
            <w:hideMark/>
          </w:tcPr>
          <w:p w14:paraId="0ABB7AC3" w14:textId="46C2869F" w:rsidR="00A31B45" w:rsidRPr="008070E4" w:rsidRDefault="00FB5904"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5</w:t>
            </w:r>
            <w:r w:rsidR="00A31B45" w:rsidRPr="008070E4">
              <w:rPr>
                <w:rFonts w:ascii="Arial" w:eastAsia="Times New Roman" w:hAnsi="Arial" w:cs="Calibri"/>
                <w:color w:val="000000"/>
                <w:sz w:val="20"/>
                <w:szCs w:val="20"/>
                <w:lang w:eastAsia="es-PE"/>
              </w:rPr>
              <w:t xml:space="preserve">% en 5 </w:t>
            </w:r>
            <w:proofErr w:type="spellStart"/>
            <w:r w:rsidR="00A31B45" w:rsidRPr="008070E4">
              <w:rPr>
                <w:rFonts w:ascii="Arial" w:eastAsia="Times New Roman" w:hAnsi="Arial" w:cs="Calibri"/>
                <w:color w:val="000000"/>
                <w:sz w:val="20"/>
                <w:szCs w:val="20"/>
                <w:lang w:eastAsia="es-PE"/>
              </w:rPr>
              <w:t>años</w:t>
            </w:r>
            <w:proofErr w:type="spellEnd"/>
          </w:p>
        </w:tc>
      </w:tr>
      <w:tr w:rsidR="00A31B45" w:rsidRPr="008070E4" w14:paraId="1E615500" w14:textId="77777777" w:rsidTr="008070E4">
        <w:trPr>
          <w:trHeight w:val="300"/>
          <w:jc w:val="center"/>
        </w:trPr>
        <w:tc>
          <w:tcPr>
            <w:tcW w:w="5807" w:type="dxa"/>
            <w:noWrap/>
            <w:hideMark/>
          </w:tcPr>
          <w:p w14:paraId="7F1DEF71" w14:textId="3776D183" w:rsidR="00A31B45" w:rsidRPr="008070E4" w:rsidRDefault="00A31B45" w:rsidP="008070E4">
            <w:pP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lastRenderedPageBreak/>
              <w:t xml:space="preserve">Monto </w:t>
            </w:r>
            <w:proofErr w:type="spellStart"/>
            <w:r w:rsidRPr="008070E4">
              <w:rPr>
                <w:rFonts w:ascii="Arial" w:eastAsia="Times New Roman" w:hAnsi="Arial" w:cs="Calibri"/>
                <w:color w:val="000000"/>
                <w:sz w:val="20"/>
                <w:szCs w:val="20"/>
                <w:lang w:eastAsia="es-PE"/>
              </w:rPr>
              <w:t>promedio</w:t>
            </w:r>
            <w:proofErr w:type="spellEnd"/>
            <w:r w:rsidRPr="008070E4">
              <w:rPr>
                <w:rFonts w:ascii="Arial" w:eastAsia="Times New Roman" w:hAnsi="Arial" w:cs="Calibri"/>
                <w:color w:val="000000"/>
                <w:sz w:val="20"/>
                <w:szCs w:val="20"/>
                <w:lang w:eastAsia="es-PE"/>
              </w:rPr>
              <w:t xml:space="preserve"> de </w:t>
            </w:r>
            <w:proofErr w:type="spellStart"/>
            <w:r w:rsidRPr="008070E4">
              <w:rPr>
                <w:rFonts w:ascii="Arial" w:eastAsia="Times New Roman" w:hAnsi="Arial" w:cs="Calibri"/>
                <w:color w:val="000000"/>
                <w:sz w:val="20"/>
                <w:szCs w:val="20"/>
                <w:lang w:eastAsia="es-PE"/>
              </w:rPr>
              <w:t>cada</w:t>
            </w:r>
            <w:proofErr w:type="spellEnd"/>
            <w:r w:rsidRPr="008070E4">
              <w:rPr>
                <w:rFonts w:ascii="Arial" w:eastAsia="Times New Roman" w:hAnsi="Arial" w:cs="Calibri"/>
                <w:color w:val="000000"/>
                <w:sz w:val="20"/>
                <w:szCs w:val="20"/>
                <w:lang w:eastAsia="es-PE"/>
              </w:rPr>
              <w:t xml:space="preserve"> </w:t>
            </w:r>
            <w:proofErr w:type="spellStart"/>
            <w:r w:rsidRPr="008070E4">
              <w:rPr>
                <w:rFonts w:ascii="Arial" w:eastAsia="Times New Roman" w:hAnsi="Arial" w:cs="Calibri"/>
                <w:color w:val="000000"/>
                <w:sz w:val="20"/>
                <w:szCs w:val="20"/>
                <w:lang w:eastAsia="es-PE"/>
              </w:rPr>
              <w:t>robo</w:t>
            </w:r>
            <w:proofErr w:type="spellEnd"/>
            <w:r w:rsidR="00F25C20" w:rsidRPr="008070E4">
              <w:rPr>
                <w:rFonts w:ascii="Arial" w:eastAsia="Times New Roman" w:hAnsi="Arial" w:cs="Calibri"/>
                <w:color w:val="000000"/>
                <w:sz w:val="20"/>
                <w:szCs w:val="20"/>
                <w:lang w:eastAsia="es-PE"/>
              </w:rPr>
              <w:t xml:space="preserve"> </w:t>
            </w:r>
          </w:p>
        </w:tc>
        <w:tc>
          <w:tcPr>
            <w:tcW w:w="2552" w:type="dxa"/>
            <w:noWrap/>
            <w:hideMark/>
          </w:tcPr>
          <w:p w14:paraId="3A77BB83" w14:textId="77777777"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S/. 984.4 en 2017</w:t>
            </w:r>
          </w:p>
        </w:tc>
      </w:tr>
      <w:tr w:rsidR="00A31B45" w:rsidRPr="008070E4" w14:paraId="3AA2A5C2" w14:textId="77777777" w:rsidTr="008070E4">
        <w:trPr>
          <w:trHeight w:val="300"/>
          <w:jc w:val="center"/>
        </w:trPr>
        <w:tc>
          <w:tcPr>
            <w:tcW w:w="5807" w:type="dxa"/>
            <w:noWrap/>
            <w:hideMark/>
          </w:tcPr>
          <w:p w14:paraId="1706B49F" w14:textId="69A28B38" w:rsidR="00A31B45" w:rsidRPr="008070E4" w:rsidRDefault="00A31B45" w:rsidP="008070E4">
            <w:pPr>
              <w:rPr>
                <w:rFonts w:ascii="Arial" w:eastAsia="Times New Roman" w:hAnsi="Arial" w:cs="Calibri"/>
                <w:color w:val="000000"/>
                <w:sz w:val="20"/>
                <w:szCs w:val="20"/>
                <w:lang w:val="pt-BR" w:eastAsia="es-PE"/>
              </w:rPr>
            </w:pPr>
            <w:r w:rsidRPr="008070E4">
              <w:rPr>
                <w:rFonts w:ascii="Arial" w:eastAsia="Times New Roman" w:hAnsi="Arial" w:cs="Calibri"/>
                <w:color w:val="000000"/>
                <w:sz w:val="20"/>
                <w:szCs w:val="20"/>
                <w:lang w:val="pt-BR" w:eastAsia="es-PE"/>
              </w:rPr>
              <w:t xml:space="preserve">Monto </w:t>
            </w:r>
            <w:proofErr w:type="spellStart"/>
            <w:r w:rsidRPr="008070E4">
              <w:rPr>
                <w:rFonts w:ascii="Arial" w:eastAsia="Times New Roman" w:hAnsi="Arial" w:cs="Calibri"/>
                <w:color w:val="000000"/>
                <w:sz w:val="20"/>
                <w:szCs w:val="20"/>
                <w:lang w:val="pt-BR" w:eastAsia="es-PE"/>
              </w:rPr>
              <w:t>promedio</w:t>
            </w:r>
            <w:proofErr w:type="spellEnd"/>
            <w:r w:rsidRPr="008070E4">
              <w:rPr>
                <w:rFonts w:ascii="Arial" w:eastAsia="Times New Roman" w:hAnsi="Arial" w:cs="Calibri"/>
                <w:color w:val="000000"/>
                <w:sz w:val="20"/>
                <w:szCs w:val="20"/>
                <w:lang w:val="pt-BR" w:eastAsia="es-PE"/>
              </w:rPr>
              <w:t xml:space="preserve"> de cada </w:t>
            </w:r>
            <w:proofErr w:type="spellStart"/>
            <w:r w:rsidR="00F25C20" w:rsidRPr="008070E4">
              <w:rPr>
                <w:rFonts w:ascii="Arial" w:eastAsia="Times New Roman" w:hAnsi="Arial" w:cs="Calibri"/>
                <w:color w:val="000000"/>
                <w:sz w:val="20"/>
                <w:szCs w:val="20"/>
                <w:lang w:val="pt-BR" w:eastAsia="es-PE"/>
              </w:rPr>
              <w:t>vehículo</w:t>
            </w:r>
            <w:proofErr w:type="spellEnd"/>
            <w:r w:rsidR="00F25C20" w:rsidRPr="008070E4">
              <w:rPr>
                <w:rFonts w:ascii="Arial" w:eastAsia="Times New Roman" w:hAnsi="Arial" w:cs="Calibri"/>
                <w:color w:val="000000"/>
                <w:sz w:val="20"/>
                <w:szCs w:val="20"/>
                <w:lang w:val="pt-BR" w:eastAsia="es-PE"/>
              </w:rPr>
              <w:t xml:space="preserve"> </w:t>
            </w:r>
            <w:proofErr w:type="spellStart"/>
            <w:r w:rsidR="00F25C20" w:rsidRPr="008070E4">
              <w:rPr>
                <w:rFonts w:ascii="Arial" w:eastAsia="Times New Roman" w:hAnsi="Arial" w:cs="Calibri"/>
                <w:color w:val="000000"/>
                <w:sz w:val="20"/>
                <w:szCs w:val="20"/>
                <w:lang w:val="pt-BR" w:eastAsia="es-PE"/>
              </w:rPr>
              <w:t>robado</w:t>
            </w:r>
            <w:proofErr w:type="spellEnd"/>
          </w:p>
        </w:tc>
        <w:tc>
          <w:tcPr>
            <w:tcW w:w="2552" w:type="dxa"/>
            <w:noWrap/>
            <w:hideMark/>
          </w:tcPr>
          <w:p w14:paraId="774C0682" w14:textId="608C0A5C"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 xml:space="preserve">S/. </w:t>
            </w:r>
            <w:r w:rsidR="00F25C20" w:rsidRPr="008070E4">
              <w:rPr>
                <w:rFonts w:ascii="Arial" w:eastAsia="Times New Roman" w:hAnsi="Arial" w:cs="Calibri"/>
                <w:color w:val="000000"/>
                <w:sz w:val="20"/>
                <w:szCs w:val="20"/>
                <w:lang w:eastAsia="es-PE"/>
              </w:rPr>
              <w:t>32500</w:t>
            </w:r>
            <w:r w:rsidRPr="008070E4">
              <w:rPr>
                <w:rFonts w:ascii="Arial" w:eastAsia="Times New Roman" w:hAnsi="Arial" w:cs="Calibri"/>
                <w:color w:val="000000"/>
                <w:sz w:val="20"/>
                <w:szCs w:val="20"/>
                <w:lang w:eastAsia="es-PE"/>
              </w:rPr>
              <w:t xml:space="preserve"> en 201</w:t>
            </w:r>
            <w:r w:rsidR="00F25C20" w:rsidRPr="008070E4">
              <w:rPr>
                <w:rFonts w:ascii="Arial" w:eastAsia="Times New Roman" w:hAnsi="Arial" w:cs="Calibri"/>
                <w:color w:val="000000"/>
                <w:sz w:val="20"/>
                <w:szCs w:val="20"/>
                <w:lang w:eastAsia="es-PE"/>
              </w:rPr>
              <w:t>9</w:t>
            </w:r>
          </w:p>
        </w:tc>
      </w:tr>
      <w:tr w:rsidR="00A31B45" w:rsidRPr="008070E4" w14:paraId="1853F499" w14:textId="77777777" w:rsidTr="008070E4">
        <w:trPr>
          <w:trHeight w:val="300"/>
          <w:jc w:val="center"/>
        </w:trPr>
        <w:tc>
          <w:tcPr>
            <w:tcW w:w="5807" w:type="dxa"/>
            <w:noWrap/>
            <w:hideMark/>
          </w:tcPr>
          <w:p w14:paraId="0CBDD920" w14:textId="77777777" w:rsidR="00A31B45" w:rsidRPr="008070E4" w:rsidRDefault="00A31B45" w:rsidP="008070E4">
            <w:pPr>
              <w:rPr>
                <w:rFonts w:ascii="Arial" w:eastAsia="Times New Roman" w:hAnsi="Arial" w:cs="Calibri"/>
                <w:color w:val="000000"/>
                <w:sz w:val="20"/>
                <w:szCs w:val="20"/>
                <w:lang w:eastAsia="es-PE"/>
              </w:rPr>
            </w:pPr>
            <w:proofErr w:type="spellStart"/>
            <w:r w:rsidRPr="008070E4">
              <w:rPr>
                <w:rFonts w:ascii="Arial" w:eastAsia="Times New Roman" w:hAnsi="Arial" w:cs="Calibri"/>
                <w:color w:val="000000"/>
                <w:sz w:val="20"/>
                <w:szCs w:val="20"/>
                <w:lang w:eastAsia="es-PE"/>
              </w:rPr>
              <w:t>Inflación</w:t>
            </w:r>
            <w:proofErr w:type="spellEnd"/>
          </w:p>
        </w:tc>
        <w:tc>
          <w:tcPr>
            <w:tcW w:w="2552" w:type="dxa"/>
            <w:noWrap/>
            <w:hideMark/>
          </w:tcPr>
          <w:p w14:paraId="6A3F4556" w14:textId="4DB57581"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2% de 20</w:t>
            </w:r>
            <w:r w:rsidR="00F25C20" w:rsidRPr="008070E4">
              <w:rPr>
                <w:rFonts w:ascii="Arial" w:eastAsia="Times New Roman" w:hAnsi="Arial" w:cs="Calibri"/>
                <w:color w:val="000000"/>
                <w:sz w:val="20"/>
                <w:szCs w:val="20"/>
                <w:lang w:eastAsia="es-PE"/>
              </w:rPr>
              <w:t>20</w:t>
            </w:r>
            <w:r w:rsidRPr="008070E4">
              <w:rPr>
                <w:rFonts w:ascii="Arial" w:eastAsia="Times New Roman" w:hAnsi="Arial" w:cs="Calibri"/>
                <w:color w:val="000000"/>
                <w:sz w:val="20"/>
                <w:szCs w:val="20"/>
                <w:lang w:eastAsia="es-PE"/>
              </w:rPr>
              <w:t xml:space="preserve"> en </w:t>
            </w:r>
            <w:proofErr w:type="spellStart"/>
            <w:r w:rsidRPr="008070E4">
              <w:rPr>
                <w:rFonts w:ascii="Arial" w:eastAsia="Times New Roman" w:hAnsi="Arial" w:cs="Calibri"/>
                <w:color w:val="000000"/>
                <w:sz w:val="20"/>
                <w:szCs w:val="20"/>
                <w:lang w:eastAsia="es-PE"/>
              </w:rPr>
              <w:t>adelante</w:t>
            </w:r>
            <w:proofErr w:type="spellEnd"/>
          </w:p>
        </w:tc>
      </w:tr>
      <w:tr w:rsidR="00A31B45" w:rsidRPr="008070E4" w14:paraId="3F58B23C" w14:textId="77777777" w:rsidTr="008070E4">
        <w:trPr>
          <w:trHeight w:val="300"/>
          <w:jc w:val="center"/>
        </w:trPr>
        <w:tc>
          <w:tcPr>
            <w:tcW w:w="5807" w:type="dxa"/>
            <w:noWrap/>
            <w:hideMark/>
          </w:tcPr>
          <w:p w14:paraId="67DB4AD3" w14:textId="77777777" w:rsidR="00A31B45" w:rsidRPr="008070E4" w:rsidRDefault="00A31B45" w:rsidP="008070E4">
            <w:pP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Tipo de Cambio</w:t>
            </w:r>
          </w:p>
        </w:tc>
        <w:tc>
          <w:tcPr>
            <w:tcW w:w="2552" w:type="dxa"/>
            <w:noWrap/>
            <w:hideMark/>
          </w:tcPr>
          <w:p w14:paraId="62D27829" w14:textId="1913D3D1"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3.27 de 20</w:t>
            </w:r>
            <w:r w:rsidR="00F25C20" w:rsidRPr="008070E4">
              <w:rPr>
                <w:rFonts w:ascii="Arial" w:eastAsia="Times New Roman" w:hAnsi="Arial" w:cs="Calibri"/>
                <w:color w:val="000000"/>
                <w:sz w:val="20"/>
                <w:szCs w:val="20"/>
                <w:lang w:eastAsia="es-PE"/>
              </w:rPr>
              <w:t>20</w:t>
            </w:r>
            <w:r w:rsidRPr="008070E4">
              <w:rPr>
                <w:rFonts w:ascii="Arial" w:eastAsia="Times New Roman" w:hAnsi="Arial" w:cs="Calibri"/>
                <w:color w:val="000000"/>
                <w:sz w:val="20"/>
                <w:szCs w:val="20"/>
                <w:lang w:eastAsia="es-PE"/>
              </w:rPr>
              <w:t xml:space="preserve"> en </w:t>
            </w:r>
            <w:proofErr w:type="spellStart"/>
            <w:r w:rsidRPr="008070E4">
              <w:rPr>
                <w:rFonts w:ascii="Arial" w:eastAsia="Times New Roman" w:hAnsi="Arial" w:cs="Calibri"/>
                <w:color w:val="000000"/>
                <w:sz w:val="20"/>
                <w:szCs w:val="20"/>
                <w:lang w:eastAsia="es-PE"/>
              </w:rPr>
              <w:t>adelante</w:t>
            </w:r>
            <w:proofErr w:type="spellEnd"/>
          </w:p>
        </w:tc>
      </w:tr>
      <w:tr w:rsidR="00A31B45" w:rsidRPr="008070E4" w14:paraId="100607B1" w14:textId="77777777" w:rsidTr="008070E4">
        <w:trPr>
          <w:trHeight w:val="300"/>
          <w:jc w:val="center"/>
        </w:trPr>
        <w:tc>
          <w:tcPr>
            <w:tcW w:w="5807" w:type="dxa"/>
            <w:noWrap/>
          </w:tcPr>
          <w:p w14:paraId="48BA6C82" w14:textId="77777777" w:rsidR="00A31B45" w:rsidRPr="008070E4" w:rsidRDefault="00A31B45" w:rsidP="008070E4">
            <w:pPr>
              <w:rPr>
                <w:rFonts w:ascii="Arial" w:eastAsia="Times New Roman" w:hAnsi="Arial" w:cs="Calibri"/>
                <w:color w:val="000000"/>
                <w:sz w:val="20"/>
                <w:szCs w:val="20"/>
                <w:lang w:eastAsia="es-PE"/>
              </w:rPr>
            </w:pPr>
            <w:proofErr w:type="spellStart"/>
            <w:r w:rsidRPr="008070E4">
              <w:rPr>
                <w:rFonts w:ascii="Arial" w:eastAsia="Times New Roman" w:hAnsi="Arial" w:cs="Calibri"/>
                <w:color w:val="000000"/>
                <w:sz w:val="20"/>
                <w:szCs w:val="20"/>
                <w:lang w:eastAsia="es-PE"/>
              </w:rPr>
              <w:t>Tasa</w:t>
            </w:r>
            <w:proofErr w:type="spellEnd"/>
            <w:r w:rsidRPr="008070E4">
              <w:rPr>
                <w:rFonts w:ascii="Arial" w:eastAsia="Times New Roman" w:hAnsi="Arial" w:cs="Calibri"/>
                <w:color w:val="000000"/>
                <w:sz w:val="20"/>
                <w:szCs w:val="20"/>
                <w:lang w:eastAsia="es-PE"/>
              </w:rPr>
              <w:t xml:space="preserve"> de </w:t>
            </w:r>
            <w:proofErr w:type="spellStart"/>
            <w:r w:rsidRPr="008070E4">
              <w:rPr>
                <w:rFonts w:ascii="Arial" w:eastAsia="Times New Roman" w:hAnsi="Arial" w:cs="Calibri"/>
                <w:color w:val="000000"/>
                <w:sz w:val="20"/>
                <w:szCs w:val="20"/>
                <w:lang w:eastAsia="es-PE"/>
              </w:rPr>
              <w:t>desempleo</w:t>
            </w:r>
            <w:proofErr w:type="spellEnd"/>
          </w:p>
        </w:tc>
        <w:tc>
          <w:tcPr>
            <w:tcW w:w="2552" w:type="dxa"/>
            <w:noWrap/>
          </w:tcPr>
          <w:p w14:paraId="32E1805C" w14:textId="5059ECCB"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7.98% de 20</w:t>
            </w:r>
            <w:r w:rsidR="00F25C20" w:rsidRPr="008070E4">
              <w:rPr>
                <w:rFonts w:ascii="Arial" w:eastAsia="Times New Roman" w:hAnsi="Arial" w:cs="Calibri"/>
                <w:color w:val="000000"/>
                <w:sz w:val="20"/>
                <w:szCs w:val="20"/>
                <w:lang w:eastAsia="es-PE"/>
              </w:rPr>
              <w:t>20</w:t>
            </w:r>
            <w:r w:rsidRPr="008070E4">
              <w:rPr>
                <w:rFonts w:ascii="Arial" w:eastAsia="Times New Roman" w:hAnsi="Arial" w:cs="Calibri"/>
                <w:color w:val="000000"/>
                <w:sz w:val="20"/>
                <w:szCs w:val="20"/>
                <w:lang w:eastAsia="es-PE"/>
              </w:rPr>
              <w:t xml:space="preserve"> en </w:t>
            </w:r>
            <w:proofErr w:type="spellStart"/>
            <w:r w:rsidRPr="008070E4">
              <w:rPr>
                <w:rFonts w:ascii="Arial" w:eastAsia="Times New Roman" w:hAnsi="Arial" w:cs="Calibri"/>
                <w:color w:val="000000"/>
                <w:sz w:val="20"/>
                <w:szCs w:val="20"/>
                <w:lang w:eastAsia="es-PE"/>
              </w:rPr>
              <w:t>adelante</w:t>
            </w:r>
            <w:proofErr w:type="spellEnd"/>
          </w:p>
        </w:tc>
      </w:tr>
      <w:tr w:rsidR="00A31B45" w:rsidRPr="008070E4" w14:paraId="685DF94A" w14:textId="77777777" w:rsidTr="008070E4">
        <w:trPr>
          <w:trHeight w:val="300"/>
          <w:jc w:val="center"/>
        </w:trPr>
        <w:tc>
          <w:tcPr>
            <w:tcW w:w="5807" w:type="dxa"/>
            <w:noWrap/>
            <w:hideMark/>
          </w:tcPr>
          <w:p w14:paraId="5261C29A" w14:textId="77777777" w:rsidR="00A31B45" w:rsidRPr="008070E4" w:rsidRDefault="00A31B45" w:rsidP="008070E4">
            <w:pPr>
              <w:rPr>
                <w:rFonts w:ascii="Arial" w:eastAsia="Times New Roman" w:hAnsi="Arial" w:cs="Calibri"/>
                <w:color w:val="000000"/>
                <w:sz w:val="20"/>
                <w:szCs w:val="20"/>
                <w:lang w:eastAsia="es-PE"/>
              </w:rPr>
            </w:pPr>
            <w:proofErr w:type="spellStart"/>
            <w:r w:rsidRPr="008070E4">
              <w:rPr>
                <w:rFonts w:ascii="Arial" w:eastAsia="Times New Roman" w:hAnsi="Arial" w:cs="Calibri"/>
                <w:color w:val="000000"/>
                <w:sz w:val="20"/>
                <w:szCs w:val="20"/>
                <w:lang w:eastAsia="es-PE"/>
              </w:rPr>
              <w:t>Tasa</w:t>
            </w:r>
            <w:proofErr w:type="spellEnd"/>
            <w:r w:rsidRPr="008070E4">
              <w:rPr>
                <w:rFonts w:ascii="Arial" w:eastAsia="Times New Roman" w:hAnsi="Arial" w:cs="Calibri"/>
                <w:color w:val="000000"/>
                <w:sz w:val="20"/>
                <w:szCs w:val="20"/>
                <w:lang w:eastAsia="es-PE"/>
              </w:rPr>
              <w:t xml:space="preserve"> de </w:t>
            </w:r>
            <w:proofErr w:type="spellStart"/>
            <w:r w:rsidRPr="008070E4">
              <w:rPr>
                <w:rFonts w:ascii="Arial" w:eastAsia="Times New Roman" w:hAnsi="Arial" w:cs="Calibri"/>
                <w:color w:val="000000"/>
                <w:sz w:val="20"/>
                <w:szCs w:val="20"/>
                <w:lang w:eastAsia="es-PE"/>
              </w:rPr>
              <w:t>descuento</w:t>
            </w:r>
            <w:proofErr w:type="spellEnd"/>
          </w:p>
        </w:tc>
        <w:tc>
          <w:tcPr>
            <w:tcW w:w="2552" w:type="dxa"/>
            <w:noWrap/>
            <w:hideMark/>
          </w:tcPr>
          <w:p w14:paraId="0B737BB8" w14:textId="77777777" w:rsidR="00A31B45" w:rsidRPr="008070E4" w:rsidRDefault="00A31B45" w:rsidP="008070E4">
            <w:pPr>
              <w:jc w:val="center"/>
              <w:rPr>
                <w:rFonts w:ascii="Arial" w:eastAsia="Times New Roman" w:hAnsi="Arial" w:cs="Calibri"/>
                <w:color w:val="000000"/>
                <w:sz w:val="20"/>
                <w:szCs w:val="20"/>
                <w:lang w:eastAsia="es-PE"/>
              </w:rPr>
            </w:pPr>
            <w:r w:rsidRPr="008070E4">
              <w:rPr>
                <w:rFonts w:ascii="Arial" w:eastAsia="Times New Roman" w:hAnsi="Arial" w:cs="Calibri"/>
                <w:color w:val="000000"/>
                <w:sz w:val="20"/>
                <w:szCs w:val="20"/>
                <w:lang w:eastAsia="es-PE"/>
              </w:rPr>
              <w:t>12%</w:t>
            </w:r>
          </w:p>
        </w:tc>
      </w:tr>
    </w:tbl>
    <w:p w14:paraId="7831759B" w14:textId="77777777" w:rsidR="00A31B45" w:rsidRPr="008070E4" w:rsidRDefault="00A31B45" w:rsidP="00A31B45">
      <w:pPr>
        <w:rPr>
          <w:rFonts w:ascii="Arial" w:hAnsi="Arial"/>
        </w:rPr>
      </w:pPr>
    </w:p>
    <w:p w14:paraId="1C79A077" w14:textId="3747B956"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En este caso, las tasas de reducción de los delitos (homicidios, robos y hurtos) y la del aumento de denuncias, provienen de las metas descri</w:t>
      </w:r>
      <w:r w:rsidR="001B28C4">
        <w:rPr>
          <w:rFonts w:ascii="Arial" w:hAnsi="Arial" w:cs="Arial"/>
          <w:szCs w:val="24"/>
        </w:rPr>
        <w:t>tas en la Matriz de Resultados.</w:t>
      </w:r>
      <w:r w:rsidRPr="008070E4">
        <w:rPr>
          <w:rFonts w:ascii="Arial" w:hAnsi="Arial" w:cs="Arial"/>
          <w:szCs w:val="24"/>
        </w:rPr>
        <w:t xml:space="preserve"> La reducción de homicidios y hurtos se vinculan con el Componente I del Proyecto, y la reducción de robos con el Componente II.</w:t>
      </w:r>
    </w:p>
    <w:p w14:paraId="010DB11A" w14:textId="7F1C7722"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Para calcular el monto estimado de cada robo (y hurto), se consideró la distribución porcentual de los mismos según la Encuesta Nacional de Programas Presupuestarios (ENAPRES) de 2015, aplicada a ciudade</w:t>
      </w:r>
      <w:r w:rsidR="001B28C4">
        <w:rPr>
          <w:rFonts w:ascii="Arial" w:hAnsi="Arial" w:cs="Arial"/>
          <w:szCs w:val="24"/>
        </w:rPr>
        <w:t>s de  más de 20 mil habitantes.</w:t>
      </w:r>
      <w:r w:rsidRPr="008070E4">
        <w:rPr>
          <w:rFonts w:ascii="Arial" w:hAnsi="Arial" w:cs="Arial"/>
          <w:szCs w:val="24"/>
        </w:rPr>
        <w:t xml:space="preserve"> Allí se revela que el 88,4% de los robos/hurtos se vinculan a celulares, carteras o similares, un 8,5% fue robo/hurto de vehículos y un 3,0% fue robo/hurto en negocios.  Después se procedió a asignar un monto estimado po</w:t>
      </w:r>
      <w:r w:rsidR="001B28C4">
        <w:rPr>
          <w:rFonts w:ascii="Arial" w:hAnsi="Arial" w:cs="Arial"/>
          <w:szCs w:val="24"/>
        </w:rPr>
        <w:t xml:space="preserve">r cada categoría y se ponderó. </w:t>
      </w:r>
      <w:r w:rsidRPr="008070E4">
        <w:rPr>
          <w:rFonts w:ascii="Arial" w:hAnsi="Arial" w:cs="Arial"/>
          <w:szCs w:val="24"/>
        </w:rPr>
        <w:t>En el caso de robos/hurtos de celulares, carteras, etc., se empleó el dato publicado en un documento</w:t>
      </w:r>
      <w:r w:rsidRPr="008070E4">
        <w:rPr>
          <w:rFonts w:ascii="Arial" w:hAnsi="Arial" w:cs="Arial"/>
          <w:szCs w:val="24"/>
        </w:rPr>
        <w:footnoteReference w:id="2"/>
      </w:r>
      <w:r w:rsidRPr="008070E4">
        <w:rPr>
          <w:rFonts w:ascii="Arial" w:hAnsi="Arial" w:cs="Arial"/>
          <w:szCs w:val="24"/>
        </w:rPr>
        <w:t xml:space="preserve"> donde se hizo el cálculo para Lima en 2013, con un rango de entre 200 y 580 soles.  Al respecto, se tomó el punto medio del rango y se actualizó a 2017 empleando la tasa de inflación, obteniéndose un valor actualizado de 460 soles.  Y en cuanto a los robos/hurtos de vehículos y negocios, se supuso un monto a 2017 de 5.000 soles (equivalentes a poco más de US$ 1.500) para cada caso.</w:t>
      </w:r>
    </w:p>
    <w:p w14:paraId="65F4F7BE" w14:textId="379C413D"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Por su lado, para la tasa de inflación futura se supuso un 2% cada año, que es el punto medio del rango o banda que maneja el Banco Centr</w:t>
      </w:r>
      <w:r w:rsidR="001B28C4">
        <w:rPr>
          <w:rFonts w:ascii="Arial" w:hAnsi="Arial" w:cs="Arial"/>
          <w:szCs w:val="24"/>
        </w:rPr>
        <w:t xml:space="preserve">al de Reserva del Perú (BCRP). </w:t>
      </w:r>
      <w:r w:rsidRPr="008070E4">
        <w:rPr>
          <w:rFonts w:ascii="Arial" w:hAnsi="Arial" w:cs="Arial"/>
          <w:szCs w:val="24"/>
        </w:rPr>
        <w:t>Asimismo, se supuso que el tipo de cambio nominal se mantiene constante en el valor actual (3,27 soles por dólar).  Finalmente, la tasa de descuento que se utiliza para calcular los valores presentes es de 12%, que es la tasa empleada por el Banco</w:t>
      </w:r>
    </w:p>
    <w:p w14:paraId="797BBC31" w14:textId="77777777" w:rsidR="006A7DC9" w:rsidRPr="008070E4" w:rsidRDefault="006A7DC9" w:rsidP="006A7DC9">
      <w:pPr>
        <w:pStyle w:val="Paragraph"/>
        <w:numPr>
          <w:ilvl w:val="0"/>
          <w:numId w:val="0"/>
        </w:numPr>
        <w:spacing w:before="0" w:after="0"/>
        <w:ind w:left="360"/>
        <w:rPr>
          <w:rFonts w:ascii="Arial" w:hAnsi="Arial" w:cs="Arial"/>
          <w:szCs w:val="24"/>
        </w:rPr>
      </w:pPr>
    </w:p>
    <w:p w14:paraId="01D11159" w14:textId="4E628F20"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Se prevé que el Proyecto empieza en 2</w:t>
      </w:r>
      <w:r w:rsidR="00F25C20" w:rsidRPr="008070E4">
        <w:rPr>
          <w:rFonts w:ascii="Arial" w:hAnsi="Arial" w:cs="Arial"/>
          <w:szCs w:val="24"/>
        </w:rPr>
        <w:t>020</w:t>
      </w:r>
      <w:r w:rsidRPr="008070E4">
        <w:rPr>
          <w:rFonts w:ascii="Arial" w:hAnsi="Arial" w:cs="Arial"/>
          <w:szCs w:val="24"/>
        </w:rPr>
        <w:t xml:space="preserve"> (año 1), y se considera un horizonte de 20 años (hasta 20</w:t>
      </w:r>
      <w:r w:rsidR="00F25C20" w:rsidRPr="008070E4">
        <w:rPr>
          <w:rFonts w:ascii="Arial" w:hAnsi="Arial" w:cs="Arial"/>
          <w:szCs w:val="24"/>
        </w:rPr>
        <w:t>39</w:t>
      </w:r>
      <w:r w:rsidRPr="008070E4">
        <w:rPr>
          <w:rFonts w:ascii="Arial" w:hAnsi="Arial" w:cs="Arial"/>
          <w:szCs w:val="24"/>
        </w:rPr>
        <w:t>).  La inversión se realiza durante los primeros cinco años (20</w:t>
      </w:r>
      <w:r w:rsidR="00FB5904" w:rsidRPr="008070E4">
        <w:rPr>
          <w:rFonts w:ascii="Arial" w:hAnsi="Arial" w:cs="Arial"/>
          <w:szCs w:val="24"/>
        </w:rPr>
        <w:t>20</w:t>
      </w:r>
      <w:r w:rsidRPr="008070E4">
        <w:rPr>
          <w:rFonts w:ascii="Arial" w:hAnsi="Arial" w:cs="Arial"/>
          <w:szCs w:val="24"/>
        </w:rPr>
        <w:t>-202</w:t>
      </w:r>
      <w:r w:rsidR="00FB5904" w:rsidRPr="008070E4">
        <w:rPr>
          <w:rFonts w:ascii="Arial" w:hAnsi="Arial" w:cs="Arial"/>
          <w:szCs w:val="24"/>
        </w:rPr>
        <w:t>4</w:t>
      </w:r>
      <w:r w:rsidRPr="008070E4">
        <w:rPr>
          <w:rFonts w:ascii="Arial" w:hAnsi="Arial" w:cs="Arial"/>
          <w:szCs w:val="24"/>
        </w:rPr>
        <w:t xml:space="preserve">) según el cronograma definido en el Plan Financiero del Proyecto. Se supone además que los beneficios del Proyecto empiezan a materializarse desde el primer año de implantado </w:t>
      </w:r>
      <w:r w:rsidRPr="008070E4">
        <w:rPr>
          <w:rFonts w:ascii="Arial" w:hAnsi="Arial" w:cs="Arial"/>
          <w:szCs w:val="24"/>
        </w:rPr>
        <w:lastRenderedPageBreak/>
        <w:t>el mismo, y se distribuyen linealmente hasta alcanzar la meta de la Matriz de Resultados hacia 202</w:t>
      </w:r>
      <w:r w:rsidR="00E2406F" w:rsidRPr="008070E4">
        <w:rPr>
          <w:rFonts w:ascii="Arial" w:hAnsi="Arial" w:cs="Arial"/>
          <w:szCs w:val="24"/>
        </w:rPr>
        <w:t>4</w:t>
      </w:r>
      <w:r w:rsidRPr="008070E4">
        <w:rPr>
          <w:rFonts w:ascii="Arial" w:hAnsi="Arial" w:cs="Arial"/>
          <w:szCs w:val="24"/>
        </w:rPr>
        <w:t>.</w:t>
      </w:r>
    </w:p>
    <w:p w14:paraId="209DE8E3" w14:textId="11833AD8" w:rsidR="006A7DC9" w:rsidRPr="008070E4" w:rsidRDefault="006A7DC9" w:rsidP="006A7DC9">
      <w:pPr>
        <w:pStyle w:val="Paragraph"/>
        <w:numPr>
          <w:ilvl w:val="0"/>
          <w:numId w:val="0"/>
        </w:numPr>
        <w:spacing w:before="0" w:after="0"/>
        <w:ind w:left="567"/>
        <w:rPr>
          <w:rFonts w:ascii="Arial" w:hAnsi="Arial" w:cs="Arial"/>
          <w:szCs w:val="24"/>
        </w:rPr>
      </w:pPr>
    </w:p>
    <w:p w14:paraId="1CB67B94" w14:textId="1FAF9FD3" w:rsidR="00F25C20" w:rsidRPr="008070E4" w:rsidRDefault="00F25C20" w:rsidP="006A7DC9">
      <w:pPr>
        <w:pStyle w:val="Paragraph"/>
        <w:numPr>
          <w:ilvl w:val="0"/>
          <w:numId w:val="0"/>
        </w:numPr>
        <w:spacing w:before="0" w:after="0"/>
        <w:ind w:left="567"/>
        <w:rPr>
          <w:rFonts w:ascii="Arial" w:hAnsi="Arial" w:cs="Arial"/>
          <w:szCs w:val="24"/>
        </w:rPr>
      </w:pPr>
    </w:p>
    <w:p w14:paraId="2F93234A" w14:textId="3ABDAC38" w:rsidR="00F25C20" w:rsidRPr="008070E4" w:rsidRDefault="00F25C20" w:rsidP="006A7DC9">
      <w:pPr>
        <w:pStyle w:val="Paragraph"/>
        <w:numPr>
          <w:ilvl w:val="0"/>
          <w:numId w:val="0"/>
        </w:numPr>
        <w:spacing w:before="0" w:after="0"/>
        <w:ind w:left="567"/>
        <w:rPr>
          <w:rFonts w:ascii="Arial" w:hAnsi="Arial" w:cs="Arial"/>
          <w:szCs w:val="24"/>
        </w:rPr>
      </w:pPr>
    </w:p>
    <w:p w14:paraId="1984AE1F" w14:textId="77777777" w:rsidR="00F25C20" w:rsidRPr="008070E4" w:rsidRDefault="00F25C20" w:rsidP="006A7DC9">
      <w:pPr>
        <w:pStyle w:val="Paragraph"/>
        <w:numPr>
          <w:ilvl w:val="0"/>
          <w:numId w:val="0"/>
        </w:numPr>
        <w:spacing w:before="0" w:after="0"/>
        <w:ind w:left="567"/>
        <w:rPr>
          <w:rFonts w:ascii="Arial" w:hAnsi="Arial" w:cs="Arial"/>
          <w:szCs w:val="24"/>
        </w:rPr>
      </w:pPr>
    </w:p>
    <w:p w14:paraId="1BE63CEA" w14:textId="77777777" w:rsidR="006A7DC9" w:rsidRPr="008070E4" w:rsidRDefault="006A7DC9" w:rsidP="006A7DC9">
      <w:pPr>
        <w:pStyle w:val="Paragraph"/>
        <w:numPr>
          <w:ilvl w:val="0"/>
          <w:numId w:val="0"/>
        </w:numPr>
        <w:spacing w:before="0" w:after="0"/>
        <w:ind w:left="567"/>
        <w:rPr>
          <w:rFonts w:ascii="Arial" w:hAnsi="Arial" w:cs="Arial"/>
          <w:szCs w:val="24"/>
        </w:rPr>
      </w:pPr>
    </w:p>
    <w:p w14:paraId="4C9324F9" w14:textId="53044ED9" w:rsidR="00A31B45" w:rsidRPr="008070E4" w:rsidRDefault="00A31B45" w:rsidP="006A7DC9">
      <w:pPr>
        <w:pStyle w:val="Paragraph"/>
        <w:numPr>
          <w:ilvl w:val="0"/>
          <w:numId w:val="0"/>
        </w:numPr>
        <w:spacing w:before="0" w:after="0"/>
        <w:ind w:left="567"/>
        <w:rPr>
          <w:rFonts w:ascii="Arial" w:hAnsi="Arial" w:cs="Arial"/>
          <w:b/>
          <w:bCs/>
          <w:szCs w:val="24"/>
        </w:rPr>
      </w:pPr>
      <w:r w:rsidRPr="008070E4">
        <w:rPr>
          <w:rFonts w:ascii="Arial" w:hAnsi="Arial" w:cs="Arial"/>
          <w:b/>
          <w:bCs/>
          <w:szCs w:val="24"/>
        </w:rPr>
        <w:t>Costos de los delitos - sin Proyecto</w:t>
      </w:r>
    </w:p>
    <w:p w14:paraId="6751BE43" w14:textId="77777777" w:rsidR="006A7DC9" w:rsidRPr="008070E4" w:rsidRDefault="006A7DC9" w:rsidP="006A7DC9">
      <w:pPr>
        <w:pStyle w:val="Paragraph"/>
        <w:numPr>
          <w:ilvl w:val="0"/>
          <w:numId w:val="0"/>
        </w:numPr>
        <w:spacing w:before="0" w:after="0"/>
        <w:ind w:left="567"/>
        <w:rPr>
          <w:rFonts w:ascii="Arial" w:hAnsi="Arial" w:cs="Arial"/>
          <w:szCs w:val="24"/>
        </w:rPr>
      </w:pPr>
    </w:p>
    <w:p w14:paraId="43FE53A7" w14:textId="60899300"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Para la estimación de los costos de los delitos, se desagregan las 3 categorías de delitos consideradas: homicidios, robos</w:t>
      </w:r>
      <w:r w:rsidR="00AF57D5" w:rsidRPr="008070E4">
        <w:rPr>
          <w:rFonts w:ascii="Arial" w:hAnsi="Arial" w:cs="Arial"/>
          <w:szCs w:val="24"/>
        </w:rPr>
        <w:t xml:space="preserve"> de carteras y celulares y robo de </w:t>
      </w:r>
      <w:r w:rsidR="00FB5904" w:rsidRPr="008070E4">
        <w:rPr>
          <w:rFonts w:ascii="Arial" w:hAnsi="Arial" w:cs="Arial"/>
          <w:szCs w:val="24"/>
        </w:rPr>
        <w:t>vehículos</w:t>
      </w:r>
      <w:r w:rsidRPr="008070E4">
        <w:rPr>
          <w:rFonts w:ascii="Arial" w:hAnsi="Arial" w:cs="Arial"/>
          <w:szCs w:val="24"/>
        </w:rPr>
        <w:t>.</w:t>
      </w:r>
    </w:p>
    <w:p w14:paraId="0EDC0D6E" w14:textId="73B4FA38"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 xml:space="preserve">Homicidios. Se supone que </w:t>
      </w:r>
      <w:r w:rsidR="00AF57D5" w:rsidRPr="008070E4">
        <w:rPr>
          <w:rFonts w:ascii="Arial" w:hAnsi="Arial" w:cs="Arial"/>
          <w:szCs w:val="24"/>
        </w:rPr>
        <w:t xml:space="preserve">la tasa de homicidios se mantiene constante en 14 para </w:t>
      </w:r>
      <w:r w:rsidRPr="008070E4">
        <w:rPr>
          <w:rFonts w:ascii="Arial" w:hAnsi="Arial" w:cs="Arial"/>
          <w:szCs w:val="24"/>
        </w:rPr>
        <w:t>las jurisdicciones consideradas.  Para cada año, se calcula el valor presente del flujo futuro de ingresos de las víctimas, con la tasa de descuento del 12%.  Para ello, se supone que la víctima tiene 26 años (mediana de edad en el país) y que hubiera trabajado 39 años adicionales (la edad de jubilación es 65 años para hombres), ajus</w:t>
      </w:r>
      <w:r w:rsidR="001B28C4">
        <w:rPr>
          <w:rFonts w:ascii="Arial" w:hAnsi="Arial" w:cs="Arial"/>
          <w:szCs w:val="24"/>
        </w:rPr>
        <w:t xml:space="preserve">tado por la tasa de desempleo. </w:t>
      </w:r>
      <w:r w:rsidRPr="008070E4">
        <w:rPr>
          <w:rFonts w:ascii="Arial" w:hAnsi="Arial" w:cs="Arial"/>
          <w:szCs w:val="24"/>
        </w:rPr>
        <w:t xml:space="preserve">Y para el ingreso, se utiliza el dato del ingreso promedio nacional ajustado por la tasa de </w:t>
      </w:r>
      <w:r w:rsidR="001B28C4">
        <w:rPr>
          <w:rFonts w:ascii="Arial" w:hAnsi="Arial" w:cs="Arial"/>
          <w:szCs w:val="24"/>
        </w:rPr>
        <w:t>inflación durante esos 39 años.</w:t>
      </w:r>
      <w:r w:rsidRPr="008070E4">
        <w:rPr>
          <w:rFonts w:ascii="Arial" w:hAnsi="Arial" w:cs="Arial"/>
          <w:szCs w:val="24"/>
        </w:rPr>
        <w:t xml:space="preserve"> De este modo, el costo resulta del número de homicidios multiplicado por dicho valor presente neto.</w:t>
      </w:r>
    </w:p>
    <w:p w14:paraId="2AFBEDAF" w14:textId="36D4E562" w:rsidR="00A31B45" w:rsidRPr="008070E4" w:rsidRDefault="00AF57D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Asimismo, se</w:t>
      </w:r>
      <w:r w:rsidR="00A31B45" w:rsidRPr="008070E4">
        <w:rPr>
          <w:rFonts w:ascii="Arial" w:hAnsi="Arial" w:cs="Arial"/>
          <w:szCs w:val="24"/>
        </w:rPr>
        <w:t xml:space="preserve"> estima el número real de robos/hurtos anuales considerando el dato reportado por la policía, el cual se ajusta por la tasa de denuncias.  Se supone que el número de robos/hurtos se mantiene igual que el de la línea de base (201</w:t>
      </w:r>
      <w:r w:rsidRPr="008070E4">
        <w:rPr>
          <w:rFonts w:ascii="Arial" w:hAnsi="Arial" w:cs="Arial"/>
          <w:szCs w:val="24"/>
        </w:rPr>
        <w:t>9</w:t>
      </w:r>
      <w:r w:rsidR="00A31B45" w:rsidRPr="008070E4">
        <w:rPr>
          <w:rFonts w:ascii="Arial" w:hAnsi="Arial" w:cs="Arial"/>
          <w:szCs w:val="24"/>
        </w:rPr>
        <w:t>).  Ese valor se multiplica por el monto promedio estimado de los robos/hurtos (984,4 soles en 2017), cifra que se ajusta anualmente empleando la tasa de inflación.</w:t>
      </w:r>
    </w:p>
    <w:p w14:paraId="18B5DF8B" w14:textId="17A92A5E" w:rsidR="00FB5904" w:rsidRPr="008070E4" w:rsidRDefault="00A31B45" w:rsidP="00A4112D">
      <w:pPr>
        <w:pStyle w:val="Paragraph"/>
        <w:numPr>
          <w:ilvl w:val="1"/>
          <w:numId w:val="4"/>
        </w:numPr>
        <w:spacing w:before="0" w:after="0"/>
        <w:ind w:left="567" w:hanging="567"/>
        <w:rPr>
          <w:rFonts w:ascii="Arial" w:hAnsi="Arial"/>
        </w:rPr>
      </w:pPr>
      <w:r w:rsidRPr="008070E4">
        <w:rPr>
          <w:rFonts w:ascii="Arial" w:hAnsi="Arial" w:cs="Arial"/>
          <w:szCs w:val="24"/>
        </w:rPr>
        <w:t xml:space="preserve">De este modo, se cuantifica que el costo de estos delitos, sin proyecto, ascendería a unos US$ </w:t>
      </w:r>
      <w:r w:rsidR="00FB5904" w:rsidRPr="008070E4">
        <w:rPr>
          <w:rFonts w:ascii="Arial" w:hAnsi="Arial" w:cs="Arial"/>
          <w:szCs w:val="24"/>
        </w:rPr>
        <w:t xml:space="preserve">1.6 </w:t>
      </w:r>
      <w:r w:rsidRPr="008070E4">
        <w:rPr>
          <w:rFonts w:ascii="Arial" w:hAnsi="Arial" w:cs="Arial"/>
          <w:szCs w:val="24"/>
        </w:rPr>
        <w:t xml:space="preserve">millones en 2018, aumentando paulatinamente hasta llegar a unos US$ </w:t>
      </w:r>
      <w:r w:rsidR="00FB5904" w:rsidRPr="008070E4">
        <w:rPr>
          <w:rFonts w:ascii="Arial" w:hAnsi="Arial" w:cs="Arial"/>
          <w:szCs w:val="24"/>
        </w:rPr>
        <w:t>1.9</w:t>
      </w:r>
      <w:r w:rsidRPr="008070E4">
        <w:rPr>
          <w:rFonts w:ascii="Arial" w:hAnsi="Arial" w:cs="Arial"/>
          <w:szCs w:val="24"/>
        </w:rPr>
        <w:t xml:space="preserve"> millones en 202</w:t>
      </w:r>
      <w:r w:rsidR="00FB5904" w:rsidRPr="008070E4">
        <w:rPr>
          <w:rFonts w:ascii="Arial" w:hAnsi="Arial" w:cs="Arial"/>
          <w:szCs w:val="24"/>
        </w:rPr>
        <w:t xml:space="preserve">4. </w:t>
      </w:r>
      <w:r w:rsidRPr="008070E4">
        <w:rPr>
          <w:rFonts w:ascii="Arial" w:hAnsi="Arial" w:cs="Arial"/>
          <w:szCs w:val="24"/>
        </w:rPr>
        <w:t>Los aumentos son el reflejo básic</w:t>
      </w:r>
      <w:r w:rsidR="001B28C4">
        <w:rPr>
          <w:rFonts w:ascii="Arial" w:hAnsi="Arial" w:cs="Arial"/>
          <w:szCs w:val="24"/>
        </w:rPr>
        <w:t>amente de la tasa de inflación.</w:t>
      </w:r>
      <w:r w:rsidRPr="008070E4">
        <w:rPr>
          <w:rFonts w:ascii="Arial" w:hAnsi="Arial" w:cs="Arial"/>
          <w:szCs w:val="24"/>
        </w:rPr>
        <w:t xml:space="preserve"> En el cuadro siguiente se muestra el costo de estos delitos durante los primeros 5 años.</w:t>
      </w:r>
    </w:p>
    <w:p w14:paraId="576068EE" w14:textId="3E994341" w:rsidR="00A31B45" w:rsidRPr="008070E4" w:rsidRDefault="00FB5904" w:rsidP="00FB5904">
      <w:pPr>
        <w:pStyle w:val="Paragraph"/>
        <w:numPr>
          <w:ilvl w:val="0"/>
          <w:numId w:val="0"/>
        </w:numPr>
        <w:spacing w:before="0" w:after="0"/>
        <w:ind w:left="567"/>
        <w:rPr>
          <w:rFonts w:ascii="Arial" w:hAnsi="Arial"/>
        </w:rPr>
      </w:pPr>
      <w:r w:rsidRPr="008070E4">
        <w:rPr>
          <w:rFonts w:ascii="Arial" w:hAnsi="Arial"/>
        </w:rPr>
        <w:t xml:space="preserve"> </w:t>
      </w:r>
    </w:p>
    <w:p w14:paraId="28A64DF3" w14:textId="77777777" w:rsidR="00A31B45" w:rsidRDefault="00A31B45" w:rsidP="00AF57D5">
      <w:pPr>
        <w:pStyle w:val="Paragraph"/>
        <w:numPr>
          <w:ilvl w:val="0"/>
          <w:numId w:val="0"/>
        </w:numPr>
        <w:spacing w:before="0" w:after="0"/>
        <w:ind w:left="567"/>
        <w:rPr>
          <w:rFonts w:ascii="Arial" w:hAnsi="Arial" w:cs="Arial"/>
          <w:b/>
          <w:bCs/>
          <w:szCs w:val="24"/>
        </w:rPr>
      </w:pPr>
      <w:r w:rsidRPr="008070E4">
        <w:rPr>
          <w:rFonts w:ascii="Arial" w:hAnsi="Arial" w:cs="Arial"/>
          <w:b/>
          <w:bCs/>
          <w:szCs w:val="24"/>
        </w:rPr>
        <w:t>Beneficios del Proyecto</w:t>
      </w:r>
    </w:p>
    <w:p w14:paraId="4FCB2553" w14:textId="77777777" w:rsidR="001B28C4" w:rsidRPr="008070E4" w:rsidRDefault="001B28C4" w:rsidP="00AF57D5">
      <w:pPr>
        <w:pStyle w:val="Paragraph"/>
        <w:numPr>
          <w:ilvl w:val="0"/>
          <w:numId w:val="0"/>
        </w:numPr>
        <w:spacing w:before="0" w:after="0"/>
        <w:ind w:left="567"/>
        <w:rPr>
          <w:rFonts w:ascii="Arial" w:hAnsi="Arial" w:cs="Arial"/>
          <w:b/>
          <w:bCs/>
          <w:szCs w:val="24"/>
        </w:rPr>
      </w:pPr>
    </w:p>
    <w:p w14:paraId="0F0934CD" w14:textId="7246EA2E"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Los beneficios de la implantación de las actividades y productos del Proyecto resultan de la reducción en el número de delitos, cada uno de ellos valorizado.  La reducción en valor absoluto del número de víctimas recoge lo presentado en la Matriz de Resultados y aplica para el período 20</w:t>
      </w:r>
      <w:r w:rsidR="00AF57D5" w:rsidRPr="008070E4">
        <w:rPr>
          <w:rFonts w:ascii="Arial" w:hAnsi="Arial" w:cs="Arial"/>
          <w:szCs w:val="24"/>
        </w:rPr>
        <w:t>20</w:t>
      </w:r>
      <w:r w:rsidRPr="008070E4">
        <w:rPr>
          <w:rFonts w:ascii="Arial" w:hAnsi="Arial" w:cs="Arial"/>
          <w:szCs w:val="24"/>
        </w:rPr>
        <w:t>-202</w:t>
      </w:r>
      <w:r w:rsidR="00AF57D5" w:rsidRPr="008070E4">
        <w:rPr>
          <w:rFonts w:ascii="Arial" w:hAnsi="Arial" w:cs="Arial"/>
          <w:szCs w:val="24"/>
        </w:rPr>
        <w:t>4</w:t>
      </w:r>
      <w:r w:rsidR="001B28C4">
        <w:rPr>
          <w:rFonts w:ascii="Arial" w:hAnsi="Arial" w:cs="Arial"/>
          <w:szCs w:val="24"/>
        </w:rPr>
        <w:t>, de manera lineal.</w:t>
      </w:r>
      <w:r w:rsidRPr="008070E4">
        <w:rPr>
          <w:rFonts w:ascii="Arial" w:hAnsi="Arial" w:cs="Arial"/>
          <w:szCs w:val="24"/>
        </w:rPr>
        <w:t xml:space="preserve"> Se supone que después del año 5, la reducción en términos absolutos se estabiliza en el último valor.</w:t>
      </w:r>
    </w:p>
    <w:p w14:paraId="2E0DD368" w14:textId="77777777" w:rsidR="00207512" w:rsidRPr="008070E4" w:rsidRDefault="00207512" w:rsidP="00207512">
      <w:pPr>
        <w:pStyle w:val="Paragraph"/>
        <w:numPr>
          <w:ilvl w:val="0"/>
          <w:numId w:val="0"/>
        </w:numPr>
        <w:spacing w:before="0" w:after="0"/>
        <w:ind w:left="567"/>
        <w:rPr>
          <w:rFonts w:ascii="Arial" w:hAnsi="Arial" w:cs="Arial"/>
          <w:szCs w:val="24"/>
        </w:rPr>
      </w:pPr>
    </w:p>
    <w:p w14:paraId="6F3B67EC" w14:textId="0DAC0809"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Homicidios.  Los beneficios del menor número de homicidios resultan de multiplicar, cada año, la reducción en el número multiplicado por el valor presente de ingresos de los próximos 39 años, aju</w:t>
      </w:r>
      <w:r w:rsidR="001B28C4">
        <w:rPr>
          <w:rFonts w:ascii="Arial" w:hAnsi="Arial" w:cs="Arial"/>
          <w:szCs w:val="24"/>
        </w:rPr>
        <w:t>stado por la tasa de desempleo.</w:t>
      </w:r>
      <w:r w:rsidRPr="008070E4">
        <w:rPr>
          <w:rFonts w:ascii="Arial" w:hAnsi="Arial" w:cs="Arial"/>
          <w:szCs w:val="24"/>
        </w:rPr>
        <w:t xml:space="preserve"> Es decir, cada vida “salvada” respecto del escenario sin proyecto se supone que sigue trabajando hasta su jubilación (incluyendo la probabilidad de quedar desempleado), valorizándose esos ingresos.  </w:t>
      </w:r>
      <w:r w:rsidRPr="008070E4">
        <w:rPr>
          <w:rFonts w:ascii="Arial" w:hAnsi="Arial" w:cs="Arial"/>
          <w:szCs w:val="24"/>
        </w:rPr>
        <w:lastRenderedPageBreak/>
        <w:t>Según la Matriz de Resultados, se supone que en cinco años (desde el año 1 al 5) el número de homicidios disminuye en un 22%, y de allí en adelante se estabiliza.</w:t>
      </w:r>
    </w:p>
    <w:p w14:paraId="550EC590" w14:textId="3DEE9390" w:rsidR="00A31B45" w:rsidRPr="008070E4" w:rsidRDefault="001B28C4" w:rsidP="00A4112D">
      <w:pPr>
        <w:pStyle w:val="Paragraph"/>
        <w:numPr>
          <w:ilvl w:val="1"/>
          <w:numId w:val="4"/>
        </w:numPr>
        <w:spacing w:before="0" w:after="0"/>
        <w:ind w:left="567" w:hanging="567"/>
        <w:rPr>
          <w:rFonts w:ascii="Arial" w:hAnsi="Arial" w:cs="Arial"/>
          <w:szCs w:val="24"/>
        </w:rPr>
      </w:pPr>
      <w:r>
        <w:rPr>
          <w:rFonts w:ascii="Arial" w:hAnsi="Arial" w:cs="Arial"/>
          <w:szCs w:val="24"/>
        </w:rPr>
        <w:t>Robos/Hurtos.</w:t>
      </w:r>
      <w:r w:rsidR="00A31B45" w:rsidRPr="008070E4">
        <w:rPr>
          <w:rFonts w:ascii="Arial" w:hAnsi="Arial" w:cs="Arial"/>
          <w:szCs w:val="24"/>
        </w:rPr>
        <w:t xml:space="preserve"> Los beneficios en este caso resultan de multiplicar el menor número de robos, por el monto promedio de los mismos (valor que se actualiza con la inflación proyectada). Según la Matriz de Resultados, se supone que en cinco años (desde el año 1 al 5) el número de robos disminuye en un 5% y el número de hurtos lo hace en un 22%, y de allí en adelante se estabilizan ambos.</w:t>
      </w:r>
    </w:p>
    <w:p w14:paraId="049FDB86" w14:textId="2BC5562F" w:rsidR="001B28C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En el cuadro siguiente se presenta el flujo de beneficios entre 20</w:t>
      </w:r>
      <w:r w:rsidR="00770898" w:rsidRPr="008070E4">
        <w:rPr>
          <w:rFonts w:ascii="Arial" w:hAnsi="Arial" w:cs="Arial"/>
          <w:szCs w:val="24"/>
        </w:rPr>
        <w:t>20</w:t>
      </w:r>
      <w:r w:rsidRPr="008070E4">
        <w:rPr>
          <w:rFonts w:ascii="Arial" w:hAnsi="Arial" w:cs="Arial"/>
          <w:szCs w:val="24"/>
        </w:rPr>
        <w:t xml:space="preserve"> (primer año de materialización de los beneficios) y 202</w:t>
      </w:r>
      <w:r w:rsidR="006E448D" w:rsidRPr="008070E4">
        <w:rPr>
          <w:rFonts w:ascii="Arial" w:hAnsi="Arial" w:cs="Arial"/>
          <w:szCs w:val="24"/>
        </w:rPr>
        <w:t>4</w:t>
      </w:r>
      <w:r w:rsidRPr="008070E4">
        <w:rPr>
          <w:rFonts w:ascii="Arial" w:hAnsi="Arial" w:cs="Arial"/>
          <w:szCs w:val="24"/>
        </w:rPr>
        <w:t xml:space="preserve"> (cuando se vuelve a estabilizar las tasas de reducción de víctimas):</w:t>
      </w:r>
    </w:p>
    <w:p w14:paraId="4C881D12" w14:textId="77777777" w:rsidR="001B28C4" w:rsidRPr="001B28C4" w:rsidRDefault="001B28C4" w:rsidP="001B28C4">
      <w:pPr>
        <w:pStyle w:val="Paragraph"/>
        <w:numPr>
          <w:ilvl w:val="0"/>
          <w:numId w:val="0"/>
        </w:numPr>
        <w:spacing w:before="0" w:after="0"/>
        <w:ind w:left="720" w:hanging="720"/>
        <w:rPr>
          <w:rFonts w:ascii="Arial" w:hAnsi="Arial" w:cs="Arial"/>
          <w:szCs w:val="24"/>
        </w:rPr>
      </w:pPr>
    </w:p>
    <w:p w14:paraId="417EA3F9" w14:textId="6FF6706C" w:rsidR="00A31B45" w:rsidRPr="008070E4" w:rsidRDefault="001B28C4" w:rsidP="00A31B45">
      <w:pPr>
        <w:jc w:val="center"/>
        <w:rPr>
          <w:rFonts w:ascii="Arial" w:hAnsi="Arial"/>
          <w:b/>
        </w:rPr>
      </w:pPr>
      <w:proofErr w:type="spellStart"/>
      <w:r>
        <w:rPr>
          <w:rFonts w:ascii="Arial" w:hAnsi="Arial"/>
          <w:b/>
        </w:rPr>
        <w:t>Cuadro</w:t>
      </w:r>
      <w:proofErr w:type="spellEnd"/>
      <w:r>
        <w:rPr>
          <w:rFonts w:ascii="Arial" w:hAnsi="Arial"/>
          <w:b/>
        </w:rPr>
        <w:t xml:space="preserve"> 3</w:t>
      </w:r>
      <w:r w:rsidR="00A31B45" w:rsidRPr="008070E4">
        <w:rPr>
          <w:rFonts w:ascii="Arial" w:hAnsi="Arial"/>
          <w:b/>
        </w:rPr>
        <w:t xml:space="preserve">. </w:t>
      </w:r>
      <w:proofErr w:type="spellStart"/>
      <w:r w:rsidR="00A31B45" w:rsidRPr="008070E4">
        <w:rPr>
          <w:rFonts w:ascii="Arial" w:hAnsi="Arial"/>
          <w:b/>
        </w:rPr>
        <w:t>Beneficios</w:t>
      </w:r>
      <w:proofErr w:type="spellEnd"/>
      <w:r w:rsidR="00A31B45" w:rsidRPr="008070E4">
        <w:rPr>
          <w:rFonts w:ascii="Arial" w:hAnsi="Arial"/>
          <w:b/>
        </w:rPr>
        <w:t xml:space="preserve"> del Proyecto 202</w:t>
      </w:r>
      <w:r w:rsidR="00770898" w:rsidRPr="008070E4">
        <w:rPr>
          <w:rFonts w:ascii="Arial" w:hAnsi="Arial"/>
          <w:b/>
        </w:rPr>
        <w:t>0</w:t>
      </w:r>
      <w:r w:rsidR="00A31B45" w:rsidRPr="008070E4">
        <w:rPr>
          <w:rFonts w:ascii="Arial" w:hAnsi="Arial"/>
          <w:b/>
        </w:rPr>
        <w:t>-202</w:t>
      </w:r>
      <w:r w:rsidR="00770898" w:rsidRPr="008070E4">
        <w:rPr>
          <w:rFonts w:ascii="Arial" w:hAnsi="Arial"/>
          <w:b/>
        </w:rPr>
        <w:t>4</w:t>
      </w:r>
    </w:p>
    <w:tbl>
      <w:tblPr>
        <w:tblStyle w:val="TableGrid"/>
        <w:tblW w:w="0" w:type="auto"/>
        <w:jc w:val="center"/>
        <w:tblLook w:val="04A0" w:firstRow="1" w:lastRow="0" w:firstColumn="1" w:lastColumn="0" w:noHBand="0" w:noVBand="1"/>
      </w:tblPr>
      <w:tblGrid>
        <w:gridCol w:w="2308"/>
        <w:gridCol w:w="1180"/>
        <w:gridCol w:w="1140"/>
        <w:gridCol w:w="1223"/>
        <w:gridCol w:w="1223"/>
        <w:gridCol w:w="1223"/>
      </w:tblGrid>
      <w:tr w:rsidR="00EE14D4" w:rsidRPr="008070E4" w14:paraId="11415052" w14:textId="77777777" w:rsidTr="00687B40">
        <w:trPr>
          <w:trHeight w:val="300"/>
          <w:jc w:val="center"/>
        </w:trPr>
        <w:tc>
          <w:tcPr>
            <w:tcW w:w="0" w:type="auto"/>
            <w:shd w:val="clear" w:color="auto" w:fill="D9D9D9" w:themeFill="background1" w:themeFillShade="D9"/>
            <w:noWrap/>
            <w:vAlign w:val="center"/>
            <w:hideMark/>
          </w:tcPr>
          <w:p w14:paraId="326562F2" w14:textId="77777777" w:rsidR="00EE14D4" w:rsidRPr="008070E4" w:rsidRDefault="00EE14D4" w:rsidP="008070E4">
            <w:pPr>
              <w:jc w:val="center"/>
              <w:rPr>
                <w:rFonts w:ascii="Arial" w:eastAsia="Times New Roman" w:hAnsi="Arial" w:cs="Calibri"/>
                <w:b/>
                <w:color w:val="000000"/>
                <w:sz w:val="16"/>
                <w:szCs w:val="16"/>
                <w:lang w:eastAsia="es-PE"/>
              </w:rPr>
            </w:pPr>
            <w:proofErr w:type="spellStart"/>
            <w:r w:rsidRPr="008070E4">
              <w:rPr>
                <w:rFonts w:ascii="Arial" w:eastAsia="Times New Roman" w:hAnsi="Arial" w:cs="Calibri"/>
                <w:b/>
                <w:color w:val="000000"/>
                <w:sz w:val="16"/>
                <w:szCs w:val="16"/>
                <w:lang w:eastAsia="es-PE"/>
              </w:rPr>
              <w:t>Delito</w:t>
            </w:r>
            <w:proofErr w:type="spellEnd"/>
          </w:p>
        </w:tc>
        <w:tc>
          <w:tcPr>
            <w:tcW w:w="1171" w:type="dxa"/>
            <w:shd w:val="clear" w:color="auto" w:fill="D9D9D9" w:themeFill="background1" w:themeFillShade="D9"/>
            <w:noWrap/>
            <w:vAlign w:val="center"/>
            <w:hideMark/>
          </w:tcPr>
          <w:p w14:paraId="7691AF6F" w14:textId="02B6F25E" w:rsidR="00EE14D4" w:rsidRPr="008070E4" w:rsidRDefault="00770898" w:rsidP="008070E4">
            <w:pPr>
              <w:jc w:val="center"/>
              <w:rPr>
                <w:rFonts w:ascii="Arial" w:eastAsia="Times New Roman" w:hAnsi="Arial" w:cs="Calibri"/>
                <w:b/>
                <w:bCs/>
                <w:color w:val="000000"/>
                <w:sz w:val="16"/>
                <w:szCs w:val="16"/>
                <w:lang w:eastAsia="es-PE"/>
              </w:rPr>
            </w:pPr>
            <w:r w:rsidRPr="008070E4">
              <w:rPr>
                <w:rFonts w:ascii="Arial" w:eastAsia="Times New Roman" w:hAnsi="Arial" w:cs="Calibri"/>
                <w:b/>
                <w:bCs/>
                <w:color w:val="000000"/>
                <w:sz w:val="16"/>
                <w:szCs w:val="16"/>
                <w:lang w:eastAsia="es-PE"/>
              </w:rPr>
              <w:t>2020</w:t>
            </w:r>
          </w:p>
        </w:tc>
        <w:tc>
          <w:tcPr>
            <w:tcW w:w="1171" w:type="dxa"/>
            <w:shd w:val="clear" w:color="auto" w:fill="D9D9D9" w:themeFill="background1" w:themeFillShade="D9"/>
            <w:noWrap/>
            <w:vAlign w:val="center"/>
            <w:hideMark/>
          </w:tcPr>
          <w:p w14:paraId="4E042724" w14:textId="7E5AFC87" w:rsidR="00EE14D4" w:rsidRPr="008070E4" w:rsidRDefault="00EE14D4" w:rsidP="008070E4">
            <w:pPr>
              <w:jc w:val="center"/>
              <w:rPr>
                <w:rFonts w:ascii="Arial" w:eastAsia="Times New Roman" w:hAnsi="Arial" w:cs="Calibri"/>
                <w:b/>
                <w:bCs/>
                <w:color w:val="000000"/>
                <w:sz w:val="16"/>
                <w:szCs w:val="16"/>
                <w:lang w:eastAsia="es-PE"/>
              </w:rPr>
            </w:pPr>
            <w:r w:rsidRPr="008070E4">
              <w:rPr>
                <w:rFonts w:ascii="Arial" w:eastAsia="Times New Roman" w:hAnsi="Arial" w:cs="Calibri"/>
                <w:b/>
                <w:bCs/>
                <w:color w:val="000000"/>
                <w:sz w:val="16"/>
                <w:szCs w:val="16"/>
                <w:lang w:eastAsia="es-PE"/>
              </w:rPr>
              <w:t>20</w:t>
            </w:r>
            <w:r w:rsidR="00770898" w:rsidRPr="008070E4">
              <w:rPr>
                <w:rFonts w:ascii="Arial" w:eastAsia="Times New Roman" w:hAnsi="Arial" w:cs="Calibri"/>
                <w:b/>
                <w:bCs/>
                <w:color w:val="000000"/>
                <w:sz w:val="16"/>
                <w:szCs w:val="16"/>
                <w:lang w:eastAsia="es-PE"/>
              </w:rPr>
              <w:t>21</w:t>
            </w:r>
          </w:p>
        </w:tc>
        <w:tc>
          <w:tcPr>
            <w:tcW w:w="0" w:type="auto"/>
            <w:shd w:val="clear" w:color="auto" w:fill="D9D9D9" w:themeFill="background1" w:themeFillShade="D9"/>
            <w:noWrap/>
            <w:vAlign w:val="center"/>
            <w:hideMark/>
          </w:tcPr>
          <w:p w14:paraId="105E66A0" w14:textId="4752F112" w:rsidR="00EE14D4" w:rsidRPr="008070E4" w:rsidRDefault="00EE14D4" w:rsidP="008070E4">
            <w:pPr>
              <w:jc w:val="center"/>
              <w:rPr>
                <w:rFonts w:ascii="Arial" w:eastAsia="Times New Roman" w:hAnsi="Arial" w:cs="Calibri"/>
                <w:b/>
                <w:bCs/>
                <w:color w:val="000000"/>
                <w:sz w:val="16"/>
                <w:szCs w:val="16"/>
                <w:lang w:eastAsia="es-PE"/>
              </w:rPr>
            </w:pPr>
            <w:r w:rsidRPr="008070E4">
              <w:rPr>
                <w:rFonts w:ascii="Arial" w:eastAsia="Times New Roman" w:hAnsi="Arial" w:cs="Calibri"/>
                <w:b/>
                <w:bCs/>
                <w:color w:val="000000"/>
                <w:sz w:val="16"/>
                <w:szCs w:val="16"/>
                <w:lang w:eastAsia="es-PE"/>
              </w:rPr>
              <w:t>202</w:t>
            </w:r>
            <w:r w:rsidR="00770898" w:rsidRPr="008070E4">
              <w:rPr>
                <w:rFonts w:ascii="Arial" w:eastAsia="Times New Roman" w:hAnsi="Arial" w:cs="Calibri"/>
                <w:b/>
                <w:bCs/>
                <w:color w:val="000000"/>
                <w:sz w:val="16"/>
                <w:szCs w:val="16"/>
                <w:lang w:eastAsia="es-PE"/>
              </w:rPr>
              <w:t>2</w:t>
            </w:r>
          </w:p>
        </w:tc>
        <w:tc>
          <w:tcPr>
            <w:tcW w:w="0" w:type="auto"/>
            <w:shd w:val="clear" w:color="auto" w:fill="D9D9D9" w:themeFill="background1" w:themeFillShade="D9"/>
            <w:noWrap/>
            <w:vAlign w:val="center"/>
            <w:hideMark/>
          </w:tcPr>
          <w:p w14:paraId="1093B3BD" w14:textId="474DEA2A" w:rsidR="00EE14D4" w:rsidRPr="008070E4" w:rsidRDefault="00EE14D4" w:rsidP="008070E4">
            <w:pPr>
              <w:jc w:val="center"/>
              <w:rPr>
                <w:rFonts w:ascii="Arial" w:eastAsia="Times New Roman" w:hAnsi="Arial" w:cs="Calibri"/>
                <w:b/>
                <w:bCs/>
                <w:color w:val="000000"/>
                <w:sz w:val="16"/>
                <w:szCs w:val="16"/>
                <w:lang w:eastAsia="es-PE"/>
              </w:rPr>
            </w:pPr>
            <w:r w:rsidRPr="008070E4">
              <w:rPr>
                <w:rFonts w:ascii="Arial" w:eastAsia="Times New Roman" w:hAnsi="Arial" w:cs="Calibri"/>
                <w:b/>
                <w:bCs/>
                <w:color w:val="000000"/>
                <w:sz w:val="16"/>
                <w:szCs w:val="16"/>
                <w:lang w:eastAsia="es-PE"/>
              </w:rPr>
              <w:t>202</w:t>
            </w:r>
            <w:r w:rsidR="00770898" w:rsidRPr="008070E4">
              <w:rPr>
                <w:rFonts w:ascii="Arial" w:eastAsia="Times New Roman" w:hAnsi="Arial" w:cs="Calibri"/>
                <w:b/>
                <w:bCs/>
                <w:color w:val="000000"/>
                <w:sz w:val="16"/>
                <w:szCs w:val="16"/>
                <w:lang w:eastAsia="es-PE"/>
              </w:rPr>
              <w:t>3</w:t>
            </w:r>
          </w:p>
        </w:tc>
        <w:tc>
          <w:tcPr>
            <w:tcW w:w="0" w:type="auto"/>
            <w:shd w:val="clear" w:color="auto" w:fill="D9D9D9" w:themeFill="background1" w:themeFillShade="D9"/>
            <w:noWrap/>
            <w:vAlign w:val="center"/>
            <w:hideMark/>
          </w:tcPr>
          <w:p w14:paraId="0D630233" w14:textId="5F43E955" w:rsidR="00EE14D4" w:rsidRPr="008070E4" w:rsidRDefault="00EE14D4" w:rsidP="008070E4">
            <w:pPr>
              <w:jc w:val="center"/>
              <w:rPr>
                <w:rFonts w:ascii="Arial" w:eastAsia="Times New Roman" w:hAnsi="Arial" w:cs="Calibri"/>
                <w:b/>
                <w:bCs/>
                <w:color w:val="000000"/>
                <w:sz w:val="16"/>
                <w:szCs w:val="16"/>
                <w:lang w:eastAsia="es-PE"/>
              </w:rPr>
            </w:pPr>
            <w:r w:rsidRPr="008070E4">
              <w:rPr>
                <w:rFonts w:ascii="Arial" w:eastAsia="Times New Roman" w:hAnsi="Arial" w:cs="Calibri"/>
                <w:b/>
                <w:bCs/>
                <w:color w:val="000000"/>
                <w:sz w:val="16"/>
                <w:szCs w:val="16"/>
                <w:lang w:eastAsia="es-PE"/>
              </w:rPr>
              <w:t>202</w:t>
            </w:r>
            <w:r w:rsidR="00770898" w:rsidRPr="008070E4">
              <w:rPr>
                <w:rFonts w:ascii="Arial" w:eastAsia="Times New Roman" w:hAnsi="Arial" w:cs="Calibri"/>
                <w:b/>
                <w:bCs/>
                <w:color w:val="000000"/>
                <w:sz w:val="16"/>
                <w:szCs w:val="16"/>
                <w:lang w:eastAsia="es-PE"/>
              </w:rPr>
              <w:t>4</w:t>
            </w:r>
          </w:p>
        </w:tc>
      </w:tr>
      <w:tr w:rsidR="00EE14D4" w:rsidRPr="008070E4" w14:paraId="32C7F814" w14:textId="77777777" w:rsidTr="00687B40">
        <w:trPr>
          <w:trHeight w:val="300"/>
          <w:jc w:val="center"/>
        </w:trPr>
        <w:tc>
          <w:tcPr>
            <w:tcW w:w="0" w:type="auto"/>
            <w:noWrap/>
            <w:vAlign w:val="center"/>
            <w:hideMark/>
          </w:tcPr>
          <w:p w14:paraId="11B317AF" w14:textId="77777777" w:rsidR="00EE14D4" w:rsidRPr="008070E4" w:rsidRDefault="00EE14D4" w:rsidP="008070E4">
            <w:pPr>
              <w:jc w:val="center"/>
              <w:rPr>
                <w:rFonts w:ascii="Arial" w:eastAsia="Times New Roman" w:hAnsi="Arial" w:cs="Calibri"/>
                <w:color w:val="000000"/>
                <w:sz w:val="16"/>
                <w:szCs w:val="16"/>
                <w:lang w:eastAsia="es-PE"/>
              </w:rPr>
            </w:pPr>
            <w:proofErr w:type="spellStart"/>
            <w:r w:rsidRPr="008070E4">
              <w:rPr>
                <w:rFonts w:ascii="Arial" w:eastAsia="Times New Roman" w:hAnsi="Arial" w:cs="Calibri"/>
                <w:color w:val="000000"/>
                <w:sz w:val="16"/>
                <w:szCs w:val="16"/>
                <w:lang w:eastAsia="es-PE"/>
              </w:rPr>
              <w:t>Homicidios</w:t>
            </w:r>
            <w:proofErr w:type="spellEnd"/>
          </w:p>
        </w:tc>
        <w:tc>
          <w:tcPr>
            <w:tcW w:w="1171" w:type="dxa"/>
            <w:noWrap/>
            <w:vAlign w:val="center"/>
          </w:tcPr>
          <w:p w14:paraId="5F391E82" w14:textId="77777777" w:rsidR="00687B40" w:rsidRPr="008070E4" w:rsidRDefault="00687B40" w:rsidP="00687B40">
            <w:pPr>
              <w:jc w:val="center"/>
              <w:rPr>
                <w:rFonts w:ascii="Arial" w:hAnsi="Arial" w:cs="Calibri"/>
                <w:color w:val="000000"/>
                <w:sz w:val="16"/>
                <w:szCs w:val="16"/>
              </w:rPr>
            </w:pPr>
          </w:p>
          <w:p w14:paraId="63713C9E" w14:textId="6D688EBF" w:rsidR="00687B40" w:rsidRPr="008070E4" w:rsidRDefault="00EE14D4" w:rsidP="00687B40">
            <w:pPr>
              <w:jc w:val="center"/>
              <w:rPr>
                <w:rFonts w:ascii="Arial" w:hAnsi="Arial" w:cs="Calibri"/>
                <w:color w:val="000000"/>
                <w:sz w:val="16"/>
                <w:szCs w:val="16"/>
              </w:rPr>
            </w:pPr>
            <w:r w:rsidRPr="008070E4">
              <w:rPr>
                <w:rFonts w:ascii="Arial" w:hAnsi="Arial" w:cs="Calibri"/>
                <w:color w:val="000000"/>
                <w:sz w:val="16"/>
                <w:szCs w:val="16"/>
              </w:rPr>
              <w:t>S/.</w:t>
            </w:r>
            <w:r w:rsidR="00687B40" w:rsidRPr="008070E4">
              <w:rPr>
                <w:rFonts w:ascii="Arial" w:hAnsi="Arial" w:cs="Calibri"/>
                <w:color w:val="000000"/>
                <w:sz w:val="16"/>
                <w:szCs w:val="16"/>
              </w:rPr>
              <w:t>48,904,501</w:t>
            </w:r>
          </w:p>
          <w:p w14:paraId="1EA04967" w14:textId="43612E50" w:rsidR="00EE14D4" w:rsidRPr="008070E4" w:rsidRDefault="00EE14D4" w:rsidP="008070E4">
            <w:pPr>
              <w:jc w:val="center"/>
              <w:rPr>
                <w:rFonts w:ascii="Arial" w:hAnsi="Arial" w:cs="Calibri"/>
                <w:color w:val="000000"/>
                <w:sz w:val="16"/>
                <w:szCs w:val="16"/>
              </w:rPr>
            </w:pPr>
          </w:p>
        </w:tc>
        <w:tc>
          <w:tcPr>
            <w:tcW w:w="1171" w:type="dxa"/>
            <w:noWrap/>
            <w:vAlign w:val="center"/>
          </w:tcPr>
          <w:p w14:paraId="062CAA12" w14:textId="43AEE876"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 xml:space="preserve">S/. </w:t>
            </w:r>
            <w:r w:rsidR="00687B40" w:rsidRPr="008070E4">
              <w:rPr>
                <w:rFonts w:ascii="Arial" w:hAnsi="Arial" w:cs="Calibri"/>
                <w:color w:val="000000"/>
                <w:sz w:val="16"/>
                <w:szCs w:val="16"/>
              </w:rPr>
              <w:t>50,381,417</w:t>
            </w:r>
          </w:p>
        </w:tc>
        <w:tc>
          <w:tcPr>
            <w:tcW w:w="0" w:type="auto"/>
            <w:noWrap/>
            <w:vAlign w:val="center"/>
          </w:tcPr>
          <w:p w14:paraId="7A852A1C" w14:textId="49F51FDA" w:rsidR="00EE14D4" w:rsidRPr="008070E4" w:rsidRDefault="00EE14D4" w:rsidP="00687B40">
            <w:pPr>
              <w:rPr>
                <w:rFonts w:ascii="Arial" w:hAnsi="Arial" w:cs="Calibri"/>
                <w:color w:val="000000"/>
                <w:sz w:val="16"/>
                <w:szCs w:val="16"/>
              </w:rPr>
            </w:pPr>
            <w:r w:rsidRPr="008070E4">
              <w:rPr>
                <w:rFonts w:ascii="Arial" w:hAnsi="Arial" w:cs="Calibri"/>
                <w:color w:val="000000"/>
                <w:sz w:val="16"/>
                <w:szCs w:val="16"/>
              </w:rPr>
              <w:t xml:space="preserve">S/. </w:t>
            </w:r>
            <w:r w:rsidR="00687B40" w:rsidRPr="008070E4">
              <w:rPr>
                <w:rFonts w:ascii="Arial" w:hAnsi="Arial" w:cs="Calibri"/>
                <w:color w:val="000000"/>
                <w:sz w:val="16"/>
                <w:szCs w:val="16"/>
              </w:rPr>
              <w:t>51,902,936</w:t>
            </w:r>
          </w:p>
        </w:tc>
        <w:tc>
          <w:tcPr>
            <w:tcW w:w="0" w:type="auto"/>
            <w:noWrap/>
            <w:vAlign w:val="center"/>
          </w:tcPr>
          <w:p w14:paraId="61AD6F81" w14:textId="1314F708"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 xml:space="preserve">S/. </w:t>
            </w:r>
            <w:r w:rsidR="00687B40" w:rsidRPr="008070E4">
              <w:rPr>
                <w:rFonts w:ascii="Arial" w:hAnsi="Arial" w:cs="Calibri"/>
                <w:color w:val="000000"/>
                <w:sz w:val="16"/>
                <w:szCs w:val="16"/>
              </w:rPr>
              <w:t>53,470,404</w:t>
            </w:r>
          </w:p>
        </w:tc>
        <w:tc>
          <w:tcPr>
            <w:tcW w:w="0" w:type="auto"/>
            <w:noWrap/>
            <w:vAlign w:val="center"/>
          </w:tcPr>
          <w:p w14:paraId="559B811A" w14:textId="00819CF2"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 xml:space="preserve">S/. </w:t>
            </w:r>
            <w:r w:rsidR="00687B40" w:rsidRPr="008070E4">
              <w:rPr>
                <w:rFonts w:ascii="Arial" w:hAnsi="Arial" w:cs="Calibri"/>
                <w:color w:val="000000"/>
                <w:sz w:val="16"/>
                <w:szCs w:val="16"/>
              </w:rPr>
              <w:t>55,085,210</w:t>
            </w:r>
          </w:p>
        </w:tc>
      </w:tr>
      <w:tr w:rsidR="00EE14D4" w:rsidRPr="008070E4" w14:paraId="0ACE919E" w14:textId="77777777" w:rsidTr="00687B40">
        <w:trPr>
          <w:trHeight w:val="300"/>
          <w:jc w:val="center"/>
        </w:trPr>
        <w:tc>
          <w:tcPr>
            <w:tcW w:w="0" w:type="auto"/>
            <w:noWrap/>
            <w:vAlign w:val="center"/>
            <w:hideMark/>
          </w:tcPr>
          <w:p w14:paraId="3C84E27F" w14:textId="08BB0B68" w:rsidR="00EE14D4" w:rsidRPr="008070E4" w:rsidRDefault="00EE14D4" w:rsidP="008070E4">
            <w:pPr>
              <w:jc w:val="center"/>
              <w:rPr>
                <w:rFonts w:ascii="Arial" w:eastAsia="Times New Roman" w:hAnsi="Arial" w:cs="Calibri"/>
                <w:color w:val="000000"/>
                <w:sz w:val="16"/>
                <w:szCs w:val="16"/>
                <w:lang w:val="es-ES_tradnl" w:eastAsia="es-PE"/>
              </w:rPr>
            </w:pPr>
            <w:r w:rsidRPr="008070E4">
              <w:rPr>
                <w:rFonts w:ascii="Arial" w:eastAsia="Times New Roman" w:hAnsi="Arial" w:cs="Calibri"/>
                <w:color w:val="000000"/>
                <w:sz w:val="16"/>
                <w:szCs w:val="16"/>
                <w:lang w:val="es-ES_tradnl" w:eastAsia="es-PE"/>
              </w:rPr>
              <w:t>Robos  de carteras y celulares</w:t>
            </w:r>
          </w:p>
        </w:tc>
        <w:tc>
          <w:tcPr>
            <w:tcW w:w="1171" w:type="dxa"/>
            <w:noWrap/>
            <w:vAlign w:val="center"/>
          </w:tcPr>
          <w:p w14:paraId="50F1E3B3" w14:textId="4BE6463A"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 xml:space="preserve">S/. </w:t>
            </w:r>
            <w:r w:rsidR="00687B40" w:rsidRPr="008070E4">
              <w:rPr>
                <w:rFonts w:ascii="Arial" w:hAnsi="Arial" w:cs="Calibri"/>
                <w:color w:val="000000"/>
                <w:sz w:val="16"/>
                <w:szCs w:val="16"/>
              </w:rPr>
              <w:t>58,075</w:t>
            </w:r>
          </w:p>
        </w:tc>
        <w:tc>
          <w:tcPr>
            <w:tcW w:w="1171" w:type="dxa"/>
            <w:noWrap/>
            <w:vAlign w:val="center"/>
          </w:tcPr>
          <w:p w14:paraId="6AB92164" w14:textId="77777777"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S/. 3,858,655</w:t>
            </w:r>
          </w:p>
        </w:tc>
        <w:tc>
          <w:tcPr>
            <w:tcW w:w="0" w:type="auto"/>
            <w:noWrap/>
            <w:vAlign w:val="center"/>
          </w:tcPr>
          <w:p w14:paraId="5B42F196" w14:textId="77777777"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S/. 5,873,667</w:t>
            </w:r>
          </w:p>
        </w:tc>
        <w:tc>
          <w:tcPr>
            <w:tcW w:w="0" w:type="auto"/>
            <w:noWrap/>
            <w:vAlign w:val="center"/>
          </w:tcPr>
          <w:p w14:paraId="323AF5CA" w14:textId="77777777"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S/. 7,947,561</w:t>
            </w:r>
          </w:p>
        </w:tc>
        <w:tc>
          <w:tcPr>
            <w:tcW w:w="0" w:type="auto"/>
            <w:noWrap/>
            <w:vAlign w:val="center"/>
          </w:tcPr>
          <w:p w14:paraId="1AF4083F" w14:textId="77777777"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S/. 10,081,696</w:t>
            </w:r>
          </w:p>
        </w:tc>
      </w:tr>
      <w:tr w:rsidR="00EE14D4" w:rsidRPr="008070E4" w14:paraId="77961557" w14:textId="77777777" w:rsidTr="00687B40">
        <w:trPr>
          <w:trHeight w:val="300"/>
          <w:jc w:val="center"/>
        </w:trPr>
        <w:tc>
          <w:tcPr>
            <w:tcW w:w="0" w:type="auto"/>
            <w:noWrap/>
            <w:vAlign w:val="center"/>
            <w:hideMark/>
          </w:tcPr>
          <w:p w14:paraId="5181D165" w14:textId="46F17CC0" w:rsidR="00EE14D4" w:rsidRPr="008070E4" w:rsidRDefault="001B28C4" w:rsidP="008070E4">
            <w:pPr>
              <w:jc w:val="center"/>
              <w:rPr>
                <w:rFonts w:ascii="Arial" w:eastAsia="Times New Roman" w:hAnsi="Arial" w:cs="Calibri"/>
                <w:color w:val="000000"/>
                <w:sz w:val="16"/>
                <w:szCs w:val="16"/>
                <w:lang w:eastAsia="es-PE"/>
              </w:rPr>
            </w:pPr>
            <w:r>
              <w:rPr>
                <w:rFonts w:ascii="Arial" w:eastAsia="Times New Roman" w:hAnsi="Arial" w:cs="Calibri"/>
                <w:color w:val="000000"/>
                <w:sz w:val="16"/>
                <w:szCs w:val="16"/>
                <w:lang w:eastAsia="es-PE"/>
              </w:rPr>
              <w:t xml:space="preserve">Robo de </w:t>
            </w:r>
            <w:proofErr w:type="spellStart"/>
            <w:r>
              <w:rPr>
                <w:rFonts w:ascii="Arial" w:eastAsia="Times New Roman" w:hAnsi="Arial" w:cs="Calibri"/>
                <w:color w:val="000000"/>
                <w:sz w:val="16"/>
                <w:szCs w:val="16"/>
                <w:lang w:eastAsia="es-PE"/>
              </w:rPr>
              <w:t>Vehí</w:t>
            </w:r>
            <w:r w:rsidR="00EE14D4" w:rsidRPr="008070E4">
              <w:rPr>
                <w:rFonts w:ascii="Arial" w:eastAsia="Times New Roman" w:hAnsi="Arial" w:cs="Calibri"/>
                <w:color w:val="000000"/>
                <w:sz w:val="16"/>
                <w:szCs w:val="16"/>
                <w:lang w:eastAsia="es-PE"/>
              </w:rPr>
              <w:t>culos</w:t>
            </w:r>
            <w:proofErr w:type="spellEnd"/>
          </w:p>
          <w:p w14:paraId="31B523D4" w14:textId="462D4376" w:rsidR="00EE14D4" w:rsidRPr="008070E4" w:rsidRDefault="00EE14D4" w:rsidP="008070E4">
            <w:pPr>
              <w:jc w:val="center"/>
              <w:rPr>
                <w:rFonts w:ascii="Arial" w:eastAsia="Times New Roman" w:hAnsi="Arial" w:cs="Calibri"/>
                <w:color w:val="000000"/>
                <w:sz w:val="16"/>
                <w:szCs w:val="16"/>
                <w:lang w:eastAsia="es-PE"/>
              </w:rPr>
            </w:pPr>
          </w:p>
        </w:tc>
        <w:tc>
          <w:tcPr>
            <w:tcW w:w="1171" w:type="dxa"/>
            <w:noWrap/>
            <w:vAlign w:val="center"/>
          </w:tcPr>
          <w:p w14:paraId="0D2C5628" w14:textId="049A0AF3"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 xml:space="preserve">S/. </w:t>
            </w:r>
            <w:r w:rsidR="00687B40" w:rsidRPr="008070E4">
              <w:rPr>
                <w:rFonts w:ascii="Arial" w:hAnsi="Arial" w:cs="Calibri"/>
                <w:color w:val="000000"/>
                <w:sz w:val="16"/>
                <w:szCs w:val="16"/>
              </w:rPr>
              <w:t>58,075</w:t>
            </w:r>
          </w:p>
        </w:tc>
        <w:tc>
          <w:tcPr>
            <w:tcW w:w="1171" w:type="dxa"/>
            <w:noWrap/>
            <w:vAlign w:val="center"/>
          </w:tcPr>
          <w:p w14:paraId="78F203B6" w14:textId="24C71F23"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 xml:space="preserve">S/. </w:t>
            </w:r>
            <w:r w:rsidR="00687B40" w:rsidRPr="008070E4">
              <w:rPr>
                <w:rFonts w:ascii="Arial" w:hAnsi="Arial" w:cs="Calibri"/>
                <w:color w:val="000000"/>
                <w:sz w:val="16"/>
                <w:szCs w:val="16"/>
              </w:rPr>
              <w:t>59,828</w:t>
            </w:r>
          </w:p>
        </w:tc>
        <w:tc>
          <w:tcPr>
            <w:tcW w:w="0" w:type="auto"/>
            <w:noWrap/>
            <w:vAlign w:val="center"/>
          </w:tcPr>
          <w:p w14:paraId="77854C62" w14:textId="32D82E7C"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 xml:space="preserve">S/. </w:t>
            </w:r>
            <w:r w:rsidR="00687B40" w:rsidRPr="008070E4">
              <w:rPr>
                <w:rFonts w:ascii="Arial" w:hAnsi="Arial" w:cs="Calibri"/>
                <w:color w:val="000000"/>
                <w:sz w:val="16"/>
                <w:szCs w:val="16"/>
              </w:rPr>
              <w:t>61,636</w:t>
            </w:r>
          </w:p>
        </w:tc>
        <w:tc>
          <w:tcPr>
            <w:tcW w:w="0" w:type="auto"/>
            <w:noWrap/>
            <w:vAlign w:val="center"/>
          </w:tcPr>
          <w:p w14:paraId="4FD041C3" w14:textId="28B959C1"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S/.</w:t>
            </w:r>
            <w:r w:rsidR="00687B40" w:rsidRPr="008070E4">
              <w:rPr>
                <w:rFonts w:ascii="Arial" w:hAnsi="Arial" w:cs="Calibri"/>
                <w:color w:val="000000"/>
                <w:sz w:val="16"/>
                <w:szCs w:val="16"/>
              </w:rPr>
              <w:t xml:space="preserve"> 63,497</w:t>
            </w:r>
          </w:p>
        </w:tc>
        <w:tc>
          <w:tcPr>
            <w:tcW w:w="0" w:type="auto"/>
            <w:noWrap/>
            <w:vAlign w:val="center"/>
          </w:tcPr>
          <w:p w14:paraId="0377C0EB" w14:textId="23573BEC" w:rsidR="00EE14D4" w:rsidRPr="008070E4" w:rsidRDefault="00EE14D4" w:rsidP="008070E4">
            <w:pPr>
              <w:jc w:val="center"/>
              <w:rPr>
                <w:rFonts w:ascii="Arial" w:hAnsi="Arial" w:cs="Calibri"/>
                <w:color w:val="000000"/>
                <w:sz w:val="16"/>
                <w:szCs w:val="16"/>
              </w:rPr>
            </w:pPr>
            <w:r w:rsidRPr="008070E4">
              <w:rPr>
                <w:rFonts w:ascii="Arial" w:hAnsi="Arial" w:cs="Calibri"/>
                <w:color w:val="000000"/>
                <w:sz w:val="16"/>
                <w:szCs w:val="16"/>
              </w:rPr>
              <w:t xml:space="preserve">S/. </w:t>
            </w:r>
            <w:r w:rsidR="00687B40" w:rsidRPr="008070E4">
              <w:rPr>
                <w:rFonts w:ascii="Arial" w:hAnsi="Arial" w:cs="Calibri"/>
                <w:color w:val="000000"/>
                <w:sz w:val="16"/>
                <w:szCs w:val="16"/>
              </w:rPr>
              <w:t>65,415</w:t>
            </w:r>
          </w:p>
        </w:tc>
      </w:tr>
      <w:tr w:rsidR="00EE14D4" w:rsidRPr="008070E4" w14:paraId="679DD310" w14:textId="77777777" w:rsidTr="00687B40">
        <w:trPr>
          <w:trHeight w:val="300"/>
          <w:jc w:val="center"/>
        </w:trPr>
        <w:tc>
          <w:tcPr>
            <w:tcW w:w="0" w:type="auto"/>
            <w:noWrap/>
            <w:vAlign w:val="center"/>
            <w:hideMark/>
          </w:tcPr>
          <w:p w14:paraId="67022A51" w14:textId="77777777" w:rsidR="00EE14D4" w:rsidRPr="008070E4" w:rsidRDefault="00EE14D4" w:rsidP="008070E4">
            <w:pPr>
              <w:jc w:val="center"/>
              <w:rPr>
                <w:rFonts w:ascii="Arial" w:eastAsia="Times New Roman" w:hAnsi="Arial" w:cs="Calibri"/>
                <w:b/>
                <w:bCs/>
                <w:color w:val="000000"/>
                <w:sz w:val="16"/>
                <w:szCs w:val="16"/>
                <w:lang w:eastAsia="es-PE"/>
              </w:rPr>
            </w:pPr>
            <w:r w:rsidRPr="008070E4">
              <w:rPr>
                <w:rFonts w:ascii="Arial" w:eastAsia="Times New Roman" w:hAnsi="Arial" w:cs="Calibri"/>
                <w:b/>
                <w:bCs/>
                <w:color w:val="000000"/>
                <w:sz w:val="16"/>
                <w:szCs w:val="16"/>
                <w:lang w:eastAsia="es-PE"/>
              </w:rPr>
              <w:t>TOTAL US$</w:t>
            </w:r>
          </w:p>
        </w:tc>
        <w:tc>
          <w:tcPr>
            <w:tcW w:w="1171" w:type="dxa"/>
            <w:noWrap/>
            <w:vAlign w:val="center"/>
          </w:tcPr>
          <w:p w14:paraId="591E458F" w14:textId="003FBEF7" w:rsidR="00EE14D4" w:rsidRPr="008070E4" w:rsidRDefault="00EE14D4" w:rsidP="008070E4">
            <w:pPr>
              <w:jc w:val="center"/>
              <w:rPr>
                <w:rFonts w:ascii="Arial" w:hAnsi="Arial" w:cs="Calibri"/>
                <w:b/>
                <w:color w:val="000000"/>
                <w:sz w:val="16"/>
                <w:szCs w:val="16"/>
              </w:rPr>
            </w:pPr>
            <w:r w:rsidRPr="008070E4">
              <w:rPr>
                <w:rFonts w:ascii="Arial" w:hAnsi="Arial" w:cs="Calibri"/>
                <w:b/>
                <w:color w:val="000000"/>
                <w:sz w:val="16"/>
                <w:szCs w:val="16"/>
              </w:rPr>
              <w:t>$</w:t>
            </w:r>
            <w:r w:rsidR="00687B40" w:rsidRPr="008070E4">
              <w:rPr>
                <w:rFonts w:ascii="Arial" w:hAnsi="Arial" w:cs="Calibri"/>
                <w:b/>
                <w:color w:val="000000"/>
                <w:sz w:val="16"/>
                <w:szCs w:val="16"/>
              </w:rPr>
              <w:t>15,309,132</w:t>
            </w:r>
          </w:p>
        </w:tc>
        <w:tc>
          <w:tcPr>
            <w:tcW w:w="1171" w:type="dxa"/>
            <w:noWrap/>
            <w:vAlign w:val="center"/>
          </w:tcPr>
          <w:p w14:paraId="795F5A82" w14:textId="1EDB421A" w:rsidR="00EE14D4" w:rsidRPr="008070E4" w:rsidRDefault="00EE14D4" w:rsidP="008070E4">
            <w:pPr>
              <w:jc w:val="center"/>
              <w:rPr>
                <w:rFonts w:ascii="Arial" w:hAnsi="Arial" w:cs="Calibri"/>
                <w:b/>
                <w:color w:val="000000"/>
                <w:sz w:val="16"/>
                <w:szCs w:val="16"/>
              </w:rPr>
            </w:pPr>
            <w:r w:rsidRPr="008070E4">
              <w:rPr>
                <w:rFonts w:ascii="Arial" w:hAnsi="Arial" w:cs="Calibri"/>
                <w:b/>
                <w:color w:val="000000"/>
                <w:sz w:val="16"/>
                <w:szCs w:val="16"/>
              </w:rPr>
              <w:t>$</w:t>
            </w:r>
            <w:r w:rsidR="00687B40" w:rsidRPr="008070E4">
              <w:rPr>
                <w:rFonts w:ascii="Arial" w:hAnsi="Arial" w:cs="Calibri"/>
                <w:b/>
                <w:color w:val="000000"/>
                <w:sz w:val="16"/>
                <w:szCs w:val="16"/>
              </w:rPr>
              <w:t>15,790,164</w:t>
            </w:r>
          </w:p>
        </w:tc>
        <w:tc>
          <w:tcPr>
            <w:tcW w:w="0" w:type="auto"/>
            <w:noWrap/>
            <w:vAlign w:val="center"/>
          </w:tcPr>
          <w:p w14:paraId="5A202C14" w14:textId="651CE25D" w:rsidR="00EE14D4" w:rsidRPr="008070E4" w:rsidRDefault="00EE14D4" w:rsidP="008070E4">
            <w:pPr>
              <w:jc w:val="center"/>
              <w:rPr>
                <w:rFonts w:ascii="Arial" w:hAnsi="Arial" w:cs="Calibri"/>
                <w:b/>
                <w:color w:val="000000"/>
                <w:sz w:val="16"/>
                <w:szCs w:val="16"/>
              </w:rPr>
            </w:pPr>
            <w:r w:rsidRPr="008070E4">
              <w:rPr>
                <w:rFonts w:ascii="Arial" w:hAnsi="Arial" w:cs="Calibri"/>
                <w:b/>
                <w:color w:val="000000"/>
                <w:sz w:val="16"/>
                <w:szCs w:val="16"/>
              </w:rPr>
              <w:t>$</w:t>
            </w:r>
            <w:r w:rsidR="00687B40" w:rsidRPr="008070E4">
              <w:rPr>
                <w:rFonts w:ascii="Arial" w:hAnsi="Arial" w:cs="Calibri"/>
                <w:b/>
                <w:color w:val="000000"/>
                <w:sz w:val="16"/>
                <w:szCs w:val="16"/>
              </w:rPr>
              <w:t>16,267,027</w:t>
            </w:r>
          </w:p>
        </w:tc>
        <w:tc>
          <w:tcPr>
            <w:tcW w:w="0" w:type="auto"/>
            <w:noWrap/>
            <w:vAlign w:val="center"/>
          </w:tcPr>
          <w:p w14:paraId="1F47E90A" w14:textId="49231DD0" w:rsidR="00EE14D4" w:rsidRPr="008070E4" w:rsidRDefault="00EE14D4" w:rsidP="008070E4">
            <w:pPr>
              <w:jc w:val="center"/>
              <w:rPr>
                <w:rFonts w:ascii="Arial" w:hAnsi="Arial" w:cs="Calibri"/>
                <w:b/>
                <w:color w:val="000000"/>
                <w:sz w:val="16"/>
                <w:szCs w:val="16"/>
              </w:rPr>
            </w:pPr>
            <w:r w:rsidRPr="008070E4">
              <w:rPr>
                <w:rFonts w:ascii="Arial" w:hAnsi="Arial" w:cs="Calibri"/>
                <w:b/>
                <w:color w:val="000000"/>
                <w:sz w:val="16"/>
                <w:szCs w:val="16"/>
              </w:rPr>
              <w:t>$1</w:t>
            </w:r>
            <w:r w:rsidR="00687B40" w:rsidRPr="008070E4">
              <w:rPr>
                <w:rFonts w:ascii="Arial" w:hAnsi="Arial" w:cs="Calibri"/>
                <w:b/>
                <w:color w:val="000000"/>
                <w:sz w:val="16"/>
                <w:szCs w:val="16"/>
              </w:rPr>
              <w:t>6,758,291</w:t>
            </w:r>
          </w:p>
        </w:tc>
        <w:tc>
          <w:tcPr>
            <w:tcW w:w="0" w:type="auto"/>
            <w:noWrap/>
            <w:vAlign w:val="center"/>
          </w:tcPr>
          <w:p w14:paraId="24C3DC15" w14:textId="4CBEB0F4" w:rsidR="00EE14D4" w:rsidRPr="008070E4" w:rsidRDefault="00EE14D4" w:rsidP="008070E4">
            <w:pPr>
              <w:jc w:val="center"/>
              <w:rPr>
                <w:rFonts w:ascii="Arial" w:hAnsi="Arial" w:cs="Calibri"/>
                <w:b/>
                <w:color w:val="000000"/>
                <w:sz w:val="16"/>
                <w:szCs w:val="16"/>
              </w:rPr>
            </w:pPr>
            <w:r w:rsidRPr="008070E4">
              <w:rPr>
                <w:rFonts w:ascii="Arial" w:hAnsi="Arial" w:cs="Calibri"/>
                <w:b/>
                <w:color w:val="000000"/>
                <w:sz w:val="16"/>
                <w:szCs w:val="16"/>
              </w:rPr>
              <w:t>$</w:t>
            </w:r>
            <w:r w:rsidR="00687B40" w:rsidRPr="008070E4">
              <w:rPr>
                <w:rFonts w:ascii="Arial" w:hAnsi="Arial" w:cs="Calibri"/>
                <w:b/>
                <w:color w:val="000000"/>
                <w:sz w:val="16"/>
                <w:szCs w:val="16"/>
              </w:rPr>
              <w:t>17,264,392</w:t>
            </w:r>
          </w:p>
        </w:tc>
      </w:tr>
    </w:tbl>
    <w:p w14:paraId="2CB6EEE5" w14:textId="77777777" w:rsidR="00A31B45" w:rsidRPr="008070E4" w:rsidRDefault="00A31B45" w:rsidP="00A31B45">
      <w:pPr>
        <w:rPr>
          <w:rFonts w:ascii="Arial" w:hAnsi="Arial"/>
        </w:rPr>
      </w:pPr>
    </w:p>
    <w:p w14:paraId="359370F8" w14:textId="77777777" w:rsidR="00A31B45"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Según el Plan Financiero del Proyecto, los recursos del mismo se desembolsarían de la manera en que se presenta en el cuadro siguiente:</w:t>
      </w:r>
    </w:p>
    <w:p w14:paraId="48F08C9A" w14:textId="1A5CBF61" w:rsidR="001B28C4" w:rsidRPr="001B28C4" w:rsidRDefault="001B28C4" w:rsidP="001B28C4">
      <w:pPr>
        <w:pStyle w:val="Paragraph"/>
        <w:numPr>
          <w:ilvl w:val="0"/>
          <w:numId w:val="0"/>
        </w:numPr>
        <w:spacing w:before="0" w:after="0"/>
        <w:ind w:left="720" w:hanging="720"/>
        <w:rPr>
          <w:rFonts w:ascii="Arial" w:hAnsi="Arial" w:cs="Arial"/>
          <w:szCs w:val="24"/>
        </w:rPr>
      </w:pPr>
    </w:p>
    <w:p w14:paraId="7461AB2A" w14:textId="31500F56" w:rsidR="00A31B45" w:rsidRPr="008070E4" w:rsidRDefault="001B28C4" w:rsidP="00A31B45">
      <w:pPr>
        <w:keepNext/>
        <w:keepLines/>
        <w:jc w:val="center"/>
        <w:rPr>
          <w:rFonts w:ascii="Arial" w:hAnsi="Arial"/>
          <w:b/>
          <w:lang w:val="es-ES_tradnl"/>
        </w:rPr>
      </w:pPr>
      <w:r>
        <w:rPr>
          <w:rFonts w:ascii="Arial" w:hAnsi="Arial"/>
          <w:b/>
          <w:lang w:val="es-ES_tradnl"/>
        </w:rPr>
        <w:t>Cuadro 4</w:t>
      </w:r>
      <w:r w:rsidR="00A31B45" w:rsidRPr="008070E4">
        <w:rPr>
          <w:rFonts w:ascii="Arial" w:hAnsi="Arial"/>
          <w:b/>
          <w:lang w:val="es-ES_tradnl"/>
        </w:rPr>
        <w:t>. Plan Financiero de Inversiones 20</w:t>
      </w:r>
      <w:r w:rsidR="00207512" w:rsidRPr="008070E4">
        <w:rPr>
          <w:rFonts w:ascii="Arial" w:hAnsi="Arial"/>
          <w:b/>
          <w:lang w:val="es-ES_tradnl"/>
        </w:rPr>
        <w:t>20</w:t>
      </w:r>
      <w:r w:rsidR="00A31B45" w:rsidRPr="008070E4">
        <w:rPr>
          <w:rFonts w:ascii="Arial" w:hAnsi="Arial"/>
          <w:b/>
          <w:lang w:val="es-ES_tradnl"/>
        </w:rPr>
        <w:t>-202</w:t>
      </w:r>
      <w:r w:rsidR="00207512" w:rsidRPr="008070E4">
        <w:rPr>
          <w:rFonts w:ascii="Arial" w:hAnsi="Arial"/>
          <w:b/>
          <w:lang w:val="es-ES_tradnl"/>
        </w:rPr>
        <w:t>4</w:t>
      </w:r>
      <w:r w:rsidR="00A31B45" w:rsidRPr="008070E4">
        <w:rPr>
          <w:rFonts w:ascii="Arial" w:hAnsi="Arial"/>
          <w:b/>
          <w:lang w:val="es-ES_tradnl"/>
        </w:rPr>
        <w:t xml:space="preserve"> (US$)</w:t>
      </w:r>
    </w:p>
    <w:tbl>
      <w:tblPr>
        <w:tblStyle w:val="TableGrid"/>
        <w:tblW w:w="0" w:type="auto"/>
        <w:tblLook w:val="04A0" w:firstRow="1" w:lastRow="0" w:firstColumn="1" w:lastColumn="0" w:noHBand="0" w:noVBand="1"/>
      </w:tblPr>
      <w:tblGrid>
        <w:gridCol w:w="1392"/>
        <w:gridCol w:w="1375"/>
        <w:gridCol w:w="1389"/>
        <w:gridCol w:w="1389"/>
        <w:gridCol w:w="1376"/>
        <w:gridCol w:w="1376"/>
      </w:tblGrid>
      <w:tr w:rsidR="00A31B45" w:rsidRPr="008070E4" w14:paraId="1D040675" w14:textId="77777777" w:rsidTr="008070E4">
        <w:tc>
          <w:tcPr>
            <w:tcW w:w="1415" w:type="dxa"/>
            <w:shd w:val="clear" w:color="auto" w:fill="D9D9D9" w:themeFill="background1" w:themeFillShade="D9"/>
          </w:tcPr>
          <w:p w14:paraId="61F06417" w14:textId="77777777" w:rsidR="00A31B45" w:rsidRPr="008070E4" w:rsidRDefault="00A31B45" w:rsidP="008070E4">
            <w:pPr>
              <w:keepNext/>
              <w:keepLines/>
              <w:jc w:val="center"/>
              <w:rPr>
                <w:rFonts w:ascii="Arial" w:hAnsi="Arial"/>
                <w:b/>
                <w:sz w:val="20"/>
                <w:szCs w:val="20"/>
                <w:lang w:val="es-ES_tradnl"/>
              </w:rPr>
            </w:pPr>
          </w:p>
        </w:tc>
        <w:tc>
          <w:tcPr>
            <w:tcW w:w="1415" w:type="dxa"/>
            <w:shd w:val="clear" w:color="auto" w:fill="D9D9D9" w:themeFill="background1" w:themeFillShade="D9"/>
          </w:tcPr>
          <w:p w14:paraId="5E3CADAE" w14:textId="77777777" w:rsidR="00A31B45" w:rsidRPr="008070E4" w:rsidRDefault="00A31B45" w:rsidP="008070E4">
            <w:pPr>
              <w:keepNext/>
              <w:keepLines/>
              <w:jc w:val="center"/>
              <w:rPr>
                <w:rFonts w:ascii="Arial" w:hAnsi="Arial"/>
                <w:b/>
                <w:sz w:val="20"/>
                <w:szCs w:val="20"/>
              </w:rPr>
            </w:pPr>
            <w:r w:rsidRPr="008070E4">
              <w:rPr>
                <w:rFonts w:ascii="Arial" w:hAnsi="Arial"/>
                <w:b/>
                <w:sz w:val="20"/>
                <w:szCs w:val="20"/>
              </w:rPr>
              <w:t>2018</w:t>
            </w:r>
          </w:p>
        </w:tc>
        <w:tc>
          <w:tcPr>
            <w:tcW w:w="1416" w:type="dxa"/>
            <w:shd w:val="clear" w:color="auto" w:fill="D9D9D9" w:themeFill="background1" w:themeFillShade="D9"/>
          </w:tcPr>
          <w:p w14:paraId="58DFD88E" w14:textId="77777777" w:rsidR="00A31B45" w:rsidRPr="008070E4" w:rsidRDefault="00A31B45" w:rsidP="008070E4">
            <w:pPr>
              <w:keepNext/>
              <w:keepLines/>
              <w:jc w:val="center"/>
              <w:rPr>
                <w:rFonts w:ascii="Arial" w:hAnsi="Arial"/>
                <w:b/>
                <w:sz w:val="20"/>
                <w:szCs w:val="20"/>
              </w:rPr>
            </w:pPr>
            <w:r w:rsidRPr="008070E4">
              <w:rPr>
                <w:rFonts w:ascii="Arial" w:hAnsi="Arial"/>
                <w:b/>
                <w:sz w:val="20"/>
                <w:szCs w:val="20"/>
              </w:rPr>
              <w:t>2019</w:t>
            </w:r>
          </w:p>
        </w:tc>
        <w:tc>
          <w:tcPr>
            <w:tcW w:w="1416" w:type="dxa"/>
            <w:shd w:val="clear" w:color="auto" w:fill="D9D9D9" w:themeFill="background1" w:themeFillShade="D9"/>
          </w:tcPr>
          <w:p w14:paraId="1E83B274" w14:textId="77777777" w:rsidR="00A31B45" w:rsidRPr="008070E4" w:rsidRDefault="00A31B45" w:rsidP="008070E4">
            <w:pPr>
              <w:keepNext/>
              <w:keepLines/>
              <w:jc w:val="center"/>
              <w:rPr>
                <w:rFonts w:ascii="Arial" w:hAnsi="Arial"/>
                <w:b/>
                <w:sz w:val="20"/>
                <w:szCs w:val="20"/>
              </w:rPr>
            </w:pPr>
            <w:r w:rsidRPr="008070E4">
              <w:rPr>
                <w:rFonts w:ascii="Arial" w:hAnsi="Arial"/>
                <w:b/>
                <w:sz w:val="20"/>
                <w:szCs w:val="20"/>
              </w:rPr>
              <w:t>2020</w:t>
            </w:r>
          </w:p>
        </w:tc>
        <w:tc>
          <w:tcPr>
            <w:tcW w:w="1416" w:type="dxa"/>
            <w:shd w:val="clear" w:color="auto" w:fill="D9D9D9" w:themeFill="background1" w:themeFillShade="D9"/>
          </w:tcPr>
          <w:p w14:paraId="3D61D113" w14:textId="77777777" w:rsidR="00A31B45" w:rsidRPr="008070E4" w:rsidRDefault="00A31B45" w:rsidP="008070E4">
            <w:pPr>
              <w:keepNext/>
              <w:keepLines/>
              <w:jc w:val="center"/>
              <w:rPr>
                <w:rFonts w:ascii="Arial" w:hAnsi="Arial"/>
                <w:b/>
                <w:sz w:val="20"/>
                <w:szCs w:val="20"/>
              </w:rPr>
            </w:pPr>
            <w:r w:rsidRPr="008070E4">
              <w:rPr>
                <w:rFonts w:ascii="Arial" w:hAnsi="Arial"/>
                <w:b/>
                <w:sz w:val="20"/>
                <w:szCs w:val="20"/>
              </w:rPr>
              <w:t>2021</w:t>
            </w:r>
          </w:p>
        </w:tc>
        <w:tc>
          <w:tcPr>
            <w:tcW w:w="1416" w:type="dxa"/>
            <w:shd w:val="clear" w:color="auto" w:fill="D9D9D9" w:themeFill="background1" w:themeFillShade="D9"/>
          </w:tcPr>
          <w:p w14:paraId="6C9EA3EF" w14:textId="77777777" w:rsidR="00A31B45" w:rsidRPr="008070E4" w:rsidRDefault="00A31B45" w:rsidP="008070E4">
            <w:pPr>
              <w:keepNext/>
              <w:keepLines/>
              <w:jc w:val="center"/>
              <w:rPr>
                <w:rFonts w:ascii="Arial" w:hAnsi="Arial"/>
                <w:b/>
                <w:sz w:val="20"/>
                <w:szCs w:val="20"/>
              </w:rPr>
            </w:pPr>
            <w:r w:rsidRPr="008070E4">
              <w:rPr>
                <w:rFonts w:ascii="Arial" w:hAnsi="Arial"/>
                <w:b/>
                <w:sz w:val="20"/>
                <w:szCs w:val="20"/>
              </w:rPr>
              <w:t>2022</w:t>
            </w:r>
          </w:p>
        </w:tc>
      </w:tr>
      <w:tr w:rsidR="00A31B45" w:rsidRPr="008070E4" w14:paraId="6A1F4FE7" w14:textId="77777777" w:rsidTr="008070E4">
        <w:tc>
          <w:tcPr>
            <w:tcW w:w="1415" w:type="dxa"/>
          </w:tcPr>
          <w:p w14:paraId="3E786915" w14:textId="77777777" w:rsidR="00A31B45" w:rsidRPr="008070E4" w:rsidRDefault="00A31B45" w:rsidP="008070E4">
            <w:pPr>
              <w:keepNext/>
              <w:keepLines/>
              <w:rPr>
                <w:rFonts w:ascii="Arial" w:hAnsi="Arial"/>
                <w:sz w:val="20"/>
                <w:szCs w:val="20"/>
              </w:rPr>
            </w:pPr>
            <w:proofErr w:type="spellStart"/>
            <w:r w:rsidRPr="008070E4">
              <w:rPr>
                <w:rFonts w:ascii="Arial" w:hAnsi="Arial"/>
                <w:sz w:val="20"/>
                <w:szCs w:val="20"/>
              </w:rPr>
              <w:t>Inversiones</w:t>
            </w:r>
            <w:proofErr w:type="spellEnd"/>
          </w:p>
        </w:tc>
        <w:tc>
          <w:tcPr>
            <w:tcW w:w="1415" w:type="dxa"/>
            <w:vAlign w:val="center"/>
          </w:tcPr>
          <w:p w14:paraId="2C641569" w14:textId="77777777" w:rsidR="00A31B45" w:rsidRPr="008070E4" w:rsidRDefault="00A31B45" w:rsidP="008070E4">
            <w:pPr>
              <w:jc w:val="center"/>
              <w:rPr>
                <w:rFonts w:ascii="Arial" w:hAnsi="Arial" w:cs="Calibri"/>
                <w:color w:val="000000"/>
                <w:sz w:val="18"/>
                <w:szCs w:val="18"/>
              </w:rPr>
            </w:pPr>
            <w:r w:rsidRPr="008070E4">
              <w:rPr>
                <w:rFonts w:ascii="Arial" w:hAnsi="Arial" w:cs="Calibri"/>
                <w:color w:val="000000"/>
                <w:sz w:val="18"/>
                <w:szCs w:val="18"/>
              </w:rPr>
              <w:t>$6,732,991</w:t>
            </w:r>
          </w:p>
        </w:tc>
        <w:tc>
          <w:tcPr>
            <w:tcW w:w="1416" w:type="dxa"/>
            <w:vAlign w:val="center"/>
          </w:tcPr>
          <w:p w14:paraId="16961B43" w14:textId="77777777" w:rsidR="00A31B45" w:rsidRPr="008070E4" w:rsidRDefault="00A31B45" w:rsidP="008070E4">
            <w:pPr>
              <w:jc w:val="center"/>
              <w:rPr>
                <w:rFonts w:ascii="Arial" w:hAnsi="Arial" w:cs="Calibri"/>
                <w:color w:val="000000"/>
                <w:sz w:val="18"/>
                <w:szCs w:val="18"/>
              </w:rPr>
            </w:pPr>
            <w:r w:rsidRPr="008070E4">
              <w:rPr>
                <w:rFonts w:ascii="Arial" w:hAnsi="Arial" w:cs="Calibri"/>
                <w:color w:val="000000"/>
                <w:sz w:val="18"/>
                <w:szCs w:val="18"/>
              </w:rPr>
              <w:t>$16,993,601</w:t>
            </w:r>
          </w:p>
        </w:tc>
        <w:tc>
          <w:tcPr>
            <w:tcW w:w="1416" w:type="dxa"/>
            <w:vAlign w:val="center"/>
          </w:tcPr>
          <w:p w14:paraId="17A0A312" w14:textId="77777777" w:rsidR="00A31B45" w:rsidRPr="008070E4" w:rsidRDefault="00A31B45" w:rsidP="008070E4">
            <w:pPr>
              <w:jc w:val="center"/>
              <w:rPr>
                <w:rFonts w:ascii="Arial" w:hAnsi="Arial" w:cs="Calibri"/>
                <w:color w:val="000000"/>
                <w:sz w:val="18"/>
                <w:szCs w:val="18"/>
              </w:rPr>
            </w:pPr>
            <w:r w:rsidRPr="008070E4">
              <w:rPr>
                <w:rFonts w:ascii="Arial" w:hAnsi="Arial" w:cs="Calibri"/>
                <w:color w:val="000000"/>
                <w:sz w:val="18"/>
                <w:szCs w:val="18"/>
              </w:rPr>
              <w:t>$16,126,496</w:t>
            </w:r>
          </w:p>
        </w:tc>
        <w:tc>
          <w:tcPr>
            <w:tcW w:w="1416" w:type="dxa"/>
            <w:vAlign w:val="center"/>
          </w:tcPr>
          <w:p w14:paraId="089CB931" w14:textId="77777777" w:rsidR="00A31B45" w:rsidRPr="008070E4" w:rsidRDefault="00A31B45" w:rsidP="008070E4">
            <w:pPr>
              <w:jc w:val="center"/>
              <w:rPr>
                <w:rFonts w:ascii="Arial" w:hAnsi="Arial" w:cs="Calibri"/>
                <w:color w:val="000000"/>
                <w:sz w:val="18"/>
                <w:szCs w:val="18"/>
              </w:rPr>
            </w:pPr>
            <w:r w:rsidRPr="008070E4">
              <w:rPr>
                <w:rFonts w:ascii="Arial" w:hAnsi="Arial" w:cs="Calibri"/>
                <w:color w:val="000000"/>
                <w:sz w:val="18"/>
                <w:szCs w:val="18"/>
              </w:rPr>
              <w:t>$9,595,340</w:t>
            </w:r>
          </w:p>
        </w:tc>
        <w:tc>
          <w:tcPr>
            <w:tcW w:w="1416" w:type="dxa"/>
            <w:vAlign w:val="center"/>
          </w:tcPr>
          <w:p w14:paraId="7F79437F" w14:textId="77777777" w:rsidR="00A31B45" w:rsidRPr="008070E4" w:rsidRDefault="00A31B45" w:rsidP="008070E4">
            <w:pPr>
              <w:jc w:val="center"/>
              <w:rPr>
                <w:rFonts w:ascii="Arial" w:hAnsi="Arial" w:cs="Calibri"/>
                <w:color w:val="000000"/>
                <w:sz w:val="18"/>
                <w:szCs w:val="18"/>
              </w:rPr>
            </w:pPr>
            <w:r w:rsidRPr="008070E4">
              <w:rPr>
                <w:rFonts w:ascii="Arial" w:hAnsi="Arial" w:cs="Calibri"/>
                <w:color w:val="000000"/>
                <w:sz w:val="18"/>
                <w:szCs w:val="18"/>
              </w:rPr>
              <w:t>$5,551,572</w:t>
            </w:r>
          </w:p>
        </w:tc>
      </w:tr>
    </w:tbl>
    <w:p w14:paraId="4E4938FE" w14:textId="77777777" w:rsidR="00A31B45" w:rsidRPr="008070E4" w:rsidRDefault="00A31B45" w:rsidP="00A31B45">
      <w:pPr>
        <w:rPr>
          <w:rFonts w:ascii="Arial" w:hAnsi="Arial"/>
        </w:rPr>
      </w:pPr>
    </w:p>
    <w:p w14:paraId="6A1C4D93" w14:textId="2C9C252A"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Adicionalmente, para el ejercicio se considera que a partir de 202</w:t>
      </w:r>
      <w:r w:rsidR="00687B40" w:rsidRPr="008070E4">
        <w:rPr>
          <w:rFonts w:ascii="Arial" w:hAnsi="Arial" w:cs="Arial"/>
          <w:szCs w:val="24"/>
        </w:rPr>
        <w:t>4</w:t>
      </w:r>
      <w:r w:rsidRPr="008070E4">
        <w:rPr>
          <w:rFonts w:ascii="Arial" w:hAnsi="Arial" w:cs="Arial"/>
          <w:szCs w:val="24"/>
        </w:rPr>
        <w:t>, los gastos de</w:t>
      </w:r>
      <w:r w:rsidR="00207512" w:rsidRPr="008070E4">
        <w:rPr>
          <w:rFonts w:ascii="Arial" w:hAnsi="Arial" w:cs="Arial"/>
          <w:szCs w:val="24"/>
        </w:rPr>
        <w:t xml:space="preserve"> </w:t>
      </w:r>
      <w:r w:rsidRPr="008070E4">
        <w:rPr>
          <w:rFonts w:ascii="Arial" w:hAnsi="Arial" w:cs="Arial"/>
          <w:szCs w:val="24"/>
        </w:rPr>
        <w:t>mantenimiento y operación de la inversión demandarían el equivalente a un 5% anual de la inversión total, esto es, unos US$ 2,75 millones cada año, hasta 203</w:t>
      </w:r>
      <w:r w:rsidR="006E448D" w:rsidRPr="008070E4">
        <w:rPr>
          <w:rFonts w:ascii="Arial" w:hAnsi="Arial" w:cs="Arial"/>
          <w:szCs w:val="24"/>
        </w:rPr>
        <w:t>9</w:t>
      </w:r>
      <w:r w:rsidRPr="008070E4">
        <w:rPr>
          <w:rFonts w:ascii="Arial" w:hAnsi="Arial" w:cs="Arial"/>
          <w:szCs w:val="24"/>
        </w:rPr>
        <w:t>.</w:t>
      </w:r>
    </w:p>
    <w:p w14:paraId="6DC80B6C" w14:textId="2E6B1D0E" w:rsidR="00207512" w:rsidRPr="008070E4" w:rsidRDefault="00207512" w:rsidP="00207512">
      <w:pPr>
        <w:rPr>
          <w:rFonts w:ascii="Arial" w:hAnsi="Arial"/>
          <w:lang w:val="es-ES_tradnl"/>
        </w:rPr>
      </w:pPr>
    </w:p>
    <w:p w14:paraId="4F079C0C" w14:textId="4B179816" w:rsidR="00207512" w:rsidRPr="008070E4" w:rsidRDefault="00207512" w:rsidP="00207512">
      <w:pPr>
        <w:numPr>
          <w:ilvl w:val="0"/>
          <w:numId w:val="1"/>
        </w:numPr>
        <w:spacing w:after="0" w:line="480" w:lineRule="auto"/>
        <w:ind w:left="567" w:hanging="567"/>
        <w:jc w:val="both"/>
        <w:rPr>
          <w:rFonts w:ascii="Arial" w:hAnsi="Arial" w:cs="Arial"/>
          <w:b/>
          <w:sz w:val="24"/>
          <w:szCs w:val="24"/>
          <w:lang w:val="es-ES"/>
        </w:rPr>
      </w:pPr>
      <w:r w:rsidRPr="008070E4">
        <w:rPr>
          <w:rFonts w:ascii="Arial" w:hAnsi="Arial" w:cs="Arial"/>
          <w:b/>
          <w:sz w:val="24"/>
          <w:szCs w:val="24"/>
          <w:lang w:val="es-ES"/>
        </w:rPr>
        <w:t>Resultados</w:t>
      </w:r>
    </w:p>
    <w:p w14:paraId="4F8C27EA" w14:textId="2E7ED1A8"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lastRenderedPageBreak/>
        <w:t>Las proyecciones de beneficios durante 20</w:t>
      </w:r>
      <w:r w:rsidR="00E2406F" w:rsidRPr="008070E4">
        <w:rPr>
          <w:rFonts w:ascii="Arial" w:hAnsi="Arial" w:cs="Arial"/>
          <w:szCs w:val="24"/>
        </w:rPr>
        <w:t>20</w:t>
      </w:r>
      <w:r w:rsidRPr="008070E4">
        <w:rPr>
          <w:rFonts w:ascii="Arial" w:hAnsi="Arial" w:cs="Arial"/>
          <w:szCs w:val="24"/>
        </w:rPr>
        <w:t>-203</w:t>
      </w:r>
      <w:r w:rsidR="00E2406F" w:rsidRPr="008070E4">
        <w:rPr>
          <w:rFonts w:ascii="Arial" w:hAnsi="Arial" w:cs="Arial"/>
          <w:szCs w:val="24"/>
        </w:rPr>
        <w:t>9</w:t>
      </w:r>
      <w:r w:rsidRPr="008070E4">
        <w:rPr>
          <w:rFonts w:ascii="Arial" w:hAnsi="Arial" w:cs="Arial"/>
          <w:szCs w:val="24"/>
        </w:rPr>
        <w:t>, comparada con las inversiones que se realizan entre 20</w:t>
      </w:r>
      <w:r w:rsidR="00E2406F" w:rsidRPr="008070E4">
        <w:rPr>
          <w:rFonts w:ascii="Arial" w:hAnsi="Arial" w:cs="Arial"/>
          <w:szCs w:val="24"/>
        </w:rPr>
        <w:t>20</w:t>
      </w:r>
      <w:r w:rsidRPr="008070E4">
        <w:rPr>
          <w:rFonts w:ascii="Arial" w:hAnsi="Arial" w:cs="Arial"/>
          <w:szCs w:val="24"/>
        </w:rPr>
        <w:t>-202</w:t>
      </w:r>
      <w:r w:rsidR="00E2406F" w:rsidRPr="008070E4">
        <w:rPr>
          <w:rFonts w:ascii="Arial" w:hAnsi="Arial" w:cs="Arial"/>
          <w:szCs w:val="24"/>
        </w:rPr>
        <w:t>4</w:t>
      </w:r>
      <w:r w:rsidRPr="008070E4">
        <w:rPr>
          <w:rFonts w:ascii="Arial" w:hAnsi="Arial" w:cs="Arial"/>
          <w:szCs w:val="24"/>
        </w:rPr>
        <w:t xml:space="preserve">, resultan en un flujo de recursos cuyo valor presente neto equivale a unos US$ </w:t>
      </w:r>
      <w:r w:rsidR="00687B40" w:rsidRPr="008070E4">
        <w:rPr>
          <w:rFonts w:ascii="Arial" w:hAnsi="Arial" w:cs="Arial"/>
          <w:szCs w:val="24"/>
        </w:rPr>
        <w:t>89,615,490</w:t>
      </w:r>
    </w:p>
    <w:p w14:paraId="7A19448C" w14:textId="77777777" w:rsidR="00E2406F" w:rsidRPr="008070E4" w:rsidRDefault="00E2406F" w:rsidP="00E2406F">
      <w:pPr>
        <w:pStyle w:val="Paragraph"/>
        <w:numPr>
          <w:ilvl w:val="0"/>
          <w:numId w:val="0"/>
        </w:numPr>
        <w:spacing w:before="0" w:after="0"/>
        <w:ind w:left="567"/>
        <w:rPr>
          <w:rFonts w:ascii="Arial" w:hAnsi="Arial" w:cs="Arial"/>
          <w:szCs w:val="24"/>
        </w:rPr>
      </w:pPr>
    </w:p>
    <w:p w14:paraId="4EE41D30" w14:textId="5337821B"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 xml:space="preserve">Asimismo, la tasa interna de retorno calculada asciende a </w:t>
      </w:r>
      <w:r w:rsidR="00687B40" w:rsidRPr="008070E4">
        <w:rPr>
          <w:rFonts w:ascii="Arial" w:hAnsi="Arial" w:cs="Arial"/>
          <w:szCs w:val="24"/>
        </w:rPr>
        <w:t>150</w:t>
      </w:r>
      <w:r w:rsidRPr="008070E4">
        <w:rPr>
          <w:rFonts w:ascii="Arial" w:hAnsi="Arial" w:cs="Arial"/>
          <w:szCs w:val="24"/>
        </w:rPr>
        <w:t>%, mientras que</w:t>
      </w:r>
      <w:r w:rsidR="00EE14D4" w:rsidRPr="008070E4">
        <w:rPr>
          <w:rFonts w:ascii="Arial" w:hAnsi="Arial" w:cs="Arial"/>
          <w:szCs w:val="24"/>
        </w:rPr>
        <w:t xml:space="preserve"> la razón </w:t>
      </w:r>
      <w:r w:rsidRPr="008070E4">
        <w:rPr>
          <w:rFonts w:ascii="Arial" w:hAnsi="Arial" w:cs="Arial"/>
          <w:szCs w:val="24"/>
        </w:rPr>
        <w:t xml:space="preserve">Beneficio/Costo es de </w:t>
      </w:r>
      <w:r w:rsidR="00687B40" w:rsidRPr="008070E4">
        <w:rPr>
          <w:rFonts w:ascii="Arial" w:hAnsi="Arial" w:cs="Arial"/>
          <w:szCs w:val="24"/>
        </w:rPr>
        <w:t>2.78</w:t>
      </w:r>
      <w:r w:rsidRPr="008070E4">
        <w:rPr>
          <w:rFonts w:ascii="Arial" w:hAnsi="Arial" w:cs="Arial"/>
          <w:szCs w:val="24"/>
        </w:rPr>
        <w:t>.</w:t>
      </w:r>
    </w:p>
    <w:p w14:paraId="4EA3F8B4" w14:textId="77777777" w:rsidR="00E2406F" w:rsidRPr="008070E4" w:rsidRDefault="00E2406F" w:rsidP="00E2406F">
      <w:pPr>
        <w:pStyle w:val="Paragraph"/>
        <w:numPr>
          <w:ilvl w:val="0"/>
          <w:numId w:val="0"/>
        </w:numPr>
        <w:spacing w:before="0" w:after="0"/>
        <w:ind w:left="567"/>
        <w:rPr>
          <w:rFonts w:ascii="Arial" w:hAnsi="Arial" w:cs="Arial"/>
          <w:szCs w:val="24"/>
        </w:rPr>
      </w:pPr>
    </w:p>
    <w:p w14:paraId="6BE67289" w14:textId="4A497BEA" w:rsidR="00A31B45" w:rsidRDefault="00A31B45" w:rsidP="00A4112D">
      <w:pPr>
        <w:pStyle w:val="Paragraph"/>
        <w:numPr>
          <w:ilvl w:val="1"/>
          <w:numId w:val="4"/>
        </w:numPr>
        <w:spacing w:before="0" w:after="0"/>
        <w:ind w:left="567" w:hanging="567"/>
        <w:rPr>
          <w:rFonts w:ascii="Arial" w:hAnsi="Arial"/>
          <w:lang w:val="es-ES_tradnl"/>
        </w:rPr>
      </w:pPr>
      <w:r w:rsidRPr="008070E4">
        <w:rPr>
          <w:rFonts w:ascii="Arial" w:hAnsi="Arial" w:cs="Arial"/>
          <w:szCs w:val="24"/>
        </w:rPr>
        <w:t xml:space="preserve">La cantidad de supuestos involucrados en los cálculos genera la necesidad de hacer un análisis de sensibilidad en la medida en que algunos de ellos pueden resultar distintos a los del </w:t>
      </w:r>
      <w:r w:rsidR="001B28C4">
        <w:rPr>
          <w:rFonts w:ascii="Arial" w:hAnsi="Arial" w:cs="Arial"/>
          <w:szCs w:val="24"/>
        </w:rPr>
        <w:t>escenario base aquí proyectado.</w:t>
      </w:r>
      <w:r w:rsidRPr="008070E4">
        <w:rPr>
          <w:rFonts w:ascii="Arial" w:hAnsi="Arial" w:cs="Arial"/>
          <w:szCs w:val="24"/>
        </w:rPr>
        <w:t xml:space="preserve"> En el cuadro siguiente se muestra dicho análisis</w:t>
      </w:r>
      <w:r w:rsidRPr="008070E4">
        <w:rPr>
          <w:rFonts w:ascii="Arial" w:hAnsi="Arial"/>
          <w:lang w:val="es-ES_tradnl"/>
        </w:rPr>
        <w:t>.</w:t>
      </w:r>
    </w:p>
    <w:p w14:paraId="42256D46" w14:textId="77777777" w:rsidR="001B28C4" w:rsidRDefault="001B28C4" w:rsidP="001B28C4">
      <w:pPr>
        <w:pStyle w:val="Paragraph"/>
        <w:numPr>
          <w:ilvl w:val="0"/>
          <w:numId w:val="0"/>
        </w:numPr>
        <w:spacing w:before="0" w:after="0"/>
        <w:rPr>
          <w:rFonts w:ascii="Arial" w:hAnsi="Arial"/>
          <w:lang w:val="es-ES_tradnl"/>
        </w:rPr>
      </w:pPr>
    </w:p>
    <w:p w14:paraId="4FA68411" w14:textId="77777777" w:rsidR="001B28C4" w:rsidRPr="008070E4" w:rsidRDefault="001B28C4" w:rsidP="001B28C4">
      <w:pPr>
        <w:pStyle w:val="Paragraph"/>
        <w:numPr>
          <w:ilvl w:val="0"/>
          <w:numId w:val="0"/>
        </w:numPr>
        <w:spacing w:before="0" w:after="0"/>
        <w:ind w:left="720" w:hanging="720"/>
        <w:rPr>
          <w:rFonts w:ascii="Arial" w:hAnsi="Arial"/>
          <w:lang w:val="es-ES_tradnl"/>
        </w:rPr>
      </w:pPr>
    </w:p>
    <w:p w14:paraId="02C4E4B7" w14:textId="2FF4712C" w:rsidR="00A31B45" w:rsidRPr="008070E4" w:rsidRDefault="001B28C4" w:rsidP="00A31B45">
      <w:pPr>
        <w:jc w:val="center"/>
        <w:rPr>
          <w:rFonts w:ascii="Arial" w:hAnsi="Arial"/>
          <w:b/>
          <w:lang w:val="es-ES_tradnl"/>
        </w:rPr>
      </w:pPr>
      <w:r>
        <w:rPr>
          <w:rFonts w:ascii="Arial" w:hAnsi="Arial"/>
          <w:b/>
          <w:lang w:val="es-ES_tradnl"/>
        </w:rPr>
        <w:t>Cuadro 5</w:t>
      </w:r>
      <w:r w:rsidR="00A31B45" w:rsidRPr="008070E4">
        <w:rPr>
          <w:rFonts w:ascii="Arial" w:hAnsi="Arial"/>
          <w:b/>
          <w:lang w:val="es-ES_tradnl"/>
        </w:rPr>
        <w:t>. Análisis de Sensibilidad</w:t>
      </w:r>
    </w:p>
    <w:tbl>
      <w:tblPr>
        <w:tblW w:w="8414" w:type="dxa"/>
        <w:jc w:val="center"/>
        <w:tblLook w:val="04A0" w:firstRow="1" w:lastRow="0" w:firstColumn="1" w:lastColumn="0" w:noHBand="0" w:noVBand="1"/>
      </w:tblPr>
      <w:tblGrid>
        <w:gridCol w:w="3205"/>
        <w:gridCol w:w="1669"/>
        <w:gridCol w:w="1962"/>
        <w:gridCol w:w="1578"/>
      </w:tblGrid>
      <w:tr w:rsidR="006A7DC9" w:rsidRPr="008070E4" w14:paraId="7D3B06A0" w14:textId="77777777" w:rsidTr="008070E4">
        <w:trPr>
          <w:trHeight w:val="288"/>
          <w:jc w:val="center"/>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64E073D" w14:textId="77777777" w:rsidR="006A7DC9" w:rsidRPr="008070E4" w:rsidRDefault="006A7DC9" w:rsidP="008070E4">
            <w:pPr>
              <w:spacing w:after="0" w:line="240" w:lineRule="auto"/>
              <w:jc w:val="center"/>
              <w:rPr>
                <w:rFonts w:ascii="Arial" w:eastAsia="Times New Roman" w:hAnsi="Arial" w:cs="Arial"/>
                <w:b/>
                <w:bCs/>
                <w:color w:val="000000"/>
                <w:sz w:val="18"/>
                <w:szCs w:val="18"/>
                <w:lang w:val="es-ES_tradnl"/>
              </w:rPr>
            </w:pPr>
            <w:r w:rsidRPr="008070E4">
              <w:rPr>
                <w:rFonts w:ascii="Arial" w:eastAsia="Times New Roman" w:hAnsi="Arial" w:cs="Arial"/>
                <w:b/>
                <w:bCs/>
                <w:color w:val="000000"/>
                <w:sz w:val="18"/>
                <w:szCs w:val="18"/>
                <w:lang w:val="es-ES_tradnl"/>
              </w:rPr>
              <w:t> </w:t>
            </w:r>
          </w:p>
        </w:tc>
        <w:tc>
          <w:tcPr>
            <w:tcW w:w="1669" w:type="dxa"/>
            <w:tcBorders>
              <w:top w:val="single" w:sz="8" w:space="0" w:color="auto"/>
              <w:left w:val="nil"/>
              <w:bottom w:val="single" w:sz="4" w:space="0" w:color="auto"/>
              <w:right w:val="single" w:sz="4" w:space="0" w:color="auto"/>
            </w:tcBorders>
            <w:shd w:val="clear" w:color="auto" w:fill="auto"/>
            <w:noWrap/>
            <w:vAlign w:val="bottom"/>
            <w:hideMark/>
          </w:tcPr>
          <w:p w14:paraId="3A789A02" w14:textId="77777777" w:rsidR="006A7DC9" w:rsidRPr="008070E4" w:rsidRDefault="006A7DC9" w:rsidP="008070E4">
            <w:pPr>
              <w:spacing w:after="0" w:line="240" w:lineRule="auto"/>
              <w:jc w:val="center"/>
              <w:rPr>
                <w:rFonts w:ascii="Arial" w:eastAsia="Times New Roman" w:hAnsi="Arial" w:cs="Arial"/>
                <w:b/>
                <w:bCs/>
                <w:color w:val="000000"/>
                <w:sz w:val="18"/>
                <w:szCs w:val="18"/>
              </w:rPr>
            </w:pPr>
            <w:r w:rsidRPr="008070E4">
              <w:rPr>
                <w:rFonts w:ascii="Arial" w:eastAsia="Times New Roman" w:hAnsi="Arial" w:cs="Arial"/>
                <w:b/>
                <w:bCs/>
                <w:color w:val="000000"/>
                <w:sz w:val="18"/>
                <w:szCs w:val="18"/>
              </w:rPr>
              <w:t>Base</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3FB91951" w14:textId="77777777" w:rsidR="006A7DC9" w:rsidRPr="008070E4" w:rsidRDefault="006A7DC9" w:rsidP="008070E4">
            <w:pPr>
              <w:spacing w:after="0" w:line="240" w:lineRule="auto"/>
              <w:jc w:val="center"/>
              <w:rPr>
                <w:rFonts w:ascii="Arial" w:eastAsia="Times New Roman" w:hAnsi="Arial" w:cs="Arial"/>
                <w:b/>
                <w:bCs/>
                <w:color w:val="000000"/>
                <w:sz w:val="18"/>
                <w:szCs w:val="18"/>
              </w:rPr>
            </w:pPr>
            <w:proofErr w:type="spellStart"/>
            <w:r w:rsidRPr="008070E4">
              <w:rPr>
                <w:rFonts w:ascii="Arial" w:eastAsia="Times New Roman" w:hAnsi="Arial" w:cs="Arial"/>
                <w:b/>
                <w:bCs/>
                <w:color w:val="000000"/>
                <w:sz w:val="18"/>
                <w:szCs w:val="18"/>
              </w:rPr>
              <w:t>Conservador</w:t>
            </w:r>
            <w:proofErr w:type="spellEnd"/>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3B0D030E" w14:textId="77777777" w:rsidR="006A7DC9" w:rsidRPr="008070E4" w:rsidRDefault="006A7DC9" w:rsidP="008070E4">
            <w:pPr>
              <w:spacing w:after="0" w:line="240" w:lineRule="auto"/>
              <w:jc w:val="center"/>
              <w:rPr>
                <w:rFonts w:ascii="Arial" w:eastAsia="Times New Roman" w:hAnsi="Arial" w:cs="Arial"/>
                <w:b/>
                <w:bCs/>
                <w:color w:val="000000"/>
                <w:sz w:val="18"/>
                <w:szCs w:val="18"/>
              </w:rPr>
            </w:pPr>
            <w:proofErr w:type="spellStart"/>
            <w:r w:rsidRPr="008070E4">
              <w:rPr>
                <w:rFonts w:ascii="Arial" w:eastAsia="Times New Roman" w:hAnsi="Arial" w:cs="Arial"/>
                <w:b/>
                <w:bCs/>
                <w:color w:val="000000"/>
                <w:sz w:val="18"/>
                <w:szCs w:val="18"/>
              </w:rPr>
              <w:t>Optimista</w:t>
            </w:r>
            <w:proofErr w:type="spellEnd"/>
          </w:p>
        </w:tc>
      </w:tr>
      <w:tr w:rsidR="006A7DC9" w:rsidRPr="008070E4" w14:paraId="48793855" w14:textId="77777777" w:rsidTr="008070E4">
        <w:trPr>
          <w:trHeight w:val="288"/>
          <w:jc w:val="center"/>
        </w:trPr>
        <w:tc>
          <w:tcPr>
            <w:tcW w:w="0" w:type="auto"/>
            <w:tcBorders>
              <w:top w:val="nil"/>
              <w:left w:val="single" w:sz="8" w:space="0" w:color="auto"/>
              <w:bottom w:val="single" w:sz="4" w:space="0" w:color="auto"/>
              <w:right w:val="single" w:sz="4" w:space="0" w:color="auto"/>
            </w:tcBorders>
            <w:shd w:val="clear" w:color="000000" w:fill="FFF2CC"/>
            <w:noWrap/>
            <w:vAlign w:val="bottom"/>
            <w:hideMark/>
          </w:tcPr>
          <w:p w14:paraId="5C7A2075" w14:textId="77777777" w:rsidR="006A7DC9" w:rsidRPr="008070E4" w:rsidRDefault="006A7DC9" w:rsidP="008070E4">
            <w:pPr>
              <w:spacing w:after="0" w:line="240" w:lineRule="auto"/>
              <w:rPr>
                <w:rFonts w:ascii="Arial" w:eastAsia="Times New Roman" w:hAnsi="Arial" w:cs="Arial"/>
                <w:color w:val="000000"/>
                <w:sz w:val="18"/>
                <w:szCs w:val="18"/>
              </w:rPr>
            </w:pPr>
            <w:r w:rsidRPr="008070E4">
              <w:rPr>
                <w:rFonts w:ascii="Arial" w:eastAsia="Times New Roman" w:hAnsi="Arial" w:cs="Arial"/>
                <w:color w:val="000000"/>
                <w:sz w:val="18"/>
                <w:szCs w:val="18"/>
              </w:rPr>
              <w:t xml:space="preserve">Subtotal VPN </w:t>
            </w:r>
            <w:proofErr w:type="spellStart"/>
            <w:r w:rsidRPr="008070E4">
              <w:rPr>
                <w:rFonts w:ascii="Arial" w:eastAsia="Times New Roman" w:hAnsi="Arial" w:cs="Arial"/>
                <w:color w:val="000000"/>
                <w:sz w:val="18"/>
                <w:szCs w:val="18"/>
              </w:rPr>
              <w:t>beneficios</w:t>
            </w:r>
            <w:proofErr w:type="spellEnd"/>
            <w:r w:rsidRPr="008070E4">
              <w:rPr>
                <w:rFonts w:ascii="Arial" w:eastAsia="Times New Roman" w:hAnsi="Arial" w:cs="Arial"/>
                <w:color w:val="000000"/>
                <w:sz w:val="18"/>
                <w:szCs w:val="18"/>
              </w:rPr>
              <w:t xml:space="preserve"> (US$)</w:t>
            </w:r>
          </w:p>
        </w:tc>
        <w:tc>
          <w:tcPr>
            <w:tcW w:w="1669" w:type="dxa"/>
            <w:tcBorders>
              <w:top w:val="nil"/>
              <w:left w:val="nil"/>
              <w:bottom w:val="single" w:sz="4" w:space="0" w:color="auto"/>
              <w:right w:val="single" w:sz="4" w:space="0" w:color="auto"/>
            </w:tcBorders>
            <w:shd w:val="clear" w:color="auto" w:fill="auto"/>
            <w:noWrap/>
            <w:vAlign w:val="bottom"/>
            <w:hideMark/>
          </w:tcPr>
          <w:p w14:paraId="543C1DEA" w14:textId="46355E60"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w:t>
            </w:r>
            <w:r w:rsidR="007C7A9A" w:rsidRPr="008070E4">
              <w:rPr>
                <w:rFonts w:ascii="Arial" w:eastAsia="Times New Roman" w:hAnsi="Arial" w:cs="Arial"/>
                <w:color w:val="000000"/>
                <w:sz w:val="18"/>
                <w:szCs w:val="18"/>
              </w:rPr>
              <w:t>139,905,365</w:t>
            </w:r>
          </w:p>
        </w:tc>
        <w:tc>
          <w:tcPr>
            <w:tcW w:w="1962" w:type="dxa"/>
            <w:tcBorders>
              <w:top w:val="nil"/>
              <w:left w:val="nil"/>
              <w:bottom w:val="single" w:sz="4" w:space="0" w:color="auto"/>
              <w:right w:val="single" w:sz="4" w:space="0" w:color="auto"/>
            </w:tcBorders>
            <w:shd w:val="clear" w:color="auto" w:fill="auto"/>
            <w:noWrap/>
            <w:vAlign w:val="bottom"/>
            <w:hideMark/>
          </w:tcPr>
          <w:p w14:paraId="21548C0D" w14:textId="77777777"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$236,479,920</w:t>
            </w:r>
          </w:p>
          <w:p w14:paraId="438D93BB" w14:textId="77777777" w:rsidR="006A7DC9" w:rsidRPr="008070E4" w:rsidRDefault="006A7DC9" w:rsidP="008070E4">
            <w:pPr>
              <w:spacing w:after="0" w:line="240" w:lineRule="auto"/>
              <w:jc w:val="right"/>
              <w:rPr>
                <w:rFonts w:ascii="Arial" w:eastAsia="Times New Roman" w:hAnsi="Arial" w:cs="Arial"/>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hideMark/>
          </w:tcPr>
          <w:p w14:paraId="296951F0" w14:textId="77777777"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$167.155.767</w:t>
            </w:r>
          </w:p>
        </w:tc>
      </w:tr>
      <w:tr w:rsidR="006A7DC9" w:rsidRPr="008070E4" w14:paraId="5ED6F26E" w14:textId="77777777" w:rsidTr="008070E4">
        <w:trPr>
          <w:trHeight w:val="288"/>
          <w:jc w:val="center"/>
        </w:trPr>
        <w:tc>
          <w:tcPr>
            <w:tcW w:w="0" w:type="auto"/>
            <w:tcBorders>
              <w:top w:val="nil"/>
              <w:left w:val="single" w:sz="8" w:space="0" w:color="auto"/>
              <w:bottom w:val="single" w:sz="4" w:space="0" w:color="auto"/>
              <w:right w:val="single" w:sz="4" w:space="0" w:color="auto"/>
            </w:tcBorders>
            <w:shd w:val="clear" w:color="000000" w:fill="FFF2CC"/>
            <w:noWrap/>
            <w:vAlign w:val="bottom"/>
            <w:hideMark/>
          </w:tcPr>
          <w:p w14:paraId="6D72EE0B" w14:textId="77777777" w:rsidR="006A7DC9" w:rsidRPr="008070E4" w:rsidRDefault="006A7DC9" w:rsidP="008070E4">
            <w:pPr>
              <w:spacing w:after="0" w:line="240" w:lineRule="auto"/>
              <w:rPr>
                <w:rFonts w:ascii="Arial" w:eastAsia="Times New Roman" w:hAnsi="Arial" w:cs="Arial"/>
                <w:color w:val="000000"/>
                <w:sz w:val="18"/>
                <w:szCs w:val="18"/>
              </w:rPr>
            </w:pPr>
            <w:r w:rsidRPr="008070E4">
              <w:rPr>
                <w:rFonts w:ascii="Arial" w:eastAsia="Times New Roman" w:hAnsi="Arial" w:cs="Arial"/>
                <w:color w:val="000000"/>
                <w:sz w:val="18"/>
                <w:szCs w:val="18"/>
              </w:rPr>
              <w:t xml:space="preserve">Subtotal VPN </w:t>
            </w:r>
            <w:proofErr w:type="spellStart"/>
            <w:r w:rsidRPr="008070E4">
              <w:rPr>
                <w:rFonts w:ascii="Arial" w:eastAsia="Times New Roman" w:hAnsi="Arial" w:cs="Arial"/>
                <w:color w:val="000000"/>
                <w:sz w:val="18"/>
                <w:szCs w:val="18"/>
              </w:rPr>
              <w:t>costos</w:t>
            </w:r>
            <w:proofErr w:type="spellEnd"/>
            <w:r w:rsidRPr="008070E4">
              <w:rPr>
                <w:rFonts w:ascii="Arial" w:eastAsia="Times New Roman" w:hAnsi="Arial" w:cs="Arial"/>
                <w:color w:val="000000"/>
                <w:sz w:val="18"/>
                <w:szCs w:val="18"/>
              </w:rPr>
              <w:t xml:space="preserve"> (US$)</w:t>
            </w:r>
          </w:p>
        </w:tc>
        <w:tc>
          <w:tcPr>
            <w:tcW w:w="1669" w:type="dxa"/>
            <w:tcBorders>
              <w:top w:val="nil"/>
              <w:left w:val="nil"/>
              <w:bottom w:val="single" w:sz="4" w:space="0" w:color="auto"/>
              <w:right w:val="single" w:sz="4" w:space="0" w:color="auto"/>
            </w:tcBorders>
            <w:shd w:val="clear" w:color="auto" w:fill="auto"/>
            <w:noWrap/>
            <w:vAlign w:val="bottom"/>
            <w:hideMark/>
          </w:tcPr>
          <w:p w14:paraId="6D22FBAD" w14:textId="6407DCF1"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w:t>
            </w:r>
            <w:r w:rsidR="007C7A9A" w:rsidRPr="008070E4">
              <w:rPr>
                <w:rFonts w:ascii="Arial" w:eastAsia="Times New Roman" w:hAnsi="Arial" w:cs="Arial"/>
                <w:color w:val="000000"/>
                <w:sz w:val="18"/>
                <w:szCs w:val="18"/>
              </w:rPr>
              <w:t>50,289,875</w:t>
            </w:r>
          </w:p>
        </w:tc>
        <w:tc>
          <w:tcPr>
            <w:tcW w:w="1962" w:type="dxa"/>
            <w:tcBorders>
              <w:top w:val="nil"/>
              <w:left w:val="nil"/>
              <w:bottom w:val="single" w:sz="4" w:space="0" w:color="auto"/>
              <w:right w:val="single" w:sz="4" w:space="0" w:color="auto"/>
            </w:tcBorders>
            <w:shd w:val="clear" w:color="auto" w:fill="auto"/>
            <w:noWrap/>
            <w:vAlign w:val="bottom"/>
            <w:hideMark/>
          </w:tcPr>
          <w:p w14:paraId="721E1A66" w14:textId="58E52802" w:rsidR="006A7DC9" w:rsidRPr="008070E4" w:rsidRDefault="007C7A9A"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$50,289,875</w:t>
            </w:r>
          </w:p>
        </w:tc>
        <w:tc>
          <w:tcPr>
            <w:tcW w:w="0" w:type="auto"/>
            <w:tcBorders>
              <w:top w:val="nil"/>
              <w:left w:val="nil"/>
              <w:bottom w:val="single" w:sz="4" w:space="0" w:color="auto"/>
              <w:right w:val="single" w:sz="8" w:space="0" w:color="auto"/>
            </w:tcBorders>
            <w:shd w:val="clear" w:color="auto" w:fill="auto"/>
            <w:noWrap/>
            <w:vAlign w:val="bottom"/>
            <w:hideMark/>
          </w:tcPr>
          <w:p w14:paraId="07E7B351" w14:textId="3449CAA0" w:rsidR="006A7DC9" w:rsidRPr="008070E4" w:rsidRDefault="007C7A9A"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$50,289,875</w:t>
            </w:r>
          </w:p>
        </w:tc>
      </w:tr>
      <w:tr w:rsidR="006A7DC9" w:rsidRPr="008070E4" w14:paraId="46D0DC1B" w14:textId="77777777" w:rsidTr="008070E4">
        <w:trPr>
          <w:trHeight w:val="288"/>
          <w:jc w:val="center"/>
        </w:trPr>
        <w:tc>
          <w:tcPr>
            <w:tcW w:w="0" w:type="auto"/>
            <w:tcBorders>
              <w:top w:val="nil"/>
              <w:left w:val="single" w:sz="8" w:space="0" w:color="auto"/>
              <w:bottom w:val="single" w:sz="4" w:space="0" w:color="auto"/>
              <w:right w:val="single" w:sz="4" w:space="0" w:color="auto"/>
            </w:tcBorders>
            <w:shd w:val="clear" w:color="000000" w:fill="FFF2CC"/>
            <w:noWrap/>
            <w:vAlign w:val="bottom"/>
            <w:hideMark/>
          </w:tcPr>
          <w:p w14:paraId="771F5527" w14:textId="77777777" w:rsidR="006A7DC9" w:rsidRPr="008070E4" w:rsidRDefault="006A7DC9" w:rsidP="008070E4">
            <w:pPr>
              <w:spacing w:after="0" w:line="240" w:lineRule="auto"/>
              <w:rPr>
                <w:rFonts w:ascii="Arial" w:eastAsia="Times New Roman" w:hAnsi="Arial" w:cs="Arial"/>
                <w:color w:val="000000"/>
                <w:sz w:val="18"/>
                <w:szCs w:val="18"/>
              </w:rPr>
            </w:pPr>
            <w:r w:rsidRPr="008070E4">
              <w:rPr>
                <w:rFonts w:ascii="Arial" w:eastAsia="Times New Roman" w:hAnsi="Arial" w:cs="Arial"/>
                <w:color w:val="000000"/>
                <w:sz w:val="18"/>
                <w:szCs w:val="18"/>
              </w:rPr>
              <w:t>VPN (US$)</w:t>
            </w:r>
          </w:p>
        </w:tc>
        <w:tc>
          <w:tcPr>
            <w:tcW w:w="1669" w:type="dxa"/>
            <w:tcBorders>
              <w:top w:val="nil"/>
              <w:left w:val="nil"/>
              <w:bottom w:val="single" w:sz="4" w:space="0" w:color="auto"/>
              <w:right w:val="single" w:sz="4" w:space="0" w:color="auto"/>
            </w:tcBorders>
            <w:shd w:val="clear" w:color="auto" w:fill="auto"/>
            <w:noWrap/>
            <w:vAlign w:val="bottom"/>
            <w:hideMark/>
          </w:tcPr>
          <w:p w14:paraId="0812A84A" w14:textId="07978BB8"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w:t>
            </w:r>
            <w:r w:rsidR="007C7A9A" w:rsidRPr="008070E4">
              <w:rPr>
                <w:rFonts w:ascii="Arial" w:eastAsia="Times New Roman" w:hAnsi="Arial" w:cs="Arial"/>
                <w:color w:val="000000"/>
                <w:sz w:val="18"/>
                <w:szCs w:val="18"/>
              </w:rPr>
              <w:t>89,615,490</w:t>
            </w:r>
            <w:r w:rsidRPr="008070E4">
              <w:rPr>
                <w:rFonts w:ascii="Arial" w:eastAsia="Times New Roman" w:hAnsi="Arial" w:cs="Arial"/>
                <w:color w:val="000000"/>
                <w:sz w:val="18"/>
                <w:szCs w:val="18"/>
              </w:rPr>
              <w:t xml:space="preserve"> </w:t>
            </w:r>
          </w:p>
          <w:p w14:paraId="4ECEE0BF" w14:textId="77777777" w:rsidR="006A7DC9" w:rsidRPr="008070E4" w:rsidRDefault="006A7DC9" w:rsidP="008070E4">
            <w:pPr>
              <w:spacing w:after="0" w:line="240" w:lineRule="auto"/>
              <w:jc w:val="right"/>
              <w:rPr>
                <w:rFonts w:ascii="Arial" w:eastAsia="Times New Roman" w:hAnsi="Arial" w:cs="Arial"/>
                <w:color w:val="000000"/>
                <w:sz w:val="18"/>
                <w:szCs w:val="18"/>
              </w:rPr>
            </w:pPr>
          </w:p>
        </w:tc>
        <w:tc>
          <w:tcPr>
            <w:tcW w:w="1962" w:type="dxa"/>
            <w:tcBorders>
              <w:top w:val="nil"/>
              <w:left w:val="nil"/>
              <w:bottom w:val="single" w:sz="4" w:space="0" w:color="auto"/>
              <w:right w:val="single" w:sz="4" w:space="0" w:color="auto"/>
            </w:tcBorders>
            <w:shd w:val="clear" w:color="auto" w:fill="auto"/>
            <w:noWrap/>
            <w:vAlign w:val="bottom"/>
            <w:hideMark/>
          </w:tcPr>
          <w:p w14:paraId="7190CC43" w14:textId="7151D0D2"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w:t>
            </w:r>
            <w:r w:rsidR="007C7A9A" w:rsidRPr="008070E4">
              <w:rPr>
                <w:rFonts w:ascii="Arial" w:eastAsia="Times New Roman" w:hAnsi="Arial" w:cs="Arial"/>
                <w:color w:val="000000"/>
                <w:sz w:val="18"/>
                <w:szCs w:val="18"/>
              </w:rPr>
              <w:t>13,525,649</w:t>
            </w:r>
          </w:p>
          <w:p w14:paraId="5AF90E1D" w14:textId="77777777" w:rsidR="006A7DC9" w:rsidRPr="008070E4" w:rsidRDefault="006A7DC9" w:rsidP="008070E4">
            <w:pPr>
              <w:spacing w:after="0" w:line="240" w:lineRule="auto"/>
              <w:jc w:val="right"/>
              <w:rPr>
                <w:rFonts w:ascii="Arial" w:eastAsia="Times New Roman" w:hAnsi="Arial" w:cs="Arial"/>
                <w:color w:val="000000"/>
                <w:sz w:val="18"/>
                <w:szCs w:val="18"/>
              </w:rPr>
            </w:pPr>
          </w:p>
        </w:tc>
        <w:tc>
          <w:tcPr>
            <w:tcW w:w="0" w:type="auto"/>
            <w:tcBorders>
              <w:top w:val="nil"/>
              <w:left w:val="nil"/>
              <w:bottom w:val="single" w:sz="4" w:space="0" w:color="auto"/>
              <w:right w:val="single" w:sz="8" w:space="0" w:color="auto"/>
            </w:tcBorders>
            <w:shd w:val="clear" w:color="auto" w:fill="auto"/>
            <w:noWrap/>
            <w:vAlign w:val="bottom"/>
            <w:hideMark/>
          </w:tcPr>
          <w:p w14:paraId="1F9F5E68" w14:textId="4B009D31"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w:t>
            </w:r>
            <w:r w:rsidR="007C7A9A" w:rsidRPr="008070E4">
              <w:rPr>
                <w:rFonts w:ascii="Arial" w:eastAsia="Times New Roman" w:hAnsi="Arial" w:cs="Arial"/>
                <w:color w:val="000000"/>
                <w:sz w:val="18"/>
                <w:szCs w:val="18"/>
              </w:rPr>
              <w:t>93,960,923</w:t>
            </w:r>
          </w:p>
          <w:p w14:paraId="3FF57686" w14:textId="77777777" w:rsidR="006A7DC9" w:rsidRPr="008070E4" w:rsidRDefault="006A7DC9" w:rsidP="008070E4">
            <w:pPr>
              <w:spacing w:after="0" w:line="240" w:lineRule="auto"/>
              <w:jc w:val="right"/>
              <w:rPr>
                <w:rFonts w:ascii="Arial" w:eastAsia="Times New Roman" w:hAnsi="Arial" w:cs="Arial"/>
                <w:color w:val="000000"/>
                <w:sz w:val="18"/>
                <w:szCs w:val="18"/>
              </w:rPr>
            </w:pPr>
          </w:p>
        </w:tc>
      </w:tr>
      <w:tr w:rsidR="006A7DC9" w:rsidRPr="008070E4" w14:paraId="5D5754AC" w14:textId="77777777" w:rsidTr="008070E4">
        <w:trPr>
          <w:trHeight w:val="288"/>
          <w:jc w:val="center"/>
        </w:trPr>
        <w:tc>
          <w:tcPr>
            <w:tcW w:w="0" w:type="auto"/>
            <w:tcBorders>
              <w:top w:val="nil"/>
              <w:left w:val="single" w:sz="8" w:space="0" w:color="auto"/>
              <w:bottom w:val="single" w:sz="4" w:space="0" w:color="auto"/>
              <w:right w:val="single" w:sz="4" w:space="0" w:color="auto"/>
            </w:tcBorders>
            <w:shd w:val="clear" w:color="000000" w:fill="FFF2CC"/>
            <w:noWrap/>
            <w:vAlign w:val="bottom"/>
            <w:hideMark/>
          </w:tcPr>
          <w:p w14:paraId="5598C116" w14:textId="696C65AA" w:rsidR="006A7DC9" w:rsidRPr="008070E4" w:rsidRDefault="001B28C4" w:rsidP="008070E4">
            <w:pPr>
              <w:spacing w:after="0" w:line="240" w:lineRule="auto"/>
              <w:rPr>
                <w:rFonts w:ascii="Arial" w:eastAsia="Times New Roman" w:hAnsi="Arial" w:cs="Arial"/>
                <w:color w:val="000000"/>
                <w:sz w:val="18"/>
                <w:szCs w:val="18"/>
              </w:rPr>
            </w:pPr>
            <w:proofErr w:type="spellStart"/>
            <w:r>
              <w:rPr>
                <w:rFonts w:ascii="Arial" w:eastAsia="Times New Roman" w:hAnsi="Arial" w:cs="Arial"/>
                <w:color w:val="000000"/>
                <w:sz w:val="18"/>
                <w:szCs w:val="18"/>
              </w:rPr>
              <w:t>Razó</w:t>
            </w:r>
            <w:r w:rsidR="006A7DC9" w:rsidRPr="008070E4">
              <w:rPr>
                <w:rFonts w:ascii="Arial" w:eastAsia="Times New Roman" w:hAnsi="Arial" w:cs="Arial"/>
                <w:color w:val="000000"/>
                <w:sz w:val="18"/>
                <w:szCs w:val="18"/>
              </w:rPr>
              <w:t>n</w:t>
            </w:r>
            <w:proofErr w:type="spellEnd"/>
            <w:r w:rsidR="006A7DC9" w:rsidRPr="008070E4">
              <w:rPr>
                <w:rFonts w:ascii="Arial" w:eastAsia="Times New Roman" w:hAnsi="Arial" w:cs="Arial"/>
                <w:color w:val="000000"/>
                <w:sz w:val="18"/>
                <w:szCs w:val="18"/>
              </w:rPr>
              <w:t xml:space="preserve"> </w:t>
            </w:r>
            <w:proofErr w:type="spellStart"/>
            <w:r w:rsidR="006A7DC9" w:rsidRPr="008070E4">
              <w:rPr>
                <w:rFonts w:ascii="Arial" w:eastAsia="Times New Roman" w:hAnsi="Arial" w:cs="Arial"/>
                <w:color w:val="000000"/>
                <w:sz w:val="18"/>
                <w:szCs w:val="18"/>
              </w:rPr>
              <w:t>beneficio-costo</w:t>
            </w:r>
            <w:proofErr w:type="spellEnd"/>
          </w:p>
        </w:tc>
        <w:tc>
          <w:tcPr>
            <w:tcW w:w="1669" w:type="dxa"/>
            <w:tcBorders>
              <w:top w:val="nil"/>
              <w:left w:val="nil"/>
              <w:bottom w:val="single" w:sz="4" w:space="0" w:color="auto"/>
              <w:right w:val="single" w:sz="4" w:space="0" w:color="auto"/>
            </w:tcBorders>
            <w:shd w:val="clear" w:color="auto" w:fill="auto"/>
            <w:noWrap/>
            <w:vAlign w:val="bottom"/>
            <w:hideMark/>
          </w:tcPr>
          <w:p w14:paraId="60345B8E" w14:textId="77777777"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2,63</w:t>
            </w:r>
          </w:p>
        </w:tc>
        <w:tc>
          <w:tcPr>
            <w:tcW w:w="1962" w:type="dxa"/>
            <w:tcBorders>
              <w:top w:val="nil"/>
              <w:left w:val="nil"/>
              <w:bottom w:val="single" w:sz="4" w:space="0" w:color="auto"/>
              <w:right w:val="single" w:sz="4" w:space="0" w:color="auto"/>
            </w:tcBorders>
            <w:shd w:val="clear" w:color="auto" w:fill="auto"/>
            <w:noWrap/>
            <w:vAlign w:val="bottom"/>
            <w:hideMark/>
          </w:tcPr>
          <w:p w14:paraId="53A94C5F" w14:textId="7AFAF345"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1,</w:t>
            </w:r>
            <w:r w:rsidR="007C7A9A" w:rsidRPr="008070E4">
              <w:rPr>
                <w:rFonts w:ascii="Arial" w:eastAsia="Times New Roman" w:hAnsi="Arial" w:cs="Arial"/>
                <w:color w:val="000000"/>
                <w:sz w:val="18"/>
                <w:szCs w:val="18"/>
              </w:rPr>
              <w:t>27</w:t>
            </w:r>
          </w:p>
        </w:tc>
        <w:tc>
          <w:tcPr>
            <w:tcW w:w="0" w:type="auto"/>
            <w:tcBorders>
              <w:top w:val="nil"/>
              <w:left w:val="nil"/>
              <w:bottom w:val="single" w:sz="4" w:space="0" w:color="auto"/>
              <w:right w:val="single" w:sz="8" w:space="0" w:color="auto"/>
            </w:tcBorders>
            <w:shd w:val="clear" w:color="auto" w:fill="auto"/>
            <w:noWrap/>
            <w:vAlign w:val="bottom"/>
            <w:hideMark/>
          </w:tcPr>
          <w:p w14:paraId="20E3C708" w14:textId="4AEBED3D" w:rsidR="006A7DC9" w:rsidRPr="008070E4" w:rsidRDefault="007C7A9A"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3,86</w:t>
            </w:r>
          </w:p>
        </w:tc>
      </w:tr>
      <w:tr w:rsidR="006A7DC9" w:rsidRPr="008070E4" w14:paraId="7619BDA9" w14:textId="77777777" w:rsidTr="008070E4">
        <w:trPr>
          <w:trHeight w:val="413"/>
          <w:jc w:val="center"/>
        </w:trPr>
        <w:tc>
          <w:tcPr>
            <w:tcW w:w="0" w:type="auto"/>
            <w:tcBorders>
              <w:top w:val="nil"/>
              <w:left w:val="single" w:sz="8" w:space="0" w:color="auto"/>
              <w:bottom w:val="single" w:sz="8" w:space="0" w:color="auto"/>
              <w:right w:val="single" w:sz="4" w:space="0" w:color="auto"/>
            </w:tcBorders>
            <w:shd w:val="clear" w:color="000000" w:fill="FFF2CC"/>
            <w:noWrap/>
            <w:vAlign w:val="bottom"/>
            <w:hideMark/>
          </w:tcPr>
          <w:p w14:paraId="7A58315C" w14:textId="77777777" w:rsidR="006A7DC9" w:rsidRPr="008070E4" w:rsidRDefault="006A7DC9" w:rsidP="008070E4">
            <w:pPr>
              <w:spacing w:after="0" w:line="240" w:lineRule="auto"/>
              <w:rPr>
                <w:rFonts w:ascii="Arial" w:eastAsia="Times New Roman" w:hAnsi="Arial" w:cs="Arial"/>
                <w:color w:val="000000"/>
                <w:sz w:val="18"/>
                <w:szCs w:val="18"/>
              </w:rPr>
            </w:pPr>
            <w:bookmarkStart w:id="0" w:name="_GoBack"/>
            <w:proofErr w:type="spellStart"/>
            <w:r w:rsidRPr="008070E4">
              <w:rPr>
                <w:rFonts w:ascii="Arial" w:eastAsia="Times New Roman" w:hAnsi="Arial" w:cs="Arial"/>
                <w:color w:val="000000"/>
                <w:sz w:val="18"/>
                <w:szCs w:val="18"/>
              </w:rPr>
              <w:t>Tasa</w:t>
            </w:r>
            <w:proofErr w:type="spellEnd"/>
            <w:r w:rsidRPr="008070E4">
              <w:rPr>
                <w:rFonts w:ascii="Arial" w:eastAsia="Times New Roman" w:hAnsi="Arial" w:cs="Arial"/>
                <w:color w:val="000000"/>
                <w:sz w:val="18"/>
                <w:szCs w:val="18"/>
              </w:rPr>
              <w:t xml:space="preserve"> </w:t>
            </w:r>
            <w:proofErr w:type="spellStart"/>
            <w:r w:rsidRPr="008070E4">
              <w:rPr>
                <w:rFonts w:ascii="Arial" w:eastAsia="Times New Roman" w:hAnsi="Arial" w:cs="Arial"/>
                <w:color w:val="000000"/>
                <w:sz w:val="18"/>
                <w:szCs w:val="18"/>
              </w:rPr>
              <w:t>interna</w:t>
            </w:r>
            <w:proofErr w:type="spellEnd"/>
            <w:r w:rsidRPr="008070E4">
              <w:rPr>
                <w:rFonts w:ascii="Arial" w:eastAsia="Times New Roman" w:hAnsi="Arial" w:cs="Arial"/>
                <w:color w:val="000000"/>
                <w:sz w:val="18"/>
                <w:szCs w:val="18"/>
              </w:rPr>
              <w:t xml:space="preserve"> de </w:t>
            </w:r>
            <w:proofErr w:type="spellStart"/>
            <w:r w:rsidRPr="008070E4">
              <w:rPr>
                <w:rFonts w:ascii="Arial" w:eastAsia="Times New Roman" w:hAnsi="Arial" w:cs="Arial"/>
                <w:color w:val="000000"/>
                <w:sz w:val="18"/>
                <w:szCs w:val="18"/>
              </w:rPr>
              <w:t>retorno</w:t>
            </w:r>
            <w:proofErr w:type="spellEnd"/>
          </w:p>
        </w:tc>
        <w:tc>
          <w:tcPr>
            <w:tcW w:w="1669" w:type="dxa"/>
            <w:tcBorders>
              <w:top w:val="nil"/>
              <w:left w:val="nil"/>
              <w:bottom w:val="single" w:sz="8" w:space="0" w:color="auto"/>
              <w:right w:val="single" w:sz="4" w:space="0" w:color="auto"/>
            </w:tcBorders>
            <w:shd w:val="clear" w:color="auto" w:fill="auto"/>
            <w:noWrap/>
            <w:vAlign w:val="bottom"/>
            <w:hideMark/>
          </w:tcPr>
          <w:p w14:paraId="246A7F53" w14:textId="77777777"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42%</w:t>
            </w:r>
          </w:p>
        </w:tc>
        <w:tc>
          <w:tcPr>
            <w:tcW w:w="1962" w:type="dxa"/>
            <w:tcBorders>
              <w:top w:val="nil"/>
              <w:left w:val="nil"/>
              <w:bottom w:val="single" w:sz="8" w:space="0" w:color="auto"/>
              <w:right w:val="single" w:sz="4" w:space="0" w:color="auto"/>
            </w:tcBorders>
            <w:shd w:val="clear" w:color="auto" w:fill="auto"/>
            <w:noWrap/>
            <w:vAlign w:val="bottom"/>
            <w:hideMark/>
          </w:tcPr>
          <w:p w14:paraId="24A35205" w14:textId="77777777"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30%</w:t>
            </w:r>
          </w:p>
        </w:tc>
        <w:tc>
          <w:tcPr>
            <w:tcW w:w="0" w:type="auto"/>
            <w:tcBorders>
              <w:top w:val="nil"/>
              <w:left w:val="nil"/>
              <w:bottom w:val="single" w:sz="8" w:space="0" w:color="auto"/>
              <w:right w:val="single" w:sz="8" w:space="0" w:color="auto"/>
            </w:tcBorders>
            <w:shd w:val="clear" w:color="auto" w:fill="auto"/>
            <w:noWrap/>
            <w:vAlign w:val="bottom"/>
            <w:hideMark/>
          </w:tcPr>
          <w:p w14:paraId="288E4C81" w14:textId="77777777" w:rsidR="006A7DC9" w:rsidRPr="008070E4" w:rsidRDefault="006A7DC9" w:rsidP="008070E4">
            <w:pPr>
              <w:spacing w:after="0" w:line="240" w:lineRule="auto"/>
              <w:jc w:val="right"/>
              <w:rPr>
                <w:rFonts w:ascii="Arial" w:eastAsia="Times New Roman" w:hAnsi="Arial" w:cs="Arial"/>
                <w:color w:val="000000"/>
                <w:sz w:val="18"/>
                <w:szCs w:val="18"/>
              </w:rPr>
            </w:pPr>
            <w:r w:rsidRPr="008070E4">
              <w:rPr>
                <w:rFonts w:ascii="Arial" w:eastAsia="Times New Roman" w:hAnsi="Arial" w:cs="Arial"/>
                <w:color w:val="000000"/>
                <w:sz w:val="18"/>
                <w:szCs w:val="18"/>
              </w:rPr>
              <w:t>55%</w:t>
            </w:r>
          </w:p>
        </w:tc>
      </w:tr>
      <w:bookmarkEnd w:id="0"/>
    </w:tbl>
    <w:p w14:paraId="3CAEC891" w14:textId="77777777" w:rsidR="00A31B45" w:rsidRPr="008070E4" w:rsidRDefault="00A31B45" w:rsidP="00A31B45">
      <w:pPr>
        <w:rPr>
          <w:rFonts w:ascii="Arial" w:hAnsi="Arial"/>
        </w:rPr>
      </w:pPr>
    </w:p>
    <w:p w14:paraId="185129C9" w14:textId="35E8F14A"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Los resultados muestran valores netos positivos, a pesar de la presencia de escenarios más pesimistas respecto del escenario base.  Incluso si se redujera la meta de reducción de homicidios y de hurtos, de 22% a un 10%, los flujos netos serían positivos.  Lo mismo si se supusiera que el monto promedio de cada robo/hurto se redujera a la mitad respecto del escenario base (en 201</w:t>
      </w:r>
      <w:r w:rsidR="00E2406F" w:rsidRPr="008070E4">
        <w:rPr>
          <w:rFonts w:ascii="Arial" w:hAnsi="Arial" w:cs="Arial"/>
          <w:szCs w:val="24"/>
        </w:rPr>
        <w:t>9</w:t>
      </w:r>
      <w:r w:rsidRPr="008070E4">
        <w:rPr>
          <w:rFonts w:ascii="Arial" w:hAnsi="Arial" w:cs="Arial"/>
          <w:szCs w:val="24"/>
        </w:rPr>
        <w:t>, y se sigue ajustando por la inflación).</w:t>
      </w:r>
    </w:p>
    <w:p w14:paraId="7CBCC5F4" w14:textId="601376AE" w:rsidR="00A31B45" w:rsidRPr="008070E4" w:rsidRDefault="00A31B45" w:rsidP="007C7A9A">
      <w:pPr>
        <w:pStyle w:val="Paragraph"/>
        <w:numPr>
          <w:ilvl w:val="0"/>
          <w:numId w:val="0"/>
        </w:numPr>
        <w:spacing w:before="0" w:after="0"/>
        <w:rPr>
          <w:rFonts w:ascii="Arial" w:hAnsi="Arial"/>
          <w:lang w:val="es-ES_tradnl"/>
        </w:rPr>
      </w:pPr>
    </w:p>
    <w:p w14:paraId="71031BD9" w14:textId="77777777" w:rsidR="00A31B45" w:rsidRPr="008070E4" w:rsidRDefault="00A31B45" w:rsidP="00A31B45">
      <w:pPr>
        <w:pStyle w:val="Heading1"/>
        <w:keepNext/>
        <w:keepLines/>
        <w:spacing w:before="240" w:after="240" w:line="259" w:lineRule="auto"/>
        <w:ind w:left="714" w:hanging="357"/>
        <w:contextualSpacing w:val="0"/>
        <w:jc w:val="both"/>
        <w:rPr>
          <w:rFonts w:ascii="Arial" w:hAnsi="Arial"/>
        </w:rPr>
      </w:pPr>
      <w:r w:rsidRPr="008070E4">
        <w:rPr>
          <w:rFonts w:ascii="Arial" w:hAnsi="Arial"/>
        </w:rPr>
        <w:t>Conclusiones</w:t>
      </w:r>
    </w:p>
    <w:p w14:paraId="1F503790" w14:textId="3422F848"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 xml:space="preserve">El análisis Costo – Beneficio realizado a las expectativas del Proyecto de  Mejora de los Servicios de Prevención y Atención al Delito en Barrios Vulnerables al Crimen y la Violencia en el Perú revela que el mismo es viable desde el punto de vista económico, toda vez que los flujos netos futuros revelan un valor presente neto positivo de US$ </w:t>
      </w:r>
      <w:r w:rsidR="007C7A9A" w:rsidRPr="008070E4">
        <w:rPr>
          <w:rFonts w:ascii="Arial" w:hAnsi="Arial" w:cs="Arial"/>
          <w:szCs w:val="24"/>
        </w:rPr>
        <w:t>89</w:t>
      </w:r>
      <w:r w:rsidRPr="008070E4">
        <w:rPr>
          <w:rFonts w:ascii="Arial" w:hAnsi="Arial" w:cs="Arial"/>
          <w:szCs w:val="24"/>
        </w:rPr>
        <w:t>,6 millones y, consecuentemente, una tasa interna de retorno (</w:t>
      </w:r>
      <w:r w:rsidR="007C7A9A" w:rsidRPr="008070E4">
        <w:rPr>
          <w:rFonts w:ascii="Arial" w:hAnsi="Arial" w:cs="Arial"/>
          <w:szCs w:val="24"/>
        </w:rPr>
        <w:t>150</w:t>
      </w:r>
      <w:r w:rsidRPr="008070E4">
        <w:rPr>
          <w:rFonts w:ascii="Arial" w:hAnsi="Arial" w:cs="Arial"/>
          <w:szCs w:val="24"/>
        </w:rPr>
        <w:t>%) superior a la tasa de descuento empleada.</w:t>
      </w:r>
    </w:p>
    <w:p w14:paraId="63706029" w14:textId="693025AF" w:rsidR="00A31B45" w:rsidRPr="008070E4" w:rsidRDefault="00A31B45" w:rsidP="00A4112D">
      <w:pPr>
        <w:pStyle w:val="Paragraph"/>
        <w:numPr>
          <w:ilvl w:val="1"/>
          <w:numId w:val="4"/>
        </w:numPr>
        <w:spacing w:before="0" w:after="0"/>
        <w:ind w:left="567" w:hanging="567"/>
        <w:rPr>
          <w:rFonts w:ascii="Arial" w:hAnsi="Arial" w:cs="Arial"/>
          <w:szCs w:val="24"/>
        </w:rPr>
      </w:pPr>
      <w:r w:rsidRPr="008070E4">
        <w:rPr>
          <w:rFonts w:ascii="Arial" w:hAnsi="Arial" w:cs="Arial"/>
          <w:szCs w:val="24"/>
        </w:rPr>
        <w:t xml:space="preserve">Los beneficios resultan principalmente de la reducción esperada en el número de delitos tales como </w:t>
      </w:r>
      <w:r w:rsidR="001B28C4">
        <w:rPr>
          <w:rFonts w:ascii="Arial" w:hAnsi="Arial" w:cs="Arial"/>
          <w:szCs w:val="24"/>
        </w:rPr>
        <w:t>los homicidios, robos y hurtos.</w:t>
      </w:r>
      <w:r w:rsidRPr="008070E4">
        <w:rPr>
          <w:rFonts w:ascii="Arial" w:hAnsi="Arial" w:cs="Arial"/>
          <w:szCs w:val="24"/>
        </w:rPr>
        <w:t xml:space="preserve"> Esas reducciones han sido valorizadas utilizand</w:t>
      </w:r>
      <w:r w:rsidR="001B28C4">
        <w:rPr>
          <w:rFonts w:ascii="Arial" w:hAnsi="Arial" w:cs="Arial"/>
          <w:szCs w:val="24"/>
        </w:rPr>
        <w:t>o algunos supuestos razonables.</w:t>
      </w:r>
      <w:r w:rsidRPr="008070E4">
        <w:rPr>
          <w:rFonts w:ascii="Arial" w:hAnsi="Arial" w:cs="Arial"/>
          <w:szCs w:val="24"/>
        </w:rPr>
        <w:t xml:space="preserve"> El análisis de sensibilidad, alterando algunos de esos supuestos hacia escenarios más pesimistas, sigue brindando flujos netos positivos en valor presente.</w:t>
      </w:r>
    </w:p>
    <w:p w14:paraId="6925DE5B" w14:textId="03DC9590" w:rsidR="00A31B45" w:rsidRPr="008070E4" w:rsidRDefault="00A31B45" w:rsidP="00A4112D">
      <w:pPr>
        <w:pStyle w:val="Paragraph"/>
        <w:numPr>
          <w:ilvl w:val="1"/>
          <w:numId w:val="4"/>
        </w:numPr>
        <w:spacing w:before="0" w:after="0"/>
        <w:ind w:left="567" w:hanging="567"/>
        <w:rPr>
          <w:rFonts w:ascii="Arial" w:hAnsi="Arial"/>
          <w:lang w:val="es-ES_tradnl"/>
        </w:rPr>
      </w:pPr>
      <w:r w:rsidRPr="008070E4">
        <w:rPr>
          <w:rFonts w:ascii="Arial" w:hAnsi="Arial" w:cs="Arial"/>
          <w:szCs w:val="24"/>
        </w:rPr>
        <w:t>El análisis efectuado se ha circunscrito a los resultados esperados en las 107 jurisdicciones donde el Proyecto actuará directamente, y sólo ha considerado tres resultados esperados debido principalmente a la</w:t>
      </w:r>
      <w:r w:rsidR="001B28C4">
        <w:rPr>
          <w:rFonts w:ascii="Arial" w:hAnsi="Arial" w:cs="Arial"/>
          <w:szCs w:val="24"/>
        </w:rPr>
        <w:t xml:space="preserve"> </w:t>
      </w:r>
      <w:r w:rsidR="001B28C4">
        <w:rPr>
          <w:rFonts w:ascii="Arial" w:hAnsi="Arial" w:cs="Arial"/>
          <w:szCs w:val="24"/>
        </w:rPr>
        <w:lastRenderedPageBreak/>
        <w:t>disponibilidad de información.</w:t>
      </w:r>
      <w:r w:rsidRPr="008070E4">
        <w:rPr>
          <w:rFonts w:ascii="Arial" w:hAnsi="Arial" w:cs="Arial"/>
          <w:szCs w:val="24"/>
        </w:rPr>
        <w:t xml:space="preserve"> Es de esperar que las actividades a realizarse incidan sobre otros indicadores de delito, tales como la reducción en el robo de viviendas o en el número de lesionados debido a los delitos, variables cuya reducción también representa beneficios que por el momento son difíciles de valorizar económicamente debido a la disponibilidad de información</w:t>
      </w:r>
      <w:r w:rsidRPr="008070E4">
        <w:rPr>
          <w:rFonts w:ascii="Arial" w:hAnsi="Arial"/>
          <w:lang w:val="es-ES_tradnl"/>
        </w:rPr>
        <w:t xml:space="preserve">. </w:t>
      </w:r>
    </w:p>
    <w:p w14:paraId="1CF25076" w14:textId="77777777" w:rsidR="00A31B45" w:rsidRPr="008070E4" w:rsidRDefault="00A31B45" w:rsidP="00A31B45">
      <w:pPr>
        <w:pStyle w:val="Paragraph"/>
        <w:numPr>
          <w:ilvl w:val="0"/>
          <w:numId w:val="0"/>
        </w:numPr>
        <w:spacing w:before="0" w:after="0"/>
        <w:ind w:left="720" w:hanging="720"/>
        <w:rPr>
          <w:rFonts w:ascii="Arial" w:hAnsi="Arial" w:cs="Arial"/>
        </w:rPr>
      </w:pPr>
    </w:p>
    <w:sectPr w:rsidR="00A31B45" w:rsidRPr="008070E4" w:rsidSect="00214954">
      <w:headerReference w:type="default" r:id="rId15"/>
      <w:footerReference w:type="default" r:id="rId16"/>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E2A6E" w14:textId="77777777" w:rsidR="000D05C5" w:rsidRDefault="000D05C5" w:rsidP="00CF5271">
      <w:pPr>
        <w:spacing w:after="0" w:line="240" w:lineRule="auto"/>
      </w:pPr>
      <w:r>
        <w:separator/>
      </w:r>
    </w:p>
  </w:endnote>
  <w:endnote w:type="continuationSeparator" w:id="0">
    <w:p w14:paraId="071C9B01" w14:textId="77777777" w:rsidR="000D05C5" w:rsidRDefault="000D05C5" w:rsidP="00CF5271">
      <w:pPr>
        <w:spacing w:after="0" w:line="240" w:lineRule="auto"/>
      </w:pPr>
      <w:r>
        <w:continuationSeparator/>
      </w:r>
    </w:p>
  </w:endnote>
  <w:endnote w:type="continuationNotice" w:id="1">
    <w:p w14:paraId="30C46856" w14:textId="77777777" w:rsidR="000D05C5" w:rsidRDefault="000D05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5C91A" w14:textId="77777777" w:rsidR="008070E4" w:rsidRDefault="008070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00CD4" w14:textId="77777777" w:rsidR="000D05C5" w:rsidRDefault="000D05C5" w:rsidP="00CF5271">
      <w:pPr>
        <w:spacing w:after="0" w:line="240" w:lineRule="auto"/>
      </w:pPr>
      <w:r>
        <w:separator/>
      </w:r>
    </w:p>
  </w:footnote>
  <w:footnote w:type="continuationSeparator" w:id="0">
    <w:p w14:paraId="64425454" w14:textId="77777777" w:rsidR="000D05C5" w:rsidRDefault="000D05C5" w:rsidP="00CF5271">
      <w:pPr>
        <w:spacing w:after="0" w:line="240" w:lineRule="auto"/>
      </w:pPr>
      <w:r>
        <w:continuationSeparator/>
      </w:r>
    </w:p>
  </w:footnote>
  <w:footnote w:type="continuationNotice" w:id="1">
    <w:p w14:paraId="17E4A3A7" w14:textId="77777777" w:rsidR="000D05C5" w:rsidRDefault="000D05C5">
      <w:pPr>
        <w:spacing w:after="0" w:line="240" w:lineRule="auto"/>
      </w:pPr>
    </w:p>
  </w:footnote>
  <w:footnote w:id="2">
    <w:p w14:paraId="6CD0449D" w14:textId="77777777" w:rsidR="008070E4" w:rsidRPr="00A31B45" w:rsidRDefault="008070E4" w:rsidP="008070E4">
      <w:pPr>
        <w:jc w:val="both"/>
        <w:rPr>
          <w:lang w:val="es-ES_tradnl"/>
        </w:rPr>
      </w:pPr>
      <w:r>
        <w:rPr>
          <w:rStyle w:val="FootnoteReference"/>
        </w:rPr>
        <w:footnoteRef/>
      </w:r>
      <w:r w:rsidRPr="00A31B45">
        <w:rPr>
          <w:lang w:val="es-ES_tradnl"/>
        </w:rPr>
        <w:t xml:space="preserve"> </w:t>
      </w:r>
      <w:r w:rsidRPr="00A31B45">
        <w:rPr>
          <w:sz w:val="18"/>
          <w:szCs w:val="18"/>
          <w:lang w:val="es-ES_tradnl"/>
        </w:rPr>
        <w:t xml:space="preserve">El impacto del robo y el hurto en la economía doméstica: un estudio exploratorio sobre los datos de Lima Metropolitana, por </w:t>
      </w:r>
      <w:proofErr w:type="spellStart"/>
      <w:r w:rsidRPr="00A31B45">
        <w:rPr>
          <w:sz w:val="18"/>
          <w:szCs w:val="18"/>
          <w:lang w:val="es-ES_tradnl"/>
        </w:rPr>
        <w:t>Jaris</w:t>
      </w:r>
      <w:proofErr w:type="spellEnd"/>
      <w:r w:rsidRPr="00A31B45">
        <w:rPr>
          <w:sz w:val="18"/>
          <w:szCs w:val="18"/>
          <w:lang w:val="es-ES_tradnl"/>
        </w:rPr>
        <w:t xml:space="preserve"> Mujica, Nicolás Zevallos, Noam López y Bertha Prado.  Pontificia Universidad Católica del Perú PUCP, Lima, Perú. Debates en Sociología N° 40, 2015, pp.  127-147. ISSN 0254-9220.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8866A" w14:textId="77777777" w:rsidR="008070E4" w:rsidRDefault="008070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458D74C5"/>
    <w:multiLevelType w:val="hybridMultilevel"/>
    <w:tmpl w:val="3D16EE36"/>
    <w:lvl w:ilvl="0" w:tplc="2C0A0001">
      <w:start w:val="1"/>
      <w:numFmt w:val="bullet"/>
      <w:lvlText w:val=""/>
      <w:lvlJc w:val="left"/>
      <w:pPr>
        <w:ind w:left="360" w:hanging="360"/>
      </w:pPr>
      <w:rPr>
        <w:rFonts w:ascii="Symbol" w:hAnsi="Symbol" w:hint="default"/>
      </w:rPr>
    </w:lvl>
    <w:lvl w:ilvl="1" w:tplc="1138CEA0">
      <w:start w:val="1"/>
      <w:numFmt w:val="bullet"/>
      <w:pStyle w:val="Vietasanexo"/>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 w15:restartNumberingAfterBreak="0">
    <w:nsid w:val="4A167A3E"/>
    <w:multiLevelType w:val="hybridMultilevel"/>
    <w:tmpl w:val="9D3C99A2"/>
    <w:lvl w:ilvl="0" w:tplc="935EF358">
      <w:start w:val="1"/>
      <w:numFmt w:val="decimal"/>
      <w:pStyle w:val="TItuloAnexo"/>
      <w:lvlText w:val="%1."/>
      <w:lvlJc w:val="left"/>
      <w:pPr>
        <w:ind w:left="928" w:hanging="360"/>
      </w:pPr>
      <w:rPr>
        <w:rFonts w:hint="default"/>
      </w:rPr>
    </w:lvl>
    <w:lvl w:ilvl="1" w:tplc="2C0A0019">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5" w15:restartNumberingAfterBreak="0">
    <w:nsid w:val="515915DF"/>
    <w:multiLevelType w:val="multilevel"/>
    <w:tmpl w:val="518270AE"/>
    <w:lvl w:ilvl="0">
      <w:start w:val="1"/>
      <w:numFmt w:val="upperRoman"/>
      <w:lvlText w:val="%1."/>
      <w:lvlJc w:val="left"/>
      <w:pPr>
        <w:ind w:left="360" w:hanging="36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num w:numId="1">
    <w:abstractNumId w:val="5"/>
  </w:num>
  <w:num w:numId="2">
    <w:abstractNumId w:val="0"/>
  </w:num>
  <w:num w:numId="3">
    <w:abstractNumId w:val="2"/>
  </w:num>
  <w:num w:numId="4">
    <w:abstractNumId w:val="1"/>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0033"/>
    <w:rsid w:val="00002B2F"/>
    <w:rsid w:val="00005774"/>
    <w:rsid w:val="00005BB5"/>
    <w:rsid w:val="00005EDC"/>
    <w:rsid w:val="00006AD6"/>
    <w:rsid w:val="000117CA"/>
    <w:rsid w:val="00012B9A"/>
    <w:rsid w:val="00013021"/>
    <w:rsid w:val="0001439F"/>
    <w:rsid w:val="00014B7A"/>
    <w:rsid w:val="00015F9B"/>
    <w:rsid w:val="000163C5"/>
    <w:rsid w:val="0001649F"/>
    <w:rsid w:val="00020F94"/>
    <w:rsid w:val="000232C9"/>
    <w:rsid w:val="00023520"/>
    <w:rsid w:val="0002367A"/>
    <w:rsid w:val="0002382F"/>
    <w:rsid w:val="000250B3"/>
    <w:rsid w:val="00027BD0"/>
    <w:rsid w:val="00030267"/>
    <w:rsid w:val="00030B76"/>
    <w:rsid w:val="00031E1C"/>
    <w:rsid w:val="00032087"/>
    <w:rsid w:val="00036F86"/>
    <w:rsid w:val="000379DC"/>
    <w:rsid w:val="00040226"/>
    <w:rsid w:val="00040932"/>
    <w:rsid w:val="000435C2"/>
    <w:rsid w:val="000447E8"/>
    <w:rsid w:val="00044CA5"/>
    <w:rsid w:val="00045FAD"/>
    <w:rsid w:val="00045FE4"/>
    <w:rsid w:val="0004790A"/>
    <w:rsid w:val="0005267A"/>
    <w:rsid w:val="000532C5"/>
    <w:rsid w:val="00055C95"/>
    <w:rsid w:val="000567C4"/>
    <w:rsid w:val="00060365"/>
    <w:rsid w:val="000615C6"/>
    <w:rsid w:val="00062917"/>
    <w:rsid w:val="0006373A"/>
    <w:rsid w:val="0006705A"/>
    <w:rsid w:val="0006750F"/>
    <w:rsid w:val="0006764A"/>
    <w:rsid w:val="000705C8"/>
    <w:rsid w:val="00070B2A"/>
    <w:rsid w:val="00072EAB"/>
    <w:rsid w:val="00073D06"/>
    <w:rsid w:val="00080F7E"/>
    <w:rsid w:val="00084563"/>
    <w:rsid w:val="000866BA"/>
    <w:rsid w:val="00086A1C"/>
    <w:rsid w:val="00086C0F"/>
    <w:rsid w:val="0009128E"/>
    <w:rsid w:val="0009172A"/>
    <w:rsid w:val="000918F4"/>
    <w:rsid w:val="00092073"/>
    <w:rsid w:val="0009248A"/>
    <w:rsid w:val="00094F89"/>
    <w:rsid w:val="00095081"/>
    <w:rsid w:val="00095862"/>
    <w:rsid w:val="00096255"/>
    <w:rsid w:val="00096BD0"/>
    <w:rsid w:val="00097D91"/>
    <w:rsid w:val="000A005B"/>
    <w:rsid w:val="000A250F"/>
    <w:rsid w:val="000A254F"/>
    <w:rsid w:val="000A4240"/>
    <w:rsid w:val="000A474D"/>
    <w:rsid w:val="000A5455"/>
    <w:rsid w:val="000A57B1"/>
    <w:rsid w:val="000A6211"/>
    <w:rsid w:val="000A69B7"/>
    <w:rsid w:val="000B05C1"/>
    <w:rsid w:val="000B0A43"/>
    <w:rsid w:val="000B389F"/>
    <w:rsid w:val="000B3F73"/>
    <w:rsid w:val="000B59E1"/>
    <w:rsid w:val="000B6483"/>
    <w:rsid w:val="000C17DD"/>
    <w:rsid w:val="000C46A7"/>
    <w:rsid w:val="000C46E0"/>
    <w:rsid w:val="000C6E12"/>
    <w:rsid w:val="000D05C5"/>
    <w:rsid w:val="000D0A77"/>
    <w:rsid w:val="000D3602"/>
    <w:rsid w:val="000D3AFA"/>
    <w:rsid w:val="000D6314"/>
    <w:rsid w:val="000D64EC"/>
    <w:rsid w:val="000D6C2A"/>
    <w:rsid w:val="000E5FFA"/>
    <w:rsid w:val="000E6DC9"/>
    <w:rsid w:val="000F21DB"/>
    <w:rsid w:val="000F2840"/>
    <w:rsid w:val="000F49D2"/>
    <w:rsid w:val="000F4BF7"/>
    <w:rsid w:val="000F501E"/>
    <w:rsid w:val="00100AB6"/>
    <w:rsid w:val="00101123"/>
    <w:rsid w:val="0010145A"/>
    <w:rsid w:val="001030A5"/>
    <w:rsid w:val="00103836"/>
    <w:rsid w:val="00107A6D"/>
    <w:rsid w:val="00110CE8"/>
    <w:rsid w:val="00111647"/>
    <w:rsid w:val="00112CE5"/>
    <w:rsid w:val="001143E4"/>
    <w:rsid w:val="001144BE"/>
    <w:rsid w:val="00116FD5"/>
    <w:rsid w:val="00117D42"/>
    <w:rsid w:val="00120318"/>
    <w:rsid w:val="00120945"/>
    <w:rsid w:val="00120F5E"/>
    <w:rsid w:val="001219E2"/>
    <w:rsid w:val="001246EE"/>
    <w:rsid w:val="0012607B"/>
    <w:rsid w:val="0012683F"/>
    <w:rsid w:val="00126A3E"/>
    <w:rsid w:val="001309E8"/>
    <w:rsid w:val="00131C2D"/>
    <w:rsid w:val="00132D5C"/>
    <w:rsid w:val="0013499E"/>
    <w:rsid w:val="00140173"/>
    <w:rsid w:val="001423A3"/>
    <w:rsid w:val="001429C4"/>
    <w:rsid w:val="001439C9"/>
    <w:rsid w:val="00146B6D"/>
    <w:rsid w:val="001472FC"/>
    <w:rsid w:val="0015295A"/>
    <w:rsid w:val="00152CB9"/>
    <w:rsid w:val="0015534D"/>
    <w:rsid w:val="00155361"/>
    <w:rsid w:val="00160A20"/>
    <w:rsid w:val="00161975"/>
    <w:rsid w:val="00163675"/>
    <w:rsid w:val="0016597C"/>
    <w:rsid w:val="00166F59"/>
    <w:rsid w:val="00167B44"/>
    <w:rsid w:val="00170C27"/>
    <w:rsid w:val="00170F5E"/>
    <w:rsid w:val="00171377"/>
    <w:rsid w:val="001720BB"/>
    <w:rsid w:val="001724AD"/>
    <w:rsid w:val="00173607"/>
    <w:rsid w:val="00174B82"/>
    <w:rsid w:val="001767D4"/>
    <w:rsid w:val="00176933"/>
    <w:rsid w:val="00177892"/>
    <w:rsid w:val="00177EED"/>
    <w:rsid w:val="0018102F"/>
    <w:rsid w:val="001827E7"/>
    <w:rsid w:val="00183F9E"/>
    <w:rsid w:val="0018538F"/>
    <w:rsid w:val="001865CF"/>
    <w:rsid w:val="00187201"/>
    <w:rsid w:val="001903F0"/>
    <w:rsid w:val="00196286"/>
    <w:rsid w:val="001A2A90"/>
    <w:rsid w:val="001A67B3"/>
    <w:rsid w:val="001B0867"/>
    <w:rsid w:val="001B0A90"/>
    <w:rsid w:val="001B28C4"/>
    <w:rsid w:val="001B348B"/>
    <w:rsid w:val="001B3BF7"/>
    <w:rsid w:val="001B4CA1"/>
    <w:rsid w:val="001B6084"/>
    <w:rsid w:val="001B6E82"/>
    <w:rsid w:val="001C0414"/>
    <w:rsid w:val="001C268B"/>
    <w:rsid w:val="001C2F1A"/>
    <w:rsid w:val="001C393B"/>
    <w:rsid w:val="001C3DCA"/>
    <w:rsid w:val="001D2D2E"/>
    <w:rsid w:val="001D3A29"/>
    <w:rsid w:val="001D7ADC"/>
    <w:rsid w:val="001D7F81"/>
    <w:rsid w:val="001E1015"/>
    <w:rsid w:val="001E150A"/>
    <w:rsid w:val="001E7B41"/>
    <w:rsid w:val="001F0D61"/>
    <w:rsid w:val="001F0E20"/>
    <w:rsid w:val="001F52BD"/>
    <w:rsid w:val="001F5569"/>
    <w:rsid w:val="001F64FF"/>
    <w:rsid w:val="002004C6"/>
    <w:rsid w:val="00201A8D"/>
    <w:rsid w:val="00203219"/>
    <w:rsid w:val="002033E1"/>
    <w:rsid w:val="0020431D"/>
    <w:rsid w:val="00204E18"/>
    <w:rsid w:val="00205916"/>
    <w:rsid w:val="00207204"/>
    <w:rsid w:val="00207512"/>
    <w:rsid w:val="0021056E"/>
    <w:rsid w:val="00212704"/>
    <w:rsid w:val="00212AE0"/>
    <w:rsid w:val="00214954"/>
    <w:rsid w:val="00215D5A"/>
    <w:rsid w:val="002168BA"/>
    <w:rsid w:val="002216F9"/>
    <w:rsid w:val="00223776"/>
    <w:rsid w:val="00223948"/>
    <w:rsid w:val="00224867"/>
    <w:rsid w:val="002306A0"/>
    <w:rsid w:val="002308DC"/>
    <w:rsid w:val="0023096C"/>
    <w:rsid w:val="002341D5"/>
    <w:rsid w:val="0023775E"/>
    <w:rsid w:val="00240208"/>
    <w:rsid w:val="00244A62"/>
    <w:rsid w:val="00245F30"/>
    <w:rsid w:val="00247EEA"/>
    <w:rsid w:val="0025036F"/>
    <w:rsid w:val="00250849"/>
    <w:rsid w:val="00252502"/>
    <w:rsid w:val="00253B58"/>
    <w:rsid w:val="002547CF"/>
    <w:rsid w:val="00255199"/>
    <w:rsid w:val="0025778E"/>
    <w:rsid w:val="002609EC"/>
    <w:rsid w:val="00260D92"/>
    <w:rsid w:val="00262F23"/>
    <w:rsid w:val="00263BC4"/>
    <w:rsid w:val="00266113"/>
    <w:rsid w:val="002739B2"/>
    <w:rsid w:val="0027433B"/>
    <w:rsid w:val="002743B9"/>
    <w:rsid w:val="0027496B"/>
    <w:rsid w:val="00274BD5"/>
    <w:rsid w:val="00276FA6"/>
    <w:rsid w:val="00277E59"/>
    <w:rsid w:val="0028026A"/>
    <w:rsid w:val="00286534"/>
    <w:rsid w:val="002873E1"/>
    <w:rsid w:val="002905B3"/>
    <w:rsid w:val="00292081"/>
    <w:rsid w:val="002922B0"/>
    <w:rsid w:val="00295686"/>
    <w:rsid w:val="0029622F"/>
    <w:rsid w:val="00296F07"/>
    <w:rsid w:val="002A1FC4"/>
    <w:rsid w:val="002A2073"/>
    <w:rsid w:val="002A21EA"/>
    <w:rsid w:val="002A3131"/>
    <w:rsid w:val="002A4399"/>
    <w:rsid w:val="002A74E4"/>
    <w:rsid w:val="002A7F09"/>
    <w:rsid w:val="002B0857"/>
    <w:rsid w:val="002B18ED"/>
    <w:rsid w:val="002B31BC"/>
    <w:rsid w:val="002B650D"/>
    <w:rsid w:val="002B6B10"/>
    <w:rsid w:val="002B6C79"/>
    <w:rsid w:val="002B6E13"/>
    <w:rsid w:val="002B737A"/>
    <w:rsid w:val="002C0156"/>
    <w:rsid w:val="002C0829"/>
    <w:rsid w:val="002C167A"/>
    <w:rsid w:val="002C1CD6"/>
    <w:rsid w:val="002C3AEE"/>
    <w:rsid w:val="002C48F0"/>
    <w:rsid w:val="002C5257"/>
    <w:rsid w:val="002C54E7"/>
    <w:rsid w:val="002C571F"/>
    <w:rsid w:val="002C5E1A"/>
    <w:rsid w:val="002D29C7"/>
    <w:rsid w:val="002D4369"/>
    <w:rsid w:val="002D4E00"/>
    <w:rsid w:val="002D6F93"/>
    <w:rsid w:val="002D7584"/>
    <w:rsid w:val="002D7864"/>
    <w:rsid w:val="002D78F7"/>
    <w:rsid w:val="002E02A7"/>
    <w:rsid w:val="002E1368"/>
    <w:rsid w:val="002E147E"/>
    <w:rsid w:val="002E26C6"/>
    <w:rsid w:val="002E2E35"/>
    <w:rsid w:val="002E4202"/>
    <w:rsid w:val="002E4618"/>
    <w:rsid w:val="002E6B84"/>
    <w:rsid w:val="002E6BE0"/>
    <w:rsid w:val="002E7C5D"/>
    <w:rsid w:val="002E7EAF"/>
    <w:rsid w:val="002F1652"/>
    <w:rsid w:val="002F1A99"/>
    <w:rsid w:val="002F27CA"/>
    <w:rsid w:val="002F38F9"/>
    <w:rsid w:val="002F3B75"/>
    <w:rsid w:val="002F4237"/>
    <w:rsid w:val="002F50C6"/>
    <w:rsid w:val="002F7EA4"/>
    <w:rsid w:val="00300939"/>
    <w:rsid w:val="00300ACA"/>
    <w:rsid w:val="00300D75"/>
    <w:rsid w:val="003030CC"/>
    <w:rsid w:val="0030523D"/>
    <w:rsid w:val="00307417"/>
    <w:rsid w:val="00311FD5"/>
    <w:rsid w:val="00313961"/>
    <w:rsid w:val="003140D5"/>
    <w:rsid w:val="00315455"/>
    <w:rsid w:val="00315CCB"/>
    <w:rsid w:val="003208FA"/>
    <w:rsid w:val="00323CBD"/>
    <w:rsid w:val="0032488E"/>
    <w:rsid w:val="00327B2C"/>
    <w:rsid w:val="003311E6"/>
    <w:rsid w:val="00331A2D"/>
    <w:rsid w:val="003332AB"/>
    <w:rsid w:val="003336BA"/>
    <w:rsid w:val="00334211"/>
    <w:rsid w:val="0033457E"/>
    <w:rsid w:val="0033569A"/>
    <w:rsid w:val="003370D2"/>
    <w:rsid w:val="003376DF"/>
    <w:rsid w:val="00340C8E"/>
    <w:rsid w:val="00343805"/>
    <w:rsid w:val="00347051"/>
    <w:rsid w:val="00350002"/>
    <w:rsid w:val="00351067"/>
    <w:rsid w:val="0035511C"/>
    <w:rsid w:val="00356267"/>
    <w:rsid w:val="003563D5"/>
    <w:rsid w:val="0035673A"/>
    <w:rsid w:val="00356AD0"/>
    <w:rsid w:val="00356FCF"/>
    <w:rsid w:val="00357790"/>
    <w:rsid w:val="00360C5E"/>
    <w:rsid w:val="00362D8A"/>
    <w:rsid w:val="00364558"/>
    <w:rsid w:val="003648F7"/>
    <w:rsid w:val="00365D93"/>
    <w:rsid w:val="00375200"/>
    <w:rsid w:val="00376FC1"/>
    <w:rsid w:val="003777EA"/>
    <w:rsid w:val="003805D2"/>
    <w:rsid w:val="00381F8D"/>
    <w:rsid w:val="00382806"/>
    <w:rsid w:val="00384560"/>
    <w:rsid w:val="00386B8A"/>
    <w:rsid w:val="0039137B"/>
    <w:rsid w:val="003918B7"/>
    <w:rsid w:val="00392214"/>
    <w:rsid w:val="0039464D"/>
    <w:rsid w:val="00395746"/>
    <w:rsid w:val="003970BE"/>
    <w:rsid w:val="003A068D"/>
    <w:rsid w:val="003A0E30"/>
    <w:rsid w:val="003A21FB"/>
    <w:rsid w:val="003A38B1"/>
    <w:rsid w:val="003A3FC4"/>
    <w:rsid w:val="003A453B"/>
    <w:rsid w:val="003A4F00"/>
    <w:rsid w:val="003B0030"/>
    <w:rsid w:val="003B0AAC"/>
    <w:rsid w:val="003B228A"/>
    <w:rsid w:val="003B4278"/>
    <w:rsid w:val="003C0446"/>
    <w:rsid w:val="003C08A4"/>
    <w:rsid w:val="003C3C2F"/>
    <w:rsid w:val="003C531B"/>
    <w:rsid w:val="003C53F4"/>
    <w:rsid w:val="003C6215"/>
    <w:rsid w:val="003C64D3"/>
    <w:rsid w:val="003C64E0"/>
    <w:rsid w:val="003D182A"/>
    <w:rsid w:val="003D1867"/>
    <w:rsid w:val="003D308B"/>
    <w:rsid w:val="003D4E74"/>
    <w:rsid w:val="003D5197"/>
    <w:rsid w:val="003D5EC2"/>
    <w:rsid w:val="003D6624"/>
    <w:rsid w:val="003E494A"/>
    <w:rsid w:val="003E61DA"/>
    <w:rsid w:val="003E71C0"/>
    <w:rsid w:val="003F0640"/>
    <w:rsid w:val="003F5FAD"/>
    <w:rsid w:val="003F7517"/>
    <w:rsid w:val="00402721"/>
    <w:rsid w:val="004078AA"/>
    <w:rsid w:val="00417DB7"/>
    <w:rsid w:val="00420840"/>
    <w:rsid w:val="004210C5"/>
    <w:rsid w:val="00421FC8"/>
    <w:rsid w:val="00423EB8"/>
    <w:rsid w:val="00424539"/>
    <w:rsid w:val="004249B4"/>
    <w:rsid w:val="0042561E"/>
    <w:rsid w:val="0042581D"/>
    <w:rsid w:val="00426427"/>
    <w:rsid w:val="00426736"/>
    <w:rsid w:val="0043108F"/>
    <w:rsid w:val="00431689"/>
    <w:rsid w:val="00435054"/>
    <w:rsid w:val="004421F2"/>
    <w:rsid w:val="00442B47"/>
    <w:rsid w:val="00442BDF"/>
    <w:rsid w:val="004434A5"/>
    <w:rsid w:val="00445382"/>
    <w:rsid w:val="004478AE"/>
    <w:rsid w:val="00447921"/>
    <w:rsid w:val="00450385"/>
    <w:rsid w:val="00450481"/>
    <w:rsid w:val="00452907"/>
    <w:rsid w:val="00453ED5"/>
    <w:rsid w:val="00455F47"/>
    <w:rsid w:val="004564D7"/>
    <w:rsid w:val="00456A59"/>
    <w:rsid w:val="004617EA"/>
    <w:rsid w:val="00462308"/>
    <w:rsid w:val="00462B01"/>
    <w:rsid w:val="00467669"/>
    <w:rsid w:val="00470D03"/>
    <w:rsid w:val="00473037"/>
    <w:rsid w:val="00473371"/>
    <w:rsid w:val="00473E76"/>
    <w:rsid w:val="00474B5D"/>
    <w:rsid w:val="0048244D"/>
    <w:rsid w:val="00483327"/>
    <w:rsid w:val="00484351"/>
    <w:rsid w:val="00484DB6"/>
    <w:rsid w:val="004857AE"/>
    <w:rsid w:val="004857D0"/>
    <w:rsid w:val="004869E4"/>
    <w:rsid w:val="00487287"/>
    <w:rsid w:val="0048741E"/>
    <w:rsid w:val="00487558"/>
    <w:rsid w:val="004876EE"/>
    <w:rsid w:val="00487742"/>
    <w:rsid w:val="00493FE5"/>
    <w:rsid w:val="00494BDC"/>
    <w:rsid w:val="00494E6E"/>
    <w:rsid w:val="00495C1F"/>
    <w:rsid w:val="0049738C"/>
    <w:rsid w:val="004A0E1C"/>
    <w:rsid w:val="004A1160"/>
    <w:rsid w:val="004A167E"/>
    <w:rsid w:val="004A1B8A"/>
    <w:rsid w:val="004A21B2"/>
    <w:rsid w:val="004A2F7B"/>
    <w:rsid w:val="004A383B"/>
    <w:rsid w:val="004A3FA5"/>
    <w:rsid w:val="004B2494"/>
    <w:rsid w:val="004B3A59"/>
    <w:rsid w:val="004B3A79"/>
    <w:rsid w:val="004B451F"/>
    <w:rsid w:val="004B52C3"/>
    <w:rsid w:val="004B77C2"/>
    <w:rsid w:val="004B7A5A"/>
    <w:rsid w:val="004C1201"/>
    <w:rsid w:val="004C19AB"/>
    <w:rsid w:val="004C1B7A"/>
    <w:rsid w:val="004C37D9"/>
    <w:rsid w:val="004C3C2F"/>
    <w:rsid w:val="004C3FBA"/>
    <w:rsid w:val="004C43FE"/>
    <w:rsid w:val="004C4B32"/>
    <w:rsid w:val="004C5B03"/>
    <w:rsid w:val="004C613C"/>
    <w:rsid w:val="004C7D80"/>
    <w:rsid w:val="004D0C3A"/>
    <w:rsid w:val="004D2C56"/>
    <w:rsid w:val="004D3E6C"/>
    <w:rsid w:val="004D4BD0"/>
    <w:rsid w:val="004D5EFD"/>
    <w:rsid w:val="004D6A36"/>
    <w:rsid w:val="004E084F"/>
    <w:rsid w:val="004E3F85"/>
    <w:rsid w:val="004E4612"/>
    <w:rsid w:val="004E4981"/>
    <w:rsid w:val="004E4DAC"/>
    <w:rsid w:val="004E6927"/>
    <w:rsid w:val="004F08F8"/>
    <w:rsid w:val="004F21D7"/>
    <w:rsid w:val="004F3440"/>
    <w:rsid w:val="004F3763"/>
    <w:rsid w:val="004F4C0D"/>
    <w:rsid w:val="004F5B95"/>
    <w:rsid w:val="00502419"/>
    <w:rsid w:val="00504003"/>
    <w:rsid w:val="0050552A"/>
    <w:rsid w:val="005070CA"/>
    <w:rsid w:val="0050796D"/>
    <w:rsid w:val="00507C07"/>
    <w:rsid w:val="005102E7"/>
    <w:rsid w:val="005103E0"/>
    <w:rsid w:val="005117E4"/>
    <w:rsid w:val="00514048"/>
    <w:rsid w:val="00517B5F"/>
    <w:rsid w:val="00521ABA"/>
    <w:rsid w:val="00522673"/>
    <w:rsid w:val="0052474A"/>
    <w:rsid w:val="0052640E"/>
    <w:rsid w:val="0052734A"/>
    <w:rsid w:val="00527A94"/>
    <w:rsid w:val="00531850"/>
    <w:rsid w:val="00532251"/>
    <w:rsid w:val="00532604"/>
    <w:rsid w:val="0053582D"/>
    <w:rsid w:val="00535F75"/>
    <w:rsid w:val="00536B0A"/>
    <w:rsid w:val="0053746A"/>
    <w:rsid w:val="00540CE0"/>
    <w:rsid w:val="00540F8F"/>
    <w:rsid w:val="00541132"/>
    <w:rsid w:val="0054153B"/>
    <w:rsid w:val="00547D6F"/>
    <w:rsid w:val="0055443D"/>
    <w:rsid w:val="00555355"/>
    <w:rsid w:val="00556A21"/>
    <w:rsid w:val="00560C34"/>
    <w:rsid w:val="00560CD8"/>
    <w:rsid w:val="00560EF6"/>
    <w:rsid w:val="00565115"/>
    <w:rsid w:val="00565E3D"/>
    <w:rsid w:val="00570819"/>
    <w:rsid w:val="00572FE3"/>
    <w:rsid w:val="005742FA"/>
    <w:rsid w:val="0057752B"/>
    <w:rsid w:val="00580239"/>
    <w:rsid w:val="00581D67"/>
    <w:rsid w:val="00582BAA"/>
    <w:rsid w:val="00583857"/>
    <w:rsid w:val="00585D0A"/>
    <w:rsid w:val="00585DBC"/>
    <w:rsid w:val="00585E7B"/>
    <w:rsid w:val="00586B7D"/>
    <w:rsid w:val="005907BE"/>
    <w:rsid w:val="00591D6A"/>
    <w:rsid w:val="005922B4"/>
    <w:rsid w:val="005A14BF"/>
    <w:rsid w:val="005A1630"/>
    <w:rsid w:val="005A201A"/>
    <w:rsid w:val="005A4675"/>
    <w:rsid w:val="005A48B7"/>
    <w:rsid w:val="005A62B7"/>
    <w:rsid w:val="005A69A9"/>
    <w:rsid w:val="005A6D87"/>
    <w:rsid w:val="005B05A7"/>
    <w:rsid w:val="005B13AE"/>
    <w:rsid w:val="005B2F80"/>
    <w:rsid w:val="005B552B"/>
    <w:rsid w:val="005B7BA3"/>
    <w:rsid w:val="005B7D48"/>
    <w:rsid w:val="005C3471"/>
    <w:rsid w:val="005C5579"/>
    <w:rsid w:val="005C5A91"/>
    <w:rsid w:val="005C769A"/>
    <w:rsid w:val="005D12F6"/>
    <w:rsid w:val="005D1407"/>
    <w:rsid w:val="005D29A5"/>
    <w:rsid w:val="005D363E"/>
    <w:rsid w:val="005D4261"/>
    <w:rsid w:val="005D430F"/>
    <w:rsid w:val="005D58EE"/>
    <w:rsid w:val="005D5BCC"/>
    <w:rsid w:val="005D6FE2"/>
    <w:rsid w:val="005E05D0"/>
    <w:rsid w:val="005E0AC0"/>
    <w:rsid w:val="005E0FF8"/>
    <w:rsid w:val="005E12BF"/>
    <w:rsid w:val="005E18AD"/>
    <w:rsid w:val="005E1BF9"/>
    <w:rsid w:val="005E2C6A"/>
    <w:rsid w:val="005E3B9D"/>
    <w:rsid w:val="005E5848"/>
    <w:rsid w:val="005F1A0D"/>
    <w:rsid w:val="005F63C5"/>
    <w:rsid w:val="005F6FA6"/>
    <w:rsid w:val="005F7A38"/>
    <w:rsid w:val="00604881"/>
    <w:rsid w:val="0060744D"/>
    <w:rsid w:val="00611578"/>
    <w:rsid w:val="00615AA5"/>
    <w:rsid w:val="006225CF"/>
    <w:rsid w:val="00625E62"/>
    <w:rsid w:val="00630854"/>
    <w:rsid w:val="006333A4"/>
    <w:rsid w:val="00633D23"/>
    <w:rsid w:val="00637A31"/>
    <w:rsid w:val="0064061F"/>
    <w:rsid w:val="00641DCD"/>
    <w:rsid w:val="006437E1"/>
    <w:rsid w:val="00643CF0"/>
    <w:rsid w:val="00644464"/>
    <w:rsid w:val="00644B26"/>
    <w:rsid w:val="00644BE4"/>
    <w:rsid w:val="00650041"/>
    <w:rsid w:val="00650062"/>
    <w:rsid w:val="006527E1"/>
    <w:rsid w:val="00652A91"/>
    <w:rsid w:val="0065504D"/>
    <w:rsid w:val="00655622"/>
    <w:rsid w:val="00656DA3"/>
    <w:rsid w:val="00657559"/>
    <w:rsid w:val="006575E8"/>
    <w:rsid w:val="006603BE"/>
    <w:rsid w:val="00661C9D"/>
    <w:rsid w:val="0066261B"/>
    <w:rsid w:val="00667945"/>
    <w:rsid w:val="0067190F"/>
    <w:rsid w:val="0067378B"/>
    <w:rsid w:val="00674058"/>
    <w:rsid w:val="00675628"/>
    <w:rsid w:val="00676A1C"/>
    <w:rsid w:val="00682C45"/>
    <w:rsid w:val="00682EC3"/>
    <w:rsid w:val="00685AD8"/>
    <w:rsid w:val="00686499"/>
    <w:rsid w:val="006876BB"/>
    <w:rsid w:val="00687A6D"/>
    <w:rsid w:val="00687B40"/>
    <w:rsid w:val="006901EF"/>
    <w:rsid w:val="00691245"/>
    <w:rsid w:val="006920F7"/>
    <w:rsid w:val="0069414B"/>
    <w:rsid w:val="00694696"/>
    <w:rsid w:val="0069483C"/>
    <w:rsid w:val="006955E7"/>
    <w:rsid w:val="00695E2F"/>
    <w:rsid w:val="0069696F"/>
    <w:rsid w:val="006A016E"/>
    <w:rsid w:val="006A0846"/>
    <w:rsid w:val="006A1D50"/>
    <w:rsid w:val="006A2923"/>
    <w:rsid w:val="006A37E3"/>
    <w:rsid w:val="006A3973"/>
    <w:rsid w:val="006A6F3A"/>
    <w:rsid w:val="006A7DC9"/>
    <w:rsid w:val="006B1FDC"/>
    <w:rsid w:val="006B2EE6"/>
    <w:rsid w:val="006B3929"/>
    <w:rsid w:val="006B4175"/>
    <w:rsid w:val="006B5473"/>
    <w:rsid w:val="006B63A8"/>
    <w:rsid w:val="006C0B27"/>
    <w:rsid w:val="006C46AA"/>
    <w:rsid w:val="006D2F82"/>
    <w:rsid w:val="006D4733"/>
    <w:rsid w:val="006E3238"/>
    <w:rsid w:val="006E448D"/>
    <w:rsid w:val="006E4B83"/>
    <w:rsid w:val="006E4C85"/>
    <w:rsid w:val="006E5988"/>
    <w:rsid w:val="006F115C"/>
    <w:rsid w:val="006F1D22"/>
    <w:rsid w:val="006F1DBA"/>
    <w:rsid w:val="006F2EEF"/>
    <w:rsid w:val="006F5BA4"/>
    <w:rsid w:val="006F6BDC"/>
    <w:rsid w:val="006F7FCE"/>
    <w:rsid w:val="007015A6"/>
    <w:rsid w:val="00706FAB"/>
    <w:rsid w:val="0070703D"/>
    <w:rsid w:val="00710E32"/>
    <w:rsid w:val="007113A9"/>
    <w:rsid w:val="00713404"/>
    <w:rsid w:val="00714298"/>
    <w:rsid w:val="0071464D"/>
    <w:rsid w:val="007156F1"/>
    <w:rsid w:val="00715CDD"/>
    <w:rsid w:val="007207F3"/>
    <w:rsid w:val="00720E9A"/>
    <w:rsid w:val="00724814"/>
    <w:rsid w:val="007254BE"/>
    <w:rsid w:val="00726740"/>
    <w:rsid w:val="00727D7D"/>
    <w:rsid w:val="00731B21"/>
    <w:rsid w:val="00734843"/>
    <w:rsid w:val="0073491B"/>
    <w:rsid w:val="0073585A"/>
    <w:rsid w:val="00737A5A"/>
    <w:rsid w:val="00740B7A"/>
    <w:rsid w:val="00745C05"/>
    <w:rsid w:val="00746A2E"/>
    <w:rsid w:val="007509C8"/>
    <w:rsid w:val="00753456"/>
    <w:rsid w:val="007548CD"/>
    <w:rsid w:val="007619BA"/>
    <w:rsid w:val="00762226"/>
    <w:rsid w:val="00765476"/>
    <w:rsid w:val="00765BCC"/>
    <w:rsid w:val="00770898"/>
    <w:rsid w:val="00771C06"/>
    <w:rsid w:val="00772C66"/>
    <w:rsid w:val="00772E3F"/>
    <w:rsid w:val="00773578"/>
    <w:rsid w:val="00775EDE"/>
    <w:rsid w:val="007760DE"/>
    <w:rsid w:val="00777307"/>
    <w:rsid w:val="00781824"/>
    <w:rsid w:val="007826AA"/>
    <w:rsid w:val="00786DDF"/>
    <w:rsid w:val="0078704A"/>
    <w:rsid w:val="00787D25"/>
    <w:rsid w:val="00791B9A"/>
    <w:rsid w:val="0079324F"/>
    <w:rsid w:val="00794002"/>
    <w:rsid w:val="00794A2B"/>
    <w:rsid w:val="00797A96"/>
    <w:rsid w:val="007A1860"/>
    <w:rsid w:val="007A3E89"/>
    <w:rsid w:val="007A405A"/>
    <w:rsid w:val="007A4DEC"/>
    <w:rsid w:val="007A61A2"/>
    <w:rsid w:val="007B0CE5"/>
    <w:rsid w:val="007B315F"/>
    <w:rsid w:val="007B3205"/>
    <w:rsid w:val="007B3237"/>
    <w:rsid w:val="007B4CC8"/>
    <w:rsid w:val="007B5A16"/>
    <w:rsid w:val="007C00FA"/>
    <w:rsid w:val="007C0A5D"/>
    <w:rsid w:val="007C10BC"/>
    <w:rsid w:val="007C3A0D"/>
    <w:rsid w:val="007C3FE6"/>
    <w:rsid w:val="007C517B"/>
    <w:rsid w:val="007C5FFB"/>
    <w:rsid w:val="007C6EC6"/>
    <w:rsid w:val="007C7A9A"/>
    <w:rsid w:val="007D03A1"/>
    <w:rsid w:val="007D1888"/>
    <w:rsid w:val="007D259B"/>
    <w:rsid w:val="007D396A"/>
    <w:rsid w:val="007D7037"/>
    <w:rsid w:val="007D7BED"/>
    <w:rsid w:val="007E059C"/>
    <w:rsid w:val="007E05E0"/>
    <w:rsid w:val="007E180D"/>
    <w:rsid w:val="007E2918"/>
    <w:rsid w:val="007E4510"/>
    <w:rsid w:val="007E466C"/>
    <w:rsid w:val="007E6104"/>
    <w:rsid w:val="007E62C1"/>
    <w:rsid w:val="007E663E"/>
    <w:rsid w:val="007E6BEA"/>
    <w:rsid w:val="007E6DA0"/>
    <w:rsid w:val="007F0085"/>
    <w:rsid w:val="007F3457"/>
    <w:rsid w:val="007F4BF4"/>
    <w:rsid w:val="007F5638"/>
    <w:rsid w:val="007F5F25"/>
    <w:rsid w:val="007F7BBB"/>
    <w:rsid w:val="008006A6"/>
    <w:rsid w:val="00800DFF"/>
    <w:rsid w:val="00802A5A"/>
    <w:rsid w:val="008070E4"/>
    <w:rsid w:val="00812835"/>
    <w:rsid w:val="00813877"/>
    <w:rsid w:val="008146E5"/>
    <w:rsid w:val="00814B33"/>
    <w:rsid w:val="00814C22"/>
    <w:rsid w:val="00814D90"/>
    <w:rsid w:val="008160A7"/>
    <w:rsid w:val="00816159"/>
    <w:rsid w:val="00816620"/>
    <w:rsid w:val="0081697B"/>
    <w:rsid w:val="00817969"/>
    <w:rsid w:val="00817D85"/>
    <w:rsid w:val="00820F5E"/>
    <w:rsid w:val="00821327"/>
    <w:rsid w:val="00821A94"/>
    <w:rsid w:val="00823012"/>
    <w:rsid w:val="00824A99"/>
    <w:rsid w:val="0082652B"/>
    <w:rsid w:val="00826534"/>
    <w:rsid w:val="00830578"/>
    <w:rsid w:val="00830FC5"/>
    <w:rsid w:val="00835A4D"/>
    <w:rsid w:val="00836158"/>
    <w:rsid w:val="00837DBC"/>
    <w:rsid w:val="00840A53"/>
    <w:rsid w:val="008421E0"/>
    <w:rsid w:val="00844712"/>
    <w:rsid w:val="00847203"/>
    <w:rsid w:val="00847516"/>
    <w:rsid w:val="00847620"/>
    <w:rsid w:val="008478D9"/>
    <w:rsid w:val="00850F9E"/>
    <w:rsid w:val="008531B3"/>
    <w:rsid w:val="008544A7"/>
    <w:rsid w:val="008545AC"/>
    <w:rsid w:val="00856CBC"/>
    <w:rsid w:val="00857E5B"/>
    <w:rsid w:val="00860114"/>
    <w:rsid w:val="00860164"/>
    <w:rsid w:val="008612C1"/>
    <w:rsid w:val="0086359C"/>
    <w:rsid w:val="00864771"/>
    <w:rsid w:val="00867419"/>
    <w:rsid w:val="008707E7"/>
    <w:rsid w:val="00870DAA"/>
    <w:rsid w:val="00870E9B"/>
    <w:rsid w:val="0088007F"/>
    <w:rsid w:val="00880D2B"/>
    <w:rsid w:val="00882232"/>
    <w:rsid w:val="008830B6"/>
    <w:rsid w:val="0088353A"/>
    <w:rsid w:val="00884DD9"/>
    <w:rsid w:val="00885F70"/>
    <w:rsid w:val="0088653F"/>
    <w:rsid w:val="00890733"/>
    <w:rsid w:val="00891BA0"/>
    <w:rsid w:val="00892643"/>
    <w:rsid w:val="008938B7"/>
    <w:rsid w:val="008944F0"/>
    <w:rsid w:val="008964CD"/>
    <w:rsid w:val="008A0563"/>
    <w:rsid w:val="008A367D"/>
    <w:rsid w:val="008A3903"/>
    <w:rsid w:val="008A3BE8"/>
    <w:rsid w:val="008A3DC6"/>
    <w:rsid w:val="008A4318"/>
    <w:rsid w:val="008A4F02"/>
    <w:rsid w:val="008A6FA9"/>
    <w:rsid w:val="008A7271"/>
    <w:rsid w:val="008B0776"/>
    <w:rsid w:val="008B12CE"/>
    <w:rsid w:val="008B2732"/>
    <w:rsid w:val="008B459C"/>
    <w:rsid w:val="008B4FC8"/>
    <w:rsid w:val="008B69F9"/>
    <w:rsid w:val="008B7AB5"/>
    <w:rsid w:val="008B7AB8"/>
    <w:rsid w:val="008C25C2"/>
    <w:rsid w:val="008C2D30"/>
    <w:rsid w:val="008C7A94"/>
    <w:rsid w:val="008D249D"/>
    <w:rsid w:val="008D3186"/>
    <w:rsid w:val="008E0408"/>
    <w:rsid w:val="008E3746"/>
    <w:rsid w:val="008E3EE0"/>
    <w:rsid w:val="008E4C0F"/>
    <w:rsid w:val="008E522D"/>
    <w:rsid w:val="008E536B"/>
    <w:rsid w:val="008E72AB"/>
    <w:rsid w:val="008E7C3E"/>
    <w:rsid w:val="008F1C90"/>
    <w:rsid w:val="008F4509"/>
    <w:rsid w:val="008F47C0"/>
    <w:rsid w:val="008F68AE"/>
    <w:rsid w:val="008F7171"/>
    <w:rsid w:val="00900812"/>
    <w:rsid w:val="00905B45"/>
    <w:rsid w:val="00910130"/>
    <w:rsid w:val="0091259D"/>
    <w:rsid w:val="0091399D"/>
    <w:rsid w:val="00914524"/>
    <w:rsid w:val="0091507A"/>
    <w:rsid w:val="0091553A"/>
    <w:rsid w:val="00915BD2"/>
    <w:rsid w:val="0091681A"/>
    <w:rsid w:val="00916829"/>
    <w:rsid w:val="00920249"/>
    <w:rsid w:val="00920841"/>
    <w:rsid w:val="00920898"/>
    <w:rsid w:val="0092482A"/>
    <w:rsid w:val="00925598"/>
    <w:rsid w:val="00925E70"/>
    <w:rsid w:val="00926C85"/>
    <w:rsid w:val="009307E2"/>
    <w:rsid w:val="00930885"/>
    <w:rsid w:val="00932AF4"/>
    <w:rsid w:val="009332ED"/>
    <w:rsid w:val="00934177"/>
    <w:rsid w:val="00936B50"/>
    <w:rsid w:val="009370D5"/>
    <w:rsid w:val="00937224"/>
    <w:rsid w:val="00937C74"/>
    <w:rsid w:val="00940623"/>
    <w:rsid w:val="00941AE5"/>
    <w:rsid w:val="009423CA"/>
    <w:rsid w:val="00942E03"/>
    <w:rsid w:val="00943CDD"/>
    <w:rsid w:val="00946BAC"/>
    <w:rsid w:val="00954E0E"/>
    <w:rsid w:val="0095645D"/>
    <w:rsid w:val="009603D1"/>
    <w:rsid w:val="00961A68"/>
    <w:rsid w:val="00961EAA"/>
    <w:rsid w:val="00961FAB"/>
    <w:rsid w:val="00962126"/>
    <w:rsid w:val="00962BB2"/>
    <w:rsid w:val="00962D5E"/>
    <w:rsid w:val="00966592"/>
    <w:rsid w:val="00966650"/>
    <w:rsid w:val="00967D93"/>
    <w:rsid w:val="0097100E"/>
    <w:rsid w:val="00972C35"/>
    <w:rsid w:val="00974805"/>
    <w:rsid w:val="00975398"/>
    <w:rsid w:val="009776F0"/>
    <w:rsid w:val="00977940"/>
    <w:rsid w:val="00980057"/>
    <w:rsid w:val="00980972"/>
    <w:rsid w:val="00981783"/>
    <w:rsid w:val="00983703"/>
    <w:rsid w:val="00990A2D"/>
    <w:rsid w:val="009918CD"/>
    <w:rsid w:val="00991F14"/>
    <w:rsid w:val="00991FB6"/>
    <w:rsid w:val="00992C30"/>
    <w:rsid w:val="00993463"/>
    <w:rsid w:val="00993B65"/>
    <w:rsid w:val="009973A4"/>
    <w:rsid w:val="009A4966"/>
    <w:rsid w:val="009A4A07"/>
    <w:rsid w:val="009A5DA7"/>
    <w:rsid w:val="009A5E1A"/>
    <w:rsid w:val="009A6118"/>
    <w:rsid w:val="009A65E9"/>
    <w:rsid w:val="009B04E7"/>
    <w:rsid w:val="009B370F"/>
    <w:rsid w:val="009B3AFA"/>
    <w:rsid w:val="009B4C36"/>
    <w:rsid w:val="009B5347"/>
    <w:rsid w:val="009B75B3"/>
    <w:rsid w:val="009B78FC"/>
    <w:rsid w:val="009C2F5E"/>
    <w:rsid w:val="009C418B"/>
    <w:rsid w:val="009D0CF9"/>
    <w:rsid w:val="009D173F"/>
    <w:rsid w:val="009D40C4"/>
    <w:rsid w:val="009D413B"/>
    <w:rsid w:val="009D42E9"/>
    <w:rsid w:val="009D4D7F"/>
    <w:rsid w:val="009D7700"/>
    <w:rsid w:val="009E022D"/>
    <w:rsid w:val="009E2FCE"/>
    <w:rsid w:val="009E3F16"/>
    <w:rsid w:val="009E4ACB"/>
    <w:rsid w:val="009E4C0B"/>
    <w:rsid w:val="009E6A82"/>
    <w:rsid w:val="009F09D0"/>
    <w:rsid w:val="009F58A4"/>
    <w:rsid w:val="009F7935"/>
    <w:rsid w:val="00A009BE"/>
    <w:rsid w:val="00A0126B"/>
    <w:rsid w:val="00A01685"/>
    <w:rsid w:val="00A02D6F"/>
    <w:rsid w:val="00A04200"/>
    <w:rsid w:val="00A04CB3"/>
    <w:rsid w:val="00A06504"/>
    <w:rsid w:val="00A06BB5"/>
    <w:rsid w:val="00A07A5C"/>
    <w:rsid w:val="00A1566C"/>
    <w:rsid w:val="00A157A1"/>
    <w:rsid w:val="00A172F8"/>
    <w:rsid w:val="00A20176"/>
    <w:rsid w:val="00A21D40"/>
    <w:rsid w:val="00A2432D"/>
    <w:rsid w:val="00A257D9"/>
    <w:rsid w:val="00A26883"/>
    <w:rsid w:val="00A31B45"/>
    <w:rsid w:val="00A32B3D"/>
    <w:rsid w:val="00A33320"/>
    <w:rsid w:val="00A33C47"/>
    <w:rsid w:val="00A34A3E"/>
    <w:rsid w:val="00A35086"/>
    <w:rsid w:val="00A3757C"/>
    <w:rsid w:val="00A379AF"/>
    <w:rsid w:val="00A402D7"/>
    <w:rsid w:val="00A4112D"/>
    <w:rsid w:val="00A433A3"/>
    <w:rsid w:val="00A460A1"/>
    <w:rsid w:val="00A4747F"/>
    <w:rsid w:val="00A47BDF"/>
    <w:rsid w:val="00A52060"/>
    <w:rsid w:val="00A54F3E"/>
    <w:rsid w:val="00A550A8"/>
    <w:rsid w:val="00A55B15"/>
    <w:rsid w:val="00A6013E"/>
    <w:rsid w:val="00A603AC"/>
    <w:rsid w:val="00A62D6A"/>
    <w:rsid w:val="00A65D42"/>
    <w:rsid w:val="00A66FC2"/>
    <w:rsid w:val="00A72576"/>
    <w:rsid w:val="00A734A5"/>
    <w:rsid w:val="00A74324"/>
    <w:rsid w:val="00A75ACF"/>
    <w:rsid w:val="00A76FBF"/>
    <w:rsid w:val="00A77092"/>
    <w:rsid w:val="00A81295"/>
    <w:rsid w:val="00A81CE3"/>
    <w:rsid w:val="00A82095"/>
    <w:rsid w:val="00A84ECC"/>
    <w:rsid w:val="00A855AD"/>
    <w:rsid w:val="00A864B0"/>
    <w:rsid w:val="00A87A33"/>
    <w:rsid w:val="00A93CD2"/>
    <w:rsid w:val="00A93FC3"/>
    <w:rsid w:val="00A95A86"/>
    <w:rsid w:val="00A95D49"/>
    <w:rsid w:val="00A978AC"/>
    <w:rsid w:val="00A97E3C"/>
    <w:rsid w:val="00AA0BF9"/>
    <w:rsid w:val="00AA1166"/>
    <w:rsid w:val="00AA43E4"/>
    <w:rsid w:val="00AA5C3E"/>
    <w:rsid w:val="00AA7352"/>
    <w:rsid w:val="00AA7D45"/>
    <w:rsid w:val="00AB1713"/>
    <w:rsid w:val="00AB2BA1"/>
    <w:rsid w:val="00AB4B14"/>
    <w:rsid w:val="00AB4DE3"/>
    <w:rsid w:val="00AC0A66"/>
    <w:rsid w:val="00AC0ED6"/>
    <w:rsid w:val="00AC466A"/>
    <w:rsid w:val="00AC5430"/>
    <w:rsid w:val="00AC7E54"/>
    <w:rsid w:val="00AD0FC3"/>
    <w:rsid w:val="00AD23EB"/>
    <w:rsid w:val="00AD3B25"/>
    <w:rsid w:val="00AD4BFC"/>
    <w:rsid w:val="00AD6C1B"/>
    <w:rsid w:val="00AD728F"/>
    <w:rsid w:val="00AD73E4"/>
    <w:rsid w:val="00AD7BB9"/>
    <w:rsid w:val="00AD7D22"/>
    <w:rsid w:val="00AE0F64"/>
    <w:rsid w:val="00AE15DB"/>
    <w:rsid w:val="00AE1E4C"/>
    <w:rsid w:val="00AE3564"/>
    <w:rsid w:val="00AE390F"/>
    <w:rsid w:val="00AE58EE"/>
    <w:rsid w:val="00AE6DE6"/>
    <w:rsid w:val="00AE7557"/>
    <w:rsid w:val="00AF070E"/>
    <w:rsid w:val="00AF13B8"/>
    <w:rsid w:val="00AF3DF2"/>
    <w:rsid w:val="00AF4408"/>
    <w:rsid w:val="00AF4DCA"/>
    <w:rsid w:val="00AF4FE4"/>
    <w:rsid w:val="00AF57D5"/>
    <w:rsid w:val="00AF70F4"/>
    <w:rsid w:val="00B000F6"/>
    <w:rsid w:val="00B00914"/>
    <w:rsid w:val="00B01B77"/>
    <w:rsid w:val="00B01F0A"/>
    <w:rsid w:val="00B04792"/>
    <w:rsid w:val="00B04AB9"/>
    <w:rsid w:val="00B05BE1"/>
    <w:rsid w:val="00B12527"/>
    <w:rsid w:val="00B14268"/>
    <w:rsid w:val="00B14872"/>
    <w:rsid w:val="00B15E5E"/>
    <w:rsid w:val="00B166BF"/>
    <w:rsid w:val="00B23D5F"/>
    <w:rsid w:val="00B243EA"/>
    <w:rsid w:val="00B2552C"/>
    <w:rsid w:val="00B30804"/>
    <w:rsid w:val="00B31128"/>
    <w:rsid w:val="00B31AC1"/>
    <w:rsid w:val="00B3348B"/>
    <w:rsid w:val="00B365D7"/>
    <w:rsid w:val="00B37B5D"/>
    <w:rsid w:val="00B37E20"/>
    <w:rsid w:val="00B41BAF"/>
    <w:rsid w:val="00B44A5B"/>
    <w:rsid w:val="00B44DED"/>
    <w:rsid w:val="00B5093D"/>
    <w:rsid w:val="00B517AE"/>
    <w:rsid w:val="00B52224"/>
    <w:rsid w:val="00B5488C"/>
    <w:rsid w:val="00B57C35"/>
    <w:rsid w:val="00B622B1"/>
    <w:rsid w:val="00B62558"/>
    <w:rsid w:val="00B63B95"/>
    <w:rsid w:val="00B64E8F"/>
    <w:rsid w:val="00B6564F"/>
    <w:rsid w:val="00B6720C"/>
    <w:rsid w:val="00B67554"/>
    <w:rsid w:val="00B675FC"/>
    <w:rsid w:val="00B74B48"/>
    <w:rsid w:val="00B80436"/>
    <w:rsid w:val="00B80BC4"/>
    <w:rsid w:val="00B815F3"/>
    <w:rsid w:val="00B81719"/>
    <w:rsid w:val="00B822C7"/>
    <w:rsid w:val="00B831BA"/>
    <w:rsid w:val="00B84170"/>
    <w:rsid w:val="00B84211"/>
    <w:rsid w:val="00B84846"/>
    <w:rsid w:val="00B84AD5"/>
    <w:rsid w:val="00B873C4"/>
    <w:rsid w:val="00B90D94"/>
    <w:rsid w:val="00B91090"/>
    <w:rsid w:val="00B937D9"/>
    <w:rsid w:val="00B93BAE"/>
    <w:rsid w:val="00B94BCF"/>
    <w:rsid w:val="00B9707F"/>
    <w:rsid w:val="00B97D21"/>
    <w:rsid w:val="00BA0003"/>
    <w:rsid w:val="00BA0115"/>
    <w:rsid w:val="00BA2700"/>
    <w:rsid w:val="00BA4751"/>
    <w:rsid w:val="00BA52C9"/>
    <w:rsid w:val="00BB26A9"/>
    <w:rsid w:val="00BB2AC4"/>
    <w:rsid w:val="00BB51DD"/>
    <w:rsid w:val="00BB6E97"/>
    <w:rsid w:val="00BB72A7"/>
    <w:rsid w:val="00BB78BA"/>
    <w:rsid w:val="00BC221E"/>
    <w:rsid w:val="00BC232B"/>
    <w:rsid w:val="00BC2797"/>
    <w:rsid w:val="00BC3EE3"/>
    <w:rsid w:val="00BC43C4"/>
    <w:rsid w:val="00BC6CE8"/>
    <w:rsid w:val="00BC7E94"/>
    <w:rsid w:val="00BD0B18"/>
    <w:rsid w:val="00BD1290"/>
    <w:rsid w:val="00BD145F"/>
    <w:rsid w:val="00BD18E4"/>
    <w:rsid w:val="00BD1E78"/>
    <w:rsid w:val="00BD5D60"/>
    <w:rsid w:val="00BD5D9B"/>
    <w:rsid w:val="00BD6299"/>
    <w:rsid w:val="00BE2AA0"/>
    <w:rsid w:val="00BE31DE"/>
    <w:rsid w:val="00BE3F32"/>
    <w:rsid w:val="00BE6531"/>
    <w:rsid w:val="00BE762A"/>
    <w:rsid w:val="00BE7BEE"/>
    <w:rsid w:val="00BE7FBA"/>
    <w:rsid w:val="00BF1A81"/>
    <w:rsid w:val="00BF259E"/>
    <w:rsid w:val="00BF3D88"/>
    <w:rsid w:val="00BF4134"/>
    <w:rsid w:val="00BF5A48"/>
    <w:rsid w:val="00BF7239"/>
    <w:rsid w:val="00BF76F7"/>
    <w:rsid w:val="00BF7BCB"/>
    <w:rsid w:val="00C0009C"/>
    <w:rsid w:val="00C00115"/>
    <w:rsid w:val="00C01BC9"/>
    <w:rsid w:val="00C03821"/>
    <w:rsid w:val="00C0546D"/>
    <w:rsid w:val="00C05A30"/>
    <w:rsid w:val="00C05CBC"/>
    <w:rsid w:val="00C06015"/>
    <w:rsid w:val="00C0673B"/>
    <w:rsid w:val="00C07EBF"/>
    <w:rsid w:val="00C115D2"/>
    <w:rsid w:val="00C125F7"/>
    <w:rsid w:val="00C13665"/>
    <w:rsid w:val="00C14659"/>
    <w:rsid w:val="00C14D67"/>
    <w:rsid w:val="00C21339"/>
    <w:rsid w:val="00C2308F"/>
    <w:rsid w:val="00C23152"/>
    <w:rsid w:val="00C2366A"/>
    <w:rsid w:val="00C23DDB"/>
    <w:rsid w:val="00C253EA"/>
    <w:rsid w:val="00C25CE5"/>
    <w:rsid w:val="00C26E3A"/>
    <w:rsid w:val="00C27D6A"/>
    <w:rsid w:val="00C27FA0"/>
    <w:rsid w:val="00C32A84"/>
    <w:rsid w:val="00C34460"/>
    <w:rsid w:val="00C355F9"/>
    <w:rsid w:val="00C3563D"/>
    <w:rsid w:val="00C40814"/>
    <w:rsid w:val="00C4333E"/>
    <w:rsid w:val="00C45B91"/>
    <w:rsid w:val="00C46051"/>
    <w:rsid w:val="00C477F4"/>
    <w:rsid w:val="00C47DEE"/>
    <w:rsid w:val="00C50195"/>
    <w:rsid w:val="00C51FE2"/>
    <w:rsid w:val="00C5211C"/>
    <w:rsid w:val="00C52307"/>
    <w:rsid w:val="00C532DF"/>
    <w:rsid w:val="00C55882"/>
    <w:rsid w:val="00C55DC9"/>
    <w:rsid w:val="00C55EA8"/>
    <w:rsid w:val="00C56BE5"/>
    <w:rsid w:val="00C577C1"/>
    <w:rsid w:val="00C578B0"/>
    <w:rsid w:val="00C57D4E"/>
    <w:rsid w:val="00C627C5"/>
    <w:rsid w:val="00C639D7"/>
    <w:rsid w:val="00C63D35"/>
    <w:rsid w:val="00C66157"/>
    <w:rsid w:val="00C66239"/>
    <w:rsid w:val="00C6631A"/>
    <w:rsid w:val="00C71A4D"/>
    <w:rsid w:val="00C7425A"/>
    <w:rsid w:val="00C74BE7"/>
    <w:rsid w:val="00C75575"/>
    <w:rsid w:val="00C75703"/>
    <w:rsid w:val="00C804D6"/>
    <w:rsid w:val="00C82851"/>
    <w:rsid w:val="00C8418E"/>
    <w:rsid w:val="00C846E4"/>
    <w:rsid w:val="00C859C6"/>
    <w:rsid w:val="00C87956"/>
    <w:rsid w:val="00C87A29"/>
    <w:rsid w:val="00C924F2"/>
    <w:rsid w:val="00C92E6F"/>
    <w:rsid w:val="00C9392E"/>
    <w:rsid w:val="00C950F5"/>
    <w:rsid w:val="00C957C4"/>
    <w:rsid w:val="00C9681A"/>
    <w:rsid w:val="00CA176C"/>
    <w:rsid w:val="00CA2349"/>
    <w:rsid w:val="00CA565D"/>
    <w:rsid w:val="00CA6562"/>
    <w:rsid w:val="00CA6B69"/>
    <w:rsid w:val="00CA72C8"/>
    <w:rsid w:val="00CA7F25"/>
    <w:rsid w:val="00CB19C2"/>
    <w:rsid w:val="00CB4AAE"/>
    <w:rsid w:val="00CB53E6"/>
    <w:rsid w:val="00CB5CCB"/>
    <w:rsid w:val="00CB7E91"/>
    <w:rsid w:val="00CC18C4"/>
    <w:rsid w:val="00CC22E0"/>
    <w:rsid w:val="00CC4E47"/>
    <w:rsid w:val="00CC5225"/>
    <w:rsid w:val="00CC641C"/>
    <w:rsid w:val="00CC64BF"/>
    <w:rsid w:val="00CD02A4"/>
    <w:rsid w:val="00CD0C4B"/>
    <w:rsid w:val="00CD5060"/>
    <w:rsid w:val="00CD5FF8"/>
    <w:rsid w:val="00CD66BA"/>
    <w:rsid w:val="00CE4F49"/>
    <w:rsid w:val="00CE5086"/>
    <w:rsid w:val="00CE775E"/>
    <w:rsid w:val="00CE7D0F"/>
    <w:rsid w:val="00CF015C"/>
    <w:rsid w:val="00CF099A"/>
    <w:rsid w:val="00CF1E71"/>
    <w:rsid w:val="00CF3A39"/>
    <w:rsid w:val="00CF466D"/>
    <w:rsid w:val="00CF4E18"/>
    <w:rsid w:val="00CF5271"/>
    <w:rsid w:val="00CF595E"/>
    <w:rsid w:val="00CF7330"/>
    <w:rsid w:val="00D00206"/>
    <w:rsid w:val="00D00C63"/>
    <w:rsid w:val="00D03452"/>
    <w:rsid w:val="00D07C6A"/>
    <w:rsid w:val="00D07F6E"/>
    <w:rsid w:val="00D103FA"/>
    <w:rsid w:val="00D106A1"/>
    <w:rsid w:val="00D13462"/>
    <w:rsid w:val="00D13AAB"/>
    <w:rsid w:val="00D13B5A"/>
    <w:rsid w:val="00D21227"/>
    <w:rsid w:val="00D21A18"/>
    <w:rsid w:val="00D226F4"/>
    <w:rsid w:val="00D30299"/>
    <w:rsid w:val="00D316CB"/>
    <w:rsid w:val="00D332FF"/>
    <w:rsid w:val="00D34C4A"/>
    <w:rsid w:val="00D36142"/>
    <w:rsid w:val="00D3688C"/>
    <w:rsid w:val="00D37ABE"/>
    <w:rsid w:val="00D42405"/>
    <w:rsid w:val="00D42F75"/>
    <w:rsid w:val="00D433EF"/>
    <w:rsid w:val="00D439A8"/>
    <w:rsid w:val="00D44F22"/>
    <w:rsid w:val="00D47D07"/>
    <w:rsid w:val="00D5040D"/>
    <w:rsid w:val="00D50779"/>
    <w:rsid w:val="00D50E32"/>
    <w:rsid w:val="00D53D0C"/>
    <w:rsid w:val="00D54711"/>
    <w:rsid w:val="00D54B35"/>
    <w:rsid w:val="00D54DA0"/>
    <w:rsid w:val="00D56A4E"/>
    <w:rsid w:val="00D57107"/>
    <w:rsid w:val="00D571CD"/>
    <w:rsid w:val="00D60630"/>
    <w:rsid w:val="00D62651"/>
    <w:rsid w:val="00D62A83"/>
    <w:rsid w:val="00D63057"/>
    <w:rsid w:val="00D641BC"/>
    <w:rsid w:val="00D66216"/>
    <w:rsid w:val="00D6722F"/>
    <w:rsid w:val="00D71B1F"/>
    <w:rsid w:val="00D7219E"/>
    <w:rsid w:val="00D74199"/>
    <w:rsid w:val="00D778E1"/>
    <w:rsid w:val="00D8094E"/>
    <w:rsid w:val="00D80EFE"/>
    <w:rsid w:val="00D8256F"/>
    <w:rsid w:val="00D84E57"/>
    <w:rsid w:val="00D873E2"/>
    <w:rsid w:val="00D87D38"/>
    <w:rsid w:val="00D929E6"/>
    <w:rsid w:val="00D92D59"/>
    <w:rsid w:val="00D94FD1"/>
    <w:rsid w:val="00D9571A"/>
    <w:rsid w:val="00D96F65"/>
    <w:rsid w:val="00D973E5"/>
    <w:rsid w:val="00DA03C6"/>
    <w:rsid w:val="00DA0515"/>
    <w:rsid w:val="00DA0AC0"/>
    <w:rsid w:val="00DA20C4"/>
    <w:rsid w:val="00DA353D"/>
    <w:rsid w:val="00DA42C2"/>
    <w:rsid w:val="00DA4A02"/>
    <w:rsid w:val="00DA4EAC"/>
    <w:rsid w:val="00DA4F0E"/>
    <w:rsid w:val="00DA7B73"/>
    <w:rsid w:val="00DB04A9"/>
    <w:rsid w:val="00DB1E63"/>
    <w:rsid w:val="00DB1E70"/>
    <w:rsid w:val="00DB2945"/>
    <w:rsid w:val="00DB2FA4"/>
    <w:rsid w:val="00DB4848"/>
    <w:rsid w:val="00DB55CC"/>
    <w:rsid w:val="00DB5639"/>
    <w:rsid w:val="00DB6A84"/>
    <w:rsid w:val="00DB7856"/>
    <w:rsid w:val="00DB7923"/>
    <w:rsid w:val="00DC111A"/>
    <w:rsid w:val="00DC2972"/>
    <w:rsid w:val="00DC451D"/>
    <w:rsid w:val="00DC4A51"/>
    <w:rsid w:val="00DC4A76"/>
    <w:rsid w:val="00DC6DBB"/>
    <w:rsid w:val="00DC773C"/>
    <w:rsid w:val="00DD14D8"/>
    <w:rsid w:val="00DD34AC"/>
    <w:rsid w:val="00DD3CE0"/>
    <w:rsid w:val="00DD4545"/>
    <w:rsid w:val="00DD57DB"/>
    <w:rsid w:val="00DD5F33"/>
    <w:rsid w:val="00DD76E8"/>
    <w:rsid w:val="00DE0794"/>
    <w:rsid w:val="00DE0CB5"/>
    <w:rsid w:val="00DE4343"/>
    <w:rsid w:val="00DE6067"/>
    <w:rsid w:val="00DE67E6"/>
    <w:rsid w:val="00DE6D53"/>
    <w:rsid w:val="00DE7728"/>
    <w:rsid w:val="00DE78C3"/>
    <w:rsid w:val="00DF01D2"/>
    <w:rsid w:val="00DF1110"/>
    <w:rsid w:val="00DF3C59"/>
    <w:rsid w:val="00DF5014"/>
    <w:rsid w:val="00DF61DE"/>
    <w:rsid w:val="00DF68E6"/>
    <w:rsid w:val="00E0052C"/>
    <w:rsid w:val="00E01A50"/>
    <w:rsid w:val="00E01B5E"/>
    <w:rsid w:val="00E030B3"/>
    <w:rsid w:val="00E034AD"/>
    <w:rsid w:val="00E0395C"/>
    <w:rsid w:val="00E05BAC"/>
    <w:rsid w:val="00E05FCF"/>
    <w:rsid w:val="00E0652C"/>
    <w:rsid w:val="00E06E8D"/>
    <w:rsid w:val="00E075D7"/>
    <w:rsid w:val="00E12856"/>
    <w:rsid w:val="00E15B0C"/>
    <w:rsid w:val="00E1680F"/>
    <w:rsid w:val="00E20373"/>
    <w:rsid w:val="00E208D2"/>
    <w:rsid w:val="00E213B9"/>
    <w:rsid w:val="00E21DC0"/>
    <w:rsid w:val="00E22A0C"/>
    <w:rsid w:val="00E22BFA"/>
    <w:rsid w:val="00E23400"/>
    <w:rsid w:val="00E2406F"/>
    <w:rsid w:val="00E24CC2"/>
    <w:rsid w:val="00E24FC3"/>
    <w:rsid w:val="00E24FE3"/>
    <w:rsid w:val="00E25A0A"/>
    <w:rsid w:val="00E261D6"/>
    <w:rsid w:val="00E3173D"/>
    <w:rsid w:val="00E31FCD"/>
    <w:rsid w:val="00E338D8"/>
    <w:rsid w:val="00E34F4D"/>
    <w:rsid w:val="00E408F0"/>
    <w:rsid w:val="00E40B77"/>
    <w:rsid w:val="00E505DB"/>
    <w:rsid w:val="00E512F7"/>
    <w:rsid w:val="00E522DD"/>
    <w:rsid w:val="00E52A02"/>
    <w:rsid w:val="00E52C96"/>
    <w:rsid w:val="00E52DD5"/>
    <w:rsid w:val="00E53599"/>
    <w:rsid w:val="00E54D85"/>
    <w:rsid w:val="00E557A8"/>
    <w:rsid w:val="00E564E0"/>
    <w:rsid w:val="00E57C9B"/>
    <w:rsid w:val="00E60F8D"/>
    <w:rsid w:val="00E60FAD"/>
    <w:rsid w:val="00E62F03"/>
    <w:rsid w:val="00E64FF8"/>
    <w:rsid w:val="00E67064"/>
    <w:rsid w:val="00E67426"/>
    <w:rsid w:val="00E709CF"/>
    <w:rsid w:val="00E70C96"/>
    <w:rsid w:val="00E746B3"/>
    <w:rsid w:val="00E75009"/>
    <w:rsid w:val="00E750DC"/>
    <w:rsid w:val="00E76D3C"/>
    <w:rsid w:val="00E8126C"/>
    <w:rsid w:val="00E81761"/>
    <w:rsid w:val="00E87496"/>
    <w:rsid w:val="00E8786E"/>
    <w:rsid w:val="00E87A71"/>
    <w:rsid w:val="00E90C78"/>
    <w:rsid w:val="00E9266B"/>
    <w:rsid w:val="00E96630"/>
    <w:rsid w:val="00E97233"/>
    <w:rsid w:val="00EA153D"/>
    <w:rsid w:val="00EA1EB9"/>
    <w:rsid w:val="00EA3C7B"/>
    <w:rsid w:val="00EA5AB9"/>
    <w:rsid w:val="00EA60E9"/>
    <w:rsid w:val="00EA62A9"/>
    <w:rsid w:val="00EB3C74"/>
    <w:rsid w:val="00EB4E32"/>
    <w:rsid w:val="00EB50D9"/>
    <w:rsid w:val="00EB5AEA"/>
    <w:rsid w:val="00EB7535"/>
    <w:rsid w:val="00EB7821"/>
    <w:rsid w:val="00EC0C69"/>
    <w:rsid w:val="00EC1595"/>
    <w:rsid w:val="00EC17E2"/>
    <w:rsid w:val="00EC4AD8"/>
    <w:rsid w:val="00EC4EF0"/>
    <w:rsid w:val="00EC7258"/>
    <w:rsid w:val="00ED2380"/>
    <w:rsid w:val="00ED23E9"/>
    <w:rsid w:val="00ED5D18"/>
    <w:rsid w:val="00ED6A6A"/>
    <w:rsid w:val="00ED72EB"/>
    <w:rsid w:val="00EE0318"/>
    <w:rsid w:val="00EE14D4"/>
    <w:rsid w:val="00EE39AF"/>
    <w:rsid w:val="00EE5D02"/>
    <w:rsid w:val="00EE6148"/>
    <w:rsid w:val="00EE7C33"/>
    <w:rsid w:val="00EF0C8B"/>
    <w:rsid w:val="00EF10FB"/>
    <w:rsid w:val="00EF1BC9"/>
    <w:rsid w:val="00EF28EC"/>
    <w:rsid w:val="00EF6802"/>
    <w:rsid w:val="00EF7F66"/>
    <w:rsid w:val="00F00322"/>
    <w:rsid w:val="00F01653"/>
    <w:rsid w:val="00F05CE4"/>
    <w:rsid w:val="00F062DC"/>
    <w:rsid w:val="00F07DCE"/>
    <w:rsid w:val="00F10A0B"/>
    <w:rsid w:val="00F10CE5"/>
    <w:rsid w:val="00F13791"/>
    <w:rsid w:val="00F13A11"/>
    <w:rsid w:val="00F156F5"/>
    <w:rsid w:val="00F171DA"/>
    <w:rsid w:val="00F178E2"/>
    <w:rsid w:val="00F2161D"/>
    <w:rsid w:val="00F25C20"/>
    <w:rsid w:val="00F27802"/>
    <w:rsid w:val="00F312BD"/>
    <w:rsid w:val="00F31CDF"/>
    <w:rsid w:val="00F356FC"/>
    <w:rsid w:val="00F35D30"/>
    <w:rsid w:val="00F35EFB"/>
    <w:rsid w:val="00F40502"/>
    <w:rsid w:val="00F407E2"/>
    <w:rsid w:val="00F412C8"/>
    <w:rsid w:val="00F423FB"/>
    <w:rsid w:val="00F43063"/>
    <w:rsid w:val="00F4692D"/>
    <w:rsid w:val="00F50D3D"/>
    <w:rsid w:val="00F51E31"/>
    <w:rsid w:val="00F54627"/>
    <w:rsid w:val="00F56845"/>
    <w:rsid w:val="00F57611"/>
    <w:rsid w:val="00F65C7B"/>
    <w:rsid w:val="00F65CEE"/>
    <w:rsid w:val="00F6741C"/>
    <w:rsid w:val="00F70131"/>
    <w:rsid w:val="00F70B80"/>
    <w:rsid w:val="00F716A2"/>
    <w:rsid w:val="00F71CF0"/>
    <w:rsid w:val="00F71D85"/>
    <w:rsid w:val="00F72B00"/>
    <w:rsid w:val="00F72EE9"/>
    <w:rsid w:val="00F746A4"/>
    <w:rsid w:val="00F772F0"/>
    <w:rsid w:val="00F80206"/>
    <w:rsid w:val="00F8090C"/>
    <w:rsid w:val="00F822B6"/>
    <w:rsid w:val="00F82303"/>
    <w:rsid w:val="00F83868"/>
    <w:rsid w:val="00F84141"/>
    <w:rsid w:val="00F8625B"/>
    <w:rsid w:val="00F86581"/>
    <w:rsid w:val="00F8691D"/>
    <w:rsid w:val="00F877F9"/>
    <w:rsid w:val="00F90129"/>
    <w:rsid w:val="00F9079D"/>
    <w:rsid w:val="00F9183B"/>
    <w:rsid w:val="00F95FA3"/>
    <w:rsid w:val="00FA3356"/>
    <w:rsid w:val="00FA3871"/>
    <w:rsid w:val="00FA5A4E"/>
    <w:rsid w:val="00FA5BD5"/>
    <w:rsid w:val="00FA76AF"/>
    <w:rsid w:val="00FB0227"/>
    <w:rsid w:val="00FB0F48"/>
    <w:rsid w:val="00FB1C2D"/>
    <w:rsid w:val="00FB1E47"/>
    <w:rsid w:val="00FB31DF"/>
    <w:rsid w:val="00FB5904"/>
    <w:rsid w:val="00FB67F8"/>
    <w:rsid w:val="00FB7E51"/>
    <w:rsid w:val="00FC1D84"/>
    <w:rsid w:val="00FC2F4E"/>
    <w:rsid w:val="00FC5BEA"/>
    <w:rsid w:val="00FD3666"/>
    <w:rsid w:val="00FD4273"/>
    <w:rsid w:val="00FD63A0"/>
    <w:rsid w:val="00FD68F7"/>
    <w:rsid w:val="00FD7541"/>
    <w:rsid w:val="00FD764A"/>
    <w:rsid w:val="00FE01C3"/>
    <w:rsid w:val="00FE0824"/>
    <w:rsid w:val="00FE13E6"/>
    <w:rsid w:val="00FE2184"/>
    <w:rsid w:val="00FE2B21"/>
    <w:rsid w:val="00FE3694"/>
    <w:rsid w:val="00FE3831"/>
    <w:rsid w:val="00FE4942"/>
    <w:rsid w:val="00FE5501"/>
    <w:rsid w:val="00FE6C9F"/>
    <w:rsid w:val="00FF03CB"/>
    <w:rsid w:val="00FF080C"/>
    <w:rsid w:val="00FF0E4E"/>
    <w:rsid w:val="00FF21EE"/>
    <w:rsid w:val="00FF564A"/>
    <w:rsid w:val="00FF58E2"/>
    <w:rsid w:val="00FF5E57"/>
    <w:rsid w:val="00FF613A"/>
    <w:rsid w:val="00FF65AB"/>
    <w:rsid w:val="00FF6F02"/>
    <w:rsid w:val="00FF798B"/>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83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4"/>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0"/>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0"/>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0"/>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0"/>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05A"/>
    <w:pPr>
      <w:spacing w:after="200" w:line="276" w:lineRule="auto"/>
    </w:pPr>
    <w:rPr>
      <w:sz w:val="22"/>
      <w:szCs w:val="22"/>
    </w:rPr>
  </w:style>
  <w:style w:type="paragraph" w:styleId="Heading1">
    <w:name w:val="heading 1"/>
    <w:basedOn w:val="Normal"/>
    <w:next w:val="Normal"/>
    <w:link w:val="Heading1Char"/>
    <w:uiPriority w:val="9"/>
    <w:qFormat/>
    <w:rsid w:val="000918F4"/>
    <w:pPr>
      <w:spacing w:before="480" w:after="0"/>
      <w:contextualSpacing/>
      <w:outlineLvl w:val="0"/>
    </w:pPr>
    <w:rPr>
      <w:rFonts w:ascii="Times New Roman" w:eastAsia="Times New Roman" w:hAnsi="Times New Roman"/>
      <w:b/>
      <w:bCs/>
      <w:sz w:val="28"/>
      <w:szCs w:val="28"/>
      <w:lang w:val="es-ES"/>
    </w:rPr>
  </w:style>
  <w:style w:type="paragraph" w:styleId="Heading2">
    <w:name w:val="heading 2"/>
    <w:basedOn w:val="Normal"/>
    <w:next w:val="Normal"/>
    <w:link w:val="Heading2Char"/>
    <w:uiPriority w:val="9"/>
    <w:unhideWhenUsed/>
    <w:qFormat/>
    <w:rsid w:val="000918F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1309E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6DEC"/>
    <w:pPr>
      <w:ind w:left="720"/>
      <w:contextualSpacing/>
    </w:pPr>
  </w:style>
  <w:style w:type="table" w:styleId="TableGrid">
    <w:name w:val="Table Grid"/>
    <w:basedOn w:val="TableNormal"/>
    <w:uiPriority w:val="3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Style 25,Char"/>
    <w:basedOn w:val="Normal"/>
    <w:link w:val="FootnoteTextChar"/>
    <w:uiPriority w:val="99"/>
    <w:unhideWhenUsed/>
    <w:qFormat/>
    <w:rsid w:val="00902F77"/>
    <w:pPr>
      <w:spacing w:after="0" w:line="240" w:lineRule="auto"/>
    </w:pPr>
    <w:rPr>
      <w:sz w:val="24"/>
      <w:szCs w:val="24"/>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uiPriority w:val="99"/>
    <w:rsid w:val="00902F77"/>
    <w:rPr>
      <w:sz w:val="24"/>
      <w:szCs w:val="24"/>
    </w:rPr>
  </w:style>
  <w:style w:type="character" w:styleId="FootnoteReference">
    <w:name w:val="footnote reference"/>
    <w:aliases w:val="titulo 2,16 Point,Superscript 6 Point,ftref,Fußnotenzeichen DISS,BVI fnr, BVI fnr,Знак сноски 1,referencia nota al pie,FC,Footnote Referencefra,Ref. de nota al pie.,Style 24,pie pddes,Footnote Reference Number,Footnote,Ref,fr"/>
    <w:basedOn w:val="DefaultParagraphFon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uiPriority w:val="99"/>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medio2-nfasis11">
    <w:name w:val="Sombreado medio 2 - Énfasis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PlaceholderText">
    <w:name w:val="Placeholder Text"/>
    <w:basedOn w:val="DefaultParagraphFont"/>
    <w:uiPriority w:val="67"/>
    <w:rsid w:val="00A0126B"/>
    <w:rPr>
      <w:color w:val="808080"/>
    </w:rPr>
  </w:style>
  <w:style w:type="paragraph" w:customStyle="1" w:styleId="Chapter">
    <w:name w:val="Chapter"/>
    <w:basedOn w:val="Normal"/>
    <w:next w:val="Normal"/>
    <w:rsid w:val="00E05BAC"/>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paragraph+1"/>
    <w:basedOn w:val="BodyTextIndent"/>
    <w:link w:val="ParagraphChar"/>
    <w:qFormat/>
    <w:rsid w:val="00E05BAC"/>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E05BAC"/>
    <w:pPr>
      <w:numPr>
        <w:ilvl w:val="2"/>
        <w:numId w:val="2"/>
      </w:numPr>
      <w:tabs>
        <w:tab w:val="clear" w:pos="1152"/>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E05BAC"/>
    <w:pPr>
      <w:numPr>
        <w:ilvl w:val="3"/>
      </w:numPr>
      <w:tabs>
        <w:tab w:val="clear" w:pos="1584"/>
        <w:tab w:val="left" w:pos="0"/>
      </w:tabs>
      <w:ind w:left="2880" w:hanging="360"/>
    </w:pPr>
  </w:style>
  <w:style w:type="character" w:customStyle="1" w:styleId="ParagraphChar">
    <w:name w:val="Paragraph Char"/>
    <w:aliases w:val="paragraph Char,p Char,PARAGRAPH Char,PG Char,pa Char,at Char"/>
    <w:link w:val="Paragraph"/>
    <w:rsid w:val="00E05BAC"/>
    <w:rPr>
      <w:rFonts w:ascii="Times New Roman" w:eastAsia="Times New Roman" w:hAnsi="Times New Roman"/>
      <w:sz w:val="24"/>
      <w:lang w:val="es-ES"/>
    </w:rPr>
  </w:style>
  <w:style w:type="paragraph" w:styleId="BodyTextIndent">
    <w:name w:val="Body Text Indent"/>
    <w:basedOn w:val="Normal"/>
    <w:link w:val="BodyTextIndentChar"/>
    <w:uiPriority w:val="99"/>
    <w:semiHidden/>
    <w:unhideWhenUsed/>
    <w:rsid w:val="00E05BAC"/>
    <w:pPr>
      <w:spacing w:after="120"/>
      <w:ind w:left="360"/>
    </w:pPr>
  </w:style>
  <w:style w:type="character" w:customStyle="1" w:styleId="BodyTextIndentChar">
    <w:name w:val="Body Text Indent Char"/>
    <w:basedOn w:val="DefaultParagraphFont"/>
    <w:link w:val="BodyTextIndent"/>
    <w:uiPriority w:val="99"/>
    <w:semiHidden/>
    <w:rsid w:val="00E05BAC"/>
    <w:rPr>
      <w:sz w:val="22"/>
      <w:szCs w:val="22"/>
    </w:rPr>
  </w:style>
  <w:style w:type="paragraph" w:styleId="BodyTextIndent3">
    <w:name w:val="Body Text Indent 3"/>
    <w:basedOn w:val="Normal"/>
    <w:link w:val="BodyTextIndent3Char"/>
    <w:uiPriority w:val="99"/>
    <w:semiHidden/>
    <w:unhideWhenUsed/>
    <w:rsid w:val="00E05B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05BAC"/>
    <w:rPr>
      <w:sz w:val="16"/>
      <w:szCs w:val="16"/>
    </w:rPr>
  </w:style>
  <w:style w:type="paragraph" w:customStyle="1" w:styleId="RegheadTab">
    <w:name w:val="RegheadTab"/>
    <w:basedOn w:val="Normal"/>
    <w:rsid w:val="00E05BAC"/>
    <w:pPr>
      <w:keepNext/>
      <w:tabs>
        <w:tab w:val="left" w:pos="0"/>
        <w:tab w:val="left" w:pos="90"/>
        <w:tab w:val="num" w:pos="504"/>
      </w:tabs>
      <w:spacing w:before="120" w:after="0" w:line="240" w:lineRule="auto"/>
      <w:ind w:left="504" w:hanging="504"/>
      <w:jc w:val="center"/>
    </w:pPr>
    <w:rPr>
      <w:rFonts w:ascii="Times New Roman" w:eastAsia="Times New Roman" w:hAnsi="Times New Roman"/>
      <w:b/>
      <w:sz w:val="24"/>
      <w:szCs w:val="20"/>
      <w:lang w:val="es-ES"/>
    </w:rPr>
  </w:style>
  <w:style w:type="paragraph" w:styleId="BodyText2">
    <w:name w:val="Body Text 2"/>
    <w:basedOn w:val="Normal"/>
    <w:link w:val="BodyText2Char"/>
    <w:uiPriority w:val="99"/>
    <w:semiHidden/>
    <w:unhideWhenUsed/>
    <w:rsid w:val="000918F4"/>
    <w:pPr>
      <w:spacing w:after="120" w:line="480" w:lineRule="auto"/>
    </w:pPr>
  </w:style>
  <w:style w:type="character" w:customStyle="1" w:styleId="BodyText2Char">
    <w:name w:val="Body Text 2 Char"/>
    <w:basedOn w:val="DefaultParagraphFont"/>
    <w:link w:val="BodyText2"/>
    <w:uiPriority w:val="99"/>
    <w:semiHidden/>
    <w:rsid w:val="000918F4"/>
    <w:rPr>
      <w:sz w:val="22"/>
      <w:szCs w:val="22"/>
    </w:rPr>
  </w:style>
  <w:style w:type="paragraph" w:customStyle="1" w:styleId="Seccion">
    <w:name w:val="Seccion"/>
    <w:basedOn w:val="Heading2"/>
    <w:link w:val="SeccionCar"/>
    <w:qFormat/>
    <w:rsid w:val="000918F4"/>
    <w:pPr>
      <w:keepNext w:val="0"/>
      <w:keepLines w:val="0"/>
      <w:spacing w:before="240" w:line="480" w:lineRule="auto"/>
      <w:ind w:firstLine="709"/>
    </w:pPr>
    <w:rPr>
      <w:rFonts w:ascii="Times New Roman" w:eastAsia="Times New Roman" w:hAnsi="Times New Roman" w:cs="Times New Roman"/>
      <w:color w:val="auto"/>
      <w:sz w:val="24"/>
      <w:szCs w:val="24"/>
      <w:lang w:val="es-ES"/>
    </w:rPr>
  </w:style>
  <w:style w:type="character" w:customStyle="1" w:styleId="SeccionCar">
    <w:name w:val="Seccion Car"/>
    <w:link w:val="Seccion"/>
    <w:rsid w:val="000918F4"/>
    <w:rPr>
      <w:rFonts w:ascii="Times New Roman" w:eastAsia="Times New Roman" w:hAnsi="Times New Roman"/>
      <w:b/>
      <w:bCs/>
      <w:sz w:val="24"/>
      <w:szCs w:val="24"/>
      <w:lang w:val="es-ES"/>
    </w:rPr>
  </w:style>
  <w:style w:type="paragraph" w:customStyle="1" w:styleId="Titulo">
    <w:name w:val="Titulo"/>
    <w:basedOn w:val="Normal"/>
    <w:link w:val="TituloCar"/>
    <w:qFormat/>
    <w:rsid w:val="000918F4"/>
    <w:pPr>
      <w:shd w:val="clear" w:color="auto" w:fill="FFFFFF"/>
      <w:autoSpaceDE w:val="0"/>
      <w:autoSpaceDN w:val="0"/>
      <w:spacing w:after="0" w:line="240" w:lineRule="auto"/>
      <w:ind w:firstLine="425"/>
      <w:jc w:val="center"/>
    </w:pPr>
    <w:rPr>
      <w:rFonts w:ascii="Times New Roman" w:eastAsia="Times New Roman" w:hAnsi="Times New Roman"/>
      <w:b/>
      <w:kern w:val="2"/>
      <w:sz w:val="24"/>
      <w:szCs w:val="24"/>
      <w:lang w:val="es-ES" w:eastAsia="ko-KR"/>
    </w:rPr>
  </w:style>
  <w:style w:type="character" w:customStyle="1" w:styleId="TituloCar">
    <w:name w:val="Titulo Car"/>
    <w:link w:val="Titulo"/>
    <w:rsid w:val="000918F4"/>
    <w:rPr>
      <w:rFonts w:ascii="Times New Roman" w:eastAsia="Times New Roman" w:hAnsi="Times New Roman"/>
      <w:b/>
      <w:kern w:val="2"/>
      <w:sz w:val="24"/>
      <w:szCs w:val="24"/>
      <w:shd w:val="clear" w:color="auto" w:fill="FFFFFF"/>
      <w:lang w:val="es-ES" w:eastAsia="ko-KR"/>
    </w:rPr>
  </w:style>
  <w:style w:type="character" w:customStyle="1" w:styleId="Heading2Char">
    <w:name w:val="Heading 2 Char"/>
    <w:basedOn w:val="DefaultParagraphFont"/>
    <w:link w:val="Heading2"/>
    <w:uiPriority w:val="9"/>
    <w:semiHidden/>
    <w:rsid w:val="000918F4"/>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918F4"/>
    <w:rPr>
      <w:rFonts w:ascii="Times New Roman" w:eastAsia="Times New Roman" w:hAnsi="Times New Roman"/>
      <w:b/>
      <w:bCs/>
      <w:sz w:val="28"/>
      <w:szCs w:val="28"/>
      <w:lang w:val="es-ES"/>
    </w:rPr>
  </w:style>
  <w:style w:type="table" w:customStyle="1" w:styleId="Tablaconcuadrcula1">
    <w:name w:val="Tabla con cuadrícula1"/>
    <w:basedOn w:val="TableNormal"/>
    <w:next w:val="TableGrid"/>
    <w:uiPriority w:val="59"/>
    <w:rsid w:val="000918F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0163C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163C5"/>
    <w:rPr>
      <w:rFonts w:ascii="Tahoma" w:hAnsi="Tahoma" w:cs="Tahoma"/>
      <w:sz w:val="16"/>
      <w:szCs w:val="16"/>
    </w:rPr>
  </w:style>
  <w:style w:type="table" w:customStyle="1" w:styleId="Sombreadoclaro-nfasis12">
    <w:name w:val="Sombreado claro - Énfasis 12"/>
    <w:basedOn w:val="TableNormal"/>
    <w:uiPriority w:val="60"/>
    <w:rsid w:val="00027BD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12">
    <w:name w:val="Sombreado medio 2 - Énfasis 12"/>
    <w:basedOn w:val="TableNormal"/>
    <w:uiPriority w:val="64"/>
    <w:rsid w:val="00027BD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71"/>
    <w:rsid w:val="00027BD0"/>
    <w:rPr>
      <w:sz w:val="22"/>
      <w:szCs w:val="22"/>
    </w:rPr>
  </w:style>
  <w:style w:type="paragraph" w:customStyle="1" w:styleId="TitulopostI">
    <w:name w:val="Titulo post I"/>
    <w:basedOn w:val="Normal"/>
    <w:link w:val="TitulopostICar"/>
    <w:qFormat/>
    <w:rsid w:val="0025036F"/>
    <w:pPr>
      <w:spacing w:after="0" w:line="480" w:lineRule="auto"/>
      <w:ind w:left="1134" w:hanging="567"/>
      <w:jc w:val="both"/>
    </w:pPr>
    <w:rPr>
      <w:rFonts w:ascii="Times New Roman" w:hAnsi="Times New Roman"/>
      <w:b/>
      <w:sz w:val="24"/>
      <w:szCs w:val="24"/>
      <w:lang w:val="es-ES"/>
    </w:rPr>
  </w:style>
  <w:style w:type="paragraph" w:customStyle="1" w:styleId="Vieta">
    <w:name w:val="Viñeta"/>
    <w:basedOn w:val="Paragraph"/>
    <w:link w:val="VietaCar"/>
    <w:qFormat/>
    <w:rsid w:val="00FD764A"/>
    <w:pPr>
      <w:numPr>
        <w:numId w:val="3"/>
      </w:numPr>
      <w:spacing w:before="0" w:after="0" w:line="480" w:lineRule="auto"/>
    </w:pPr>
    <w:rPr>
      <w:kern w:val="28"/>
    </w:rPr>
  </w:style>
  <w:style w:type="character" w:customStyle="1" w:styleId="TitulopostICar">
    <w:name w:val="Titulo post I Car"/>
    <w:basedOn w:val="DefaultParagraphFont"/>
    <w:link w:val="TitulopostI"/>
    <w:rsid w:val="0025036F"/>
    <w:rPr>
      <w:rFonts w:ascii="Times New Roman" w:hAnsi="Times New Roman"/>
      <w:b/>
      <w:sz w:val="24"/>
      <w:szCs w:val="24"/>
      <w:lang w:val="es-ES"/>
    </w:rPr>
  </w:style>
  <w:style w:type="paragraph" w:customStyle="1" w:styleId="Estilo1">
    <w:name w:val="Estilo1"/>
    <w:basedOn w:val="Paragraph"/>
    <w:link w:val="Estilo1Car"/>
    <w:qFormat/>
    <w:rsid w:val="00FD764A"/>
    <w:pPr>
      <w:numPr>
        <w:ilvl w:val="0"/>
        <w:numId w:val="0"/>
      </w:numPr>
      <w:spacing w:before="0" w:after="0" w:line="480" w:lineRule="auto"/>
      <w:ind w:left="567" w:hanging="567"/>
    </w:pPr>
    <w:rPr>
      <w:szCs w:val="24"/>
    </w:rPr>
  </w:style>
  <w:style w:type="character" w:customStyle="1" w:styleId="VietaCar">
    <w:name w:val="Viñeta Car"/>
    <w:basedOn w:val="ParagraphChar"/>
    <w:link w:val="Vieta"/>
    <w:rsid w:val="00FD764A"/>
    <w:rPr>
      <w:rFonts w:ascii="Times New Roman" w:eastAsia="Times New Roman" w:hAnsi="Times New Roman"/>
      <w:kern w:val="28"/>
      <w:sz w:val="24"/>
      <w:lang w:val="es-ES"/>
    </w:rPr>
  </w:style>
  <w:style w:type="paragraph" w:customStyle="1" w:styleId="Entabla">
    <w:name w:val="Entabla"/>
    <w:basedOn w:val="Normal"/>
    <w:link w:val="EntablaCar"/>
    <w:qFormat/>
    <w:rsid w:val="00FE2B21"/>
    <w:pPr>
      <w:spacing w:after="0" w:line="240" w:lineRule="auto"/>
    </w:pPr>
    <w:rPr>
      <w:rFonts w:ascii="Times New Roman" w:eastAsia="Times New Roman" w:hAnsi="Times New Roman"/>
      <w:color w:val="000000"/>
      <w:lang w:val="es-ES"/>
    </w:rPr>
  </w:style>
  <w:style w:type="character" w:customStyle="1" w:styleId="Estilo1Car">
    <w:name w:val="Estilo1 Car"/>
    <w:basedOn w:val="ParagraphChar"/>
    <w:link w:val="Estilo1"/>
    <w:rsid w:val="00FD764A"/>
    <w:rPr>
      <w:rFonts w:ascii="Times New Roman" w:eastAsia="Times New Roman" w:hAnsi="Times New Roman"/>
      <w:sz w:val="24"/>
      <w:szCs w:val="24"/>
      <w:lang w:val="es-ES"/>
    </w:rPr>
  </w:style>
  <w:style w:type="paragraph" w:customStyle="1" w:styleId="TituloTabla">
    <w:name w:val="Titulo Tabla"/>
    <w:basedOn w:val="Normal"/>
    <w:link w:val="TituloTablaCar"/>
    <w:qFormat/>
    <w:rsid w:val="00BB26A9"/>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FE2B21"/>
    <w:rPr>
      <w:rFonts w:ascii="Times New Roman" w:eastAsia="Times New Roman" w:hAnsi="Times New Roman"/>
      <w:color w:val="000000"/>
      <w:sz w:val="22"/>
      <w:szCs w:val="22"/>
      <w:lang w:val="es-ES"/>
    </w:rPr>
  </w:style>
  <w:style w:type="paragraph" w:customStyle="1" w:styleId="Anexo">
    <w:name w:val="Anexo"/>
    <w:basedOn w:val="Paragraph"/>
    <w:link w:val="AnexoCar"/>
    <w:qFormat/>
    <w:rsid w:val="00F407E2"/>
    <w:pPr>
      <w:numPr>
        <w:ilvl w:val="0"/>
        <w:numId w:val="0"/>
      </w:numPr>
      <w:spacing w:before="0" w:after="0" w:line="480" w:lineRule="auto"/>
      <w:ind w:firstLine="709"/>
    </w:pPr>
    <w:rPr>
      <w:szCs w:val="24"/>
    </w:rPr>
  </w:style>
  <w:style w:type="character" w:customStyle="1" w:styleId="TituloTablaCar">
    <w:name w:val="Titulo Tabla Car"/>
    <w:basedOn w:val="DefaultParagraphFont"/>
    <w:link w:val="TituloTabla"/>
    <w:rsid w:val="00BB26A9"/>
    <w:rPr>
      <w:rFonts w:ascii="Times New Roman" w:eastAsia="Times New Roman" w:hAnsi="Times New Roman"/>
      <w:b/>
      <w:bCs/>
      <w:color w:val="000000"/>
      <w:sz w:val="22"/>
      <w:szCs w:val="22"/>
      <w:lang w:val="es-ES"/>
    </w:rPr>
  </w:style>
  <w:style w:type="paragraph" w:customStyle="1" w:styleId="Vietasanexo">
    <w:name w:val="Viñetas anexo"/>
    <w:basedOn w:val="Normal"/>
    <w:link w:val="VietasanexoCar"/>
    <w:qFormat/>
    <w:rsid w:val="00F407E2"/>
    <w:pPr>
      <w:numPr>
        <w:ilvl w:val="1"/>
        <w:numId w:val="5"/>
      </w:numPr>
      <w:autoSpaceDE w:val="0"/>
      <w:autoSpaceDN w:val="0"/>
      <w:spacing w:after="0" w:line="480" w:lineRule="auto"/>
      <w:ind w:left="1134" w:hanging="426"/>
      <w:jc w:val="both"/>
    </w:pPr>
    <w:rPr>
      <w:rFonts w:ascii="Times New Roman" w:hAnsi="Times New Roman"/>
      <w:sz w:val="24"/>
      <w:szCs w:val="24"/>
      <w:lang w:val="es-AR"/>
    </w:rPr>
  </w:style>
  <w:style w:type="character" w:customStyle="1" w:styleId="AnexoCar">
    <w:name w:val="Anexo Car"/>
    <w:basedOn w:val="ParagraphChar"/>
    <w:link w:val="Anexo"/>
    <w:rsid w:val="00F407E2"/>
    <w:rPr>
      <w:rFonts w:ascii="Times New Roman" w:eastAsia="Times New Roman" w:hAnsi="Times New Roman"/>
      <w:sz w:val="24"/>
      <w:szCs w:val="24"/>
      <w:lang w:val="es-ES"/>
    </w:rPr>
  </w:style>
  <w:style w:type="paragraph" w:customStyle="1" w:styleId="TItuloAnexo">
    <w:name w:val="TItulo Anexo"/>
    <w:basedOn w:val="Seccion"/>
    <w:link w:val="TItuloAnexoCar"/>
    <w:qFormat/>
    <w:rsid w:val="00B84211"/>
    <w:pPr>
      <w:numPr>
        <w:numId w:val="6"/>
      </w:numPr>
    </w:pPr>
  </w:style>
  <w:style w:type="character" w:customStyle="1" w:styleId="VietasanexoCar">
    <w:name w:val="Viñetas anexo Car"/>
    <w:basedOn w:val="DefaultParagraphFont"/>
    <w:link w:val="Vietasanexo"/>
    <w:rsid w:val="00F407E2"/>
    <w:rPr>
      <w:rFonts w:ascii="Times New Roman" w:hAnsi="Times New Roman"/>
      <w:sz w:val="24"/>
      <w:szCs w:val="24"/>
      <w:lang w:val="es-AR"/>
    </w:rPr>
  </w:style>
  <w:style w:type="character" w:customStyle="1" w:styleId="TItuloAnexoCar">
    <w:name w:val="TItulo Anexo Car"/>
    <w:basedOn w:val="SeccionCar"/>
    <w:link w:val="TItuloAnexo"/>
    <w:rsid w:val="00B84211"/>
    <w:rPr>
      <w:rFonts w:ascii="Times New Roman" w:eastAsia="Times New Roman" w:hAnsi="Times New Roman"/>
      <w:b/>
      <w:bCs/>
      <w:sz w:val="24"/>
      <w:szCs w:val="24"/>
      <w:lang w:val="es-ES"/>
    </w:rPr>
  </w:style>
  <w:style w:type="paragraph" w:customStyle="1" w:styleId="Titulobisanexo">
    <w:name w:val="Titulo bis anexo"/>
    <w:basedOn w:val="TItuloAnexo"/>
    <w:link w:val="TitulobisanexoCar"/>
    <w:qFormat/>
    <w:rsid w:val="00F8691D"/>
    <w:pPr>
      <w:numPr>
        <w:numId w:val="0"/>
      </w:numPr>
      <w:spacing w:before="0"/>
      <w:ind w:left="709"/>
    </w:pPr>
  </w:style>
  <w:style w:type="character" w:customStyle="1" w:styleId="TitulobisanexoCar">
    <w:name w:val="Titulo bis anexo Car"/>
    <w:basedOn w:val="TItuloAnexoCar"/>
    <w:link w:val="Titulobisanexo"/>
    <w:rsid w:val="00F8691D"/>
    <w:rPr>
      <w:rFonts w:ascii="Times New Roman" w:eastAsia="Times New Roman" w:hAnsi="Times New Roman"/>
      <w:b/>
      <w:bCs/>
      <w:sz w:val="24"/>
      <w:szCs w:val="24"/>
      <w:lang w:val="es-ES"/>
    </w:rPr>
  </w:style>
  <w:style w:type="character" w:customStyle="1" w:styleId="ListParagraphChar">
    <w:name w:val="List Paragraph Char"/>
    <w:link w:val="ListParagraph"/>
    <w:uiPriority w:val="34"/>
    <w:locked/>
    <w:rsid w:val="009A6118"/>
    <w:rPr>
      <w:sz w:val="22"/>
      <w:szCs w:val="22"/>
    </w:rPr>
  </w:style>
  <w:style w:type="character" w:styleId="Hyperlink">
    <w:name w:val="Hyperlink"/>
    <w:basedOn w:val="DefaultParagraphFont"/>
    <w:rsid w:val="00B6720C"/>
    <w:rPr>
      <w:color w:val="0000FF"/>
      <w:u w:val="single"/>
    </w:rPr>
  </w:style>
  <w:style w:type="paragraph" w:styleId="NormalWeb">
    <w:name w:val="Normal (Web)"/>
    <w:basedOn w:val="Normal"/>
    <w:uiPriority w:val="99"/>
    <w:unhideWhenUsed/>
    <w:rsid w:val="003D5197"/>
    <w:pPr>
      <w:spacing w:before="100" w:beforeAutospacing="1" w:after="100" w:afterAutospacing="1" w:line="240" w:lineRule="auto"/>
    </w:pPr>
    <w:rPr>
      <w:rFonts w:ascii="Times New Roman" w:eastAsia="Times New Roman" w:hAnsi="Times New Roman"/>
      <w:sz w:val="24"/>
      <w:szCs w:val="24"/>
      <w:lang w:val="es-PY" w:eastAsia="es-PY"/>
    </w:rPr>
  </w:style>
  <w:style w:type="character" w:customStyle="1" w:styleId="normaltextrun1">
    <w:name w:val="normaltextrun1"/>
    <w:basedOn w:val="DefaultParagraphFont"/>
    <w:rsid w:val="00120945"/>
  </w:style>
  <w:style w:type="character" w:customStyle="1" w:styleId="Heading5Char">
    <w:name w:val="Heading 5 Char"/>
    <w:basedOn w:val="DefaultParagraphFont"/>
    <w:link w:val="Heading5"/>
    <w:rsid w:val="001309E8"/>
    <w:rPr>
      <w:rFonts w:asciiTheme="majorHAnsi" w:eastAsiaTheme="majorEastAsia" w:hAnsiTheme="majorHAnsi" w:cstheme="majorBidi"/>
      <w:color w:val="365F91" w:themeColor="accent1" w:themeShade="BF"/>
      <w:sz w:val="22"/>
      <w:szCs w:val="22"/>
    </w:rPr>
  </w:style>
  <w:style w:type="character" w:customStyle="1" w:styleId="apple-converted-space">
    <w:name w:val="apple-converted-space"/>
    <w:basedOn w:val="DefaultParagraphFont"/>
    <w:rsid w:val="00EC4AD8"/>
  </w:style>
  <w:style w:type="character" w:customStyle="1" w:styleId="UnresolvedMention1">
    <w:name w:val="Unresolved Mention1"/>
    <w:basedOn w:val="DefaultParagraphFont"/>
    <w:uiPriority w:val="99"/>
    <w:semiHidden/>
    <w:unhideWhenUsed/>
    <w:rsid w:val="006A7D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5888">
      <w:bodyDiv w:val="1"/>
      <w:marLeft w:val="0"/>
      <w:marRight w:val="0"/>
      <w:marTop w:val="0"/>
      <w:marBottom w:val="0"/>
      <w:divBdr>
        <w:top w:val="none" w:sz="0" w:space="0" w:color="auto"/>
        <w:left w:val="none" w:sz="0" w:space="0" w:color="auto"/>
        <w:bottom w:val="none" w:sz="0" w:space="0" w:color="auto"/>
        <w:right w:val="none" w:sz="0" w:space="0" w:color="auto"/>
      </w:divBdr>
    </w:div>
    <w:div w:id="49233991">
      <w:bodyDiv w:val="1"/>
      <w:marLeft w:val="0"/>
      <w:marRight w:val="0"/>
      <w:marTop w:val="0"/>
      <w:marBottom w:val="0"/>
      <w:divBdr>
        <w:top w:val="none" w:sz="0" w:space="0" w:color="auto"/>
        <w:left w:val="none" w:sz="0" w:space="0" w:color="auto"/>
        <w:bottom w:val="none" w:sz="0" w:space="0" w:color="auto"/>
        <w:right w:val="none" w:sz="0" w:space="0" w:color="auto"/>
      </w:divBdr>
    </w:div>
    <w:div w:id="198472797">
      <w:bodyDiv w:val="1"/>
      <w:marLeft w:val="0"/>
      <w:marRight w:val="0"/>
      <w:marTop w:val="0"/>
      <w:marBottom w:val="0"/>
      <w:divBdr>
        <w:top w:val="none" w:sz="0" w:space="0" w:color="auto"/>
        <w:left w:val="none" w:sz="0" w:space="0" w:color="auto"/>
        <w:bottom w:val="none" w:sz="0" w:space="0" w:color="auto"/>
        <w:right w:val="none" w:sz="0" w:space="0" w:color="auto"/>
      </w:divBdr>
    </w:div>
    <w:div w:id="212012222">
      <w:bodyDiv w:val="1"/>
      <w:marLeft w:val="0"/>
      <w:marRight w:val="0"/>
      <w:marTop w:val="0"/>
      <w:marBottom w:val="0"/>
      <w:divBdr>
        <w:top w:val="none" w:sz="0" w:space="0" w:color="auto"/>
        <w:left w:val="none" w:sz="0" w:space="0" w:color="auto"/>
        <w:bottom w:val="none" w:sz="0" w:space="0" w:color="auto"/>
        <w:right w:val="none" w:sz="0" w:space="0" w:color="auto"/>
      </w:divBdr>
    </w:div>
    <w:div w:id="214701280">
      <w:bodyDiv w:val="1"/>
      <w:marLeft w:val="0"/>
      <w:marRight w:val="0"/>
      <w:marTop w:val="0"/>
      <w:marBottom w:val="0"/>
      <w:divBdr>
        <w:top w:val="none" w:sz="0" w:space="0" w:color="auto"/>
        <w:left w:val="none" w:sz="0" w:space="0" w:color="auto"/>
        <w:bottom w:val="none" w:sz="0" w:space="0" w:color="auto"/>
        <w:right w:val="none" w:sz="0" w:space="0" w:color="auto"/>
      </w:divBdr>
    </w:div>
    <w:div w:id="295649241">
      <w:bodyDiv w:val="1"/>
      <w:marLeft w:val="0"/>
      <w:marRight w:val="0"/>
      <w:marTop w:val="0"/>
      <w:marBottom w:val="0"/>
      <w:divBdr>
        <w:top w:val="none" w:sz="0" w:space="0" w:color="auto"/>
        <w:left w:val="none" w:sz="0" w:space="0" w:color="auto"/>
        <w:bottom w:val="none" w:sz="0" w:space="0" w:color="auto"/>
        <w:right w:val="none" w:sz="0" w:space="0" w:color="auto"/>
      </w:divBdr>
    </w:div>
    <w:div w:id="337274548">
      <w:bodyDiv w:val="1"/>
      <w:marLeft w:val="0"/>
      <w:marRight w:val="0"/>
      <w:marTop w:val="0"/>
      <w:marBottom w:val="0"/>
      <w:divBdr>
        <w:top w:val="none" w:sz="0" w:space="0" w:color="auto"/>
        <w:left w:val="none" w:sz="0" w:space="0" w:color="auto"/>
        <w:bottom w:val="none" w:sz="0" w:space="0" w:color="auto"/>
        <w:right w:val="none" w:sz="0" w:space="0" w:color="auto"/>
      </w:divBdr>
    </w:div>
    <w:div w:id="357970649">
      <w:bodyDiv w:val="1"/>
      <w:marLeft w:val="0"/>
      <w:marRight w:val="0"/>
      <w:marTop w:val="0"/>
      <w:marBottom w:val="0"/>
      <w:divBdr>
        <w:top w:val="none" w:sz="0" w:space="0" w:color="auto"/>
        <w:left w:val="none" w:sz="0" w:space="0" w:color="auto"/>
        <w:bottom w:val="none" w:sz="0" w:space="0" w:color="auto"/>
        <w:right w:val="none" w:sz="0" w:space="0" w:color="auto"/>
      </w:divBdr>
    </w:div>
    <w:div w:id="372006223">
      <w:bodyDiv w:val="1"/>
      <w:marLeft w:val="0"/>
      <w:marRight w:val="0"/>
      <w:marTop w:val="0"/>
      <w:marBottom w:val="0"/>
      <w:divBdr>
        <w:top w:val="none" w:sz="0" w:space="0" w:color="auto"/>
        <w:left w:val="none" w:sz="0" w:space="0" w:color="auto"/>
        <w:bottom w:val="none" w:sz="0" w:space="0" w:color="auto"/>
        <w:right w:val="none" w:sz="0" w:space="0" w:color="auto"/>
      </w:divBdr>
    </w:div>
    <w:div w:id="402795198">
      <w:bodyDiv w:val="1"/>
      <w:marLeft w:val="0"/>
      <w:marRight w:val="0"/>
      <w:marTop w:val="0"/>
      <w:marBottom w:val="0"/>
      <w:divBdr>
        <w:top w:val="none" w:sz="0" w:space="0" w:color="auto"/>
        <w:left w:val="none" w:sz="0" w:space="0" w:color="auto"/>
        <w:bottom w:val="none" w:sz="0" w:space="0" w:color="auto"/>
        <w:right w:val="none" w:sz="0" w:space="0" w:color="auto"/>
      </w:divBdr>
    </w:div>
    <w:div w:id="420375366">
      <w:bodyDiv w:val="1"/>
      <w:marLeft w:val="0"/>
      <w:marRight w:val="0"/>
      <w:marTop w:val="0"/>
      <w:marBottom w:val="0"/>
      <w:divBdr>
        <w:top w:val="none" w:sz="0" w:space="0" w:color="auto"/>
        <w:left w:val="none" w:sz="0" w:space="0" w:color="auto"/>
        <w:bottom w:val="none" w:sz="0" w:space="0" w:color="auto"/>
        <w:right w:val="none" w:sz="0" w:space="0" w:color="auto"/>
      </w:divBdr>
    </w:div>
    <w:div w:id="432674786">
      <w:bodyDiv w:val="1"/>
      <w:marLeft w:val="0"/>
      <w:marRight w:val="0"/>
      <w:marTop w:val="0"/>
      <w:marBottom w:val="0"/>
      <w:divBdr>
        <w:top w:val="none" w:sz="0" w:space="0" w:color="auto"/>
        <w:left w:val="none" w:sz="0" w:space="0" w:color="auto"/>
        <w:bottom w:val="none" w:sz="0" w:space="0" w:color="auto"/>
        <w:right w:val="none" w:sz="0" w:space="0" w:color="auto"/>
      </w:divBdr>
    </w:div>
    <w:div w:id="481385405">
      <w:bodyDiv w:val="1"/>
      <w:marLeft w:val="0"/>
      <w:marRight w:val="0"/>
      <w:marTop w:val="0"/>
      <w:marBottom w:val="0"/>
      <w:divBdr>
        <w:top w:val="none" w:sz="0" w:space="0" w:color="auto"/>
        <w:left w:val="none" w:sz="0" w:space="0" w:color="auto"/>
        <w:bottom w:val="none" w:sz="0" w:space="0" w:color="auto"/>
        <w:right w:val="none" w:sz="0" w:space="0" w:color="auto"/>
      </w:divBdr>
    </w:div>
    <w:div w:id="553547297">
      <w:bodyDiv w:val="1"/>
      <w:marLeft w:val="0"/>
      <w:marRight w:val="0"/>
      <w:marTop w:val="0"/>
      <w:marBottom w:val="0"/>
      <w:divBdr>
        <w:top w:val="none" w:sz="0" w:space="0" w:color="auto"/>
        <w:left w:val="none" w:sz="0" w:space="0" w:color="auto"/>
        <w:bottom w:val="none" w:sz="0" w:space="0" w:color="auto"/>
        <w:right w:val="none" w:sz="0" w:space="0" w:color="auto"/>
      </w:divBdr>
    </w:div>
    <w:div w:id="558712962">
      <w:bodyDiv w:val="1"/>
      <w:marLeft w:val="0"/>
      <w:marRight w:val="0"/>
      <w:marTop w:val="0"/>
      <w:marBottom w:val="0"/>
      <w:divBdr>
        <w:top w:val="none" w:sz="0" w:space="0" w:color="auto"/>
        <w:left w:val="none" w:sz="0" w:space="0" w:color="auto"/>
        <w:bottom w:val="none" w:sz="0" w:space="0" w:color="auto"/>
        <w:right w:val="none" w:sz="0" w:space="0" w:color="auto"/>
      </w:divBdr>
    </w:div>
    <w:div w:id="577057355">
      <w:bodyDiv w:val="1"/>
      <w:marLeft w:val="0"/>
      <w:marRight w:val="0"/>
      <w:marTop w:val="0"/>
      <w:marBottom w:val="0"/>
      <w:divBdr>
        <w:top w:val="none" w:sz="0" w:space="0" w:color="auto"/>
        <w:left w:val="none" w:sz="0" w:space="0" w:color="auto"/>
        <w:bottom w:val="none" w:sz="0" w:space="0" w:color="auto"/>
        <w:right w:val="none" w:sz="0" w:space="0" w:color="auto"/>
      </w:divBdr>
    </w:div>
    <w:div w:id="602348454">
      <w:bodyDiv w:val="1"/>
      <w:marLeft w:val="0"/>
      <w:marRight w:val="0"/>
      <w:marTop w:val="0"/>
      <w:marBottom w:val="0"/>
      <w:divBdr>
        <w:top w:val="none" w:sz="0" w:space="0" w:color="auto"/>
        <w:left w:val="none" w:sz="0" w:space="0" w:color="auto"/>
        <w:bottom w:val="none" w:sz="0" w:space="0" w:color="auto"/>
        <w:right w:val="none" w:sz="0" w:space="0" w:color="auto"/>
      </w:divBdr>
    </w:div>
    <w:div w:id="669599125">
      <w:bodyDiv w:val="1"/>
      <w:marLeft w:val="0"/>
      <w:marRight w:val="0"/>
      <w:marTop w:val="0"/>
      <w:marBottom w:val="0"/>
      <w:divBdr>
        <w:top w:val="none" w:sz="0" w:space="0" w:color="auto"/>
        <w:left w:val="none" w:sz="0" w:space="0" w:color="auto"/>
        <w:bottom w:val="none" w:sz="0" w:space="0" w:color="auto"/>
        <w:right w:val="none" w:sz="0" w:space="0" w:color="auto"/>
      </w:divBdr>
    </w:div>
    <w:div w:id="678308865">
      <w:bodyDiv w:val="1"/>
      <w:marLeft w:val="0"/>
      <w:marRight w:val="0"/>
      <w:marTop w:val="0"/>
      <w:marBottom w:val="0"/>
      <w:divBdr>
        <w:top w:val="none" w:sz="0" w:space="0" w:color="auto"/>
        <w:left w:val="none" w:sz="0" w:space="0" w:color="auto"/>
        <w:bottom w:val="none" w:sz="0" w:space="0" w:color="auto"/>
        <w:right w:val="none" w:sz="0" w:space="0" w:color="auto"/>
      </w:divBdr>
    </w:div>
    <w:div w:id="702219344">
      <w:bodyDiv w:val="1"/>
      <w:marLeft w:val="0"/>
      <w:marRight w:val="0"/>
      <w:marTop w:val="0"/>
      <w:marBottom w:val="0"/>
      <w:divBdr>
        <w:top w:val="none" w:sz="0" w:space="0" w:color="auto"/>
        <w:left w:val="none" w:sz="0" w:space="0" w:color="auto"/>
        <w:bottom w:val="none" w:sz="0" w:space="0" w:color="auto"/>
        <w:right w:val="none" w:sz="0" w:space="0" w:color="auto"/>
      </w:divBdr>
    </w:div>
    <w:div w:id="754518628">
      <w:bodyDiv w:val="1"/>
      <w:marLeft w:val="0"/>
      <w:marRight w:val="0"/>
      <w:marTop w:val="0"/>
      <w:marBottom w:val="0"/>
      <w:divBdr>
        <w:top w:val="none" w:sz="0" w:space="0" w:color="auto"/>
        <w:left w:val="none" w:sz="0" w:space="0" w:color="auto"/>
        <w:bottom w:val="none" w:sz="0" w:space="0" w:color="auto"/>
        <w:right w:val="none" w:sz="0" w:space="0" w:color="auto"/>
      </w:divBdr>
    </w:div>
    <w:div w:id="829252475">
      <w:bodyDiv w:val="1"/>
      <w:marLeft w:val="0"/>
      <w:marRight w:val="0"/>
      <w:marTop w:val="0"/>
      <w:marBottom w:val="0"/>
      <w:divBdr>
        <w:top w:val="none" w:sz="0" w:space="0" w:color="auto"/>
        <w:left w:val="none" w:sz="0" w:space="0" w:color="auto"/>
        <w:bottom w:val="none" w:sz="0" w:space="0" w:color="auto"/>
        <w:right w:val="none" w:sz="0" w:space="0" w:color="auto"/>
      </w:divBdr>
    </w:div>
    <w:div w:id="902064866">
      <w:bodyDiv w:val="1"/>
      <w:marLeft w:val="0"/>
      <w:marRight w:val="0"/>
      <w:marTop w:val="0"/>
      <w:marBottom w:val="0"/>
      <w:divBdr>
        <w:top w:val="none" w:sz="0" w:space="0" w:color="auto"/>
        <w:left w:val="none" w:sz="0" w:space="0" w:color="auto"/>
        <w:bottom w:val="none" w:sz="0" w:space="0" w:color="auto"/>
        <w:right w:val="none" w:sz="0" w:space="0" w:color="auto"/>
      </w:divBdr>
    </w:div>
    <w:div w:id="951135797">
      <w:bodyDiv w:val="1"/>
      <w:marLeft w:val="0"/>
      <w:marRight w:val="0"/>
      <w:marTop w:val="0"/>
      <w:marBottom w:val="0"/>
      <w:divBdr>
        <w:top w:val="none" w:sz="0" w:space="0" w:color="auto"/>
        <w:left w:val="none" w:sz="0" w:space="0" w:color="auto"/>
        <w:bottom w:val="none" w:sz="0" w:space="0" w:color="auto"/>
        <w:right w:val="none" w:sz="0" w:space="0" w:color="auto"/>
      </w:divBdr>
    </w:div>
    <w:div w:id="978074363">
      <w:bodyDiv w:val="1"/>
      <w:marLeft w:val="0"/>
      <w:marRight w:val="0"/>
      <w:marTop w:val="0"/>
      <w:marBottom w:val="0"/>
      <w:divBdr>
        <w:top w:val="none" w:sz="0" w:space="0" w:color="auto"/>
        <w:left w:val="none" w:sz="0" w:space="0" w:color="auto"/>
        <w:bottom w:val="none" w:sz="0" w:space="0" w:color="auto"/>
        <w:right w:val="none" w:sz="0" w:space="0" w:color="auto"/>
      </w:divBdr>
    </w:div>
    <w:div w:id="1011376382">
      <w:bodyDiv w:val="1"/>
      <w:marLeft w:val="0"/>
      <w:marRight w:val="0"/>
      <w:marTop w:val="0"/>
      <w:marBottom w:val="0"/>
      <w:divBdr>
        <w:top w:val="none" w:sz="0" w:space="0" w:color="auto"/>
        <w:left w:val="none" w:sz="0" w:space="0" w:color="auto"/>
        <w:bottom w:val="none" w:sz="0" w:space="0" w:color="auto"/>
        <w:right w:val="none" w:sz="0" w:space="0" w:color="auto"/>
      </w:divBdr>
    </w:div>
    <w:div w:id="1022438556">
      <w:bodyDiv w:val="1"/>
      <w:marLeft w:val="0"/>
      <w:marRight w:val="0"/>
      <w:marTop w:val="0"/>
      <w:marBottom w:val="0"/>
      <w:divBdr>
        <w:top w:val="none" w:sz="0" w:space="0" w:color="auto"/>
        <w:left w:val="none" w:sz="0" w:space="0" w:color="auto"/>
        <w:bottom w:val="none" w:sz="0" w:space="0" w:color="auto"/>
        <w:right w:val="none" w:sz="0" w:space="0" w:color="auto"/>
      </w:divBdr>
    </w:div>
    <w:div w:id="1079789357">
      <w:bodyDiv w:val="1"/>
      <w:marLeft w:val="0"/>
      <w:marRight w:val="0"/>
      <w:marTop w:val="0"/>
      <w:marBottom w:val="0"/>
      <w:divBdr>
        <w:top w:val="none" w:sz="0" w:space="0" w:color="auto"/>
        <w:left w:val="none" w:sz="0" w:space="0" w:color="auto"/>
        <w:bottom w:val="none" w:sz="0" w:space="0" w:color="auto"/>
        <w:right w:val="none" w:sz="0" w:space="0" w:color="auto"/>
      </w:divBdr>
    </w:div>
    <w:div w:id="1103501596">
      <w:bodyDiv w:val="1"/>
      <w:marLeft w:val="0"/>
      <w:marRight w:val="0"/>
      <w:marTop w:val="0"/>
      <w:marBottom w:val="0"/>
      <w:divBdr>
        <w:top w:val="none" w:sz="0" w:space="0" w:color="auto"/>
        <w:left w:val="none" w:sz="0" w:space="0" w:color="auto"/>
        <w:bottom w:val="none" w:sz="0" w:space="0" w:color="auto"/>
        <w:right w:val="none" w:sz="0" w:space="0" w:color="auto"/>
      </w:divBdr>
    </w:div>
    <w:div w:id="1128864661">
      <w:bodyDiv w:val="1"/>
      <w:marLeft w:val="0"/>
      <w:marRight w:val="0"/>
      <w:marTop w:val="0"/>
      <w:marBottom w:val="0"/>
      <w:divBdr>
        <w:top w:val="none" w:sz="0" w:space="0" w:color="auto"/>
        <w:left w:val="none" w:sz="0" w:space="0" w:color="auto"/>
        <w:bottom w:val="none" w:sz="0" w:space="0" w:color="auto"/>
        <w:right w:val="none" w:sz="0" w:space="0" w:color="auto"/>
      </w:divBdr>
    </w:div>
    <w:div w:id="1197617549">
      <w:bodyDiv w:val="1"/>
      <w:marLeft w:val="0"/>
      <w:marRight w:val="0"/>
      <w:marTop w:val="0"/>
      <w:marBottom w:val="0"/>
      <w:divBdr>
        <w:top w:val="none" w:sz="0" w:space="0" w:color="auto"/>
        <w:left w:val="none" w:sz="0" w:space="0" w:color="auto"/>
        <w:bottom w:val="none" w:sz="0" w:space="0" w:color="auto"/>
        <w:right w:val="none" w:sz="0" w:space="0" w:color="auto"/>
      </w:divBdr>
    </w:div>
    <w:div w:id="1213231502">
      <w:bodyDiv w:val="1"/>
      <w:marLeft w:val="0"/>
      <w:marRight w:val="0"/>
      <w:marTop w:val="0"/>
      <w:marBottom w:val="0"/>
      <w:divBdr>
        <w:top w:val="none" w:sz="0" w:space="0" w:color="auto"/>
        <w:left w:val="none" w:sz="0" w:space="0" w:color="auto"/>
        <w:bottom w:val="none" w:sz="0" w:space="0" w:color="auto"/>
        <w:right w:val="none" w:sz="0" w:space="0" w:color="auto"/>
      </w:divBdr>
    </w:div>
    <w:div w:id="1231693734">
      <w:bodyDiv w:val="1"/>
      <w:marLeft w:val="0"/>
      <w:marRight w:val="0"/>
      <w:marTop w:val="0"/>
      <w:marBottom w:val="0"/>
      <w:divBdr>
        <w:top w:val="none" w:sz="0" w:space="0" w:color="auto"/>
        <w:left w:val="none" w:sz="0" w:space="0" w:color="auto"/>
        <w:bottom w:val="none" w:sz="0" w:space="0" w:color="auto"/>
        <w:right w:val="none" w:sz="0" w:space="0" w:color="auto"/>
      </w:divBdr>
    </w:div>
    <w:div w:id="1250852113">
      <w:bodyDiv w:val="1"/>
      <w:marLeft w:val="0"/>
      <w:marRight w:val="0"/>
      <w:marTop w:val="0"/>
      <w:marBottom w:val="0"/>
      <w:divBdr>
        <w:top w:val="none" w:sz="0" w:space="0" w:color="auto"/>
        <w:left w:val="none" w:sz="0" w:space="0" w:color="auto"/>
        <w:bottom w:val="none" w:sz="0" w:space="0" w:color="auto"/>
        <w:right w:val="none" w:sz="0" w:space="0" w:color="auto"/>
      </w:divBdr>
    </w:div>
    <w:div w:id="1253122557">
      <w:bodyDiv w:val="1"/>
      <w:marLeft w:val="0"/>
      <w:marRight w:val="0"/>
      <w:marTop w:val="0"/>
      <w:marBottom w:val="0"/>
      <w:divBdr>
        <w:top w:val="none" w:sz="0" w:space="0" w:color="auto"/>
        <w:left w:val="none" w:sz="0" w:space="0" w:color="auto"/>
        <w:bottom w:val="none" w:sz="0" w:space="0" w:color="auto"/>
        <w:right w:val="none" w:sz="0" w:space="0" w:color="auto"/>
      </w:divBdr>
    </w:div>
    <w:div w:id="1297025908">
      <w:bodyDiv w:val="1"/>
      <w:marLeft w:val="0"/>
      <w:marRight w:val="0"/>
      <w:marTop w:val="0"/>
      <w:marBottom w:val="0"/>
      <w:divBdr>
        <w:top w:val="none" w:sz="0" w:space="0" w:color="auto"/>
        <w:left w:val="none" w:sz="0" w:space="0" w:color="auto"/>
        <w:bottom w:val="none" w:sz="0" w:space="0" w:color="auto"/>
        <w:right w:val="none" w:sz="0" w:space="0" w:color="auto"/>
      </w:divBdr>
    </w:div>
    <w:div w:id="1319724160">
      <w:bodyDiv w:val="1"/>
      <w:marLeft w:val="0"/>
      <w:marRight w:val="0"/>
      <w:marTop w:val="0"/>
      <w:marBottom w:val="0"/>
      <w:divBdr>
        <w:top w:val="none" w:sz="0" w:space="0" w:color="auto"/>
        <w:left w:val="none" w:sz="0" w:space="0" w:color="auto"/>
        <w:bottom w:val="none" w:sz="0" w:space="0" w:color="auto"/>
        <w:right w:val="none" w:sz="0" w:space="0" w:color="auto"/>
      </w:divBdr>
    </w:div>
    <w:div w:id="1327055343">
      <w:bodyDiv w:val="1"/>
      <w:marLeft w:val="0"/>
      <w:marRight w:val="0"/>
      <w:marTop w:val="0"/>
      <w:marBottom w:val="0"/>
      <w:divBdr>
        <w:top w:val="none" w:sz="0" w:space="0" w:color="auto"/>
        <w:left w:val="none" w:sz="0" w:space="0" w:color="auto"/>
        <w:bottom w:val="none" w:sz="0" w:space="0" w:color="auto"/>
        <w:right w:val="none" w:sz="0" w:space="0" w:color="auto"/>
      </w:divBdr>
    </w:div>
    <w:div w:id="1327516650">
      <w:bodyDiv w:val="1"/>
      <w:marLeft w:val="0"/>
      <w:marRight w:val="0"/>
      <w:marTop w:val="0"/>
      <w:marBottom w:val="0"/>
      <w:divBdr>
        <w:top w:val="none" w:sz="0" w:space="0" w:color="auto"/>
        <w:left w:val="none" w:sz="0" w:space="0" w:color="auto"/>
        <w:bottom w:val="none" w:sz="0" w:space="0" w:color="auto"/>
        <w:right w:val="none" w:sz="0" w:space="0" w:color="auto"/>
      </w:divBdr>
    </w:div>
    <w:div w:id="1328552620">
      <w:bodyDiv w:val="1"/>
      <w:marLeft w:val="0"/>
      <w:marRight w:val="0"/>
      <w:marTop w:val="0"/>
      <w:marBottom w:val="0"/>
      <w:divBdr>
        <w:top w:val="none" w:sz="0" w:space="0" w:color="auto"/>
        <w:left w:val="none" w:sz="0" w:space="0" w:color="auto"/>
        <w:bottom w:val="none" w:sz="0" w:space="0" w:color="auto"/>
        <w:right w:val="none" w:sz="0" w:space="0" w:color="auto"/>
      </w:divBdr>
    </w:div>
    <w:div w:id="1418215009">
      <w:bodyDiv w:val="1"/>
      <w:marLeft w:val="0"/>
      <w:marRight w:val="0"/>
      <w:marTop w:val="0"/>
      <w:marBottom w:val="0"/>
      <w:divBdr>
        <w:top w:val="none" w:sz="0" w:space="0" w:color="auto"/>
        <w:left w:val="none" w:sz="0" w:space="0" w:color="auto"/>
        <w:bottom w:val="none" w:sz="0" w:space="0" w:color="auto"/>
        <w:right w:val="none" w:sz="0" w:space="0" w:color="auto"/>
      </w:divBdr>
    </w:div>
    <w:div w:id="1442533349">
      <w:bodyDiv w:val="1"/>
      <w:marLeft w:val="0"/>
      <w:marRight w:val="0"/>
      <w:marTop w:val="0"/>
      <w:marBottom w:val="0"/>
      <w:divBdr>
        <w:top w:val="none" w:sz="0" w:space="0" w:color="auto"/>
        <w:left w:val="none" w:sz="0" w:space="0" w:color="auto"/>
        <w:bottom w:val="none" w:sz="0" w:space="0" w:color="auto"/>
        <w:right w:val="none" w:sz="0" w:space="0" w:color="auto"/>
      </w:divBdr>
    </w:div>
    <w:div w:id="1485587512">
      <w:bodyDiv w:val="1"/>
      <w:marLeft w:val="0"/>
      <w:marRight w:val="0"/>
      <w:marTop w:val="0"/>
      <w:marBottom w:val="0"/>
      <w:divBdr>
        <w:top w:val="none" w:sz="0" w:space="0" w:color="auto"/>
        <w:left w:val="none" w:sz="0" w:space="0" w:color="auto"/>
        <w:bottom w:val="none" w:sz="0" w:space="0" w:color="auto"/>
        <w:right w:val="none" w:sz="0" w:space="0" w:color="auto"/>
      </w:divBdr>
    </w:div>
    <w:div w:id="1514151860">
      <w:bodyDiv w:val="1"/>
      <w:marLeft w:val="0"/>
      <w:marRight w:val="0"/>
      <w:marTop w:val="0"/>
      <w:marBottom w:val="0"/>
      <w:divBdr>
        <w:top w:val="none" w:sz="0" w:space="0" w:color="auto"/>
        <w:left w:val="none" w:sz="0" w:space="0" w:color="auto"/>
        <w:bottom w:val="none" w:sz="0" w:space="0" w:color="auto"/>
        <w:right w:val="none" w:sz="0" w:space="0" w:color="auto"/>
      </w:divBdr>
    </w:div>
    <w:div w:id="1527985811">
      <w:bodyDiv w:val="1"/>
      <w:marLeft w:val="0"/>
      <w:marRight w:val="0"/>
      <w:marTop w:val="0"/>
      <w:marBottom w:val="0"/>
      <w:divBdr>
        <w:top w:val="none" w:sz="0" w:space="0" w:color="auto"/>
        <w:left w:val="none" w:sz="0" w:space="0" w:color="auto"/>
        <w:bottom w:val="none" w:sz="0" w:space="0" w:color="auto"/>
        <w:right w:val="none" w:sz="0" w:space="0" w:color="auto"/>
      </w:divBdr>
    </w:div>
    <w:div w:id="1554736599">
      <w:bodyDiv w:val="1"/>
      <w:marLeft w:val="0"/>
      <w:marRight w:val="0"/>
      <w:marTop w:val="0"/>
      <w:marBottom w:val="0"/>
      <w:divBdr>
        <w:top w:val="none" w:sz="0" w:space="0" w:color="auto"/>
        <w:left w:val="none" w:sz="0" w:space="0" w:color="auto"/>
        <w:bottom w:val="none" w:sz="0" w:space="0" w:color="auto"/>
        <w:right w:val="none" w:sz="0" w:space="0" w:color="auto"/>
      </w:divBdr>
    </w:div>
    <w:div w:id="1562522952">
      <w:bodyDiv w:val="1"/>
      <w:marLeft w:val="0"/>
      <w:marRight w:val="0"/>
      <w:marTop w:val="0"/>
      <w:marBottom w:val="0"/>
      <w:divBdr>
        <w:top w:val="none" w:sz="0" w:space="0" w:color="auto"/>
        <w:left w:val="none" w:sz="0" w:space="0" w:color="auto"/>
        <w:bottom w:val="none" w:sz="0" w:space="0" w:color="auto"/>
        <w:right w:val="none" w:sz="0" w:space="0" w:color="auto"/>
      </w:divBdr>
    </w:div>
    <w:div w:id="1571379950">
      <w:bodyDiv w:val="1"/>
      <w:marLeft w:val="0"/>
      <w:marRight w:val="0"/>
      <w:marTop w:val="0"/>
      <w:marBottom w:val="0"/>
      <w:divBdr>
        <w:top w:val="none" w:sz="0" w:space="0" w:color="auto"/>
        <w:left w:val="none" w:sz="0" w:space="0" w:color="auto"/>
        <w:bottom w:val="none" w:sz="0" w:space="0" w:color="auto"/>
        <w:right w:val="none" w:sz="0" w:space="0" w:color="auto"/>
      </w:divBdr>
    </w:div>
    <w:div w:id="1577588185">
      <w:bodyDiv w:val="1"/>
      <w:marLeft w:val="0"/>
      <w:marRight w:val="0"/>
      <w:marTop w:val="0"/>
      <w:marBottom w:val="0"/>
      <w:divBdr>
        <w:top w:val="none" w:sz="0" w:space="0" w:color="auto"/>
        <w:left w:val="none" w:sz="0" w:space="0" w:color="auto"/>
        <w:bottom w:val="none" w:sz="0" w:space="0" w:color="auto"/>
        <w:right w:val="none" w:sz="0" w:space="0" w:color="auto"/>
      </w:divBdr>
    </w:div>
    <w:div w:id="1606619980">
      <w:bodyDiv w:val="1"/>
      <w:marLeft w:val="0"/>
      <w:marRight w:val="0"/>
      <w:marTop w:val="0"/>
      <w:marBottom w:val="0"/>
      <w:divBdr>
        <w:top w:val="none" w:sz="0" w:space="0" w:color="auto"/>
        <w:left w:val="none" w:sz="0" w:space="0" w:color="auto"/>
        <w:bottom w:val="none" w:sz="0" w:space="0" w:color="auto"/>
        <w:right w:val="none" w:sz="0" w:space="0" w:color="auto"/>
      </w:divBdr>
    </w:div>
    <w:div w:id="1712338276">
      <w:bodyDiv w:val="1"/>
      <w:marLeft w:val="0"/>
      <w:marRight w:val="0"/>
      <w:marTop w:val="0"/>
      <w:marBottom w:val="0"/>
      <w:divBdr>
        <w:top w:val="none" w:sz="0" w:space="0" w:color="auto"/>
        <w:left w:val="none" w:sz="0" w:space="0" w:color="auto"/>
        <w:bottom w:val="none" w:sz="0" w:space="0" w:color="auto"/>
        <w:right w:val="none" w:sz="0" w:space="0" w:color="auto"/>
      </w:divBdr>
    </w:div>
    <w:div w:id="1764449393">
      <w:bodyDiv w:val="1"/>
      <w:marLeft w:val="0"/>
      <w:marRight w:val="0"/>
      <w:marTop w:val="0"/>
      <w:marBottom w:val="0"/>
      <w:divBdr>
        <w:top w:val="none" w:sz="0" w:space="0" w:color="auto"/>
        <w:left w:val="none" w:sz="0" w:space="0" w:color="auto"/>
        <w:bottom w:val="none" w:sz="0" w:space="0" w:color="auto"/>
        <w:right w:val="none" w:sz="0" w:space="0" w:color="auto"/>
      </w:divBdr>
    </w:div>
    <w:div w:id="1821998212">
      <w:bodyDiv w:val="1"/>
      <w:marLeft w:val="0"/>
      <w:marRight w:val="0"/>
      <w:marTop w:val="0"/>
      <w:marBottom w:val="0"/>
      <w:divBdr>
        <w:top w:val="none" w:sz="0" w:space="0" w:color="auto"/>
        <w:left w:val="none" w:sz="0" w:space="0" w:color="auto"/>
        <w:bottom w:val="none" w:sz="0" w:space="0" w:color="auto"/>
        <w:right w:val="none" w:sz="0" w:space="0" w:color="auto"/>
      </w:divBdr>
    </w:div>
    <w:div w:id="1831019221">
      <w:bodyDiv w:val="1"/>
      <w:marLeft w:val="0"/>
      <w:marRight w:val="0"/>
      <w:marTop w:val="0"/>
      <w:marBottom w:val="0"/>
      <w:divBdr>
        <w:top w:val="none" w:sz="0" w:space="0" w:color="auto"/>
        <w:left w:val="none" w:sz="0" w:space="0" w:color="auto"/>
        <w:bottom w:val="none" w:sz="0" w:space="0" w:color="auto"/>
        <w:right w:val="none" w:sz="0" w:space="0" w:color="auto"/>
      </w:divBdr>
    </w:div>
    <w:div w:id="1860006825">
      <w:bodyDiv w:val="1"/>
      <w:marLeft w:val="0"/>
      <w:marRight w:val="0"/>
      <w:marTop w:val="0"/>
      <w:marBottom w:val="0"/>
      <w:divBdr>
        <w:top w:val="none" w:sz="0" w:space="0" w:color="auto"/>
        <w:left w:val="none" w:sz="0" w:space="0" w:color="auto"/>
        <w:bottom w:val="none" w:sz="0" w:space="0" w:color="auto"/>
        <w:right w:val="none" w:sz="0" w:space="0" w:color="auto"/>
      </w:divBdr>
    </w:div>
    <w:div w:id="1864977369">
      <w:bodyDiv w:val="1"/>
      <w:marLeft w:val="0"/>
      <w:marRight w:val="0"/>
      <w:marTop w:val="0"/>
      <w:marBottom w:val="0"/>
      <w:divBdr>
        <w:top w:val="none" w:sz="0" w:space="0" w:color="auto"/>
        <w:left w:val="none" w:sz="0" w:space="0" w:color="auto"/>
        <w:bottom w:val="none" w:sz="0" w:space="0" w:color="auto"/>
        <w:right w:val="none" w:sz="0" w:space="0" w:color="auto"/>
      </w:divBdr>
    </w:div>
    <w:div w:id="1891381342">
      <w:bodyDiv w:val="1"/>
      <w:marLeft w:val="0"/>
      <w:marRight w:val="0"/>
      <w:marTop w:val="0"/>
      <w:marBottom w:val="0"/>
      <w:divBdr>
        <w:top w:val="none" w:sz="0" w:space="0" w:color="auto"/>
        <w:left w:val="none" w:sz="0" w:space="0" w:color="auto"/>
        <w:bottom w:val="none" w:sz="0" w:space="0" w:color="auto"/>
        <w:right w:val="none" w:sz="0" w:space="0" w:color="auto"/>
      </w:divBdr>
    </w:div>
    <w:div w:id="1912301438">
      <w:bodyDiv w:val="1"/>
      <w:marLeft w:val="0"/>
      <w:marRight w:val="0"/>
      <w:marTop w:val="0"/>
      <w:marBottom w:val="0"/>
      <w:divBdr>
        <w:top w:val="none" w:sz="0" w:space="0" w:color="auto"/>
        <w:left w:val="none" w:sz="0" w:space="0" w:color="auto"/>
        <w:bottom w:val="none" w:sz="0" w:space="0" w:color="auto"/>
        <w:right w:val="none" w:sz="0" w:space="0" w:color="auto"/>
      </w:divBdr>
    </w:div>
    <w:div w:id="1983347870">
      <w:bodyDiv w:val="1"/>
      <w:marLeft w:val="0"/>
      <w:marRight w:val="0"/>
      <w:marTop w:val="0"/>
      <w:marBottom w:val="0"/>
      <w:divBdr>
        <w:top w:val="none" w:sz="0" w:space="0" w:color="auto"/>
        <w:left w:val="none" w:sz="0" w:space="0" w:color="auto"/>
        <w:bottom w:val="none" w:sz="0" w:space="0" w:color="auto"/>
        <w:right w:val="none" w:sz="0" w:space="0" w:color="auto"/>
      </w:divBdr>
    </w:div>
    <w:div w:id="1999261257">
      <w:bodyDiv w:val="1"/>
      <w:marLeft w:val="0"/>
      <w:marRight w:val="0"/>
      <w:marTop w:val="0"/>
      <w:marBottom w:val="0"/>
      <w:divBdr>
        <w:top w:val="none" w:sz="0" w:space="0" w:color="auto"/>
        <w:left w:val="none" w:sz="0" w:space="0" w:color="auto"/>
        <w:bottom w:val="none" w:sz="0" w:space="0" w:color="auto"/>
        <w:right w:val="none" w:sz="0" w:space="0" w:color="auto"/>
      </w:divBdr>
    </w:div>
    <w:div w:id="2023318802">
      <w:bodyDiv w:val="1"/>
      <w:marLeft w:val="0"/>
      <w:marRight w:val="0"/>
      <w:marTop w:val="0"/>
      <w:marBottom w:val="0"/>
      <w:divBdr>
        <w:top w:val="none" w:sz="0" w:space="0" w:color="auto"/>
        <w:left w:val="none" w:sz="0" w:space="0" w:color="auto"/>
        <w:bottom w:val="none" w:sz="0" w:space="0" w:color="auto"/>
        <w:right w:val="none" w:sz="0" w:space="0" w:color="auto"/>
      </w:divBdr>
    </w:div>
    <w:div w:id="2042708045">
      <w:bodyDiv w:val="1"/>
      <w:marLeft w:val="0"/>
      <w:marRight w:val="0"/>
      <w:marTop w:val="0"/>
      <w:marBottom w:val="0"/>
      <w:divBdr>
        <w:top w:val="none" w:sz="0" w:space="0" w:color="auto"/>
        <w:left w:val="none" w:sz="0" w:space="0" w:color="auto"/>
        <w:bottom w:val="none" w:sz="0" w:space="0" w:color="auto"/>
        <w:right w:val="none" w:sz="0" w:space="0" w:color="auto"/>
      </w:divBdr>
    </w:div>
    <w:div w:id="2077782554">
      <w:bodyDiv w:val="1"/>
      <w:marLeft w:val="0"/>
      <w:marRight w:val="0"/>
      <w:marTop w:val="0"/>
      <w:marBottom w:val="0"/>
      <w:divBdr>
        <w:top w:val="none" w:sz="0" w:space="0" w:color="auto"/>
        <w:left w:val="none" w:sz="0" w:space="0" w:color="auto"/>
        <w:bottom w:val="none" w:sz="0" w:space="0" w:color="auto"/>
        <w:right w:val="none" w:sz="0" w:space="0" w:color="auto"/>
      </w:divBdr>
    </w:div>
    <w:div w:id="2084981866">
      <w:bodyDiv w:val="1"/>
      <w:marLeft w:val="0"/>
      <w:marRight w:val="0"/>
      <w:marTop w:val="0"/>
      <w:marBottom w:val="0"/>
      <w:divBdr>
        <w:top w:val="none" w:sz="0" w:space="0" w:color="auto"/>
        <w:left w:val="none" w:sz="0" w:space="0" w:color="auto"/>
        <w:bottom w:val="none" w:sz="0" w:space="0" w:color="auto"/>
        <w:right w:val="none" w:sz="0" w:space="0" w:color="auto"/>
      </w:divBdr>
    </w:div>
    <w:div w:id="2085029304">
      <w:bodyDiv w:val="1"/>
      <w:marLeft w:val="0"/>
      <w:marRight w:val="0"/>
      <w:marTop w:val="0"/>
      <w:marBottom w:val="0"/>
      <w:divBdr>
        <w:top w:val="none" w:sz="0" w:space="0" w:color="auto"/>
        <w:left w:val="none" w:sz="0" w:space="0" w:color="auto"/>
        <w:bottom w:val="none" w:sz="0" w:space="0" w:color="auto"/>
        <w:right w:val="none" w:sz="0" w:space="0" w:color="auto"/>
      </w:divBdr>
    </w:div>
    <w:div w:id="2091851053">
      <w:bodyDiv w:val="1"/>
      <w:marLeft w:val="0"/>
      <w:marRight w:val="0"/>
      <w:marTop w:val="0"/>
      <w:marBottom w:val="0"/>
      <w:divBdr>
        <w:top w:val="none" w:sz="0" w:space="0" w:color="auto"/>
        <w:left w:val="none" w:sz="0" w:space="0" w:color="auto"/>
        <w:bottom w:val="none" w:sz="0" w:space="0" w:color="auto"/>
        <w:right w:val="none" w:sz="0" w:space="0" w:color="auto"/>
      </w:divBdr>
    </w:div>
    <w:div w:id="2092461915">
      <w:bodyDiv w:val="1"/>
      <w:marLeft w:val="0"/>
      <w:marRight w:val="0"/>
      <w:marTop w:val="0"/>
      <w:marBottom w:val="0"/>
      <w:divBdr>
        <w:top w:val="none" w:sz="0" w:space="0" w:color="auto"/>
        <w:left w:val="none" w:sz="0" w:space="0" w:color="auto"/>
        <w:bottom w:val="none" w:sz="0" w:space="0" w:color="auto"/>
        <w:right w:val="none" w:sz="0" w:space="0" w:color="auto"/>
      </w:divBdr>
    </w:div>
    <w:div w:id="2116752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nei.gob.pe/media/MenuRecursivo/boletines/boletin_seguridad_julio2019.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nei.gob.pe/media/MenuRecursivo/boletines/boletin_seguridad_julio2019.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ei.gob.pe/media/MenuRecursivo/boletines/boletin_seguridad_julio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0EDEB9A06DA74A9055BD27FB034A94" ma:contentTypeVersion="12" ma:contentTypeDescription="Create a new document." ma:contentTypeScope="" ma:versionID="a587792ac379b2f26f066ed1b2a57174">
  <xsd:schema xmlns:xsd="http://www.w3.org/2001/XMLSchema" xmlns:xs="http://www.w3.org/2001/XMLSchema" xmlns:p="http://schemas.microsoft.com/office/2006/metadata/properties" xmlns:ns3="0440d2a1-6646-4199-b35c-1d170b650be6" xmlns:ns4="732190a5-1257-41e6-abab-579a9767b9cf" targetNamespace="http://schemas.microsoft.com/office/2006/metadata/properties" ma:root="true" ma:fieldsID="dc1d166dd13ee987e416026a2a2e8b48" ns3:_="" ns4:_="">
    <xsd:import namespace="0440d2a1-6646-4199-b35c-1d170b650be6"/>
    <xsd:import namespace="732190a5-1257-41e6-abab-579a9767b9c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0d2a1-6646-4199-b35c-1d170b650b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2190a5-1257-41e6-abab-579a9767b9c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4B60E-F388-4A8F-87EF-3FB032241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0d2a1-6646-4199-b35c-1d170b650be6"/>
    <ds:schemaRef ds:uri="732190a5-1257-41e6-abab-579a9767b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84E1C4-2573-4249-850C-8F658C012522}">
  <ds:schemaRefs>
    <ds:schemaRef ds:uri="http://schemas.microsoft.com/sharepoint/v3/contenttype/forms"/>
  </ds:schemaRefs>
</ds:datastoreItem>
</file>

<file path=customXml/itemProps3.xml><?xml version="1.0" encoding="utf-8"?>
<ds:datastoreItem xmlns:ds="http://schemas.openxmlformats.org/officeDocument/2006/customXml" ds:itemID="{079193F9-4182-4613-9B92-97FA0B9223D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32190a5-1257-41e6-abab-579a9767b9cf"/>
    <ds:schemaRef ds:uri="0440d2a1-6646-4199-b35c-1d170b650be6"/>
    <ds:schemaRef ds:uri="http://www.w3.org/XML/1998/namespace"/>
    <ds:schemaRef ds:uri="http://purl.org/dc/dcmitype/"/>
  </ds:schemaRefs>
</ds:datastoreItem>
</file>

<file path=customXml/itemProps4.xml><?xml version="1.0" encoding="utf-8"?>
<ds:datastoreItem xmlns:ds="http://schemas.openxmlformats.org/officeDocument/2006/customXml" ds:itemID="{D2A3D49A-2997-4FBD-BE55-9A8348E87AE7}">
  <ds:schemaRefs>
    <ds:schemaRef ds:uri="http://schemas.openxmlformats.org/officeDocument/2006/bibliography"/>
  </ds:schemaRefs>
</ds:datastoreItem>
</file>

<file path=customXml/itemProps5.xml><?xml version="1.0" encoding="utf-8"?>
<ds:datastoreItem xmlns:ds="http://schemas.openxmlformats.org/officeDocument/2006/customXml" ds:itemID="{AB990EF3-D25A-450F-93F9-A6188B75C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2003</Words>
  <Characters>11420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2019-09-04T15:37:00Z</dcterms:created>
  <dcterms:modified xsi:type="dcterms:W3CDTF">2019-09-04T15:37:00Z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0x010100830EDEB9A06DA74A9055BD27FB034A94</vt:lpwstr>
  </property>
</Properties>
</file>