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A38F3" w14:textId="77777777" w:rsidR="0095711B" w:rsidRPr="00A523B2" w:rsidRDefault="001C1097" w:rsidP="001735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A</w:t>
      </w:r>
      <w:r w:rsidRPr="00A523B2">
        <w:rPr>
          <w:rFonts w:ascii="Arial" w:hAnsi="Arial" w:cs="Arial"/>
          <w:b/>
          <w:sz w:val="24"/>
          <w:szCs w:val="24"/>
          <w:lang w:val="es-ES"/>
        </w:rPr>
        <w:t>bstracto</w:t>
      </w:r>
      <w:r w:rsidR="00563B1D" w:rsidRPr="00A523B2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91508A" w:rsidRPr="00A523B2">
        <w:rPr>
          <w:rFonts w:ascii="Arial" w:hAnsi="Arial" w:cs="Arial"/>
          <w:b/>
          <w:sz w:val="24"/>
          <w:szCs w:val="24"/>
          <w:lang w:val="es-ES"/>
        </w:rPr>
        <w:t xml:space="preserve">de </w:t>
      </w:r>
      <w:r w:rsidR="00F00960" w:rsidRPr="00A523B2">
        <w:rPr>
          <w:rFonts w:ascii="Arial" w:hAnsi="Arial" w:cs="Arial"/>
          <w:b/>
          <w:sz w:val="24"/>
          <w:szCs w:val="24"/>
          <w:lang w:val="es-ES"/>
        </w:rPr>
        <w:t>Cooperación</w:t>
      </w:r>
      <w:r w:rsidR="0091508A" w:rsidRPr="00A523B2">
        <w:rPr>
          <w:rFonts w:ascii="Arial" w:hAnsi="Arial" w:cs="Arial"/>
          <w:b/>
          <w:sz w:val="24"/>
          <w:szCs w:val="24"/>
          <w:lang w:val="es-ES"/>
        </w:rPr>
        <w:t xml:space="preserve"> T</w:t>
      </w:r>
      <w:r w:rsidR="00F00960" w:rsidRPr="00A523B2">
        <w:rPr>
          <w:rFonts w:ascii="Arial" w:hAnsi="Arial" w:cs="Arial"/>
          <w:b/>
          <w:sz w:val="24"/>
          <w:szCs w:val="24"/>
          <w:lang w:val="es-ES"/>
        </w:rPr>
        <w:t>é</w:t>
      </w:r>
      <w:r w:rsidR="0091508A" w:rsidRPr="00A523B2">
        <w:rPr>
          <w:rFonts w:ascii="Arial" w:hAnsi="Arial" w:cs="Arial"/>
          <w:b/>
          <w:sz w:val="24"/>
          <w:szCs w:val="24"/>
          <w:lang w:val="es-ES"/>
        </w:rPr>
        <w:t xml:space="preserve">cnica </w:t>
      </w:r>
    </w:p>
    <w:p w14:paraId="52A022E8" w14:textId="1547C2B9" w:rsidR="005D330B" w:rsidRPr="004C285B" w:rsidRDefault="00563B1D" w:rsidP="004C285B">
      <w:pPr>
        <w:spacing w:after="0" w:line="240" w:lineRule="auto"/>
        <w:jc w:val="center"/>
        <w:rPr>
          <w:rFonts w:ascii="Arial" w:hAnsi="Arial" w:cs="Arial"/>
          <w:lang w:val="es-ES"/>
        </w:rPr>
      </w:pPr>
      <w:r w:rsidRPr="00A523B2">
        <w:rPr>
          <w:rFonts w:ascii="Arial" w:hAnsi="Arial" w:cs="Arial"/>
          <w:lang w:val="es-ES"/>
        </w:rPr>
        <w:t xml:space="preserve"> </w:t>
      </w:r>
    </w:p>
    <w:p w14:paraId="646801C9" w14:textId="77777777" w:rsidR="0095711B" w:rsidRPr="00A523B2" w:rsidRDefault="00E33333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>Información</w:t>
      </w:r>
      <w:r w:rsidR="0091508A" w:rsidRPr="00A523B2">
        <w:rPr>
          <w:rFonts w:ascii="Arial" w:hAnsi="Arial" w:cs="Arial"/>
          <w:b/>
          <w:lang w:val="es-ES"/>
        </w:rPr>
        <w:t xml:space="preserve"> </w:t>
      </w:r>
      <w:r w:rsidRPr="00A523B2">
        <w:rPr>
          <w:rFonts w:ascii="Arial" w:hAnsi="Arial" w:cs="Arial"/>
          <w:b/>
          <w:lang w:val="es-ES"/>
        </w:rPr>
        <w:t>Básica</w:t>
      </w:r>
      <w:r w:rsidR="0091508A" w:rsidRPr="00A523B2">
        <w:rPr>
          <w:rFonts w:ascii="Arial" w:hAnsi="Arial" w:cs="Arial"/>
          <w:b/>
          <w:lang w:val="es-ES"/>
        </w:rPr>
        <w:t xml:space="preserve"> del </w:t>
      </w:r>
      <w:r w:rsidR="00DA7513" w:rsidRPr="00A523B2">
        <w:rPr>
          <w:rFonts w:ascii="Arial" w:hAnsi="Arial" w:cs="Arial"/>
          <w:b/>
          <w:lang w:val="es-ES"/>
        </w:rPr>
        <w:t>proyecto</w:t>
      </w:r>
      <w:r w:rsidR="0091508A" w:rsidRPr="00A523B2">
        <w:rPr>
          <w:rFonts w:ascii="Arial" w:hAnsi="Arial" w:cs="Arial"/>
          <w:b/>
          <w:lang w:val="es-ES"/>
        </w:rPr>
        <w:t xml:space="preserve"> </w:t>
      </w:r>
    </w:p>
    <w:tbl>
      <w:tblPr>
        <w:tblStyle w:val="TableGrid"/>
        <w:tblW w:w="0" w:type="auto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50"/>
        <w:gridCol w:w="4402"/>
      </w:tblGrid>
      <w:tr w:rsidR="000C16F9" w:rsidRPr="00A523B2" w14:paraId="250EB65D" w14:textId="77777777" w:rsidTr="00190E17">
        <w:tc>
          <w:tcPr>
            <w:tcW w:w="3850" w:type="dxa"/>
          </w:tcPr>
          <w:p w14:paraId="05195E41" w14:textId="77777777" w:rsidR="009F33FF" w:rsidRPr="004C285B" w:rsidRDefault="0091508A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País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/Regi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ó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n:</w:t>
            </w:r>
          </w:p>
        </w:tc>
        <w:tc>
          <w:tcPr>
            <w:tcW w:w="4402" w:type="dxa"/>
          </w:tcPr>
          <w:p w14:paraId="39419C1C" w14:textId="77777777" w:rsidR="009F33FF" w:rsidRPr="004C285B" w:rsidRDefault="00995F48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Bolivia</w:t>
            </w:r>
          </w:p>
        </w:tc>
      </w:tr>
      <w:tr w:rsidR="000C16F9" w:rsidRPr="008A4F73" w14:paraId="15234733" w14:textId="77777777" w:rsidTr="00190E17">
        <w:tc>
          <w:tcPr>
            <w:tcW w:w="3850" w:type="dxa"/>
          </w:tcPr>
          <w:p w14:paraId="4076DF9B" w14:textId="77777777" w:rsidR="009F33FF" w:rsidRPr="004C285B" w:rsidRDefault="0091508A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Nombre de la C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T:</w:t>
            </w:r>
          </w:p>
        </w:tc>
        <w:tc>
          <w:tcPr>
            <w:tcW w:w="4402" w:type="dxa"/>
          </w:tcPr>
          <w:p w14:paraId="2B6D24A3" w14:textId="3AB85050" w:rsidR="009F33FF" w:rsidRPr="00C22B33" w:rsidRDefault="00995F48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Fortalecimiento Local para el uso de los Baños Ecológicos Secos en Bolivia</w:t>
            </w:r>
          </w:p>
        </w:tc>
      </w:tr>
      <w:tr w:rsidR="000C16F9" w:rsidRPr="00A523B2" w14:paraId="298BED24" w14:textId="77777777" w:rsidTr="00190E17">
        <w:tc>
          <w:tcPr>
            <w:tcW w:w="3850" w:type="dxa"/>
          </w:tcPr>
          <w:p w14:paraId="056F3C08" w14:textId="77777777" w:rsidR="009F33FF" w:rsidRPr="004C285B" w:rsidRDefault="0091508A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Número de C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T:</w:t>
            </w:r>
          </w:p>
        </w:tc>
        <w:tc>
          <w:tcPr>
            <w:tcW w:w="4402" w:type="dxa"/>
          </w:tcPr>
          <w:p w14:paraId="175EC3D8" w14:textId="4135696A" w:rsidR="009F33FF" w:rsidRPr="004C285B" w:rsidRDefault="006B1E3C" w:rsidP="006B1E3C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BO-T1353</w:t>
            </w:r>
          </w:p>
        </w:tc>
      </w:tr>
      <w:tr w:rsidR="000C16F9" w:rsidRPr="008A4F73" w14:paraId="040D63C3" w14:textId="77777777" w:rsidTr="00190E17">
        <w:tc>
          <w:tcPr>
            <w:tcW w:w="3850" w:type="dxa"/>
          </w:tcPr>
          <w:p w14:paraId="78155657" w14:textId="77777777" w:rsidR="009F33FF" w:rsidRPr="004C285B" w:rsidRDefault="0091508A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Jefe de Equipo/Miembros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402" w:type="dxa"/>
          </w:tcPr>
          <w:p w14:paraId="659E46C2" w14:textId="69E29A4F" w:rsidR="002E10D1" w:rsidRPr="004C285B" w:rsidRDefault="001A2A00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A2A00">
              <w:rPr>
                <w:rFonts w:ascii="Arial" w:hAnsi="Arial" w:cs="Arial"/>
                <w:sz w:val="18"/>
                <w:szCs w:val="18"/>
                <w:lang w:val="es-ES"/>
              </w:rPr>
              <w:t>Jefe de Equipo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r w:rsidR="008A4F73" w:rsidRPr="004C285B">
              <w:rPr>
                <w:rFonts w:ascii="Arial" w:hAnsi="Arial" w:cs="Arial"/>
                <w:sz w:val="18"/>
                <w:szCs w:val="18"/>
                <w:lang w:val="es-ES"/>
              </w:rPr>
              <w:t>Cristina Mecerreyes (INE/WSA)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; </w:t>
            </w:r>
            <w:proofErr w:type="gramStart"/>
            <w:r w:rsidRPr="001A2A00">
              <w:rPr>
                <w:rFonts w:ascii="Arial" w:hAnsi="Arial" w:cs="Arial"/>
                <w:sz w:val="18"/>
                <w:szCs w:val="18"/>
                <w:lang w:val="es-ES"/>
              </w:rPr>
              <w:t>Jefe</w:t>
            </w:r>
            <w:proofErr w:type="gramEnd"/>
            <w:r w:rsidRPr="001A2A00">
              <w:rPr>
                <w:rFonts w:ascii="Arial" w:hAnsi="Arial" w:cs="Arial"/>
                <w:sz w:val="18"/>
                <w:szCs w:val="18"/>
                <w:lang w:val="es-ES"/>
              </w:rPr>
              <w:t xml:space="preserve"> de equipo alterno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r w:rsidRPr="001A2A00">
              <w:rPr>
                <w:rFonts w:ascii="Arial" w:hAnsi="Arial" w:cs="Arial"/>
                <w:sz w:val="18"/>
                <w:szCs w:val="18"/>
                <w:lang w:val="es-ES"/>
              </w:rPr>
              <w:t>María Eugenia de la Peña (INE/WSA)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; </w:t>
            </w:r>
            <w:r w:rsidR="008A4F73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Thierry Delaunay; </w:t>
            </w:r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 xml:space="preserve">Celia Bedoya, </w:t>
            </w:r>
            <w:r w:rsidR="008A4F73" w:rsidRPr="004C285B">
              <w:rPr>
                <w:rFonts w:ascii="Arial" w:hAnsi="Arial" w:cs="Arial"/>
                <w:sz w:val="18"/>
                <w:szCs w:val="18"/>
                <w:lang w:val="es-ES"/>
              </w:rPr>
              <w:t>Francisco González</w:t>
            </w:r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r w:rsidR="00190E17" w:rsidRPr="00190E17">
              <w:rPr>
                <w:rFonts w:ascii="Arial" w:hAnsi="Arial" w:cs="Arial"/>
                <w:sz w:val="18"/>
                <w:szCs w:val="18"/>
                <w:lang w:val="es-ES"/>
              </w:rPr>
              <w:t>Jose Luis Marquez</w:t>
            </w:r>
            <w:r w:rsidR="00C22B33">
              <w:rPr>
                <w:rFonts w:ascii="Arial" w:hAnsi="Arial" w:cs="Arial"/>
                <w:sz w:val="18"/>
                <w:szCs w:val="18"/>
                <w:lang w:val="es-ES"/>
              </w:rPr>
              <w:t xml:space="preserve"> y </w:t>
            </w:r>
            <w:r w:rsidR="008A4F73" w:rsidRPr="004C285B">
              <w:rPr>
                <w:rFonts w:ascii="Arial" w:hAnsi="Arial" w:cs="Arial"/>
                <w:sz w:val="18"/>
                <w:szCs w:val="18"/>
                <w:lang w:val="es-ES"/>
              </w:rPr>
              <w:t>Marilyn Guerrero (INE/WSA)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; Maria Sofia Greco (</w:t>
            </w:r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 xml:space="preserve">LEG/SGO); Guissel Coronel y Jorge Isaac </w:t>
            </w:r>
            <w:proofErr w:type="spellStart"/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>Cossio</w:t>
            </w:r>
            <w:proofErr w:type="spellEnd"/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 xml:space="preserve"> (CAN/CBO).</w:t>
            </w:r>
          </w:p>
        </w:tc>
      </w:tr>
      <w:tr w:rsidR="00563B1D" w:rsidRPr="00A96B5C" w14:paraId="3551C0BB" w14:textId="77777777" w:rsidTr="00190E17">
        <w:tc>
          <w:tcPr>
            <w:tcW w:w="3850" w:type="dxa"/>
          </w:tcPr>
          <w:p w14:paraId="10B8D6CE" w14:textId="77777777" w:rsidR="00563B1D" w:rsidRPr="004C285B" w:rsidRDefault="00563B1D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Indicar si es: Apoyo Operativo, Apoyo a</w:t>
            </w:r>
            <w:r w:rsidR="00055EF1" w:rsidRPr="004C285B">
              <w:rPr>
                <w:rFonts w:ascii="Arial" w:hAnsi="Arial" w:cs="Arial"/>
                <w:sz w:val="18"/>
                <w:szCs w:val="18"/>
                <w:lang w:val="es-ES"/>
              </w:rPr>
              <w:t>l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Cliente, o Investigación y Difusión </w:t>
            </w:r>
          </w:p>
        </w:tc>
        <w:tc>
          <w:tcPr>
            <w:tcW w:w="4402" w:type="dxa"/>
          </w:tcPr>
          <w:p w14:paraId="1E1561B3" w14:textId="140962EF" w:rsidR="00563B1D" w:rsidRPr="00C22B33" w:rsidRDefault="009971C1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Apoyo</w:t>
            </w:r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 xml:space="preserve"> al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>cliente</w:t>
            </w:r>
          </w:p>
        </w:tc>
      </w:tr>
      <w:tr w:rsidR="00563B1D" w:rsidRPr="00A96B5C" w14:paraId="76CE3D9D" w14:textId="77777777" w:rsidTr="00190E17">
        <w:tc>
          <w:tcPr>
            <w:tcW w:w="3850" w:type="dxa"/>
          </w:tcPr>
          <w:p w14:paraId="1C5BA253" w14:textId="77777777" w:rsidR="00563B1D" w:rsidRPr="004C285B" w:rsidRDefault="00563B1D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Si es Apoyo Operativo, proveer n</w:t>
            </w:r>
            <w:r w:rsidR="00274A3E" w:rsidRPr="004C285B">
              <w:rPr>
                <w:rFonts w:ascii="Arial" w:hAnsi="Arial" w:cs="Arial"/>
                <w:sz w:val="18"/>
                <w:szCs w:val="18"/>
                <w:lang w:val="es-ES"/>
              </w:rPr>
              <w:t>ú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mero y nombre de la operación que apoyará </w:t>
            </w:r>
            <w:r w:rsidR="00DA7513" w:rsidRPr="004C285B">
              <w:rPr>
                <w:rFonts w:ascii="Arial" w:hAnsi="Arial" w:cs="Arial"/>
                <w:sz w:val="18"/>
                <w:szCs w:val="18"/>
                <w:lang w:val="es-ES"/>
              </w:rPr>
              <w:t>la CT:</w:t>
            </w:r>
          </w:p>
        </w:tc>
        <w:tc>
          <w:tcPr>
            <w:tcW w:w="4402" w:type="dxa"/>
          </w:tcPr>
          <w:p w14:paraId="026EFC35" w14:textId="3E704B7E" w:rsidR="00563B1D" w:rsidRPr="004C285B" w:rsidRDefault="00190E17" w:rsidP="00190E17">
            <w:pPr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 N/A</w:t>
            </w:r>
          </w:p>
        </w:tc>
      </w:tr>
      <w:tr w:rsidR="00DA7513" w:rsidRPr="00A96B5C" w14:paraId="4E28F2B9" w14:textId="77777777" w:rsidTr="00190E17">
        <w:tc>
          <w:tcPr>
            <w:tcW w:w="3850" w:type="dxa"/>
          </w:tcPr>
          <w:p w14:paraId="31ED6E29" w14:textId="77777777" w:rsidR="00DA7513" w:rsidRPr="004C285B" w:rsidRDefault="00DA7513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Fecha del Abstracto de CT:</w:t>
            </w:r>
          </w:p>
        </w:tc>
        <w:tc>
          <w:tcPr>
            <w:tcW w:w="4402" w:type="dxa"/>
          </w:tcPr>
          <w:p w14:paraId="7CA7D87B" w14:textId="2D9221F5" w:rsidR="00DA7513" w:rsidRPr="004C285B" w:rsidRDefault="00190E17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11</w:t>
            </w:r>
            <w:r w:rsidR="001C4993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de</w:t>
            </w:r>
            <w:r w:rsidR="00995F48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diciembre de</w:t>
            </w:r>
            <w:r w:rsidR="009971C1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201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9</w:t>
            </w:r>
          </w:p>
        </w:tc>
      </w:tr>
      <w:tr w:rsidR="000C16F9" w:rsidRPr="008A4F73" w14:paraId="39D3FFF6" w14:textId="77777777" w:rsidTr="00190E17">
        <w:tc>
          <w:tcPr>
            <w:tcW w:w="3850" w:type="dxa"/>
          </w:tcPr>
          <w:p w14:paraId="13F48FC8" w14:textId="77777777" w:rsidR="009F33FF" w:rsidRPr="004C285B" w:rsidRDefault="009F33FF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Beneficiar</w:t>
            </w:r>
            <w:r w:rsidR="0091508A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io 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="00E33333" w:rsidRPr="004C285B">
              <w:rPr>
                <w:rFonts w:ascii="Arial" w:hAnsi="Arial" w:cs="Arial"/>
                <w:sz w:val="18"/>
                <w:szCs w:val="18"/>
                <w:lang w:val="es-ES"/>
              </w:rPr>
              <w:t>países</w:t>
            </w:r>
            <w:r w:rsidR="0091508A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o entidades que </w:t>
            </w:r>
            <w:r w:rsidR="00E33333" w:rsidRPr="004C285B">
              <w:rPr>
                <w:rFonts w:ascii="Arial" w:hAnsi="Arial" w:cs="Arial"/>
                <w:sz w:val="18"/>
                <w:szCs w:val="18"/>
                <w:lang w:val="es-ES"/>
              </w:rPr>
              <w:t>recibirán</w:t>
            </w:r>
            <w:r w:rsidR="0091508A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la asistencia </w:t>
            </w:r>
            <w:r w:rsidR="00E33333" w:rsidRPr="004C285B">
              <w:rPr>
                <w:rFonts w:ascii="Arial" w:hAnsi="Arial" w:cs="Arial"/>
                <w:sz w:val="18"/>
                <w:szCs w:val="18"/>
                <w:lang w:val="es-ES"/>
              </w:rPr>
              <w:t>técnica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):</w:t>
            </w:r>
          </w:p>
        </w:tc>
        <w:tc>
          <w:tcPr>
            <w:tcW w:w="4402" w:type="dxa"/>
          </w:tcPr>
          <w:p w14:paraId="283CA6B4" w14:textId="77777777" w:rsidR="002E10D1" w:rsidRPr="004C285B" w:rsidRDefault="00995F48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Ministerio de Medio Ambiente y Agua (</w:t>
            </w:r>
            <w:proofErr w:type="spellStart"/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MMAyA</w:t>
            </w:r>
            <w:proofErr w:type="spellEnd"/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) de Bolivia </w:t>
            </w:r>
          </w:p>
        </w:tc>
      </w:tr>
      <w:tr w:rsidR="000C16F9" w:rsidRPr="00A96B5C" w14:paraId="208DDFBA" w14:textId="77777777" w:rsidTr="00190E17">
        <w:tc>
          <w:tcPr>
            <w:tcW w:w="3850" w:type="dxa"/>
          </w:tcPr>
          <w:p w14:paraId="150F5F87" w14:textId="102E5153" w:rsidR="009F33FF" w:rsidRPr="004C285B" w:rsidRDefault="0091508A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Agencia Ejecutora</w:t>
            </w:r>
            <w:r w:rsidR="00C22B33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402" w:type="dxa"/>
          </w:tcPr>
          <w:p w14:paraId="09D08BBF" w14:textId="6807C36D" w:rsidR="009F33FF" w:rsidRPr="004C285B" w:rsidRDefault="009971C1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B</w:t>
            </w:r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 xml:space="preserve">anco 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I</w:t>
            </w:r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 xml:space="preserve">nteramericano de 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D</w:t>
            </w:r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>esarrollo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(INE/WSA)</w:t>
            </w:r>
          </w:p>
        </w:tc>
      </w:tr>
      <w:tr w:rsidR="000C16F9" w:rsidRPr="00A523B2" w14:paraId="7C33F293" w14:textId="77777777" w:rsidTr="00190E17">
        <w:tc>
          <w:tcPr>
            <w:tcW w:w="3850" w:type="dxa"/>
          </w:tcPr>
          <w:p w14:paraId="7DCCA507" w14:textId="77777777" w:rsidR="009F33FF" w:rsidRPr="004C285B" w:rsidRDefault="00E33333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Financiamiento Solicitado del BID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402" w:type="dxa"/>
          </w:tcPr>
          <w:p w14:paraId="2EE4022B" w14:textId="73147E5C" w:rsidR="00CE501A" w:rsidRPr="004C285B" w:rsidRDefault="009971C1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US$</w:t>
            </w:r>
            <w:r w:rsidR="00995F48" w:rsidRPr="004C285B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00,000</w:t>
            </w:r>
          </w:p>
        </w:tc>
      </w:tr>
      <w:tr w:rsidR="000C16F9" w:rsidRPr="00A523B2" w14:paraId="309E53A0" w14:textId="77777777" w:rsidTr="00190E17">
        <w:tc>
          <w:tcPr>
            <w:tcW w:w="3850" w:type="dxa"/>
          </w:tcPr>
          <w:p w14:paraId="6FEDF220" w14:textId="77777777" w:rsidR="009F33FF" w:rsidRPr="004C285B" w:rsidRDefault="00E33333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Contrapartida 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Local, 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si hay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402" w:type="dxa"/>
          </w:tcPr>
          <w:p w14:paraId="166EB83A" w14:textId="77777777" w:rsidR="009F33FF" w:rsidRPr="004C285B" w:rsidRDefault="009971C1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</w:tr>
      <w:tr w:rsidR="000C16F9" w:rsidRPr="00A96B5C" w14:paraId="57C648C9" w14:textId="77777777" w:rsidTr="00190E17">
        <w:tc>
          <w:tcPr>
            <w:tcW w:w="3850" w:type="dxa"/>
          </w:tcPr>
          <w:p w14:paraId="44FAF0B3" w14:textId="77777777" w:rsidR="009F33FF" w:rsidRPr="004C285B" w:rsidRDefault="00E33333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Periodo de Desembolso </w:t>
            </w:r>
            <w:r w:rsidR="00433246" w:rsidRPr="004C285B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incluye periodo de ejecución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):</w:t>
            </w:r>
          </w:p>
        </w:tc>
        <w:tc>
          <w:tcPr>
            <w:tcW w:w="4402" w:type="dxa"/>
          </w:tcPr>
          <w:p w14:paraId="69F0D91E" w14:textId="2ACB19DB" w:rsidR="009F33FF" w:rsidRPr="004C285B" w:rsidRDefault="00190E17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18</w:t>
            </w:r>
            <w:r w:rsidR="009971C1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meses</w:t>
            </w:r>
          </w:p>
        </w:tc>
      </w:tr>
      <w:tr w:rsidR="000C16F9" w:rsidRPr="00A523B2" w14:paraId="3963A7DE" w14:textId="77777777" w:rsidTr="00190E17">
        <w:tc>
          <w:tcPr>
            <w:tcW w:w="3850" w:type="dxa"/>
          </w:tcPr>
          <w:p w14:paraId="2C7C24F3" w14:textId="77777777" w:rsidR="009F33FF" w:rsidRPr="004C285B" w:rsidRDefault="00E33333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Tipos de consultores 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(firm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as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o 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consultores 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individual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es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):</w:t>
            </w:r>
          </w:p>
        </w:tc>
        <w:tc>
          <w:tcPr>
            <w:tcW w:w="4402" w:type="dxa"/>
          </w:tcPr>
          <w:p w14:paraId="31A245FC" w14:textId="77777777" w:rsidR="009F33FF" w:rsidRPr="004C285B" w:rsidRDefault="00B864AA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Firmas y consultores individuales</w:t>
            </w:r>
          </w:p>
        </w:tc>
      </w:tr>
      <w:tr w:rsidR="000C16F9" w:rsidRPr="00A523B2" w14:paraId="1606B9E5" w14:textId="77777777" w:rsidTr="00190E17">
        <w:tc>
          <w:tcPr>
            <w:tcW w:w="3850" w:type="dxa"/>
          </w:tcPr>
          <w:p w14:paraId="3F2BC8E3" w14:textId="77777777" w:rsidR="009F33FF" w:rsidRPr="004C285B" w:rsidRDefault="00E33333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Unidad de Preparación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402" w:type="dxa"/>
          </w:tcPr>
          <w:p w14:paraId="0DC6931F" w14:textId="43C805CA" w:rsidR="009F33FF" w:rsidRPr="004C285B" w:rsidRDefault="00B367A8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INE</w:t>
            </w:r>
            <w:r w:rsidR="00D2543D" w:rsidRPr="004C285B">
              <w:rPr>
                <w:rFonts w:ascii="Arial" w:hAnsi="Arial" w:cs="Arial"/>
                <w:sz w:val="18"/>
                <w:szCs w:val="18"/>
                <w:lang w:val="es-ES"/>
              </w:rPr>
              <w:t>/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WSA</w:t>
            </w:r>
          </w:p>
        </w:tc>
      </w:tr>
      <w:tr w:rsidR="000C16F9" w:rsidRPr="00A96B5C" w14:paraId="6DA13279" w14:textId="77777777" w:rsidTr="00190E17">
        <w:tc>
          <w:tcPr>
            <w:tcW w:w="3850" w:type="dxa"/>
          </w:tcPr>
          <w:p w14:paraId="1B16516C" w14:textId="77777777" w:rsidR="009F33FF" w:rsidRPr="004C285B" w:rsidRDefault="009F33FF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Uni</w:t>
            </w:r>
            <w:r w:rsidR="00E33333" w:rsidRPr="004C285B">
              <w:rPr>
                <w:rFonts w:ascii="Arial" w:hAnsi="Arial" w:cs="Arial"/>
                <w:sz w:val="18"/>
                <w:szCs w:val="18"/>
                <w:lang w:val="es-ES"/>
              </w:rPr>
              <w:t>dad Responsab</w:t>
            </w:r>
            <w:r w:rsidR="00F50742" w:rsidRPr="004C285B">
              <w:rPr>
                <w:rFonts w:ascii="Arial" w:hAnsi="Arial" w:cs="Arial"/>
                <w:sz w:val="18"/>
                <w:szCs w:val="18"/>
                <w:lang w:val="es-ES"/>
              </w:rPr>
              <w:t>le</w:t>
            </w:r>
            <w:r w:rsidR="00E33333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de Desembolso</w:t>
            </w:r>
            <w:r w:rsidR="000259D8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(UDR)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402" w:type="dxa"/>
          </w:tcPr>
          <w:p w14:paraId="423E5DCC" w14:textId="387CBC8D" w:rsidR="009F33FF" w:rsidRPr="004C285B" w:rsidRDefault="006B3B78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CAN</w:t>
            </w:r>
            <w:r w:rsidR="00B367A8" w:rsidRPr="004C285B">
              <w:rPr>
                <w:rFonts w:ascii="Arial" w:hAnsi="Arial" w:cs="Arial"/>
                <w:sz w:val="18"/>
                <w:szCs w:val="18"/>
                <w:lang w:val="es-ES"/>
              </w:rPr>
              <w:t>/CBO</w:t>
            </w:r>
          </w:p>
        </w:tc>
      </w:tr>
      <w:tr w:rsidR="000C16F9" w:rsidRPr="00A523B2" w14:paraId="0726A588" w14:textId="77777777" w:rsidTr="00190E17">
        <w:tc>
          <w:tcPr>
            <w:tcW w:w="3850" w:type="dxa"/>
          </w:tcPr>
          <w:p w14:paraId="5C1A4437" w14:textId="77777777" w:rsidR="009F33FF" w:rsidRPr="004C285B" w:rsidRDefault="009F33FF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C</w:t>
            </w:r>
            <w:r w:rsidR="00E33333" w:rsidRPr="004C285B">
              <w:rPr>
                <w:rFonts w:ascii="Arial" w:hAnsi="Arial" w:cs="Arial"/>
                <w:sz w:val="18"/>
                <w:szCs w:val="18"/>
                <w:lang w:val="es-ES"/>
              </w:rPr>
              <w:t>T incluida en la Estrategia de País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(</w:t>
            </w:r>
            <w:r w:rsidR="00E33333" w:rsidRPr="004C285B">
              <w:rPr>
                <w:rFonts w:ascii="Arial" w:hAnsi="Arial" w:cs="Arial"/>
                <w:sz w:val="18"/>
                <w:szCs w:val="18"/>
                <w:lang w:val="es-ES"/>
              </w:rPr>
              <w:t>s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/n): </w:t>
            </w:r>
          </w:p>
        </w:tc>
        <w:tc>
          <w:tcPr>
            <w:tcW w:w="4402" w:type="dxa"/>
          </w:tcPr>
          <w:p w14:paraId="76B7E059" w14:textId="14206614" w:rsidR="009F33FF" w:rsidRPr="00C22B33" w:rsidRDefault="00B367A8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22B33">
              <w:rPr>
                <w:rFonts w:ascii="Arial" w:hAnsi="Arial" w:cs="Arial"/>
                <w:sz w:val="18"/>
                <w:szCs w:val="18"/>
                <w:lang w:val="es-ES"/>
              </w:rPr>
              <w:t>S</w:t>
            </w:r>
            <w:r w:rsidR="00C22B33">
              <w:rPr>
                <w:rFonts w:ascii="Arial" w:hAnsi="Arial" w:cs="Arial"/>
                <w:sz w:val="18"/>
                <w:szCs w:val="18"/>
                <w:lang w:val="es-ES"/>
              </w:rPr>
              <w:t>i</w:t>
            </w:r>
          </w:p>
        </w:tc>
      </w:tr>
      <w:tr w:rsidR="001735E1" w:rsidRPr="004C4CCA" w14:paraId="2AC9B666" w14:textId="77777777" w:rsidTr="00190E17">
        <w:tc>
          <w:tcPr>
            <w:tcW w:w="3850" w:type="dxa"/>
          </w:tcPr>
          <w:p w14:paraId="70A8F4CC" w14:textId="77777777" w:rsidR="001735E1" w:rsidRPr="004C285B" w:rsidRDefault="001735E1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pt-BR"/>
              </w:rPr>
              <w:t xml:space="preserve">CT </w:t>
            </w:r>
            <w:r w:rsidR="00EA2B39" w:rsidRPr="004C285B">
              <w:rPr>
                <w:rFonts w:ascii="Arial" w:hAnsi="Arial" w:cs="Arial"/>
                <w:sz w:val="18"/>
                <w:szCs w:val="18"/>
                <w:lang w:val="pt-BR"/>
              </w:rPr>
              <w:t>incluída</w:t>
            </w:r>
            <w:r w:rsidRPr="004C285B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C285B">
              <w:rPr>
                <w:rFonts w:ascii="Arial" w:hAnsi="Arial" w:cs="Arial"/>
                <w:sz w:val="18"/>
                <w:szCs w:val="18"/>
                <w:lang w:val="pt-BR"/>
              </w:rPr>
              <w:t>en</w:t>
            </w:r>
            <w:proofErr w:type="spellEnd"/>
            <w:r w:rsidRPr="004C285B">
              <w:rPr>
                <w:rFonts w:ascii="Arial" w:hAnsi="Arial" w:cs="Arial"/>
                <w:sz w:val="18"/>
                <w:szCs w:val="18"/>
                <w:lang w:val="pt-BR"/>
              </w:rPr>
              <w:t xml:space="preserve"> CPD (s/n):</w:t>
            </w:r>
          </w:p>
        </w:tc>
        <w:tc>
          <w:tcPr>
            <w:tcW w:w="4402" w:type="dxa"/>
          </w:tcPr>
          <w:p w14:paraId="1CC41E43" w14:textId="1979AE81" w:rsidR="001735E1" w:rsidRPr="00C22B33" w:rsidRDefault="00B367A8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22B33">
              <w:rPr>
                <w:rFonts w:ascii="Arial" w:hAnsi="Arial" w:cs="Arial"/>
                <w:sz w:val="18"/>
                <w:szCs w:val="18"/>
                <w:lang w:val="es-ES"/>
              </w:rPr>
              <w:t>S</w:t>
            </w:r>
            <w:r w:rsidR="00C22B33">
              <w:rPr>
                <w:rFonts w:ascii="Arial" w:hAnsi="Arial" w:cs="Arial"/>
                <w:sz w:val="18"/>
                <w:szCs w:val="18"/>
                <w:lang w:val="es-ES"/>
              </w:rPr>
              <w:t>i</w:t>
            </w:r>
          </w:p>
        </w:tc>
      </w:tr>
      <w:tr w:rsidR="000C16F9" w:rsidRPr="008A4F73" w14:paraId="374968F8" w14:textId="77777777" w:rsidTr="00190E17">
        <w:tc>
          <w:tcPr>
            <w:tcW w:w="3850" w:type="dxa"/>
          </w:tcPr>
          <w:p w14:paraId="17673A87" w14:textId="4556D3E8" w:rsidR="009F33FF" w:rsidRPr="004C285B" w:rsidRDefault="00EA2B39" w:rsidP="004C285B">
            <w:pPr>
              <w:pStyle w:val="ListParagraph"/>
              <w:numPr>
                <w:ilvl w:val="0"/>
                <w:numId w:val="2"/>
              </w:numPr>
              <w:spacing w:after="60"/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Alineación</w:t>
            </w:r>
            <w:r w:rsidR="0075418F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a la</w:t>
            </w: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F0BC7" w:rsidRPr="004C285B">
              <w:rPr>
                <w:rFonts w:ascii="Arial" w:hAnsi="Arial" w:cs="Arial"/>
                <w:sz w:val="18"/>
                <w:szCs w:val="18"/>
                <w:lang w:val="es-ES" w:eastAsia="ja-JP"/>
              </w:rPr>
              <w:t>Actualización</w:t>
            </w:r>
            <w:r w:rsidR="003D5430" w:rsidRPr="004C285B">
              <w:rPr>
                <w:rFonts w:ascii="Arial" w:hAnsi="Arial" w:cs="Arial"/>
                <w:sz w:val="18"/>
                <w:szCs w:val="18"/>
                <w:lang w:val="es-ES_tradnl" w:eastAsia="ja-JP"/>
              </w:rPr>
              <w:t xml:space="preserve"> de la </w:t>
            </w:r>
            <w:r w:rsidR="0075418F" w:rsidRPr="004C285B">
              <w:rPr>
                <w:rFonts w:ascii="Arial" w:hAnsi="Arial" w:cs="Arial"/>
                <w:sz w:val="18"/>
                <w:szCs w:val="18"/>
                <w:lang w:val="es-ES"/>
              </w:rPr>
              <w:t>Estrategia Institucional</w:t>
            </w:r>
            <w:r w:rsidR="00F02DA9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2010-2020</w:t>
            </w:r>
            <w:r w:rsidR="009F33FF" w:rsidRPr="004C285B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402" w:type="dxa"/>
          </w:tcPr>
          <w:p w14:paraId="6E3D0DDA" w14:textId="0B7B546A" w:rsidR="009F33FF" w:rsidRPr="004C285B" w:rsidRDefault="00AD7AF7" w:rsidP="00C22B33">
            <w:pPr>
              <w:spacing w:after="60"/>
              <w:ind w:left="73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inclusión</w:t>
            </w:r>
            <w:r w:rsidR="00190E17">
              <w:rPr>
                <w:rFonts w:ascii="Arial" w:hAnsi="Arial" w:cs="Arial"/>
                <w:sz w:val="18"/>
                <w:szCs w:val="18"/>
                <w:lang w:val="es-ES"/>
              </w:rPr>
              <w:t xml:space="preserve"> Social y Equidad; Productividad e innovación; Capacidad Institucional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y Estado de Derecho; Equidad de </w:t>
            </w:r>
            <w:r w:rsidR="006B3B78">
              <w:rPr>
                <w:rFonts w:ascii="Arial" w:hAnsi="Arial" w:cs="Arial"/>
                <w:sz w:val="18"/>
                <w:szCs w:val="18"/>
                <w:lang w:val="es-ES"/>
              </w:rPr>
              <w:t>Género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y Diversidad. </w:t>
            </w:r>
          </w:p>
        </w:tc>
      </w:tr>
    </w:tbl>
    <w:p w14:paraId="164CC6D7" w14:textId="77777777" w:rsidR="0095711B" w:rsidRPr="00A523B2" w:rsidRDefault="00C43E24" w:rsidP="004C285B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>Obje</w:t>
      </w:r>
      <w:r w:rsidR="00F00960" w:rsidRPr="00A523B2">
        <w:rPr>
          <w:rFonts w:ascii="Arial" w:hAnsi="Arial" w:cs="Arial"/>
          <w:b/>
          <w:lang w:val="es-ES"/>
        </w:rPr>
        <w:t>tivos</w:t>
      </w:r>
      <w:r w:rsidRPr="00A523B2">
        <w:rPr>
          <w:rFonts w:ascii="Arial" w:hAnsi="Arial" w:cs="Arial"/>
          <w:b/>
          <w:lang w:val="es-ES"/>
        </w:rPr>
        <w:t xml:space="preserve"> </w:t>
      </w:r>
      <w:r w:rsidR="00F00960" w:rsidRPr="00A523B2">
        <w:rPr>
          <w:rFonts w:ascii="Arial" w:hAnsi="Arial" w:cs="Arial"/>
          <w:b/>
          <w:lang w:val="es-ES"/>
        </w:rPr>
        <w:t>y Justificación de la CT</w:t>
      </w:r>
      <w:r w:rsidR="00A12C27" w:rsidRPr="00A523B2">
        <w:rPr>
          <w:rFonts w:ascii="Arial" w:hAnsi="Arial" w:cs="Arial"/>
          <w:highlight w:val="yellow"/>
          <w:lang w:val="es-ES"/>
        </w:rPr>
        <w:t xml:space="preserve"> </w:t>
      </w:r>
    </w:p>
    <w:p w14:paraId="124CFDF7" w14:textId="128AAE1C" w:rsidR="007A5C5E" w:rsidRPr="001A6CCB" w:rsidRDefault="007445B3" w:rsidP="001A6CC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 w:rsidRPr="009F6E54">
        <w:rPr>
          <w:rFonts w:ascii="Arial" w:hAnsi="Arial" w:cs="Arial"/>
          <w:lang w:val="es-ES"/>
        </w:rPr>
        <w:t xml:space="preserve">El objetivo fundamental de la CT </w:t>
      </w:r>
      <w:r w:rsidR="007677F7">
        <w:rPr>
          <w:rFonts w:ascii="Arial" w:hAnsi="Arial" w:cs="Arial"/>
          <w:lang w:val="es-ES"/>
        </w:rPr>
        <w:t xml:space="preserve">es </w:t>
      </w:r>
      <w:r w:rsidR="00995F48">
        <w:rPr>
          <w:rFonts w:ascii="Arial" w:hAnsi="Arial" w:cs="Arial"/>
          <w:lang w:val="es-ES"/>
        </w:rPr>
        <w:t>apoyar al gobierno boliviano a definir una estrategia de acompañamiento social para el uso de baños ecológicos en las zonas rurales de Bolivia.</w:t>
      </w:r>
    </w:p>
    <w:p w14:paraId="55BAC0BA" w14:textId="0AE52726" w:rsidR="00995F48" w:rsidRPr="004C285B" w:rsidRDefault="00995F48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Las </w:t>
      </w:r>
      <w:r w:rsidR="00FC2550">
        <w:rPr>
          <w:rFonts w:ascii="Arial" w:hAnsi="Arial" w:cs="Arial"/>
          <w:lang w:val="es-ES"/>
        </w:rPr>
        <w:t>zonas rurales son las que presentan mayores déficits de cobertura</w:t>
      </w:r>
      <w:r w:rsidR="00D216F5">
        <w:rPr>
          <w:rFonts w:ascii="Arial" w:hAnsi="Arial" w:cs="Arial"/>
          <w:lang w:val="es-ES"/>
        </w:rPr>
        <w:t xml:space="preserve"> de agua y saneamiento</w:t>
      </w:r>
      <w:r w:rsidR="00FC2550">
        <w:rPr>
          <w:rFonts w:ascii="Arial" w:hAnsi="Arial" w:cs="Arial"/>
          <w:lang w:val="es-ES"/>
        </w:rPr>
        <w:t xml:space="preserve"> en el país.</w:t>
      </w:r>
      <w:r w:rsidR="00D216F5">
        <w:rPr>
          <w:rFonts w:ascii="Arial" w:hAnsi="Arial" w:cs="Arial"/>
          <w:lang w:val="es-ES"/>
        </w:rPr>
        <w:t xml:space="preserve"> El saneamiento es el que está más </w:t>
      </w:r>
      <w:r w:rsidR="00D216F5" w:rsidRPr="007B28E7">
        <w:rPr>
          <w:rFonts w:ascii="Arial" w:hAnsi="Arial" w:cs="Arial"/>
          <w:lang w:val="es-ES"/>
        </w:rPr>
        <w:t>rezagado</w:t>
      </w:r>
      <w:r w:rsidR="000B380B" w:rsidRPr="007B28E7">
        <w:rPr>
          <w:rFonts w:ascii="Arial" w:hAnsi="Arial" w:cs="Arial"/>
          <w:lang w:val="es-ES"/>
        </w:rPr>
        <w:t>, sólo</w:t>
      </w:r>
      <w:r w:rsidR="00CC1251" w:rsidRPr="007B28E7">
        <w:rPr>
          <w:rFonts w:ascii="Arial" w:hAnsi="Arial" w:cs="Arial"/>
          <w:lang w:val="es-ES"/>
        </w:rPr>
        <w:t xml:space="preserve"> 43.3%</w:t>
      </w:r>
      <w:r w:rsidR="00CC1251" w:rsidRPr="007B28E7">
        <w:rPr>
          <w:rStyle w:val="FootnoteReference"/>
          <w:rFonts w:ascii="Arial" w:hAnsi="Arial" w:cs="Arial"/>
          <w:lang w:val="es-ES"/>
        </w:rPr>
        <w:footnoteReference w:id="1"/>
      </w:r>
      <w:r w:rsidR="000B380B" w:rsidRPr="007B28E7">
        <w:rPr>
          <w:rFonts w:ascii="Arial" w:hAnsi="Arial" w:cs="Arial"/>
          <w:lang w:val="es-ES"/>
        </w:rPr>
        <w:t xml:space="preserve"> de la población en zonas rurales dispone de un saneamiento adecuado. Las </w:t>
      </w:r>
      <w:r w:rsidR="000B380B">
        <w:rPr>
          <w:rFonts w:ascii="Arial" w:hAnsi="Arial" w:cs="Arial"/>
          <w:lang w:val="es-ES"/>
        </w:rPr>
        <w:t xml:space="preserve">bajas coberturas son debidas a la falta de infraestructura, pero también a la falta de concienciación y hábitos de la población </w:t>
      </w:r>
      <w:r w:rsidR="000D667D">
        <w:rPr>
          <w:rFonts w:ascii="Arial" w:hAnsi="Arial" w:cs="Arial"/>
          <w:lang w:val="es-ES"/>
        </w:rPr>
        <w:t>en relación con el</w:t>
      </w:r>
      <w:r w:rsidR="000B380B">
        <w:rPr>
          <w:rFonts w:ascii="Arial" w:hAnsi="Arial" w:cs="Arial"/>
          <w:lang w:val="es-ES"/>
        </w:rPr>
        <w:t xml:space="preserve"> saneamiento, lo que implica que las estrategias sociales son clave para su desarrollo. </w:t>
      </w:r>
    </w:p>
    <w:p w14:paraId="74AD1814" w14:textId="2C01C637" w:rsidR="000D667D" w:rsidRPr="004C285B" w:rsidRDefault="00995F48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 w:rsidRPr="00995F48">
        <w:rPr>
          <w:rFonts w:ascii="Arial" w:hAnsi="Arial" w:cs="Arial"/>
          <w:lang w:val="es-ES"/>
        </w:rPr>
        <w:lastRenderedPageBreak/>
        <w:t>El Estado Plurinacional de Bolivia ha recibido el apoyo del Banco Interamericano de Desarrollo (BID) para financiar el Programa de Agua Potable y Saneamiento para Pequeñas Localidades y Comunidades Rurales de Bolivia.</w:t>
      </w:r>
      <w:r w:rsidRPr="00995F48">
        <w:rPr>
          <w:lang w:val="es-ES"/>
        </w:rPr>
        <w:t xml:space="preserve"> </w:t>
      </w:r>
      <w:r w:rsidRPr="00995F48">
        <w:rPr>
          <w:rFonts w:ascii="Arial" w:hAnsi="Arial" w:cs="Arial"/>
          <w:lang w:val="es-ES"/>
        </w:rPr>
        <w:t>El objetivo general del Programa</w:t>
      </w:r>
      <w:r>
        <w:rPr>
          <w:rFonts w:ascii="Arial" w:hAnsi="Arial" w:cs="Arial"/>
          <w:lang w:val="es-ES"/>
        </w:rPr>
        <w:t xml:space="preserve"> es</w:t>
      </w:r>
      <w:r w:rsidRPr="00995F48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i</w:t>
      </w:r>
      <w:r w:rsidRPr="00995F48">
        <w:rPr>
          <w:rFonts w:ascii="Arial" w:hAnsi="Arial" w:cs="Arial"/>
          <w:lang w:val="es-ES"/>
        </w:rPr>
        <w:t xml:space="preserve">ncrementar el acceso a agua potable y saneamiento en comunidades rurales de menos de 2.000 habitantes, y promover la creación y el fortalecimiento de los prestadores de servicios de Agua Potable y Saneamiento en </w:t>
      </w:r>
      <w:r>
        <w:rPr>
          <w:rFonts w:ascii="Arial" w:hAnsi="Arial" w:cs="Arial"/>
          <w:lang w:val="es-ES"/>
        </w:rPr>
        <w:t>estas</w:t>
      </w:r>
      <w:r w:rsidRPr="00995F48">
        <w:rPr>
          <w:rFonts w:ascii="Arial" w:hAnsi="Arial" w:cs="Arial"/>
          <w:lang w:val="es-ES"/>
        </w:rPr>
        <w:t xml:space="preserve"> comunidades.</w:t>
      </w:r>
      <w:bookmarkStart w:id="0" w:name="_Hlk486590499"/>
    </w:p>
    <w:p w14:paraId="1ED5836E" w14:textId="0E1A5E7B" w:rsidR="000D667D" w:rsidRPr="004C285B" w:rsidRDefault="000D667D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En el</w:t>
      </w:r>
      <w:r w:rsidRPr="000D667D">
        <w:rPr>
          <w:rFonts w:ascii="Arial" w:hAnsi="Arial" w:cs="Arial"/>
          <w:lang w:val="es-ES"/>
        </w:rPr>
        <w:t xml:space="preserve"> Programa</w:t>
      </w:r>
      <w:r w:rsidR="00CC1251">
        <w:rPr>
          <w:rFonts w:ascii="Arial" w:hAnsi="Arial" w:cs="Arial"/>
          <w:lang w:val="es-ES"/>
        </w:rPr>
        <w:t>,</w:t>
      </w:r>
      <w:r w:rsidRPr="000D667D">
        <w:rPr>
          <w:rFonts w:ascii="Arial" w:hAnsi="Arial" w:cs="Arial"/>
          <w:lang w:val="es-ES"/>
        </w:rPr>
        <w:t xml:space="preserve"> se han construido 3.700 Baños Ecológicos Secos (BES) en aproximadamente 185 comunidades de 29 municipios en 4 departamentos del país. En este contexto y ante las complejidades propias de las comunidades rurales donde variables como idioma, cultura, instrucción de </w:t>
      </w:r>
      <w:r w:rsidRPr="008A4F73">
        <w:rPr>
          <w:rFonts w:ascii="Arial" w:hAnsi="Arial" w:cs="Arial"/>
          <w:lang w:val="es-ES"/>
        </w:rPr>
        <w:t xml:space="preserve">la población, niveles de pobreza, accesibilidad, altos costos, tiempos agrícolas y otros, se han constituido en verdaderos desafíos para abordar las intervenciones guardando un alto nivel técnico y estratégico en el marco de los objetivos y resultados planteados. Los baños ecológicos secos se plantean como una solución </w:t>
      </w:r>
      <w:r w:rsidR="00CC1251" w:rsidRPr="008A4F73">
        <w:rPr>
          <w:rFonts w:ascii="Arial" w:hAnsi="Arial" w:cs="Arial"/>
          <w:lang w:val="es-ES"/>
        </w:rPr>
        <w:t xml:space="preserve">adecuada </w:t>
      </w:r>
      <w:r w:rsidRPr="008A4F73">
        <w:rPr>
          <w:rFonts w:ascii="Arial" w:hAnsi="Arial" w:cs="Arial"/>
          <w:lang w:val="es-ES"/>
        </w:rPr>
        <w:t>de saneamiento en zonas rurales donde además se incentiva las actividades productivas a través del uso de la</w:t>
      </w:r>
      <w:r w:rsidR="00CC1251" w:rsidRPr="008A4F73">
        <w:rPr>
          <w:rFonts w:ascii="Arial" w:hAnsi="Arial" w:cs="Arial"/>
          <w:lang w:val="es-ES"/>
        </w:rPr>
        <w:t>s</w:t>
      </w:r>
      <w:r w:rsidRPr="008A4F73">
        <w:rPr>
          <w:rFonts w:ascii="Arial" w:hAnsi="Arial" w:cs="Arial"/>
          <w:lang w:val="es-ES"/>
        </w:rPr>
        <w:t xml:space="preserve"> excreta</w:t>
      </w:r>
      <w:r w:rsidR="00CC1251" w:rsidRPr="008A4F73">
        <w:rPr>
          <w:rFonts w:ascii="Arial" w:hAnsi="Arial" w:cs="Arial"/>
          <w:lang w:val="es-ES"/>
        </w:rPr>
        <w:t>s</w:t>
      </w:r>
      <w:r w:rsidRPr="008A4F73">
        <w:rPr>
          <w:rFonts w:ascii="Arial" w:hAnsi="Arial" w:cs="Arial"/>
          <w:lang w:val="es-ES"/>
        </w:rPr>
        <w:t xml:space="preserve"> preparada</w:t>
      </w:r>
      <w:r w:rsidR="00CC1251" w:rsidRPr="008A4F73">
        <w:rPr>
          <w:rFonts w:ascii="Arial" w:hAnsi="Arial" w:cs="Arial"/>
          <w:lang w:val="es-ES"/>
        </w:rPr>
        <w:t>s</w:t>
      </w:r>
      <w:r w:rsidRPr="008A4F73">
        <w:rPr>
          <w:rFonts w:ascii="Arial" w:hAnsi="Arial" w:cs="Arial"/>
          <w:lang w:val="es-ES"/>
        </w:rPr>
        <w:t xml:space="preserve"> como abono</w:t>
      </w:r>
      <w:r w:rsidR="00CC1251" w:rsidRPr="008A4F73">
        <w:rPr>
          <w:rFonts w:ascii="Arial" w:hAnsi="Arial" w:cs="Arial"/>
          <w:lang w:val="es-ES"/>
        </w:rPr>
        <w:t xml:space="preserve"> y fertilizante</w:t>
      </w:r>
      <w:r w:rsidRPr="008A4F73">
        <w:rPr>
          <w:rFonts w:ascii="Arial" w:hAnsi="Arial" w:cs="Arial"/>
          <w:lang w:val="es-ES"/>
        </w:rPr>
        <w:t>.</w:t>
      </w:r>
    </w:p>
    <w:p w14:paraId="5E8DE28A" w14:textId="1FCE4248" w:rsidR="0059362E" w:rsidRPr="004C285B" w:rsidRDefault="000D667D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 w:rsidRPr="008A4F73">
        <w:rPr>
          <w:rFonts w:ascii="Arial" w:hAnsi="Arial" w:cs="Arial"/>
          <w:lang w:val="es-ES"/>
        </w:rPr>
        <w:t>Las visitas de monitoreo y seguimiento han identificado problemas de uso en un 60% de l</w:t>
      </w:r>
      <w:r w:rsidR="0059362E" w:rsidRPr="008A4F73">
        <w:rPr>
          <w:rFonts w:ascii="Arial" w:hAnsi="Arial" w:cs="Arial"/>
          <w:lang w:val="es-ES"/>
        </w:rPr>
        <w:t>o</w:t>
      </w:r>
      <w:r w:rsidRPr="008A4F73">
        <w:rPr>
          <w:rFonts w:ascii="Arial" w:hAnsi="Arial" w:cs="Arial"/>
          <w:lang w:val="es-ES"/>
        </w:rPr>
        <w:t xml:space="preserve">s </w:t>
      </w:r>
      <w:r w:rsidR="0059362E" w:rsidRPr="008A4F73">
        <w:rPr>
          <w:rFonts w:ascii="Arial" w:hAnsi="Arial" w:cs="Arial"/>
          <w:lang w:val="es-ES"/>
        </w:rPr>
        <w:t>baños</w:t>
      </w:r>
      <w:r w:rsidRPr="008A4F73">
        <w:rPr>
          <w:rFonts w:ascii="Arial" w:hAnsi="Arial" w:cs="Arial"/>
          <w:lang w:val="es-ES"/>
        </w:rPr>
        <w:t xml:space="preserve"> construid</w:t>
      </w:r>
      <w:r w:rsidR="0059362E" w:rsidRPr="008A4F73">
        <w:rPr>
          <w:rFonts w:ascii="Arial" w:hAnsi="Arial" w:cs="Arial"/>
          <w:lang w:val="es-ES"/>
        </w:rPr>
        <w:t>o</w:t>
      </w:r>
      <w:r w:rsidRPr="008A4F73">
        <w:rPr>
          <w:rFonts w:ascii="Arial" w:hAnsi="Arial" w:cs="Arial"/>
          <w:lang w:val="es-ES"/>
        </w:rPr>
        <w:t xml:space="preserve">s. Este hecho confirma la necesidad </w:t>
      </w:r>
      <w:r w:rsidR="00CC1251" w:rsidRPr="008A4F73">
        <w:rPr>
          <w:rFonts w:ascii="Arial" w:hAnsi="Arial" w:cs="Arial"/>
          <w:lang w:val="es-ES"/>
        </w:rPr>
        <w:t xml:space="preserve">de </w:t>
      </w:r>
      <w:r w:rsidRPr="008A4F73">
        <w:rPr>
          <w:rFonts w:ascii="Arial" w:hAnsi="Arial" w:cs="Arial"/>
          <w:lang w:val="es-ES"/>
        </w:rPr>
        <w:t xml:space="preserve">revisar la estrategia social que acompaña a la construcción de los </w:t>
      </w:r>
      <w:r w:rsidR="0059362E" w:rsidRPr="008A4F73">
        <w:rPr>
          <w:rFonts w:ascii="Arial" w:hAnsi="Arial" w:cs="Arial"/>
          <w:lang w:val="es-ES"/>
        </w:rPr>
        <w:t>baños,</w:t>
      </w:r>
      <w:r w:rsidRPr="008A4F73">
        <w:rPr>
          <w:rFonts w:ascii="Arial" w:hAnsi="Arial" w:cs="Arial"/>
          <w:lang w:val="es-ES"/>
        </w:rPr>
        <w:t xml:space="preserve"> </w:t>
      </w:r>
      <w:r w:rsidR="0059362E" w:rsidRPr="008A4F73">
        <w:rPr>
          <w:rFonts w:ascii="Arial" w:hAnsi="Arial" w:cs="Arial"/>
          <w:lang w:val="es-ES"/>
        </w:rPr>
        <w:t>así</w:t>
      </w:r>
      <w:r w:rsidRPr="008A4F73">
        <w:rPr>
          <w:rFonts w:ascii="Arial" w:hAnsi="Arial" w:cs="Arial"/>
          <w:lang w:val="es-ES"/>
        </w:rPr>
        <w:t xml:space="preserve"> como </w:t>
      </w:r>
      <w:r w:rsidR="0059362E" w:rsidRPr="008A4F73">
        <w:rPr>
          <w:rFonts w:ascii="Arial" w:hAnsi="Arial" w:cs="Arial"/>
          <w:lang w:val="es-ES"/>
        </w:rPr>
        <w:t>del esquema</w:t>
      </w:r>
      <w:r w:rsidRPr="008A4F73">
        <w:rPr>
          <w:rFonts w:ascii="Arial" w:hAnsi="Arial" w:cs="Arial"/>
          <w:lang w:val="es-ES"/>
        </w:rPr>
        <w:t xml:space="preserve"> </w:t>
      </w:r>
      <w:r w:rsidRPr="0059362E">
        <w:rPr>
          <w:rFonts w:ascii="Arial" w:hAnsi="Arial" w:cs="Arial"/>
          <w:lang w:val="es-ES"/>
        </w:rPr>
        <w:t xml:space="preserve">de </w:t>
      </w:r>
      <w:r w:rsidR="0059362E" w:rsidRPr="0059362E">
        <w:rPr>
          <w:rFonts w:ascii="Arial" w:hAnsi="Arial" w:cs="Arial"/>
          <w:lang w:val="es-ES"/>
        </w:rPr>
        <w:t xml:space="preserve">apoyo que se da desde las estructuras municipales y </w:t>
      </w:r>
      <w:r w:rsidRPr="0059362E">
        <w:rPr>
          <w:rFonts w:ascii="Arial" w:hAnsi="Arial" w:cs="Arial"/>
          <w:lang w:val="es-ES"/>
        </w:rPr>
        <w:t>EPSA</w:t>
      </w:r>
      <w:r w:rsidR="0059362E">
        <w:rPr>
          <w:rFonts w:ascii="Arial" w:hAnsi="Arial" w:cs="Arial"/>
          <w:lang w:val="es-ES"/>
        </w:rPr>
        <w:t>.</w:t>
      </w:r>
    </w:p>
    <w:p w14:paraId="0C8DC34D" w14:textId="68349DE8" w:rsidR="000D667D" w:rsidRPr="004C285B" w:rsidRDefault="0059362E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La Cooperación Técnica servirá para reforzar la sostenibilidad de parte de las inversiones realizadas con las operaciones del </w:t>
      </w:r>
      <w:r w:rsidRPr="0059362E">
        <w:rPr>
          <w:rFonts w:ascii="Arial" w:hAnsi="Arial" w:cs="Arial"/>
          <w:lang w:val="es-ES"/>
        </w:rPr>
        <w:t>BO-L1065</w:t>
      </w:r>
      <w:r>
        <w:rPr>
          <w:rFonts w:ascii="Arial" w:hAnsi="Arial" w:cs="Arial"/>
          <w:lang w:val="es-ES"/>
        </w:rPr>
        <w:t xml:space="preserve"> y el </w:t>
      </w:r>
      <w:r w:rsidRPr="0059362E">
        <w:rPr>
          <w:rFonts w:ascii="Arial" w:hAnsi="Arial" w:cs="Arial"/>
          <w:lang w:val="es-ES"/>
        </w:rPr>
        <w:t>BO-G1002</w:t>
      </w:r>
      <w:r>
        <w:rPr>
          <w:rFonts w:ascii="Arial" w:hAnsi="Arial" w:cs="Arial"/>
          <w:lang w:val="es-ES"/>
        </w:rPr>
        <w:t xml:space="preserve">, reforzando su impacto. Asimismo, la elaboración de una estrategia social para la construcción de baños ecológicos será útil para la nueva operación </w:t>
      </w:r>
      <w:r w:rsidR="000030A9">
        <w:rPr>
          <w:rFonts w:ascii="Arial" w:hAnsi="Arial" w:cs="Arial"/>
          <w:lang w:val="es-ES"/>
        </w:rPr>
        <w:t>BOL-L1184</w:t>
      </w:r>
      <w:r>
        <w:rPr>
          <w:rFonts w:ascii="Arial" w:hAnsi="Arial" w:cs="Arial"/>
          <w:lang w:val="es-ES"/>
        </w:rPr>
        <w:t xml:space="preserve">, así como para futuros programas rurales que apuesten por la solución de los baños ecológicos. </w:t>
      </w:r>
    </w:p>
    <w:bookmarkEnd w:id="0"/>
    <w:p w14:paraId="7D2AF0FA" w14:textId="6C7B2D5E" w:rsidR="00E35CCD" w:rsidRPr="004C285B" w:rsidRDefault="005E1DD4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 w:rsidRPr="006662F8">
        <w:rPr>
          <w:rFonts w:ascii="Arial" w:hAnsi="Arial" w:cs="Arial"/>
          <w:lang w:val="es-ES_tradnl"/>
        </w:rPr>
        <w:t xml:space="preserve">Esta </w:t>
      </w:r>
      <w:r w:rsidR="006662F8">
        <w:rPr>
          <w:rFonts w:ascii="Arial" w:hAnsi="Arial" w:cs="Arial"/>
          <w:lang w:val="es-ES_tradnl"/>
        </w:rPr>
        <w:t>CT</w:t>
      </w:r>
      <w:r w:rsidR="00E35D0C">
        <w:rPr>
          <w:rFonts w:ascii="Arial" w:hAnsi="Arial" w:cs="Arial"/>
          <w:lang w:val="es-ES_tradnl"/>
        </w:rPr>
        <w:t xml:space="preserve"> </w:t>
      </w:r>
      <w:r w:rsidRPr="006662F8">
        <w:rPr>
          <w:rFonts w:ascii="Arial" w:hAnsi="Arial" w:cs="Arial"/>
          <w:lang w:val="es-ES_tradnl"/>
        </w:rPr>
        <w:t xml:space="preserve">es consistente con Actualización de la Estrategia Institucional 2010-2020 del Banco (GN-2788-5) y responde a los siguientes desafíos para el desarrollo: </w:t>
      </w:r>
      <w:r w:rsidRPr="006662F8">
        <w:rPr>
          <w:rFonts w:ascii="Arial" w:hAnsi="Arial" w:cs="Arial"/>
          <w:lang w:val="es-ES_tradnl"/>
        </w:rPr>
        <w:br/>
        <w:t>(i) Exclusión social y desigualdad; (</w:t>
      </w:r>
      <w:proofErr w:type="spellStart"/>
      <w:r w:rsidRPr="006662F8">
        <w:rPr>
          <w:rFonts w:ascii="Arial" w:hAnsi="Arial" w:cs="Arial"/>
          <w:lang w:val="es-ES_tradnl"/>
        </w:rPr>
        <w:t>ii</w:t>
      </w:r>
      <w:proofErr w:type="spellEnd"/>
      <w:r w:rsidRPr="006662F8">
        <w:rPr>
          <w:rFonts w:ascii="Arial" w:hAnsi="Arial" w:cs="Arial"/>
          <w:lang w:val="es-ES_tradnl"/>
        </w:rPr>
        <w:t>) Bajos niveles de productividad e innovación; e (</w:t>
      </w:r>
      <w:proofErr w:type="spellStart"/>
      <w:r w:rsidRPr="006662F8">
        <w:rPr>
          <w:rFonts w:ascii="Arial" w:hAnsi="Arial" w:cs="Arial"/>
          <w:lang w:val="es-ES_tradnl"/>
        </w:rPr>
        <w:t>iii</w:t>
      </w:r>
      <w:proofErr w:type="spellEnd"/>
      <w:r w:rsidRPr="006662F8">
        <w:rPr>
          <w:rFonts w:ascii="Arial" w:hAnsi="Arial" w:cs="Arial"/>
          <w:lang w:val="es-ES_tradnl"/>
        </w:rPr>
        <w:t xml:space="preserve">) Integración económica rezagada, dado que contribuirá, </w:t>
      </w:r>
      <w:r w:rsidR="00E553C7">
        <w:rPr>
          <w:rFonts w:ascii="Arial" w:hAnsi="Arial" w:cs="Arial"/>
          <w:lang w:val="es-ES_tradnl"/>
        </w:rPr>
        <w:t xml:space="preserve">mediante el desarrollo de una estrategia </w:t>
      </w:r>
      <w:r w:rsidR="00E553C7" w:rsidRPr="008A4F73">
        <w:rPr>
          <w:rFonts w:ascii="Arial" w:hAnsi="Arial" w:cs="Arial"/>
          <w:lang w:val="es-ES_tradnl"/>
        </w:rPr>
        <w:t>social para la</w:t>
      </w:r>
      <w:r w:rsidR="00CC1251" w:rsidRPr="008A4F73">
        <w:rPr>
          <w:rFonts w:ascii="Arial" w:hAnsi="Arial" w:cs="Arial"/>
          <w:lang w:val="es-ES_tradnl"/>
        </w:rPr>
        <w:t xml:space="preserve"> implementación </w:t>
      </w:r>
      <w:r w:rsidR="008A4F73" w:rsidRPr="008A4F73">
        <w:rPr>
          <w:rFonts w:ascii="Arial" w:hAnsi="Arial" w:cs="Arial"/>
          <w:lang w:val="es-ES_tradnl"/>
        </w:rPr>
        <w:t>de proyectos</w:t>
      </w:r>
      <w:r w:rsidR="00E553C7" w:rsidRPr="008A4F73">
        <w:rPr>
          <w:rFonts w:ascii="Arial" w:hAnsi="Arial" w:cs="Arial"/>
          <w:lang w:val="es-ES_tradnl"/>
        </w:rPr>
        <w:t xml:space="preserve"> </w:t>
      </w:r>
      <w:r w:rsidR="00E553C7">
        <w:rPr>
          <w:rFonts w:ascii="Arial" w:hAnsi="Arial" w:cs="Arial"/>
          <w:lang w:val="es-ES_tradnl"/>
        </w:rPr>
        <w:t>de baños ecológicos, a avanzar en un tema que es uno de los mayores retos del país, el saneamiento de las poblaciones rurales, lo que tendrá un impacto directo en</w:t>
      </w:r>
      <w:r w:rsidRPr="006662F8">
        <w:rPr>
          <w:rFonts w:ascii="Arial" w:hAnsi="Arial" w:cs="Arial"/>
          <w:lang w:val="es-ES_tradnl"/>
        </w:rPr>
        <w:t xml:space="preserve"> </w:t>
      </w:r>
      <w:r w:rsidR="00E553C7">
        <w:rPr>
          <w:rFonts w:ascii="Arial" w:hAnsi="Arial" w:cs="Arial"/>
          <w:lang w:val="es-ES_tradnl"/>
        </w:rPr>
        <w:t xml:space="preserve">la </w:t>
      </w:r>
      <w:r w:rsidRPr="006662F8">
        <w:rPr>
          <w:rFonts w:ascii="Arial" w:hAnsi="Arial" w:cs="Arial"/>
          <w:lang w:val="es-ES_tradnl"/>
        </w:rPr>
        <w:t>mejora</w:t>
      </w:r>
      <w:r w:rsidR="00E553C7">
        <w:rPr>
          <w:rFonts w:ascii="Arial" w:hAnsi="Arial" w:cs="Arial"/>
          <w:lang w:val="es-ES_tradnl"/>
        </w:rPr>
        <w:t xml:space="preserve"> de</w:t>
      </w:r>
      <w:r w:rsidRPr="006662F8">
        <w:rPr>
          <w:rFonts w:ascii="Arial" w:hAnsi="Arial" w:cs="Arial"/>
          <w:lang w:val="es-ES_tradnl"/>
        </w:rPr>
        <w:t xml:space="preserve"> las condiciones de vida de la población de manera equitativa e inclusiva.</w:t>
      </w:r>
      <w:r w:rsidR="00143B16" w:rsidRPr="006662F8">
        <w:rPr>
          <w:rFonts w:ascii="Arial" w:hAnsi="Arial" w:cs="Arial"/>
          <w:lang w:val="es-ES_tradnl"/>
        </w:rPr>
        <w:t xml:space="preserve"> </w:t>
      </w:r>
      <w:r w:rsidR="006662F8">
        <w:rPr>
          <w:rFonts w:ascii="Arial" w:hAnsi="Arial" w:cs="Arial"/>
          <w:lang w:val="es-ES_tradnl"/>
        </w:rPr>
        <w:t xml:space="preserve">(Y es consistente con </w:t>
      </w:r>
      <w:r w:rsidR="00FB7C0F">
        <w:rPr>
          <w:rFonts w:ascii="Arial" w:hAnsi="Arial" w:cs="Arial"/>
          <w:lang w:val="es-ES_tradnl"/>
        </w:rPr>
        <w:t>los</w:t>
      </w:r>
      <w:r w:rsidR="006662F8">
        <w:rPr>
          <w:rFonts w:ascii="Arial" w:hAnsi="Arial" w:cs="Arial"/>
          <w:lang w:val="es-ES_tradnl"/>
        </w:rPr>
        <w:t xml:space="preserve"> marcos sectoriales y la estrategia de país </w:t>
      </w:r>
      <w:r w:rsidR="00E553C7">
        <w:rPr>
          <w:rFonts w:ascii="Arial" w:hAnsi="Arial" w:cs="Arial"/>
          <w:lang w:val="es-ES_tradnl"/>
        </w:rPr>
        <w:t>de Bolivia</w:t>
      </w:r>
      <w:r w:rsidR="00FB7C0F">
        <w:rPr>
          <w:rFonts w:ascii="Arial" w:hAnsi="Arial" w:cs="Arial"/>
          <w:lang w:val="es-ES_tradnl"/>
        </w:rPr>
        <w:t>)</w:t>
      </w:r>
      <w:r w:rsidR="004F1B55">
        <w:rPr>
          <w:rFonts w:ascii="Arial" w:hAnsi="Arial" w:cs="Arial"/>
          <w:lang w:val="es-ES_tradnl"/>
        </w:rPr>
        <w:t>.</w:t>
      </w:r>
    </w:p>
    <w:p w14:paraId="736BA3DF" w14:textId="77777777" w:rsidR="0095711B" w:rsidRPr="00A523B2" w:rsidRDefault="00F00960" w:rsidP="004C285B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Descripción de las </w:t>
      </w:r>
      <w:r w:rsidR="00A12C27" w:rsidRPr="00A523B2">
        <w:rPr>
          <w:rFonts w:ascii="Arial" w:hAnsi="Arial" w:cs="Arial"/>
          <w:b/>
          <w:lang w:val="es-ES"/>
        </w:rPr>
        <w:t>activi</w:t>
      </w:r>
      <w:r w:rsidRPr="00A523B2">
        <w:rPr>
          <w:rFonts w:ascii="Arial" w:hAnsi="Arial" w:cs="Arial"/>
          <w:b/>
          <w:lang w:val="es-ES"/>
        </w:rPr>
        <w:t>dades</w:t>
      </w:r>
      <w:r w:rsidR="00847603" w:rsidRPr="00A523B2">
        <w:rPr>
          <w:rFonts w:ascii="Arial" w:hAnsi="Arial" w:cs="Arial"/>
          <w:b/>
          <w:lang w:val="es-ES"/>
        </w:rPr>
        <w:t xml:space="preserve"> y resultados</w:t>
      </w:r>
    </w:p>
    <w:p w14:paraId="13999F20" w14:textId="70B79890" w:rsidR="00C15433" w:rsidRPr="007B28E7" w:rsidRDefault="00C15433" w:rsidP="007B28E7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b/>
          <w:lang w:val="es-ES"/>
        </w:rPr>
      </w:pPr>
      <w:r w:rsidRPr="00C15433">
        <w:rPr>
          <w:rFonts w:ascii="Arial" w:hAnsi="Arial" w:cs="Arial"/>
          <w:b/>
          <w:lang w:val="es-ES"/>
        </w:rPr>
        <w:t>Componente 1.</w:t>
      </w:r>
      <w:r w:rsidR="00CF6E77">
        <w:rPr>
          <w:rFonts w:ascii="Arial" w:hAnsi="Arial" w:cs="Arial"/>
          <w:b/>
          <w:lang w:val="es-ES"/>
        </w:rPr>
        <w:t xml:space="preserve"> </w:t>
      </w:r>
      <w:r w:rsidR="008E69A2">
        <w:rPr>
          <w:rFonts w:ascii="Arial" w:hAnsi="Arial" w:cs="Arial"/>
          <w:b/>
          <w:lang w:val="es-ES"/>
        </w:rPr>
        <w:t>Definición de una estrategia de acompañamiento social para la construcción y uso de baños ecológicos en zonas rurales</w:t>
      </w:r>
    </w:p>
    <w:p w14:paraId="2F01977E" w14:textId="6B62963A" w:rsidR="00CF56A3" w:rsidRDefault="00CF56A3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 w:rsidRPr="004C285B">
        <w:rPr>
          <w:rFonts w:ascii="Arial" w:hAnsi="Arial" w:cs="Arial"/>
          <w:lang w:val="es-ES"/>
        </w:rPr>
        <w:t>La estrategia incluirá una focalización diferenciada en</w:t>
      </w:r>
      <w:r w:rsidR="00AA666B">
        <w:rPr>
          <w:rFonts w:ascii="Arial" w:hAnsi="Arial" w:cs="Arial"/>
          <w:lang w:val="es-ES"/>
        </w:rPr>
        <w:t>:</w:t>
      </w:r>
      <w:r w:rsidRPr="004C285B">
        <w:rPr>
          <w:rFonts w:ascii="Arial" w:hAnsi="Arial" w:cs="Arial"/>
          <w:lang w:val="es-ES"/>
        </w:rPr>
        <w:t xml:space="preserve"> </w:t>
      </w:r>
      <w:r w:rsidR="00AA666B">
        <w:rPr>
          <w:rFonts w:ascii="Arial" w:hAnsi="Arial" w:cs="Arial"/>
          <w:lang w:val="es-ES"/>
        </w:rPr>
        <w:t>(</w:t>
      </w:r>
      <w:r w:rsidRPr="004C285B">
        <w:rPr>
          <w:rFonts w:ascii="Arial" w:hAnsi="Arial" w:cs="Arial"/>
          <w:lang w:val="es-ES"/>
        </w:rPr>
        <w:t>i) dos pisos ecológicos</w:t>
      </w:r>
      <w:r w:rsidRPr="00CF56A3">
        <w:rPr>
          <w:rFonts w:ascii="Arial" w:hAnsi="Arial" w:cs="Arial"/>
          <w:lang w:val="es-ES_tradnl"/>
        </w:rPr>
        <w:t xml:space="preserve"> (altiplano y valle)</w:t>
      </w:r>
      <w:r w:rsidR="00AA666B">
        <w:rPr>
          <w:rFonts w:ascii="Arial" w:hAnsi="Arial" w:cs="Arial"/>
          <w:lang w:val="es-ES_tradnl"/>
        </w:rPr>
        <w:t>;</w:t>
      </w:r>
      <w:r w:rsidRPr="00CF56A3">
        <w:rPr>
          <w:rFonts w:ascii="Arial" w:hAnsi="Arial" w:cs="Arial"/>
          <w:lang w:val="es-ES_tradnl"/>
        </w:rPr>
        <w:t xml:space="preserve"> </w:t>
      </w:r>
      <w:r w:rsidR="00AA666B">
        <w:rPr>
          <w:rFonts w:ascii="Arial" w:hAnsi="Arial" w:cs="Arial"/>
          <w:lang w:val="es-ES_tradnl"/>
        </w:rPr>
        <w:t>(</w:t>
      </w:r>
      <w:proofErr w:type="spellStart"/>
      <w:r w:rsidRPr="00CF56A3">
        <w:rPr>
          <w:rFonts w:ascii="Arial" w:hAnsi="Arial" w:cs="Arial"/>
          <w:lang w:val="es-ES_tradnl"/>
        </w:rPr>
        <w:t>ii</w:t>
      </w:r>
      <w:proofErr w:type="spellEnd"/>
      <w:r w:rsidRPr="00CF56A3">
        <w:rPr>
          <w:rFonts w:ascii="Arial" w:hAnsi="Arial" w:cs="Arial"/>
          <w:lang w:val="es-ES_tradnl"/>
        </w:rPr>
        <w:t>) dos grupos étnicos predominantes (quechua y aimara)</w:t>
      </w:r>
      <w:r w:rsidR="00AA666B">
        <w:rPr>
          <w:rFonts w:ascii="Arial" w:hAnsi="Arial" w:cs="Arial"/>
          <w:lang w:val="es-ES_tradnl"/>
        </w:rPr>
        <w:t>;</w:t>
      </w:r>
      <w:r w:rsidRPr="00CF56A3">
        <w:rPr>
          <w:rFonts w:ascii="Arial" w:hAnsi="Arial" w:cs="Arial"/>
          <w:lang w:val="es-ES_tradnl"/>
        </w:rPr>
        <w:t xml:space="preserve"> </w:t>
      </w:r>
      <w:r w:rsidR="000E0E86">
        <w:rPr>
          <w:rFonts w:ascii="Arial" w:hAnsi="Arial" w:cs="Arial"/>
          <w:lang w:val="es-ES_tradnl"/>
        </w:rPr>
        <w:br/>
      </w:r>
      <w:r w:rsidR="00AA666B">
        <w:rPr>
          <w:rFonts w:ascii="Arial" w:hAnsi="Arial" w:cs="Arial"/>
          <w:lang w:val="es-ES_tradnl"/>
        </w:rPr>
        <w:t>(</w:t>
      </w:r>
      <w:proofErr w:type="spellStart"/>
      <w:r w:rsidRPr="00CF56A3">
        <w:rPr>
          <w:rFonts w:ascii="Arial" w:hAnsi="Arial" w:cs="Arial"/>
          <w:lang w:val="es-ES_tradnl"/>
        </w:rPr>
        <w:t>iii</w:t>
      </w:r>
      <w:proofErr w:type="spellEnd"/>
      <w:r w:rsidRPr="00CF56A3">
        <w:rPr>
          <w:rFonts w:ascii="Arial" w:hAnsi="Arial" w:cs="Arial"/>
          <w:lang w:val="es-ES_tradnl"/>
        </w:rPr>
        <w:t>) idiomas predominantes (quechua y aimara)</w:t>
      </w:r>
      <w:r w:rsidR="00AA666B">
        <w:rPr>
          <w:rFonts w:ascii="Arial" w:hAnsi="Arial" w:cs="Arial"/>
          <w:lang w:val="es-ES_tradnl"/>
        </w:rPr>
        <w:t>;</w:t>
      </w:r>
      <w:r w:rsidRPr="00CF56A3">
        <w:rPr>
          <w:rFonts w:ascii="Arial" w:hAnsi="Arial" w:cs="Arial"/>
          <w:lang w:val="es-ES_tradnl"/>
        </w:rPr>
        <w:t xml:space="preserve"> </w:t>
      </w:r>
      <w:r w:rsidR="00AA666B">
        <w:rPr>
          <w:rFonts w:ascii="Arial" w:hAnsi="Arial" w:cs="Arial"/>
          <w:lang w:val="es-ES_tradnl"/>
        </w:rPr>
        <w:t>(</w:t>
      </w:r>
      <w:proofErr w:type="spellStart"/>
      <w:r w:rsidRPr="00CF56A3">
        <w:rPr>
          <w:rFonts w:ascii="Arial" w:hAnsi="Arial" w:cs="Arial"/>
          <w:lang w:val="es-ES_tradnl"/>
        </w:rPr>
        <w:t>iv</w:t>
      </w:r>
      <w:proofErr w:type="spellEnd"/>
      <w:r w:rsidRPr="00CF56A3">
        <w:rPr>
          <w:rFonts w:ascii="Arial" w:hAnsi="Arial" w:cs="Arial"/>
          <w:lang w:val="es-ES_tradnl"/>
        </w:rPr>
        <w:t>) características de las comunidades rurales (concentradas, dispersas y semi dispersas)</w:t>
      </w:r>
      <w:r w:rsidR="00AA666B">
        <w:rPr>
          <w:rFonts w:ascii="Arial" w:hAnsi="Arial" w:cs="Arial"/>
          <w:lang w:val="es-ES_tradnl"/>
        </w:rPr>
        <w:t>;</w:t>
      </w:r>
      <w:r w:rsidRPr="00CF56A3">
        <w:rPr>
          <w:rFonts w:ascii="Arial" w:hAnsi="Arial" w:cs="Arial"/>
          <w:lang w:val="es-ES_tradnl"/>
        </w:rPr>
        <w:t xml:space="preserve"> </w:t>
      </w:r>
      <w:r w:rsidR="00AA666B">
        <w:rPr>
          <w:rFonts w:ascii="Arial" w:hAnsi="Arial" w:cs="Arial"/>
          <w:lang w:val="es-ES_tradnl"/>
        </w:rPr>
        <w:t>(</w:t>
      </w:r>
      <w:r w:rsidRPr="00CF56A3">
        <w:rPr>
          <w:rFonts w:ascii="Arial" w:hAnsi="Arial" w:cs="Arial"/>
          <w:lang w:val="es-ES_tradnl"/>
        </w:rPr>
        <w:t>v) los enfoques de género, generacional</w:t>
      </w:r>
      <w:r w:rsidR="00AA666B">
        <w:rPr>
          <w:rFonts w:ascii="Arial" w:hAnsi="Arial" w:cs="Arial"/>
          <w:lang w:val="es-ES_tradnl"/>
        </w:rPr>
        <w:t>;</w:t>
      </w:r>
      <w:r w:rsidRPr="00CF56A3">
        <w:rPr>
          <w:rFonts w:ascii="Arial" w:hAnsi="Arial" w:cs="Arial"/>
          <w:lang w:val="es-ES_tradnl"/>
        </w:rPr>
        <w:t xml:space="preserve"> y </w:t>
      </w:r>
      <w:r w:rsidR="00AA666B">
        <w:rPr>
          <w:rFonts w:ascii="Arial" w:hAnsi="Arial" w:cs="Arial"/>
          <w:lang w:val="es-ES_tradnl"/>
        </w:rPr>
        <w:t>(</w:t>
      </w:r>
      <w:r w:rsidRPr="00CF56A3">
        <w:rPr>
          <w:rFonts w:ascii="Arial" w:hAnsi="Arial" w:cs="Arial"/>
          <w:lang w:val="es-ES_tradnl"/>
        </w:rPr>
        <w:t xml:space="preserve">vi) distancia de las comunidades, municipios y accesibilidad, entre otros. </w:t>
      </w:r>
    </w:p>
    <w:p w14:paraId="7B25CE84" w14:textId="438B979F" w:rsidR="009E20A5" w:rsidRPr="004C285B" w:rsidRDefault="00CF56A3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La estrategia se elaborará analizando los r</w:t>
      </w:r>
      <w:r w:rsidRPr="00CF56A3">
        <w:rPr>
          <w:rFonts w:ascii="Arial" w:hAnsi="Arial" w:cs="Arial"/>
          <w:lang w:val="es-ES_tradnl"/>
        </w:rPr>
        <w:t>esultado</w:t>
      </w:r>
      <w:r>
        <w:rPr>
          <w:rFonts w:ascii="Arial" w:hAnsi="Arial" w:cs="Arial"/>
          <w:lang w:val="es-ES_tradnl"/>
        </w:rPr>
        <w:t>s</w:t>
      </w:r>
      <w:r w:rsidRPr="00CF56A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obtenidos en el Programa donde se han realizado este tipo de acciones. Se dará una especial atención en </w:t>
      </w:r>
      <w:r w:rsidRPr="00CF56A3">
        <w:rPr>
          <w:rFonts w:ascii="Arial" w:hAnsi="Arial" w:cs="Arial"/>
          <w:lang w:val="es-ES_tradnl"/>
        </w:rPr>
        <w:t>las lecciones aprendida</w:t>
      </w:r>
      <w:r>
        <w:rPr>
          <w:rFonts w:ascii="Arial" w:hAnsi="Arial" w:cs="Arial"/>
          <w:lang w:val="es-ES_tradnl"/>
        </w:rPr>
        <w:t xml:space="preserve">s y se analizará el impacto de </w:t>
      </w:r>
      <w:r w:rsidRPr="00CF56A3">
        <w:rPr>
          <w:rFonts w:ascii="Arial" w:hAnsi="Arial" w:cs="Arial"/>
          <w:lang w:val="es-ES_tradnl"/>
        </w:rPr>
        <w:t xml:space="preserve">las herramientas </w:t>
      </w:r>
      <w:r>
        <w:rPr>
          <w:rFonts w:ascii="Arial" w:hAnsi="Arial" w:cs="Arial"/>
          <w:lang w:val="es-ES_tradnl"/>
        </w:rPr>
        <w:t>que se han utilizado</w:t>
      </w:r>
      <w:r w:rsidRPr="00CF56A3">
        <w:rPr>
          <w:rFonts w:ascii="Arial" w:hAnsi="Arial" w:cs="Arial"/>
          <w:lang w:val="es-ES_tradnl"/>
        </w:rPr>
        <w:t xml:space="preserve"> (manual BES RUDIS, guías de capacitación</w:t>
      </w:r>
      <w:r w:rsidR="00B03FFF">
        <w:rPr>
          <w:rFonts w:ascii="Arial" w:hAnsi="Arial" w:cs="Arial"/>
          <w:lang w:val="es-ES_tradnl"/>
        </w:rPr>
        <w:t>, asistencia técnica</w:t>
      </w:r>
      <w:r w:rsidRPr="00CF56A3">
        <w:rPr>
          <w:rFonts w:ascii="Arial" w:hAnsi="Arial" w:cs="Arial"/>
          <w:lang w:val="es-ES_tradnl"/>
        </w:rPr>
        <w:t xml:space="preserve"> y monitoreo y otros)</w:t>
      </w:r>
      <w:r>
        <w:rPr>
          <w:rFonts w:ascii="Arial" w:hAnsi="Arial" w:cs="Arial"/>
          <w:lang w:val="es-ES_tradnl"/>
        </w:rPr>
        <w:t>.</w:t>
      </w:r>
    </w:p>
    <w:p w14:paraId="0D373683" w14:textId="0D0C7580" w:rsidR="00CF56A3" w:rsidRPr="004C285B" w:rsidRDefault="008668C5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lastRenderedPageBreak/>
        <w:t xml:space="preserve">Para ello </w:t>
      </w:r>
      <w:r w:rsidRPr="008A4F73">
        <w:rPr>
          <w:rFonts w:ascii="Arial" w:hAnsi="Arial" w:cs="Arial"/>
          <w:lang w:val="es-ES_tradnl"/>
        </w:rPr>
        <w:t>se prevén las siguientes actividades:</w:t>
      </w:r>
      <w:r w:rsidR="00B03FFF" w:rsidRPr="008A4F73">
        <w:rPr>
          <w:rFonts w:ascii="Arial" w:hAnsi="Arial" w:cs="Arial"/>
          <w:lang w:val="es-ES_tradnl"/>
        </w:rPr>
        <w:t xml:space="preserve"> </w:t>
      </w:r>
      <w:r w:rsidR="004C285B">
        <w:rPr>
          <w:rFonts w:ascii="Arial" w:hAnsi="Arial" w:cs="Arial"/>
          <w:lang w:val="es-ES_tradnl"/>
        </w:rPr>
        <w:t>(</w:t>
      </w:r>
      <w:r w:rsidR="00B03FFF" w:rsidRPr="008A4F73">
        <w:rPr>
          <w:rFonts w:ascii="Arial" w:hAnsi="Arial" w:cs="Arial"/>
          <w:lang w:val="es-ES_tradnl"/>
        </w:rPr>
        <w:t xml:space="preserve">i) identificación y </w:t>
      </w:r>
      <w:r w:rsidR="008A4F73" w:rsidRPr="008A4F73">
        <w:rPr>
          <w:rFonts w:ascii="Arial" w:hAnsi="Arial" w:cs="Arial"/>
          <w:lang w:val="es-ES_tradnl"/>
        </w:rPr>
        <w:t>diagnóstico</w:t>
      </w:r>
      <w:r w:rsidR="00B03FFF" w:rsidRPr="008A4F73">
        <w:rPr>
          <w:rFonts w:ascii="Arial" w:hAnsi="Arial" w:cs="Arial"/>
          <w:lang w:val="es-ES_tradnl"/>
        </w:rPr>
        <w:t xml:space="preserve"> rápido del uso de los BES</w:t>
      </w:r>
      <w:r w:rsidR="004C285B">
        <w:rPr>
          <w:rFonts w:ascii="Arial" w:hAnsi="Arial" w:cs="Arial"/>
          <w:lang w:val="es-ES_tradnl"/>
        </w:rPr>
        <w:t>;</w:t>
      </w:r>
      <w:r w:rsidR="00B03FFF" w:rsidRPr="008A4F73">
        <w:rPr>
          <w:rFonts w:ascii="Arial" w:hAnsi="Arial" w:cs="Arial"/>
          <w:lang w:val="es-ES_tradnl"/>
        </w:rPr>
        <w:t xml:space="preserve"> </w:t>
      </w:r>
      <w:r w:rsidR="004C285B">
        <w:rPr>
          <w:rFonts w:ascii="Arial" w:hAnsi="Arial" w:cs="Arial"/>
          <w:lang w:val="es-ES_tradnl"/>
        </w:rPr>
        <w:t>(</w:t>
      </w:r>
      <w:proofErr w:type="spellStart"/>
      <w:r w:rsidR="004C285B">
        <w:rPr>
          <w:rFonts w:ascii="Arial" w:hAnsi="Arial" w:cs="Arial"/>
          <w:lang w:val="es-ES_tradnl"/>
        </w:rPr>
        <w:t>i</w:t>
      </w:r>
      <w:r w:rsidRPr="008A4F73">
        <w:rPr>
          <w:rFonts w:ascii="Arial" w:hAnsi="Arial" w:cs="Arial"/>
          <w:lang w:val="es-ES_tradnl"/>
        </w:rPr>
        <w:t>i</w:t>
      </w:r>
      <w:proofErr w:type="spellEnd"/>
      <w:r w:rsidRPr="008A4F73">
        <w:rPr>
          <w:rFonts w:ascii="Arial" w:hAnsi="Arial" w:cs="Arial"/>
          <w:lang w:val="es-ES_tradnl"/>
        </w:rPr>
        <w:t>) análisis de experiencias</w:t>
      </w:r>
      <w:r w:rsidR="004C285B">
        <w:rPr>
          <w:rFonts w:ascii="Arial" w:hAnsi="Arial" w:cs="Arial"/>
          <w:lang w:val="es-ES_tradnl"/>
        </w:rPr>
        <w:t>;</w:t>
      </w:r>
      <w:r w:rsidRPr="008A4F73">
        <w:rPr>
          <w:rFonts w:ascii="Arial" w:hAnsi="Arial" w:cs="Arial"/>
          <w:lang w:val="es-ES_tradnl"/>
        </w:rPr>
        <w:t xml:space="preserve"> </w:t>
      </w:r>
      <w:r w:rsidR="004C285B">
        <w:rPr>
          <w:rFonts w:ascii="Arial" w:hAnsi="Arial" w:cs="Arial"/>
          <w:lang w:val="es-ES_tradnl"/>
        </w:rPr>
        <w:t>(</w:t>
      </w:r>
      <w:proofErr w:type="spellStart"/>
      <w:r w:rsidR="004C285B">
        <w:rPr>
          <w:rFonts w:ascii="Arial" w:hAnsi="Arial" w:cs="Arial"/>
          <w:lang w:val="es-ES_tradnl"/>
        </w:rPr>
        <w:t>i</w:t>
      </w:r>
      <w:r w:rsidRPr="008A4F73">
        <w:rPr>
          <w:rFonts w:ascii="Arial" w:hAnsi="Arial" w:cs="Arial"/>
          <w:lang w:val="es-ES_tradnl"/>
        </w:rPr>
        <w:t>ii</w:t>
      </w:r>
      <w:proofErr w:type="spellEnd"/>
      <w:r w:rsidRPr="008A4F73">
        <w:rPr>
          <w:rFonts w:ascii="Arial" w:hAnsi="Arial" w:cs="Arial"/>
          <w:lang w:val="es-ES_tradnl"/>
        </w:rPr>
        <w:t>) definición de acciones para fomentar el uso de los baños</w:t>
      </w:r>
      <w:r w:rsidR="004C285B">
        <w:rPr>
          <w:rFonts w:ascii="Arial" w:hAnsi="Arial" w:cs="Arial"/>
          <w:lang w:val="es-ES_tradnl"/>
        </w:rPr>
        <w:t>;</w:t>
      </w:r>
      <w:r w:rsidRPr="008A4F73">
        <w:rPr>
          <w:rFonts w:ascii="Arial" w:hAnsi="Arial" w:cs="Arial"/>
          <w:lang w:val="es-ES_tradnl"/>
        </w:rPr>
        <w:t xml:space="preserve"> </w:t>
      </w:r>
      <w:r w:rsidR="004C285B">
        <w:rPr>
          <w:rFonts w:ascii="Arial" w:hAnsi="Arial" w:cs="Arial"/>
          <w:lang w:val="es-ES_tradnl"/>
        </w:rPr>
        <w:t>(</w:t>
      </w:r>
      <w:proofErr w:type="spellStart"/>
      <w:r w:rsidRPr="008A4F73">
        <w:rPr>
          <w:rFonts w:ascii="Arial" w:hAnsi="Arial" w:cs="Arial"/>
          <w:lang w:val="es-ES_tradnl"/>
        </w:rPr>
        <w:t>i</w:t>
      </w:r>
      <w:r w:rsidR="004C285B">
        <w:rPr>
          <w:rFonts w:ascii="Arial" w:hAnsi="Arial" w:cs="Arial"/>
          <w:lang w:val="es-ES_tradnl"/>
        </w:rPr>
        <w:t>v</w:t>
      </w:r>
      <w:proofErr w:type="spellEnd"/>
      <w:r w:rsidRPr="008A4F73">
        <w:rPr>
          <w:rFonts w:ascii="Arial" w:hAnsi="Arial" w:cs="Arial"/>
          <w:lang w:val="es-ES_tradnl"/>
        </w:rPr>
        <w:t>) testeo de acciones</w:t>
      </w:r>
      <w:r w:rsidR="004C285B">
        <w:rPr>
          <w:rFonts w:ascii="Arial" w:hAnsi="Arial" w:cs="Arial"/>
          <w:lang w:val="es-ES_tradnl"/>
        </w:rPr>
        <w:t>;</w:t>
      </w:r>
      <w:r w:rsidRPr="008A4F73">
        <w:rPr>
          <w:rFonts w:ascii="Arial" w:hAnsi="Arial" w:cs="Arial"/>
          <w:lang w:val="es-ES_tradnl"/>
        </w:rPr>
        <w:t xml:space="preserve"> </w:t>
      </w:r>
      <w:r w:rsidR="00AA666B">
        <w:rPr>
          <w:rFonts w:ascii="Arial" w:hAnsi="Arial" w:cs="Arial"/>
          <w:lang w:val="es-ES_tradnl"/>
        </w:rPr>
        <w:t>y (</w:t>
      </w:r>
      <w:r w:rsidRPr="008A4F73">
        <w:rPr>
          <w:rFonts w:ascii="Arial" w:hAnsi="Arial" w:cs="Arial"/>
          <w:lang w:val="es-ES_tradnl"/>
        </w:rPr>
        <w:t xml:space="preserve">v) revisión de </w:t>
      </w:r>
      <w:r w:rsidR="009E20A5" w:rsidRPr="008A4F73">
        <w:rPr>
          <w:rFonts w:ascii="Arial" w:hAnsi="Arial" w:cs="Arial"/>
          <w:lang w:val="es-ES_tradnl"/>
        </w:rPr>
        <w:t xml:space="preserve">la </w:t>
      </w:r>
      <w:r w:rsidRPr="008A4F73">
        <w:rPr>
          <w:rFonts w:ascii="Arial" w:hAnsi="Arial" w:cs="Arial"/>
          <w:lang w:val="es-ES_tradnl"/>
        </w:rPr>
        <w:t>estrategia.</w:t>
      </w:r>
    </w:p>
    <w:p w14:paraId="14C8CBC6" w14:textId="37A032CA" w:rsidR="00425B6C" w:rsidRPr="004C285B" w:rsidRDefault="000F3AB7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Componente 2. </w:t>
      </w:r>
      <w:r w:rsidR="008E69A2">
        <w:rPr>
          <w:rFonts w:ascii="Arial" w:hAnsi="Arial" w:cs="Arial"/>
          <w:b/>
          <w:lang w:val="es-ES"/>
        </w:rPr>
        <w:t>Refuerzo de los aspectos de uso en las comunidades beneficiarias de los baños ecológicos</w:t>
      </w:r>
    </w:p>
    <w:p w14:paraId="5A0DE56A" w14:textId="7DACADEC" w:rsidR="009E20A5" w:rsidRPr="004C285B" w:rsidRDefault="00CF56A3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Se hará un refuerzo del uso de los </w:t>
      </w:r>
      <w:r w:rsidR="008668C5">
        <w:rPr>
          <w:rFonts w:ascii="Arial" w:hAnsi="Arial" w:cs="Arial"/>
          <w:lang w:val="es-ES_tradnl"/>
        </w:rPr>
        <w:t>baños</w:t>
      </w:r>
      <w:r>
        <w:rPr>
          <w:rFonts w:ascii="Arial" w:hAnsi="Arial" w:cs="Arial"/>
          <w:lang w:val="es-ES_tradnl"/>
        </w:rPr>
        <w:t xml:space="preserve"> en</w:t>
      </w:r>
      <w:r w:rsidR="008668C5">
        <w:rPr>
          <w:rFonts w:ascii="Arial" w:hAnsi="Arial" w:cs="Arial"/>
          <w:lang w:val="es-ES_tradnl"/>
        </w:rPr>
        <w:t xml:space="preserve"> las 42 comunidades del Programa lo que corresponde a 2.236 familias (11.180 beneficiarios).  La ubicación de los baños es la siguiente: </w:t>
      </w:r>
      <w:r w:rsidR="008668C5" w:rsidRPr="008668C5">
        <w:rPr>
          <w:rFonts w:ascii="Arial" w:hAnsi="Arial" w:cs="Arial"/>
          <w:lang w:val="es-ES_tradnl"/>
        </w:rPr>
        <w:t xml:space="preserve">departamento de La Paz con 1.438 BES en 8 municipios, en Cochabamba 388 BES en 2 municipios, Chuquisaca 210 BES en 3 municipios y Potosí 200 BES en 3 </w:t>
      </w:r>
      <w:r w:rsidR="008668C5" w:rsidRPr="008A4F73">
        <w:rPr>
          <w:rFonts w:ascii="Arial" w:hAnsi="Arial" w:cs="Arial"/>
          <w:lang w:val="es-ES_tradnl"/>
        </w:rPr>
        <w:t>municipios.</w:t>
      </w:r>
    </w:p>
    <w:p w14:paraId="7270A354" w14:textId="1CA7ACCE" w:rsidR="008668C5" w:rsidRPr="004C285B" w:rsidRDefault="008668C5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 w:rsidRPr="008A4F73">
        <w:rPr>
          <w:rFonts w:ascii="Arial" w:hAnsi="Arial" w:cs="Arial"/>
          <w:lang w:val="es-ES_tradnl"/>
        </w:rPr>
        <w:t xml:space="preserve">Las actividades propuestas son las siguientes: </w:t>
      </w:r>
      <w:r w:rsidR="004C285B">
        <w:rPr>
          <w:rFonts w:ascii="Arial" w:hAnsi="Arial" w:cs="Arial"/>
          <w:lang w:val="es-ES_tradnl"/>
        </w:rPr>
        <w:t>(</w:t>
      </w:r>
      <w:r w:rsidRPr="008A4F73">
        <w:rPr>
          <w:rFonts w:ascii="Arial" w:hAnsi="Arial" w:cs="Arial"/>
          <w:lang w:val="es-ES_tradnl"/>
        </w:rPr>
        <w:t>i) sesiones de sensibilización en las comunidades</w:t>
      </w:r>
      <w:r w:rsidR="004C285B">
        <w:rPr>
          <w:rFonts w:ascii="Arial" w:hAnsi="Arial" w:cs="Arial"/>
          <w:lang w:val="es-ES_tradnl"/>
        </w:rPr>
        <w:t>;</w:t>
      </w:r>
      <w:r w:rsidRPr="008A4F73">
        <w:rPr>
          <w:rFonts w:ascii="Arial" w:hAnsi="Arial" w:cs="Arial"/>
          <w:lang w:val="es-ES_tradnl"/>
        </w:rPr>
        <w:t xml:space="preserve"> </w:t>
      </w:r>
      <w:r w:rsidR="004C285B">
        <w:rPr>
          <w:rFonts w:ascii="Arial" w:hAnsi="Arial" w:cs="Arial"/>
          <w:lang w:val="es-ES_tradnl"/>
        </w:rPr>
        <w:t>(</w:t>
      </w:r>
      <w:proofErr w:type="spellStart"/>
      <w:r w:rsidRPr="008A4F73">
        <w:rPr>
          <w:rFonts w:ascii="Arial" w:hAnsi="Arial" w:cs="Arial"/>
          <w:lang w:val="es-ES_tradnl"/>
        </w:rPr>
        <w:t>ii</w:t>
      </w:r>
      <w:proofErr w:type="spellEnd"/>
      <w:r w:rsidRPr="008A4F73">
        <w:rPr>
          <w:rFonts w:ascii="Arial" w:hAnsi="Arial" w:cs="Arial"/>
          <w:lang w:val="es-ES_tradnl"/>
        </w:rPr>
        <w:t xml:space="preserve">) </w:t>
      </w:r>
      <w:proofErr w:type="spellStart"/>
      <w:r w:rsidRPr="008A4F73">
        <w:rPr>
          <w:rFonts w:ascii="Arial" w:hAnsi="Arial" w:cs="Arial"/>
          <w:lang w:val="es-ES_tradnl"/>
        </w:rPr>
        <w:t>focus</w:t>
      </w:r>
      <w:proofErr w:type="spellEnd"/>
      <w:r w:rsidRPr="008A4F73">
        <w:rPr>
          <w:rFonts w:ascii="Arial" w:hAnsi="Arial" w:cs="Arial"/>
          <w:lang w:val="es-ES_tradnl"/>
        </w:rPr>
        <w:t xml:space="preserve"> </w:t>
      </w:r>
      <w:proofErr w:type="spellStart"/>
      <w:r w:rsidRPr="008A4F73">
        <w:rPr>
          <w:rFonts w:ascii="Arial" w:hAnsi="Arial" w:cs="Arial"/>
          <w:lang w:val="es-ES_tradnl"/>
        </w:rPr>
        <w:t>groups</w:t>
      </w:r>
      <w:proofErr w:type="spellEnd"/>
      <w:r w:rsidR="00076214" w:rsidRPr="008A4F73">
        <w:rPr>
          <w:rFonts w:ascii="Arial" w:hAnsi="Arial" w:cs="Arial"/>
          <w:lang w:val="es-ES_tradnl"/>
        </w:rPr>
        <w:t xml:space="preserve"> para análisis</w:t>
      </w:r>
      <w:r w:rsidR="009E20A5" w:rsidRPr="008A4F73">
        <w:rPr>
          <w:rFonts w:ascii="Arial" w:hAnsi="Arial" w:cs="Arial"/>
          <w:lang w:val="es-ES_tradnl"/>
        </w:rPr>
        <w:t xml:space="preserve"> causa </w:t>
      </w:r>
      <w:r w:rsidR="004C285B">
        <w:rPr>
          <w:rFonts w:ascii="Arial" w:hAnsi="Arial" w:cs="Arial"/>
          <w:lang w:val="es-ES_tradnl"/>
        </w:rPr>
        <w:t>–</w:t>
      </w:r>
      <w:r w:rsidR="009E20A5" w:rsidRPr="008A4F73">
        <w:rPr>
          <w:rFonts w:ascii="Arial" w:hAnsi="Arial" w:cs="Arial"/>
          <w:lang w:val="es-ES_tradnl"/>
        </w:rPr>
        <w:t xml:space="preserve"> efecto</w:t>
      </w:r>
      <w:r w:rsidR="004C285B">
        <w:rPr>
          <w:rFonts w:ascii="Arial" w:hAnsi="Arial" w:cs="Arial"/>
          <w:lang w:val="es-ES_tradnl"/>
        </w:rPr>
        <w:t>;</w:t>
      </w:r>
      <w:r w:rsidRPr="008A4F73">
        <w:rPr>
          <w:rFonts w:ascii="Arial" w:hAnsi="Arial" w:cs="Arial"/>
          <w:lang w:val="es-ES_tradnl"/>
        </w:rPr>
        <w:t xml:space="preserve"> </w:t>
      </w:r>
      <w:r w:rsidR="004C285B">
        <w:rPr>
          <w:rFonts w:ascii="Arial" w:hAnsi="Arial" w:cs="Arial"/>
          <w:lang w:val="es-ES_tradnl"/>
        </w:rPr>
        <w:t>(</w:t>
      </w:r>
      <w:proofErr w:type="spellStart"/>
      <w:r w:rsidR="00076214" w:rsidRPr="008A4F73">
        <w:rPr>
          <w:rFonts w:ascii="Arial" w:hAnsi="Arial" w:cs="Arial"/>
          <w:lang w:val="es-ES_tradnl"/>
        </w:rPr>
        <w:t>iii</w:t>
      </w:r>
      <w:proofErr w:type="spellEnd"/>
      <w:r w:rsidR="00076214" w:rsidRPr="008A4F73">
        <w:rPr>
          <w:rFonts w:ascii="Arial" w:hAnsi="Arial" w:cs="Arial"/>
          <w:lang w:val="es-ES_tradnl"/>
        </w:rPr>
        <w:t>) sensibilización en las escuelas</w:t>
      </w:r>
      <w:r w:rsidR="004C285B">
        <w:rPr>
          <w:rFonts w:ascii="Arial" w:hAnsi="Arial" w:cs="Arial"/>
          <w:lang w:val="es-ES_tradnl"/>
        </w:rPr>
        <w:t>;</w:t>
      </w:r>
      <w:r w:rsidR="00076214" w:rsidRPr="008A4F73">
        <w:rPr>
          <w:rFonts w:ascii="Arial" w:hAnsi="Arial" w:cs="Arial"/>
          <w:lang w:val="es-ES_tradnl"/>
        </w:rPr>
        <w:t xml:space="preserve"> </w:t>
      </w:r>
      <w:r w:rsidR="004C285B">
        <w:rPr>
          <w:rFonts w:ascii="Arial" w:hAnsi="Arial" w:cs="Arial"/>
          <w:lang w:val="es-ES_tradnl"/>
        </w:rPr>
        <w:t>(</w:t>
      </w:r>
      <w:proofErr w:type="spellStart"/>
      <w:r w:rsidR="00076214" w:rsidRPr="008A4F73">
        <w:rPr>
          <w:rFonts w:ascii="Arial" w:hAnsi="Arial" w:cs="Arial"/>
          <w:lang w:val="es-ES_tradnl"/>
        </w:rPr>
        <w:t>iv</w:t>
      </w:r>
      <w:proofErr w:type="spellEnd"/>
      <w:r w:rsidR="00076214" w:rsidRPr="008A4F73">
        <w:rPr>
          <w:rFonts w:ascii="Arial" w:hAnsi="Arial" w:cs="Arial"/>
          <w:lang w:val="es-ES_tradnl"/>
        </w:rPr>
        <w:t>) sesiones demostrativas</w:t>
      </w:r>
      <w:r w:rsidR="009E20A5" w:rsidRPr="008A4F73">
        <w:rPr>
          <w:rFonts w:ascii="Arial" w:hAnsi="Arial" w:cs="Arial"/>
          <w:lang w:val="es-ES_tradnl"/>
        </w:rPr>
        <w:t xml:space="preserve"> a nivel familiar</w:t>
      </w:r>
      <w:r w:rsidR="004C285B">
        <w:rPr>
          <w:rFonts w:ascii="Arial" w:hAnsi="Arial" w:cs="Arial"/>
          <w:lang w:val="es-ES_tradnl"/>
        </w:rPr>
        <w:t>;</w:t>
      </w:r>
      <w:r w:rsidR="00B03FFF" w:rsidRPr="008A4F73">
        <w:rPr>
          <w:rFonts w:ascii="Arial" w:hAnsi="Arial" w:cs="Arial"/>
          <w:lang w:val="es-ES_tradnl"/>
        </w:rPr>
        <w:t xml:space="preserve"> </w:t>
      </w:r>
      <w:r w:rsidR="004C285B">
        <w:rPr>
          <w:rFonts w:ascii="Arial" w:hAnsi="Arial" w:cs="Arial"/>
          <w:lang w:val="es-ES_tradnl"/>
        </w:rPr>
        <w:t>y (</w:t>
      </w:r>
      <w:r w:rsidR="00B03FFF" w:rsidRPr="008A4F73">
        <w:rPr>
          <w:rFonts w:ascii="Arial" w:hAnsi="Arial" w:cs="Arial"/>
          <w:lang w:val="es-ES_tradnl"/>
        </w:rPr>
        <w:t>vi) asistencia técnica en visitas familiares</w:t>
      </w:r>
      <w:r w:rsidR="00076214" w:rsidRPr="008A4F73">
        <w:rPr>
          <w:rFonts w:ascii="Arial" w:hAnsi="Arial" w:cs="Arial"/>
          <w:lang w:val="es-ES_tradnl"/>
        </w:rPr>
        <w:t>.</w:t>
      </w:r>
    </w:p>
    <w:p w14:paraId="79DA8856" w14:textId="78E21DDC" w:rsidR="000F3AB7" w:rsidRPr="004C285B" w:rsidRDefault="00425B6C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b/>
          <w:lang w:val="es-ES"/>
        </w:rPr>
      </w:pPr>
      <w:r w:rsidRPr="008A4F73">
        <w:rPr>
          <w:rFonts w:ascii="Arial" w:hAnsi="Arial" w:cs="Arial"/>
          <w:b/>
          <w:lang w:val="es-ES_tradnl"/>
        </w:rPr>
        <w:t xml:space="preserve">Componente 3. </w:t>
      </w:r>
      <w:r w:rsidR="00CF56A3" w:rsidRPr="008A4F73">
        <w:rPr>
          <w:rFonts w:ascii="Arial" w:hAnsi="Arial" w:cs="Arial"/>
          <w:b/>
          <w:lang w:val="es-ES_tradnl"/>
        </w:rPr>
        <w:t>Capacitación de estructuras locales para implementar la estrategia</w:t>
      </w:r>
    </w:p>
    <w:p w14:paraId="7DB4B122" w14:textId="5563BA12" w:rsidR="00DC5956" w:rsidRPr="004C285B" w:rsidRDefault="008668C5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 w:rsidRPr="008A4F73">
        <w:rPr>
          <w:rFonts w:ascii="Arial" w:hAnsi="Arial" w:cs="Arial"/>
          <w:lang w:val="es-ES"/>
        </w:rPr>
        <w:t>Además de capacitar al personal del M</w:t>
      </w:r>
      <w:r w:rsidR="009E20A5" w:rsidRPr="008A4F73">
        <w:rPr>
          <w:rFonts w:ascii="Arial" w:hAnsi="Arial" w:cs="Arial"/>
          <w:lang w:val="es-ES"/>
        </w:rPr>
        <w:t>inisterio de Medio Ambiente y Agua (</w:t>
      </w:r>
      <w:proofErr w:type="spellStart"/>
      <w:r w:rsidR="009E20A5" w:rsidRPr="008A4F73">
        <w:rPr>
          <w:rFonts w:ascii="Arial" w:hAnsi="Arial" w:cs="Arial"/>
          <w:lang w:val="es-ES"/>
        </w:rPr>
        <w:t>M</w:t>
      </w:r>
      <w:r w:rsidRPr="008A4F73">
        <w:rPr>
          <w:rFonts w:ascii="Arial" w:hAnsi="Arial" w:cs="Arial"/>
          <w:lang w:val="es-ES"/>
        </w:rPr>
        <w:t>MA</w:t>
      </w:r>
      <w:r w:rsidR="009E20A5" w:rsidRPr="008A4F73">
        <w:rPr>
          <w:rFonts w:ascii="Arial" w:hAnsi="Arial" w:cs="Arial"/>
          <w:lang w:val="es-ES"/>
        </w:rPr>
        <w:t>yA</w:t>
      </w:r>
      <w:proofErr w:type="spellEnd"/>
      <w:r w:rsidR="009E20A5" w:rsidRPr="008A4F73">
        <w:rPr>
          <w:rFonts w:ascii="Arial" w:hAnsi="Arial" w:cs="Arial"/>
          <w:lang w:val="es-ES"/>
        </w:rPr>
        <w:t>) y a la unidad ejecutora del P</w:t>
      </w:r>
      <w:r w:rsidRPr="008A4F73">
        <w:rPr>
          <w:rFonts w:ascii="Arial" w:hAnsi="Arial" w:cs="Arial"/>
          <w:lang w:val="es-ES"/>
        </w:rPr>
        <w:t xml:space="preserve">rograma, se capacitará a </w:t>
      </w:r>
      <w:r w:rsidR="00076214" w:rsidRPr="008A4F73">
        <w:rPr>
          <w:rFonts w:ascii="Arial" w:hAnsi="Arial" w:cs="Arial"/>
          <w:lang w:val="es-ES"/>
        </w:rPr>
        <w:t>los Comités de agua Potable y Saneamiento (CAPYS), l</w:t>
      </w:r>
      <w:r w:rsidR="009E20A5" w:rsidRPr="008A4F73">
        <w:rPr>
          <w:rFonts w:ascii="Arial" w:hAnsi="Arial" w:cs="Arial"/>
          <w:lang w:val="es-ES"/>
        </w:rPr>
        <w:t>a</w:t>
      </w:r>
      <w:r w:rsidR="00076214" w:rsidRPr="008A4F73">
        <w:rPr>
          <w:rFonts w:ascii="Arial" w:hAnsi="Arial" w:cs="Arial"/>
          <w:lang w:val="es-ES"/>
        </w:rPr>
        <w:t>s U</w:t>
      </w:r>
      <w:r w:rsidR="009E20A5" w:rsidRPr="008A4F73">
        <w:rPr>
          <w:rFonts w:ascii="Arial" w:hAnsi="Arial" w:cs="Arial"/>
          <w:lang w:val="es-ES"/>
        </w:rPr>
        <w:t>nidades Técnicas Internas Municipales (U</w:t>
      </w:r>
      <w:r w:rsidR="00076214" w:rsidRPr="008A4F73">
        <w:rPr>
          <w:rFonts w:ascii="Arial" w:hAnsi="Arial" w:cs="Arial"/>
          <w:lang w:val="es-ES"/>
        </w:rPr>
        <w:t>TIM</w:t>
      </w:r>
      <w:r w:rsidR="009E20A5" w:rsidRPr="008A4F73">
        <w:rPr>
          <w:rFonts w:ascii="Arial" w:hAnsi="Arial" w:cs="Arial"/>
          <w:lang w:val="es-ES"/>
        </w:rPr>
        <w:t>)</w:t>
      </w:r>
      <w:r w:rsidR="00076214" w:rsidRPr="008A4F73">
        <w:rPr>
          <w:rFonts w:ascii="Arial" w:hAnsi="Arial" w:cs="Arial"/>
          <w:lang w:val="es-ES"/>
        </w:rPr>
        <w:t>, las EPSA, l</w:t>
      </w:r>
      <w:r w:rsidR="009E20A5" w:rsidRPr="008A4F73">
        <w:rPr>
          <w:rFonts w:ascii="Arial" w:hAnsi="Arial" w:cs="Arial"/>
          <w:lang w:val="es-ES"/>
        </w:rPr>
        <w:t>a</w:t>
      </w:r>
      <w:r w:rsidR="00076214" w:rsidRPr="008A4F73">
        <w:rPr>
          <w:rFonts w:ascii="Arial" w:hAnsi="Arial" w:cs="Arial"/>
          <w:lang w:val="es-ES"/>
        </w:rPr>
        <w:t>s U</w:t>
      </w:r>
      <w:r w:rsidR="009E20A5" w:rsidRPr="008A4F73">
        <w:rPr>
          <w:rFonts w:ascii="Arial" w:hAnsi="Arial" w:cs="Arial"/>
          <w:lang w:val="es-ES"/>
        </w:rPr>
        <w:t>nidades Departamentales de Agua, Saneamiento Básico y Vivienda (U</w:t>
      </w:r>
      <w:r w:rsidR="00076214" w:rsidRPr="008A4F73">
        <w:rPr>
          <w:rFonts w:ascii="Arial" w:hAnsi="Arial" w:cs="Arial"/>
          <w:lang w:val="es-ES"/>
        </w:rPr>
        <w:t>NASB</w:t>
      </w:r>
      <w:r w:rsidR="009E20A5" w:rsidRPr="008A4F73">
        <w:rPr>
          <w:rFonts w:ascii="Arial" w:hAnsi="Arial" w:cs="Arial"/>
          <w:lang w:val="es-ES"/>
        </w:rPr>
        <w:t>V</w:t>
      </w:r>
      <w:r w:rsidR="00076214" w:rsidRPr="008A4F73">
        <w:rPr>
          <w:rFonts w:ascii="Arial" w:hAnsi="Arial" w:cs="Arial"/>
          <w:lang w:val="es-ES"/>
        </w:rPr>
        <w:t>I</w:t>
      </w:r>
      <w:r w:rsidR="009E20A5" w:rsidRPr="008A4F73">
        <w:rPr>
          <w:rFonts w:ascii="Arial" w:hAnsi="Arial" w:cs="Arial"/>
          <w:lang w:val="es-ES"/>
        </w:rPr>
        <w:t>)</w:t>
      </w:r>
      <w:r w:rsidR="004C285B">
        <w:rPr>
          <w:rFonts w:ascii="Arial" w:hAnsi="Arial" w:cs="Arial"/>
          <w:lang w:val="es-ES"/>
        </w:rPr>
        <w:t>.</w:t>
      </w:r>
    </w:p>
    <w:p w14:paraId="45F6AB2E" w14:textId="6EE0D3E7" w:rsidR="00573D0A" w:rsidRPr="004C285B" w:rsidRDefault="00847603" w:rsidP="004C285B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Presupuesto </w:t>
      </w:r>
      <w:r w:rsidR="00055EF1" w:rsidRPr="00A523B2">
        <w:rPr>
          <w:rFonts w:ascii="Arial" w:hAnsi="Arial" w:cs="Arial"/>
          <w:b/>
          <w:lang w:val="es-ES"/>
        </w:rPr>
        <w:t xml:space="preserve">indicativo </w:t>
      </w:r>
    </w:p>
    <w:p w14:paraId="15EE90B7" w14:textId="75A21C54" w:rsidR="009E20A5" w:rsidRPr="004C285B" w:rsidRDefault="00573D0A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El presupuesto total de la CT alcanzará los </w:t>
      </w:r>
      <w:r w:rsidR="00143B16">
        <w:rPr>
          <w:rFonts w:ascii="Arial" w:hAnsi="Arial" w:cs="Arial"/>
          <w:lang w:val="es-ES"/>
        </w:rPr>
        <w:t>US$</w:t>
      </w:r>
      <w:r w:rsidR="00076214">
        <w:rPr>
          <w:rFonts w:ascii="Arial" w:hAnsi="Arial" w:cs="Arial"/>
          <w:lang w:val="es-ES"/>
        </w:rPr>
        <w:t>1</w:t>
      </w:r>
      <w:r>
        <w:rPr>
          <w:rFonts w:ascii="Arial" w:hAnsi="Arial" w:cs="Arial"/>
          <w:lang w:val="es-ES"/>
        </w:rPr>
        <w:t>00,000</w:t>
      </w:r>
      <w:r w:rsidR="00DD34E3" w:rsidRPr="00A523B2">
        <w:rPr>
          <w:rFonts w:ascii="Arial" w:hAnsi="Arial" w:cs="Arial"/>
          <w:lang w:val="es-ES"/>
        </w:rPr>
        <w:t>.</w:t>
      </w:r>
      <w:r w:rsidR="0075418F">
        <w:rPr>
          <w:rFonts w:ascii="Arial" w:hAnsi="Arial" w:cs="Arial"/>
          <w:lang w:val="es-ES"/>
        </w:rPr>
        <w:t xml:space="preserve"> </w:t>
      </w:r>
    </w:p>
    <w:p w14:paraId="3248B69A" w14:textId="77777777" w:rsidR="0023302F" w:rsidRPr="00A523B2" w:rsidRDefault="00F00960" w:rsidP="00DC5956">
      <w:pPr>
        <w:spacing w:before="120" w:after="120" w:line="240" w:lineRule="auto"/>
        <w:jc w:val="center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Presupuesto </w:t>
      </w:r>
      <w:r w:rsidR="00F6363D" w:rsidRPr="00A523B2">
        <w:rPr>
          <w:rFonts w:ascii="Arial" w:hAnsi="Arial" w:cs="Arial"/>
          <w:b/>
          <w:lang w:val="es-ES"/>
        </w:rPr>
        <w:t>Indicativ</w:t>
      </w:r>
      <w:r w:rsidRPr="00A523B2">
        <w:rPr>
          <w:rFonts w:ascii="Arial" w:hAnsi="Arial" w:cs="Arial"/>
          <w:b/>
          <w:lang w:val="es-ES"/>
        </w:rPr>
        <w:t>o</w:t>
      </w:r>
      <w:r w:rsidR="00143B16">
        <w:rPr>
          <w:rFonts w:ascii="Arial" w:hAnsi="Arial" w:cs="Arial"/>
          <w:b/>
          <w:lang w:val="es-ES"/>
        </w:rPr>
        <w:t xml:space="preserve"> (US$)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1"/>
        <w:gridCol w:w="2019"/>
        <w:gridCol w:w="2126"/>
        <w:gridCol w:w="1397"/>
        <w:gridCol w:w="1537"/>
      </w:tblGrid>
      <w:tr w:rsidR="001A0DC6" w:rsidRPr="00A523B2" w14:paraId="0A282220" w14:textId="77777777" w:rsidTr="00581741">
        <w:trPr>
          <w:jc w:val="center"/>
        </w:trPr>
        <w:tc>
          <w:tcPr>
            <w:tcW w:w="0" w:type="auto"/>
          </w:tcPr>
          <w:p w14:paraId="2A9205CB" w14:textId="77777777" w:rsidR="00F6363D" w:rsidRPr="004C285B" w:rsidRDefault="00F6363D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Activi</w:t>
            </w:r>
            <w:r w:rsidR="00F00960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dad</w:t>
            </w:r>
            <w:r w:rsidR="001735E1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/</w:t>
            </w:r>
            <w:r w:rsidR="001735E1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</w:t>
            </w:r>
            <w:r w:rsidR="00F00960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e</w:t>
            </w:r>
          </w:p>
        </w:tc>
        <w:tc>
          <w:tcPr>
            <w:tcW w:w="0" w:type="auto"/>
          </w:tcPr>
          <w:p w14:paraId="3EF4FA0A" w14:textId="77777777" w:rsidR="00F6363D" w:rsidRPr="004C285B" w:rsidRDefault="00F6363D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Descrip</w:t>
            </w:r>
            <w:r w:rsidR="00F00960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c</w:t>
            </w: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i</w:t>
            </w:r>
            <w:r w:rsidR="00F00960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ó</w:t>
            </w: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n</w:t>
            </w:r>
          </w:p>
        </w:tc>
        <w:tc>
          <w:tcPr>
            <w:tcW w:w="0" w:type="auto"/>
          </w:tcPr>
          <w:p w14:paraId="57291B70" w14:textId="77777777" w:rsidR="00F6363D" w:rsidRPr="004C285B" w:rsidRDefault="00F00960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BID</w:t>
            </w:r>
            <w:r w:rsidR="0023302F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/</w:t>
            </w: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Financiamiento</w:t>
            </w:r>
            <w:r w:rsidR="00F50742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por Fondo</w:t>
            </w:r>
          </w:p>
        </w:tc>
        <w:tc>
          <w:tcPr>
            <w:tcW w:w="0" w:type="auto"/>
          </w:tcPr>
          <w:p w14:paraId="5F0E6E4E" w14:textId="77777777" w:rsidR="00F6363D" w:rsidRPr="004C285B" w:rsidRDefault="00F00960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Contrapartida</w:t>
            </w:r>
          </w:p>
          <w:p w14:paraId="47AA7F47" w14:textId="77777777" w:rsidR="00F00960" w:rsidRPr="004C285B" w:rsidRDefault="00F00960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Local</w:t>
            </w:r>
          </w:p>
        </w:tc>
        <w:tc>
          <w:tcPr>
            <w:tcW w:w="0" w:type="auto"/>
          </w:tcPr>
          <w:p w14:paraId="72E19192" w14:textId="77777777" w:rsidR="00F00960" w:rsidRPr="004C285B" w:rsidRDefault="00F00960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Financiamiento</w:t>
            </w:r>
          </w:p>
          <w:p w14:paraId="529A7284" w14:textId="77777777" w:rsidR="00F6363D" w:rsidRPr="004C285B" w:rsidRDefault="0023302F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Total </w:t>
            </w:r>
          </w:p>
        </w:tc>
      </w:tr>
      <w:tr w:rsidR="001A0DC6" w:rsidRPr="00456C62" w14:paraId="5FA7994F" w14:textId="77777777" w:rsidTr="001E2E17">
        <w:trPr>
          <w:jc w:val="center"/>
        </w:trPr>
        <w:tc>
          <w:tcPr>
            <w:tcW w:w="0" w:type="auto"/>
          </w:tcPr>
          <w:p w14:paraId="40B1D5E1" w14:textId="77777777" w:rsidR="00F6363D" w:rsidRPr="004C285B" w:rsidRDefault="00B864AA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1</w:t>
            </w:r>
          </w:p>
        </w:tc>
        <w:tc>
          <w:tcPr>
            <w:tcW w:w="0" w:type="auto"/>
          </w:tcPr>
          <w:p w14:paraId="0166F1AF" w14:textId="54358515" w:rsidR="00F6363D" w:rsidRPr="004C285B" w:rsidRDefault="00076214" w:rsidP="004C285B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_tradnl"/>
              </w:rPr>
              <w:t>Definición de estrategia</w:t>
            </w:r>
          </w:p>
        </w:tc>
        <w:tc>
          <w:tcPr>
            <w:tcW w:w="0" w:type="auto"/>
            <w:vAlign w:val="center"/>
          </w:tcPr>
          <w:p w14:paraId="65526AFD" w14:textId="23299950" w:rsidR="00F6363D" w:rsidRPr="004C285B" w:rsidRDefault="006B3B78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  <w:r w:rsidR="00076214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  <w:r w:rsidR="001E2E17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,000</w:t>
            </w:r>
          </w:p>
        </w:tc>
        <w:tc>
          <w:tcPr>
            <w:tcW w:w="0" w:type="auto"/>
            <w:vAlign w:val="center"/>
          </w:tcPr>
          <w:p w14:paraId="25DF5064" w14:textId="77777777" w:rsidR="00F6363D" w:rsidRPr="004C285B" w:rsidRDefault="004E22A0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</w:p>
        </w:tc>
        <w:tc>
          <w:tcPr>
            <w:tcW w:w="0" w:type="auto"/>
            <w:vAlign w:val="center"/>
          </w:tcPr>
          <w:p w14:paraId="031BE187" w14:textId="3112960B" w:rsidR="00F6363D" w:rsidRPr="004C285B" w:rsidRDefault="006B3B78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  <w:r w:rsidR="00076214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  <w:r w:rsidR="00B16AD6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,00</w:t>
            </w:r>
          </w:p>
        </w:tc>
      </w:tr>
      <w:tr w:rsidR="001A0DC6" w:rsidRPr="00456C62" w14:paraId="74D7B8FB" w14:textId="77777777" w:rsidTr="001E2E17">
        <w:trPr>
          <w:jc w:val="center"/>
        </w:trPr>
        <w:tc>
          <w:tcPr>
            <w:tcW w:w="0" w:type="auto"/>
          </w:tcPr>
          <w:p w14:paraId="3BB15E6B" w14:textId="77777777" w:rsidR="00F6363D" w:rsidRPr="004C285B" w:rsidRDefault="005E718A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2</w:t>
            </w:r>
          </w:p>
        </w:tc>
        <w:tc>
          <w:tcPr>
            <w:tcW w:w="0" w:type="auto"/>
          </w:tcPr>
          <w:p w14:paraId="1E7FFCE0" w14:textId="1E7A36BA" w:rsidR="00F6363D" w:rsidRPr="004C285B" w:rsidRDefault="00076214" w:rsidP="004C285B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_tradnl"/>
              </w:rPr>
              <w:t>Refuerzo de uso en comunidades</w:t>
            </w:r>
          </w:p>
        </w:tc>
        <w:tc>
          <w:tcPr>
            <w:tcW w:w="0" w:type="auto"/>
            <w:vAlign w:val="center"/>
          </w:tcPr>
          <w:p w14:paraId="2F14D439" w14:textId="0A78344B" w:rsidR="00F6363D" w:rsidRPr="004C285B" w:rsidRDefault="006B3B78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85</w:t>
            </w:r>
            <w:r w:rsidR="001E2E17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,000</w:t>
            </w:r>
          </w:p>
        </w:tc>
        <w:tc>
          <w:tcPr>
            <w:tcW w:w="0" w:type="auto"/>
            <w:vAlign w:val="center"/>
          </w:tcPr>
          <w:p w14:paraId="4D1E670C" w14:textId="77777777" w:rsidR="00F6363D" w:rsidRPr="004C285B" w:rsidRDefault="004E22A0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</w:p>
        </w:tc>
        <w:tc>
          <w:tcPr>
            <w:tcW w:w="0" w:type="auto"/>
            <w:vAlign w:val="center"/>
          </w:tcPr>
          <w:p w14:paraId="2264171F" w14:textId="3F78EA4A" w:rsidR="00F6363D" w:rsidRPr="004C285B" w:rsidRDefault="006B3B78" w:rsidP="004C285B">
            <w:pPr>
              <w:pStyle w:val="ListParagraph"/>
              <w:tabs>
                <w:tab w:val="left" w:pos="1152"/>
                <w:tab w:val="right" w:pos="1321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85</w:t>
            </w:r>
            <w:r w:rsidR="00B16AD6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,000</w:t>
            </w:r>
          </w:p>
        </w:tc>
      </w:tr>
      <w:tr w:rsidR="001A0DC6" w:rsidRPr="00456C62" w14:paraId="7BCAB083" w14:textId="77777777" w:rsidTr="001E2E17">
        <w:trPr>
          <w:jc w:val="center"/>
        </w:trPr>
        <w:tc>
          <w:tcPr>
            <w:tcW w:w="0" w:type="auto"/>
          </w:tcPr>
          <w:p w14:paraId="12E06248" w14:textId="77777777" w:rsidR="00F6363D" w:rsidRPr="004C285B" w:rsidRDefault="00DB21B8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3</w:t>
            </w:r>
          </w:p>
        </w:tc>
        <w:tc>
          <w:tcPr>
            <w:tcW w:w="0" w:type="auto"/>
          </w:tcPr>
          <w:p w14:paraId="4527299D" w14:textId="5157558F" w:rsidR="00F6363D" w:rsidRPr="004C285B" w:rsidRDefault="00076214" w:rsidP="004C285B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sz w:val="18"/>
                <w:szCs w:val="18"/>
                <w:lang w:val="es-ES"/>
              </w:rPr>
              <w:t>Capacitación entidades locales</w:t>
            </w:r>
            <w:r w:rsidR="001A0DC6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E20A5" w:rsidRPr="004C285B">
              <w:rPr>
                <w:rFonts w:ascii="Arial" w:hAnsi="Arial" w:cs="Arial"/>
                <w:sz w:val="18"/>
                <w:szCs w:val="18"/>
                <w:lang w:val="es-ES"/>
              </w:rPr>
              <w:t xml:space="preserve">y </w:t>
            </w:r>
            <w:r w:rsidR="004C285B" w:rsidRPr="004C285B">
              <w:rPr>
                <w:rFonts w:ascii="Arial" w:hAnsi="Arial" w:cs="Arial"/>
                <w:sz w:val="18"/>
                <w:szCs w:val="18"/>
                <w:lang w:val="es-ES"/>
              </w:rPr>
              <w:t>subnacionales</w:t>
            </w:r>
          </w:p>
        </w:tc>
        <w:tc>
          <w:tcPr>
            <w:tcW w:w="0" w:type="auto"/>
            <w:vAlign w:val="center"/>
          </w:tcPr>
          <w:p w14:paraId="0A74547D" w14:textId="099648D0" w:rsidR="00F6363D" w:rsidRPr="004C285B" w:rsidRDefault="006B3B78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5</w:t>
            </w:r>
            <w:r w:rsidR="001E2E17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,000</w:t>
            </w:r>
          </w:p>
        </w:tc>
        <w:tc>
          <w:tcPr>
            <w:tcW w:w="0" w:type="auto"/>
            <w:vAlign w:val="center"/>
          </w:tcPr>
          <w:p w14:paraId="2BD9FAD4" w14:textId="77777777" w:rsidR="00F6363D" w:rsidRPr="004C285B" w:rsidRDefault="00C15433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</w:p>
        </w:tc>
        <w:tc>
          <w:tcPr>
            <w:tcW w:w="0" w:type="auto"/>
            <w:vAlign w:val="center"/>
          </w:tcPr>
          <w:p w14:paraId="6478726D" w14:textId="117E710C" w:rsidR="00F6363D" w:rsidRPr="004C285B" w:rsidRDefault="006B3B78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5</w:t>
            </w:r>
            <w:r w:rsidR="00B16AD6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,000</w:t>
            </w:r>
          </w:p>
        </w:tc>
      </w:tr>
      <w:tr w:rsidR="001A0DC6" w:rsidRPr="00456C62" w14:paraId="1C612106" w14:textId="77777777" w:rsidTr="001E2E17">
        <w:trPr>
          <w:jc w:val="center"/>
        </w:trPr>
        <w:tc>
          <w:tcPr>
            <w:tcW w:w="0" w:type="auto"/>
            <w:gridSpan w:val="2"/>
          </w:tcPr>
          <w:p w14:paraId="29E28787" w14:textId="77777777" w:rsidR="00272016" w:rsidRPr="004C285B" w:rsidRDefault="00272016" w:rsidP="004C285B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TOTAL</w:t>
            </w:r>
          </w:p>
        </w:tc>
        <w:tc>
          <w:tcPr>
            <w:tcW w:w="0" w:type="auto"/>
            <w:vAlign w:val="center"/>
          </w:tcPr>
          <w:p w14:paraId="72761C48" w14:textId="7118BC43" w:rsidR="00272016" w:rsidRPr="004C285B" w:rsidRDefault="00076214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  <w:r w:rsidR="001E2E17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00,000</w:t>
            </w:r>
          </w:p>
        </w:tc>
        <w:tc>
          <w:tcPr>
            <w:tcW w:w="0" w:type="auto"/>
            <w:vAlign w:val="center"/>
          </w:tcPr>
          <w:p w14:paraId="3827F8FB" w14:textId="77777777" w:rsidR="00272016" w:rsidRPr="004C285B" w:rsidRDefault="00272016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</w:p>
        </w:tc>
        <w:tc>
          <w:tcPr>
            <w:tcW w:w="0" w:type="auto"/>
            <w:vAlign w:val="center"/>
          </w:tcPr>
          <w:p w14:paraId="708794B7" w14:textId="2E59C518" w:rsidR="00272016" w:rsidRPr="004C285B" w:rsidRDefault="00076214" w:rsidP="004C285B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  <w:r w:rsidR="001E2E17" w:rsidRPr="004C285B">
              <w:rPr>
                <w:rFonts w:ascii="Arial" w:hAnsi="Arial" w:cs="Arial"/>
                <w:b/>
                <w:sz w:val="18"/>
                <w:szCs w:val="18"/>
                <w:lang w:val="es-ES"/>
              </w:rPr>
              <w:t>00,000</w:t>
            </w:r>
          </w:p>
        </w:tc>
      </w:tr>
    </w:tbl>
    <w:p w14:paraId="553CB66D" w14:textId="77777777" w:rsidR="00272016" w:rsidRDefault="00272016" w:rsidP="00272016">
      <w:pPr>
        <w:pStyle w:val="ListParagraph"/>
        <w:spacing w:before="120" w:after="120" w:line="240" w:lineRule="auto"/>
        <w:ind w:left="360"/>
        <w:contextualSpacing w:val="0"/>
        <w:rPr>
          <w:rFonts w:ascii="Arial" w:hAnsi="Arial" w:cs="Arial"/>
          <w:b/>
          <w:lang w:val="es-ES"/>
        </w:rPr>
      </w:pPr>
    </w:p>
    <w:p w14:paraId="152F45DF" w14:textId="105E7EC5" w:rsidR="0095711B" w:rsidRPr="008A4F73" w:rsidRDefault="00944D7A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8A4F73">
        <w:rPr>
          <w:rFonts w:ascii="Arial" w:hAnsi="Arial" w:cs="Arial"/>
          <w:b/>
          <w:lang w:val="es-ES"/>
        </w:rPr>
        <w:t>Agencia Ejecutora y</w:t>
      </w:r>
      <w:r w:rsidR="009E20A5" w:rsidRPr="008A4F73">
        <w:rPr>
          <w:rFonts w:ascii="Arial" w:hAnsi="Arial" w:cs="Arial"/>
          <w:b/>
          <w:lang w:val="es-ES"/>
        </w:rPr>
        <w:t xml:space="preserve"> E</w:t>
      </w:r>
      <w:r w:rsidRPr="008A4F73">
        <w:rPr>
          <w:rFonts w:ascii="Arial" w:hAnsi="Arial" w:cs="Arial"/>
          <w:b/>
          <w:lang w:val="es-ES"/>
        </w:rPr>
        <w:t xml:space="preserve">structura de </w:t>
      </w:r>
      <w:r w:rsidR="00A139E6" w:rsidRPr="008A4F73">
        <w:rPr>
          <w:rFonts w:ascii="Arial" w:hAnsi="Arial" w:cs="Arial"/>
          <w:b/>
          <w:lang w:val="es-ES"/>
        </w:rPr>
        <w:t>ejecución</w:t>
      </w:r>
      <w:r w:rsidRPr="008A4F73">
        <w:rPr>
          <w:rFonts w:ascii="Arial" w:hAnsi="Arial" w:cs="Arial"/>
          <w:b/>
          <w:lang w:val="es-ES"/>
        </w:rPr>
        <w:t xml:space="preserve"> </w:t>
      </w:r>
    </w:p>
    <w:p w14:paraId="58EC42DA" w14:textId="402A1B31" w:rsidR="00143B16" w:rsidRPr="004C285B" w:rsidRDefault="00EF4537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 w:rsidRPr="006662F8">
        <w:rPr>
          <w:rFonts w:ascii="Arial" w:hAnsi="Arial" w:cs="Arial"/>
          <w:lang w:val="es-ES_tradnl"/>
        </w:rPr>
        <w:t xml:space="preserve">Esta </w:t>
      </w:r>
      <w:r w:rsidR="006B3B78" w:rsidRPr="006B3B78">
        <w:rPr>
          <w:rFonts w:ascii="Arial" w:hAnsi="Arial" w:cs="Arial"/>
          <w:lang w:val="es-ES_tradnl"/>
        </w:rPr>
        <w:t>CT es una iniciativa conjunta del Banco y España través de financiamiento FECASALC (Fondo Español), y que ha sido consensuada con el Ministerio de Medio Ambiente y Agua (</w:t>
      </w:r>
      <w:proofErr w:type="spellStart"/>
      <w:r w:rsidR="006B3B78" w:rsidRPr="006B3B78">
        <w:rPr>
          <w:rFonts w:ascii="Arial" w:hAnsi="Arial" w:cs="Arial"/>
          <w:lang w:val="es-ES_tradnl"/>
        </w:rPr>
        <w:t>MMAyA</w:t>
      </w:r>
      <w:proofErr w:type="spellEnd"/>
      <w:r w:rsidR="006B3B78" w:rsidRPr="006B3B78">
        <w:rPr>
          <w:rFonts w:ascii="Arial" w:hAnsi="Arial" w:cs="Arial"/>
          <w:lang w:val="es-ES_tradnl"/>
        </w:rPr>
        <w:t xml:space="preserve">) para apoyar y </w:t>
      </w:r>
      <w:proofErr w:type="spellStart"/>
      <w:r w:rsidR="006B3B78" w:rsidRPr="006B3B78">
        <w:rPr>
          <w:rFonts w:ascii="Arial" w:hAnsi="Arial" w:cs="Arial"/>
          <w:lang w:val="es-ES_tradnl"/>
        </w:rPr>
        <w:t>sostemer</w:t>
      </w:r>
      <w:proofErr w:type="spellEnd"/>
      <w:r w:rsidR="006B3B78" w:rsidRPr="006B3B78">
        <w:rPr>
          <w:rFonts w:ascii="Arial" w:hAnsi="Arial" w:cs="Arial"/>
          <w:lang w:val="es-ES_tradnl"/>
        </w:rPr>
        <w:t xml:space="preserve"> los resultados e impacto de la operación BO-G1002, así como apoyo a la ejecución y la preparación de futuras operaciones rurales en el país. El Banco ejecutará la TC a través de la División de Agua y Saneamiento (INE/WSA), bajo la supervisión de la Especialista Sectorial de WSA en Bolivia. Todas las actividades de contratación se llevarán a cabo acorde con las políticas y procedimientos del Banco. El Banco estará coordinando de manera </w:t>
      </w:r>
      <w:r w:rsidR="006B3B78" w:rsidRPr="006B3B78">
        <w:rPr>
          <w:rFonts w:ascii="Arial" w:hAnsi="Arial" w:cs="Arial"/>
          <w:lang w:val="es-ES_tradnl"/>
        </w:rPr>
        <w:lastRenderedPageBreak/>
        <w:t xml:space="preserve">estrecha las actividades previstas en la TC con los organismos del gobierno boliviano (Ministerio de Medio Ambiente y Agua, Viceministerio de Agua Potable y Saneamiento Básico y las Entidades Descentralizadas), Oficina Técnica de Cooperación (OTC) de AECID y con los Gobiernos Autónomos Municipales donde se han construido los baños ecológicos. El seguimiento de la ejecución de la CT será realizado a través de los siguientes mecanismos: (i) reuniones técnicas de trabajo entre el </w:t>
      </w:r>
      <w:proofErr w:type="spellStart"/>
      <w:r w:rsidR="006B3B78" w:rsidRPr="006B3B78">
        <w:rPr>
          <w:rFonts w:ascii="Arial" w:hAnsi="Arial" w:cs="Arial"/>
          <w:lang w:val="es-ES_tradnl"/>
        </w:rPr>
        <w:t>MMAyA</w:t>
      </w:r>
      <w:proofErr w:type="spellEnd"/>
      <w:r w:rsidR="006B3B78" w:rsidRPr="006B3B78">
        <w:rPr>
          <w:rFonts w:ascii="Arial" w:hAnsi="Arial" w:cs="Arial"/>
          <w:lang w:val="es-ES_tradnl"/>
        </w:rPr>
        <w:t>, el Banco y las firmas consultoras y consultores individuales; y (</w:t>
      </w:r>
      <w:proofErr w:type="spellStart"/>
      <w:r w:rsidR="006B3B78" w:rsidRPr="006B3B78">
        <w:rPr>
          <w:rFonts w:ascii="Arial" w:hAnsi="Arial" w:cs="Arial"/>
          <w:lang w:val="es-ES_tradnl"/>
        </w:rPr>
        <w:t>ii</w:t>
      </w:r>
      <w:proofErr w:type="spellEnd"/>
      <w:r w:rsidR="006B3B78" w:rsidRPr="006B3B78">
        <w:rPr>
          <w:rFonts w:ascii="Arial" w:hAnsi="Arial" w:cs="Arial"/>
          <w:lang w:val="es-ES_tradnl"/>
        </w:rPr>
        <w:t xml:space="preserve">) la revisión de </w:t>
      </w:r>
      <w:proofErr w:type="spellStart"/>
      <w:r w:rsidR="006B3B78" w:rsidRPr="006B3B78">
        <w:rPr>
          <w:rFonts w:ascii="Arial" w:hAnsi="Arial" w:cs="Arial"/>
          <w:lang w:val="es-ES_tradnl"/>
        </w:rPr>
        <w:t>MMAyA</w:t>
      </w:r>
      <w:proofErr w:type="spellEnd"/>
      <w:r w:rsidR="006B3B78" w:rsidRPr="006B3B78">
        <w:rPr>
          <w:rFonts w:ascii="Arial" w:hAnsi="Arial" w:cs="Arial"/>
          <w:lang w:val="es-ES_tradnl"/>
        </w:rPr>
        <w:t xml:space="preserve"> y el Banco de los informes técnicos a ser presentados por los responsables, y </w:t>
      </w:r>
      <w:r w:rsidR="000E0E86">
        <w:rPr>
          <w:rFonts w:ascii="Arial" w:hAnsi="Arial" w:cs="Arial"/>
          <w:lang w:val="es-ES_tradnl"/>
        </w:rPr>
        <w:br/>
      </w:r>
      <w:bookmarkStart w:id="1" w:name="_GoBack"/>
      <w:bookmarkEnd w:id="1"/>
      <w:r w:rsidR="006B3B78">
        <w:rPr>
          <w:rFonts w:ascii="Arial" w:hAnsi="Arial" w:cs="Arial"/>
          <w:lang w:val="es-ES_tradnl"/>
        </w:rPr>
        <w:t>(</w:t>
      </w:r>
      <w:proofErr w:type="spellStart"/>
      <w:r w:rsidR="006B3B78" w:rsidRPr="006B3B78">
        <w:rPr>
          <w:rFonts w:ascii="Arial" w:hAnsi="Arial" w:cs="Arial"/>
          <w:lang w:val="es-ES_tradnl"/>
        </w:rPr>
        <w:t>iii</w:t>
      </w:r>
      <w:proofErr w:type="spellEnd"/>
      <w:r w:rsidR="006B3B78" w:rsidRPr="006B3B78">
        <w:rPr>
          <w:rFonts w:ascii="Arial" w:hAnsi="Arial" w:cs="Arial"/>
          <w:lang w:val="es-ES_tradnl"/>
        </w:rPr>
        <w:t>) visitas de campo durante la ejecución de las consultorías. Toda vez que la CT será ejecutada por el Banco no se realizarán informes de evaluación intermedia a la misma</w:t>
      </w:r>
      <w:r w:rsidR="00921E6A" w:rsidRPr="008A4F73">
        <w:rPr>
          <w:rFonts w:ascii="Arial" w:hAnsi="Arial" w:cs="Arial"/>
          <w:lang w:val="es-ES_tradnl"/>
        </w:rPr>
        <w:t>.</w:t>
      </w:r>
    </w:p>
    <w:p w14:paraId="3CA59EDE" w14:textId="137507AB" w:rsidR="00C64215" w:rsidRPr="004C285B" w:rsidRDefault="006B3B78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 w:rsidRPr="006B3B78">
        <w:rPr>
          <w:rFonts w:ascii="Arial" w:hAnsi="Arial" w:cs="Arial"/>
          <w:lang w:val="es-ES_tradnl"/>
        </w:rPr>
        <w:t>El Banco contratará los servicios de consultores individuales, firmas consultoras y servicios diferentes de consultoría de conformidad con las políticas y procedimientos vigentes en el Banco. La supervisión y monitoreo de las consultorías estará a cargo de la Representación del BID en Bolivia, a través de la División de Agua y Saneamiento (WSA/CBO). Esta coordinación garantizará que la CT se ejecute en tiempo y materia. Todos los productos de la CT serán objeto de revisión de calidad por parte del Banco y deberán contar con la aprobación de los beneficiarios, quien designará una contraparte técnica para la coordinación y seguimiento de todos los productos de la CT.</w:t>
      </w:r>
    </w:p>
    <w:p w14:paraId="38CC804B" w14:textId="77777777" w:rsidR="0095711B" w:rsidRPr="00A523B2" w:rsidRDefault="00D973D3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Riesgos importantes.</w:t>
      </w:r>
      <w:r w:rsidR="00086CFF" w:rsidRPr="00A523B2">
        <w:rPr>
          <w:rFonts w:ascii="Arial" w:hAnsi="Arial" w:cs="Arial"/>
          <w:b/>
          <w:lang w:val="es-ES"/>
        </w:rPr>
        <w:t xml:space="preserve"> </w:t>
      </w:r>
    </w:p>
    <w:p w14:paraId="1714B225" w14:textId="64D1E019" w:rsidR="00F72899" w:rsidRPr="004C285B" w:rsidRDefault="00D973D3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 w:rsidRPr="006662F8">
        <w:rPr>
          <w:rFonts w:ascii="Arial" w:hAnsi="Arial" w:cs="Arial"/>
          <w:lang w:val="es-ES_tradnl"/>
        </w:rPr>
        <w:t>E</w:t>
      </w:r>
      <w:r w:rsidR="006B3B78">
        <w:rPr>
          <w:rFonts w:ascii="Arial" w:hAnsi="Arial" w:cs="Arial"/>
          <w:lang w:val="es-ES_tradnl"/>
        </w:rPr>
        <w:t>xiste</w:t>
      </w:r>
      <w:r w:rsidRPr="006662F8">
        <w:rPr>
          <w:rFonts w:ascii="Arial" w:hAnsi="Arial" w:cs="Arial"/>
          <w:lang w:val="es-ES_tradnl"/>
        </w:rPr>
        <w:t xml:space="preserve"> </w:t>
      </w:r>
      <w:r w:rsidR="006B3B78" w:rsidRPr="006B3B78">
        <w:rPr>
          <w:rFonts w:ascii="Arial" w:hAnsi="Arial" w:cs="Arial"/>
          <w:lang w:val="es-ES_tradnl"/>
        </w:rPr>
        <w:t xml:space="preserve">un riesgo en el impacto del plan de refuerzo ya que el uso efectivo de los BES depende de factores culturales. La CT incluirá enfoque inclusivo y participativo para asegurar el involucramiento de los usuarios de los </w:t>
      </w:r>
      <w:proofErr w:type="gramStart"/>
      <w:r w:rsidR="006B3B78" w:rsidRPr="006B3B78">
        <w:rPr>
          <w:rFonts w:ascii="Arial" w:hAnsi="Arial" w:cs="Arial"/>
          <w:lang w:val="es-ES_tradnl"/>
        </w:rPr>
        <w:t>BES</w:t>
      </w:r>
      <w:proofErr w:type="gramEnd"/>
      <w:r w:rsidR="006B3B78" w:rsidRPr="006B3B78">
        <w:rPr>
          <w:rFonts w:ascii="Arial" w:hAnsi="Arial" w:cs="Arial"/>
          <w:lang w:val="es-ES_tradnl"/>
        </w:rPr>
        <w:t xml:space="preserve"> así como de municipios y sector, para obtener resultados positivos y una estrategia valiosa para el sector. Se aplicarán las lecciones aprendidas en el programa BO-G1002 y los lineamientos de la Estrategia Nacional de Agua y Saneamiento Rural (ENRAS), buscando el asesoramiento de especialistas nacionales y regionales sobre la temática</w:t>
      </w:r>
      <w:r w:rsidR="009F1B59">
        <w:rPr>
          <w:rFonts w:ascii="Arial" w:hAnsi="Arial" w:cs="Arial"/>
          <w:lang w:val="es-ES_tradnl"/>
        </w:rPr>
        <w:t>.</w:t>
      </w:r>
    </w:p>
    <w:p w14:paraId="1002EEB1" w14:textId="77777777" w:rsidR="0095711B" w:rsidRPr="00F36890" w:rsidRDefault="000C16F9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_tradnl"/>
        </w:rPr>
      </w:pPr>
      <w:r w:rsidRPr="00F36890">
        <w:rPr>
          <w:rFonts w:ascii="Arial" w:hAnsi="Arial" w:cs="Arial"/>
          <w:b/>
          <w:lang w:val="es-ES_tradnl"/>
        </w:rPr>
        <w:t xml:space="preserve">Salvaguardias </w:t>
      </w:r>
      <w:r w:rsidR="00055EF1" w:rsidRPr="00F36890">
        <w:rPr>
          <w:rFonts w:ascii="Arial" w:hAnsi="Arial" w:cs="Arial"/>
          <w:b/>
          <w:lang w:val="es-ES_tradnl"/>
        </w:rPr>
        <w:t>a</w:t>
      </w:r>
      <w:r w:rsidRPr="00F36890">
        <w:rPr>
          <w:rFonts w:ascii="Arial" w:hAnsi="Arial" w:cs="Arial"/>
          <w:b/>
          <w:lang w:val="es-ES_tradnl"/>
        </w:rPr>
        <w:t>mbientales</w:t>
      </w:r>
      <w:r w:rsidR="00D973D3" w:rsidRPr="00F36890">
        <w:rPr>
          <w:rFonts w:ascii="Arial" w:hAnsi="Arial" w:cs="Arial"/>
          <w:b/>
          <w:lang w:val="es-ES_tradnl"/>
        </w:rPr>
        <w:t>.</w:t>
      </w:r>
    </w:p>
    <w:p w14:paraId="5B8BA715" w14:textId="77777777" w:rsidR="00D973D3" w:rsidRPr="00F36890" w:rsidRDefault="00D973D3" w:rsidP="004C285B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</w:rPr>
      </w:pPr>
      <w:r w:rsidRPr="006662F8">
        <w:rPr>
          <w:rFonts w:ascii="Arial" w:hAnsi="Arial" w:cs="Arial"/>
          <w:lang w:val="es-ES_tradnl"/>
        </w:rPr>
        <w:t xml:space="preserve">Por su naturaleza, los componentes financiados en esta operación no tendrán impactos ambientales o sociales negativos. </w:t>
      </w:r>
      <w:proofErr w:type="spellStart"/>
      <w:r w:rsidRPr="00F36890">
        <w:rPr>
          <w:rFonts w:ascii="Arial" w:hAnsi="Arial" w:cs="Arial"/>
        </w:rPr>
        <w:t>Esta</w:t>
      </w:r>
      <w:proofErr w:type="spellEnd"/>
      <w:r w:rsidRPr="00F36890">
        <w:rPr>
          <w:rFonts w:ascii="Arial" w:hAnsi="Arial" w:cs="Arial"/>
        </w:rPr>
        <w:t xml:space="preserve"> CT </w:t>
      </w:r>
      <w:proofErr w:type="spellStart"/>
      <w:r w:rsidRPr="00F36890">
        <w:rPr>
          <w:rFonts w:ascii="Arial" w:hAnsi="Arial" w:cs="Arial"/>
        </w:rPr>
        <w:t>recibe</w:t>
      </w:r>
      <w:proofErr w:type="spellEnd"/>
      <w:r w:rsidRPr="00F36890">
        <w:rPr>
          <w:rFonts w:ascii="Arial" w:hAnsi="Arial" w:cs="Arial"/>
        </w:rPr>
        <w:t xml:space="preserve"> la </w:t>
      </w:r>
      <w:proofErr w:type="spellStart"/>
      <w:r w:rsidRPr="00F36890">
        <w:rPr>
          <w:rFonts w:ascii="Arial" w:hAnsi="Arial" w:cs="Arial"/>
        </w:rPr>
        <w:t>clasificación</w:t>
      </w:r>
      <w:proofErr w:type="spellEnd"/>
      <w:r w:rsidRPr="00F36890">
        <w:rPr>
          <w:rFonts w:ascii="Arial" w:hAnsi="Arial" w:cs="Arial"/>
        </w:rPr>
        <w:t xml:space="preserve"> “C”.</w:t>
      </w:r>
    </w:p>
    <w:p w14:paraId="1795C5F8" w14:textId="77777777" w:rsidR="00466C7E" w:rsidRPr="00A523B2" w:rsidRDefault="00466C7E" w:rsidP="00F97E10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lang w:val="es-ES"/>
        </w:rPr>
      </w:pPr>
    </w:p>
    <w:sectPr w:rsidR="00466C7E" w:rsidRPr="00A523B2" w:rsidSect="001735E1">
      <w:headerReference w:type="default" r:id="rId14"/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902A5" w14:textId="77777777" w:rsidR="00477C64" w:rsidRDefault="00477C64" w:rsidP="0095711B">
      <w:pPr>
        <w:spacing w:after="0" w:line="240" w:lineRule="auto"/>
      </w:pPr>
      <w:r>
        <w:separator/>
      </w:r>
    </w:p>
  </w:endnote>
  <w:endnote w:type="continuationSeparator" w:id="0">
    <w:p w14:paraId="0D5ABA35" w14:textId="77777777" w:rsidR="00477C64" w:rsidRDefault="00477C64" w:rsidP="0095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Book">
    <w:altName w:val="Calibri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C7E08" w14:textId="77777777" w:rsidR="009F3CA2" w:rsidRDefault="009F3CA2">
    <w:pPr>
      <w:pStyle w:val="Footer"/>
      <w:jc w:val="center"/>
    </w:pPr>
  </w:p>
  <w:p w14:paraId="272BDC0A" w14:textId="77777777" w:rsidR="009F3CA2" w:rsidRDefault="009F3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860E9" w14:textId="77777777" w:rsidR="00477C64" w:rsidRDefault="00477C64" w:rsidP="0095711B">
      <w:pPr>
        <w:spacing w:after="0" w:line="240" w:lineRule="auto"/>
      </w:pPr>
      <w:r>
        <w:separator/>
      </w:r>
    </w:p>
  </w:footnote>
  <w:footnote w:type="continuationSeparator" w:id="0">
    <w:p w14:paraId="2F90B01E" w14:textId="77777777" w:rsidR="00477C64" w:rsidRDefault="00477C64" w:rsidP="0095711B">
      <w:pPr>
        <w:spacing w:after="0" w:line="240" w:lineRule="auto"/>
      </w:pPr>
      <w:r>
        <w:continuationSeparator/>
      </w:r>
    </w:p>
  </w:footnote>
  <w:footnote w:id="1">
    <w:p w14:paraId="7039AFAE" w14:textId="320458B6" w:rsidR="00CC1251" w:rsidRPr="004C285B" w:rsidRDefault="00CC1251" w:rsidP="004C285B">
      <w:pPr>
        <w:pStyle w:val="FootnoteText"/>
        <w:ind w:left="270" w:hanging="270"/>
        <w:rPr>
          <w:rFonts w:ascii="Arial" w:hAnsi="Arial" w:cs="Arial"/>
          <w:sz w:val="18"/>
          <w:szCs w:val="18"/>
          <w:lang w:val="es-ES"/>
        </w:rPr>
      </w:pPr>
      <w:r w:rsidRPr="004C285B">
        <w:rPr>
          <w:rStyle w:val="FootnoteReference"/>
          <w:rFonts w:ascii="Arial" w:hAnsi="Arial" w:cs="Arial"/>
          <w:sz w:val="18"/>
          <w:szCs w:val="18"/>
        </w:rPr>
        <w:footnoteRef/>
      </w:r>
      <w:r w:rsidRPr="004C285B">
        <w:rPr>
          <w:rFonts w:ascii="Arial" w:hAnsi="Arial" w:cs="Arial"/>
          <w:sz w:val="18"/>
          <w:szCs w:val="18"/>
          <w:lang w:val="es-ES"/>
        </w:rPr>
        <w:t xml:space="preserve"> </w:t>
      </w:r>
      <w:r w:rsidR="00AA666B">
        <w:rPr>
          <w:rFonts w:ascii="Arial" w:hAnsi="Arial" w:cs="Arial"/>
          <w:sz w:val="18"/>
          <w:szCs w:val="18"/>
          <w:lang w:val="es-ES"/>
        </w:rPr>
        <w:tab/>
      </w:r>
      <w:r w:rsidRPr="004C285B">
        <w:rPr>
          <w:rFonts w:ascii="Arial" w:hAnsi="Arial" w:cs="Arial"/>
          <w:sz w:val="18"/>
          <w:szCs w:val="18"/>
          <w:lang w:val="es-ES"/>
        </w:rPr>
        <w:t>Datos Viceministerio de Agua Potable y Saneamiento básico. Marzo 2018.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3588862"/>
      <w:docPartObj>
        <w:docPartGallery w:val="Page Numbers (Top of Page)"/>
        <w:docPartUnique/>
      </w:docPartObj>
    </w:sdtPr>
    <w:sdtEndPr>
      <w:rPr>
        <w:rFonts w:ascii="Gotham Book" w:hAnsi="Gotham Book"/>
        <w:noProof/>
        <w:sz w:val="18"/>
        <w:szCs w:val="18"/>
      </w:rPr>
    </w:sdtEndPr>
    <w:sdtContent>
      <w:p w14:paraId="4DAA7E03" w14:textId="778CF848" w:rsidR="001735E1" w:rsidRPr="001735E1" w:rsidRDefault="001735E1">
        <w:pPr>
          <w:pStyle w:val="Header"/>
          <w:jc w:val="center"/>
          <w:rPr>
            <w:rFonts w:ascii="Gotham Book" w:hAnsi="Gotham Book"/>
            <w:sz w:val="18"/>
            <w:szCs w:val="18"/>
          </w:rPr>
        </w:pPr>
        <w:r w:rsidRPr="001735E1">
          <w:rPr>
            <w:rFonts w:ascii="Gotham Book" w:hAnsi="Gotham Book"/>
            <w:sz w:val="18"/>
            <w:szCs w:val="18"/>
          </w:rPr>
          <w:t>- </w:t>
        </w:r>
        <w:r w:rsidRPr="001735E1">
          <w:rPr>
            <w:rFonts w:ascii="Gotham Book" w:hAnsi="Gotham Book"/>
            <w:sz w:val="18"/>
            <w:szCs w:val="18"/>
          </w:rPr>
          <w:fldChar w:fldCharType="begin"/>
        </w:r>
        <w:r w:rsidRPr="001735E1">
          <w:rPr>
            <w:rFonts w:ascii="Gotham Book" w:hAnsi="Gotham Book"/>
            <w:sz w:val="18"/>
            <w:szCs w:val="18"/>
          </w:rPr>
          <w:instrText xml:space="preserve"> PAGE   \* MERGEFORMAT </w:instrText>
        </w:r>
        <w:r w:rsidRPr="001735E1">
          <w:rPr>
            <w:rFonts w:ascii="Gotham Book" w:hAnsi="Gotham Book"/>
            <w:sz w:val="18"/>
            <w:szCs w:val="18"/>
          </w:rPr>
          <w:fldChar w:fldCharType="separate"/>
        </w:r>
        <w:r w:rsidR="001D5341">
          <w:rPr>
            <w:rFonts w:ascii="Gotham Book" w:hAnsi="Gotham Book"/>
            <w:noProof/>
            <w:sz w:val="18"/>
            <w:szCs w:val="18"/>
          </w:rPr>
          <w:t>4</w:t>
        </w:r>
        <w:r w:rsidRPr="001735E1">
          <w:rPr>
            <w:rFonts w:ascii="Gotham Book" w:hAnsi="Gotham Book"/>
            <w:noProof/>
            <w:sz w:val="18"/>
            <w:szCs w:val="18"/>
          </w:rPr>
          <w:fldChar w:fldCharType="end"/>
        </w:r>
        <w:r w:rsidRPr="001735E1">
          <w:rPr>
            <w:rFonts w:ascii="Gotham Book" w:hAnsi="Gotham Book"/>
            <w:noProof/>
            <w:sz w:val="18"/>
            <w:szCs w:val="18"/>
          </w:rPr>
          <w:t> -</w:t>
        </w:r>
      </w:p>
    </w:sdtContent>
  </w:sdt>
  <w:p w14:paraId="20B107C4" w14:textId="77777777" w:rsidR="001735E1" w:rsidRDefault="001735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64E0"/>
    <w:multiLevelType w:val="hybridMultilevel"/>
    <w:tmpl w:val="48FE8D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65187"/>
    <w:multiLevelType w:val="hybridMultilevel"/>
    <w:tmpl w:val="BE2897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665631"/>
    <w:multiLevelType w:val="hybridMultilevel"/>
    <w:tmpl w:val="BC78F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A304B"/>
    <w:multiLevelType w:val="hybridMultilevel"/>
    <w:tmpl w:val="E31C5BF8"/>
    <w:lvl w:ilvl="0" w:tplc="5BF663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A0E03"/>
    <w:multiLevelType w:val="hybridMultilevel"/>
    <w:tmpl w:val="B394B99C"/>
    <w:lvl w:ilvl="0" w:tplc="7526C6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2C2F5421"/>
    <w:multiLevelType w:val="hybridMultilevel"/>
    <w:tmpl w:val="0B145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F7E4E"/>
    <w:multiLevelType w:val="hybridMultilevel"/>
    <w:tmpl w:val="B07E61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A7257"/>
    <w:multiLevelType w:val="hybridMultilevel"/>
    <w:tmpl w:val="8DFA4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65662"/>
    <w:multiLevelType w:val="hybridMultilevel"/>
    <w:tmpl w:val="493041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3278E7"/>
    <w:multiLevelType w:val="multilevel"/>
    <w:tmpl w:val="175C647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lang w:val="en-US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6" w15:restartNumberingAfterBreak="0">
    <w:nsid w:val="5C0747DB"/>
    <w:multiLevelType w:val="hybridMultilevel"/>
    <w:tmpl w:val="E130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B0E83"/>
    <w:multiLevelType w:val="hybridMultilevel"/>
    <w:tmpl w:val="72CEE1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9"/>
  </w:num>
  <w:num w:numId="5">
    <w:abstractNumId w:val="18"/>
  </w:num>
  <w:num w:numId="6">
    <w:abstractNumId w:val="5"/>
  </w:num>
  <w:num w:numId="7">
    <w:abstractNumId w:val="6"/>
  </w:num>
  <w:num w:numId="8">
    <w:abstractNumId w:val="8"/>
  </w:num>
  <w:num w:numId="9">
    <w:abstractNumId w:val="16"/>
  </w:num>
  <w:num w:numId="10">
    <w:abstractNumId w:val="17"/>
  </w:num>
  <w:num w:numId="11">
    <w:abstractNumId w:val="2"/>
  </w:num>
  <w:num w:numId="12">
    <w:abstractNumId w:val="7"/>
  </w:num>
  <w:num w:numId="13">
    <w:abstractNumId w:val="14"/>
  </w:num>
  <w:num w:numId="14">
    <w:abstractNumId w:val="1"/>
  </w:num>
  <w:num w:numId="15">
    <w:abstractNumId w:val="0"/>
  </w:num>
  <w:num w:numId="16">
    <w:abstractNumId w:val="4"/>
  </w:num>
  <w:num w:numId="17">
    <w:abstractNumId w:val="12"/>
  </w:num>
  <w:num w:numId="18">
    <w:abstractNumId w:val="15"/>
  </w:num>
  <w:num w:numId="19">
    <w:abstractNumId w:val="15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11B"/>
    <w:rsid w:val="000030A9"/>
    <w:rsid w:val="0000640B"/>
    <w:rsid w:val="00011A98"/>
    <w:rsid w:val="00017B41"/>
    <w:rsid w:val="000259D8"/>
    <w:rsid w:val="000269F9"/>
    <w:rsid w:val="00030E6E"/>
    <w:rsid w:val="00031924"/>
    <w:rsid w:val="0003569E"/>
    <w:rsid w:val="00036384"/>
    <w:rsid w:val="0004551F"/>
    <w:rsid w:val="00047AA5"/>
    <w:rsid w:val="00054C70"/>
    <w:rsid w:val="00055EF1"/>
    <w:rsid w:val="00057874"/>
    <w:rsid w:val="00060BAF"/>
    <w:rsid w:val="000610F9"/>
    <w:rsid w:val="00072785"/>
    <w:rsid w:val="00073A2E"/>
    <w:rsid w:val="00075F42"/>
    <w:rsid w:val="00076214"/>
    <w:rsid w:val="00086CFF"/>
    <w:rsid w:val="00091EA5"/>
    <w:rsid w:val="000934B5"/>
    <w:rsid w:val="000B2608"/>
    <w:rsid w:val="000B380B"/>
    <w:rsid w:val="000C0A4D"/>
    <w:rsid w:val="000C16F9"/>
    <w:rsid w:val="000C4B72"/>
    <w:rsid w:val="000D667C"/>
    <w:rsid w:val="000D667D"/>
    <w:rsid w:val="000D746B"/>
    <w:rsid w:val="000E0E86"/>
    <w:rsid w:val="000F0850"/>
    <w:rsid w:val="000F39D2"/>
    <w:rsid w:val="000F3AB7"/>
    <w:rsid w:val="00102DAE"/>
    <w:rsid w:val="001220CE"/>
    <w:rsid w:val="00124040"/>
    <w:rsid w:val="001316E2"/>
    <w:rsid w:val="00143B16"/>
    <w:rsid w:val="00146C99"/>
    <w:rsid w:val="00150FA9"/>
    <w:rsid w:val="00152D03"/>
    <w:rsid w:val="00152D07"/>
    <w:rsid w:val="00154410"/>
    <w:rsid w:val="001571C9"/>
    <w:rsid w:val="00161ECE"/>
    <w:rsid w:val="001620BE"/>
    <w:rsid w:val="00171092"/>
    <w:rsid w:val="0017216B"/>
    <w:rsid w:val="001735E1"/>
    <w:rsid w:val="00175C1E"/>
    <w:rsid w:val="0018558B"/>
    <w:rsid w:val="00190E17"/>
    <w:rsid w:val="00192FDF"/>
    <w:rsid w:val="001A0DC6"/>
    <w:rsid w:val="001A2A00"/>
    <w:rsid w:val="001A6CCB"/>
    <w:rsid w:val="001B1ACD"/>
    <w:rsid w:val="001C1097"/>
    <w:rsid w:val="001C1143"/>
    <w:rsid w:val="001C18FD"/>
    <w:rsid w:val="001C4993"/>
    <w:rsid w:val="001D2235"/>
    <w:rsid w:val="001D38DF"/>
    <w:rsid w:val="001D3ECA"/>
    <w:rsid w:val="001D5341"/>
    <w:rsid w:val="001D71E2"/>
    <w:rsid w:val="001E2E17"/>
    <w:rsid w:val="001E7981"/>
    <w:rsid w:val="001F41E2"/>
    <w:rsid w:val="001F7559"/>
    <w:rsid w:val="0020069B"/>
    <w:rsid w:val="00200DBC"/>
    <w:rsid w:val="00210317"/>
    <w:rsid w:val="00214405"/>
    <w:rsid w:val="00214E2B"/>
    <w:rsid w:val="002150E9"/>
    <w:rsid w:val="00216209"/>
    <w:rsid w:val="002202DC"/>
    <w:rsid w:val="00225B5A"/>
    <w:rsid w:val="00231773"/>
    <w:rsid w:val="0023182E"/>
    <w:rsid w:val="0023302F"/>
    <w:rsid w:val="00236249"/>
    <w:rsid w:val="002422F2"/>
    <w:rsid w:val="00244A9D"/>
    <w:rsid w:val="00255693"/>
    <w:rsid w:val="0026239C"/>
    <w:rsid w:val="00272016"/>
    <w:rsid w:val="00274A3E"/>
    <w:rsid w:val="002800D0"/>
    <w:rsid w:val="00280647"/>
    <w:rsid w:val="0028127C"/>
    <w:rsid w:val="00283316"/>
    <w:rsid w:val="00285F2F"/>
    <w:rsid w:val="00292C38"/>
    <w:rsid w:val="00294D35"/>
    <w:rsid w:val="002A47AF"/>
    <w:rsid w:val="002A5956"/>
    <w:rsid w:val="002B0A1C"/>
    <w:rsid w:val="002D2060"/>
    <w:rsid w:val="002D4B50"/>
    <w:rsid w:val="002D58FD"/>
    <w:rsid w:val="002D6716"/>
    <w:rsid w:val="002E10D1"/>
    <w:rsid w:val="002F312B"/>
    <w:rsid w:val="00302426"/>
    <w:rsid w:val="003045CF"/>
    <w:rsid w:val="00314453"/>
    <w:rsid w:val="00320026"/>
    <w:rsid w:val="00335B4C"/>
    <w:rsid w:val="00340BC1"/>
    <w:rsid w:val="00346E79"/>
    <w:rsid w:val="00347342"/>
    <w:rsid w:val="00355449"/>
    <w:rsid w:val="003565A0"/>
    <w:rsid w:val="00361C38"/>
    <w:rsid w:val="003622D9"/>
    <w:rsid w:val="003706EE"/>
    <w:rsid w:val="003800B6"/>
    <w:rsid w:val="003835F0"/>
    <w:rsid w:val="00394188"/>
    <w:rsid w:val="00395A99"/>
    <w:rsid w:val="003B6701"/>
    <w:rsid w:val="003C1ECC"/>
    <w:rsid w:val="003C6B78"/>
    <w:rsid w:val="003D2892"/>
    <w:rsid w:val="003D3C39"/>
    <w:rsid w:val="003D5430"/>
    <w:rsid w:val="003D609D"/>
    <w:rsid w:val="003D779D"/>
    <w:rsid w:val="003E60B1"/>
    <w:rsid w:val="003F461E"/>
    <w:rsid w:val="003F5F31"/>
    <w:rsid w:val="0040010C"/>
    <w:rsid w:val="00416432"/>
    <w:rsid w:val="00417FB9"/>
    <w:rsid w:val="0042231F"/>
    <w:rsid w:val="00425B6C"/>
    <w:rsid w:val="004311D4"/>
    <w:rsid w:val="00433246"/>
    <w:rsid w:val="0045439A"/>
    <w:rsid w:val="00456C62"/>
    <w:rsid w:val="00457919"/>
    <w:rsid w:val="00464771"/>
    <w:rsid w:val="00465235"/>
    <w:rsid w:val="00466C7E"/>
    <w:rsid w:val="00474AA1"/>
    <w:rsid w:val="00477C64"/>
    <w:rsid w:val="00482240"/>
    <w:rsid w:val="00497871"/>
    <w:rsid w:val="004A0872"/>
    <w:rsid w:val="004A350E"/>
    <w:rsid w:val="004B159A"/>
    <w:rsid w:val="004B3B96"/>
    <w:rsid w:val="004B530B"/>
    <w:rsid w:val="004B5E47"/>
    <w:rsid w:val="004B6818"/>
    <w:rsid w:val="004C285B"/>
    <w:rsid w:val="004C3DFD"/>
    <w:rsid w:val="004C4CCA"/>
    <w:rsid w:val="004C55BE"/>
    <w:rsid w:val="004D18F9"/>
    <w:rsid w:val="004D3BAA"/>
    <w:rsid w:val="004D442A"/>
    <w:rsid w:val="004D5823"/>
    <w:rsid w:val="004D7049"/>
    <w:rsid w:val="004E22A0"/>
    <w:rsid w:val="004F0A30"/>
    <w:rsid w:val="004F1B55"/>
    <w:rsid w:val="004F386F"/>
    <w:rsid w:val="0050104A"/>
    <w:rsid w:val="00512024"/>
    <w:rsid w:val="005140D4"/>
    <w:rsid w:val="00520F58"/>
    <w:rsid w:val="00526113"/>
    <w:rsid w:val="00527A3E"/>
    <w:rsid w:val="00531E51"/>
    <w:rsid w:val="005364CE"/>
    <w:rsid w:val="00544613"/>
    <w:rsid w:val="005530D3"/>
    <w:rsid w:val="0056178B"/>
    <w:rsid w:val="00563B1D"/>
    <w:rsid w:val="00571E4A"/>
    <w:rsid w:val="00573D0A"/>
    <w:rsid w:val="00574388"/>
    <w:rsid w:val="0058137A"/>
    <w:rsid w:val="00581741"/>
    <w:rsid w:val="005833C9"/>
    <w:rsid w:val="00590599"/>
    <w:rsid w:val="0059362E"/>
    <w:rsid w:val="005970F9"/>
    <w:rsid w:val="005A0817"/>
    <w:rsid w:val="005A1056"/>
    <w:rsid w:val="005A4D0B"/>
    <w:rsid w:val="005A534E"/>
    <w:rsid w:val="005A72F2"/>
    <w:rsid w:val="005B7F3F"/>
    <w:rsid w:val="005C1406"/>
    <w:rsid w:val="005C5000"/>
    <w:rsid w:val="005C59EC"/>
    <w:rsid w:val="005D092B"/>
    <w:rsid w:val="005D330B"/>
    <w:rsid w:val="005D3BF8"/>
    <w:rsid w:val="005D6D56"/>
    <w:rsid w:val="005D7BE9"/>
    <w:rsid w:val="005E1DD4"/>
    <w:rsid w:val="005E3241"/>
    <w:rsid w:val="005E718A"/>
    <w:rsid w:val="00605FAF"/>
    <w:rsid w:val="00612406"/>
    <w:rsid w:val="0061768B"/>
    <w:rsid w:val="0062137A"/>
    <w:rsid w:val="006233BF"/>
    <w:rsid w:val="00623A40"/>
    <w:rsid w:val="0062638D"/>
    <w:rsid w:val="0062725A"/>
    <w:rsid w:val="00641ED4"/>
    <w:rsid w:val="00645BD7"/>
    <w:rsid w:val="006462B2"/>
    <w:rsid w:val="006568F2"/>
    <w:rsid w:val="006619C6"/>
    <w:rsid w:val="00661A53"/>
    <w:rsid w:val="006662F8"/>
    <w:rsid w:val="00672421"/>
    <w:rsid w:val="006746BF"/>
    <w:rsid w:val="00675E7A"/>
    <w:rsid w:val="0068447B"/>
    <w:rsid w:val="006903D4"/>
    <w:rsid w:val="00696271"/>
    <w:rsid w:val="00696635"/>
    <w:rsid w:val="006A1798"/>
    <w:rsid w:val="006B1E3C"/>
    <w:rsid w:val="006B22DF"/>
    <w:rsid w:val="006B3B78"/>
    <w:rsid w:val="006B5380"/>
    <w:rsid w:val="006C148C"/>
    <w:rsid w:val="006C6059"/>
    <w:rsid w:val="006D430C"/>
    <w:rsid w:val="006F334A"/>
    <w:rsid w:val="006F5F09"/>
    <w:rsid w:val="00702A56"/>
    <w:rsid w:val="00714105"/>
    <w:rsid w:val="00725899"/>
    <w:rsid w:val="0073413D"/>
    <w:rsid w:val="00740BC7"/>
    <w:rsid w:val="007445B3"/>
    <w:rsid w:val="00746260"/>
    <w:rsid w:val="0075216A"/>
    <w:rsid w:val="0075418F"/>
    <w:rsid w:val="007677F7"/>
    <w:rsid w:val="00777904"/>
    <w:rsid w:val="007850CF"/>
    <w:rsid w:val="00791AFD"/>
    <w:rsid w:val="007A0A7A"/>
    <w:rsid w:val="007A11D9"/>
    <w:rsid w:val="007A2114"/>
    <w:rsid w:val="007A5C5E"/>
    <w:rsid w:val="007B0420"/>
    <w:rsid w:val="007B28E7"/>
    <w:rsid w:val="007B500B"/>
    <w:rsid w:val="007B6B61"/>
    <w:rsid w:val="007C3374"/>
    <w:rsid w:val="00801D9C"/>
    <w:rsid w:val="00804B1B"/>
    <w:rsid w:val="008052A0"/>
    <w:rsid w:val="00807C07"/>
    <w:rsid w:val="00807EEE"/>
    <w:rsid w:val="00820EF3"/>
    <w:rsid w:val="00823F75"/>
    <w:rsid w:val="00833C97"/>
    <w:rsid w:val="00841608"/>
    <w:rsid w:val="00847603"/>
    <w:rsid w:val="008533D0"/>
    <w:rsid w:val="00855565"/>
    <w:rsid w:val="00861BC9"/>
    <w:rsid w:val="00863BE3"/>
    <w:rsid w:val="00865A6F"/>
    <w:rsid w:val="008668C5"/>
    <w:rsid w:val="0087190C"/>
    <w:rsid w:val="008739E3"/>
    <w:rsid w:val="008813B9"/>
    <w:rsid w:val="008902BA"/>
    <w:rsid w:val="00890618"/>
    <w:rsid w:val="008A4F73"/>
    <w:rsid w:val="008B6115"/>
    <w:rsid w:val="008B6BE3"/>
    <w:rsid w:val="008D3659"/>
    <w:rsid w:val="008E0904"/>
    <w:rsid w:val="008E42C6"/>
    <w:rsid w:val="008E69A2"/>
    <w:rsid w:val="00905B43"/>
    <w:rsid w:val="0091508A"/>
    <w:rsid w:val="00915206"/>
    <w:rsid w:val="00921E6A"/>
    <w:rsid w:val="00925C27"/>
    <w:rsid w:val="00926C41"/>
    <w:rsid w:val="00932385"/>
    <w:rsid w:val="00933A84"/>
    <w:rsid w:val="0093728D"/>
    <w:rsid w:val="00944D7A"/>
    <w:rsid w:val="00946AC4"/>
    <w:rsid w:val="0095122E"/>
    <w:rsid w:val="00951E34"/>
    <w:rsid w:val="00953879"/>
    <w:rsid w:val="0095711B"/>
    <w:rsid w:val="009678B0"/>
    <w:rsid w:val="00975B17"/>
    <w:rsid w:val="00984848"/>
    <w:rsid w:val="00994FB2"/>
    <w:rsid w:val="00995F48"/>
    <w:rsid w:val="009971C1"/>
    <w:rsid w:val="009A70EA"/>
    <w:rsid w:val="009C27EE"/>
    <w:rsid w:val="009C3C35"/>
    <w:rsid w:val="009C5C06"/>
    <w:rsid w:val="009D02A6"/>
    <w:rsid w:val="009E0A02"/>
    <w:rsid w:val="009E20A5"/>
    <w:rsid w:val="009F0BC7"/>
    <w:rsid w:val="009F1B59"/>
    <w:rsid w:val="009F33FF"/>
    <w:rsid w:val="009F3CA2"/>
    <w:rsid w:val="009F6E54"/>
    <w:rsid w:val="00A02E6B"/>
    <w:rsid w:val="00A03080"/>
    <w:rsid w:val="00A067E6"/>
    <w:rsid w:val="00A06800"/>
    <w:rsid w:val="00A10CD5"/>
    <w:rsid w:val="00A12C27"/>
    <w:rsid w:val="00A139E6"/>
    <w:rsid w:val="00A13EE1"/>
    <w:rsid w:val="00A20379"/>
    <w:rsid w:val="00A20D68"/>
    <w:rsid w:val="00A2474F"/>
    <w:rsid w:val="00A32EEA"/>
    <w:rsid w:val="00A357F7"/>
    <w:rsid w:val="00A37C9C"/>
    <w:rsid w:val="00A452EA"/>
    <w:rsid w:val="00A476FB"/>
    <w:rsid w:val="00A523B2"/>
    <w:rsid w:val="00A57185"/>
    <w:rsid w:val="00A60FCB"/>
    <w:rsid w:val="00A61EC2"/>
    <w:rsid w:val="00A73F26"/>
    <w:rsid w:val="00A876E7"/>
    <w:rsid w:val="00A87F1C"/>
    <w:rsid w:val="00A912EA"/>
    <w:rsid w:val="00A96B5C"/>
    <w:rsid w:val="00A9761C"/>
    <w:rsid w:val="00AA666B"/>
    <w:rsid w:val="00AA752A"/>
    <w:rsid w:val="00AA7ADB"/>
    <w:rsid w:val="00AC081B"/>
    <w:rsid w:val="00AC3943"/>
    <w:rsid w:val="00AC404C"/>
    <w:rsid w:val="00AD3653"/>
    <w:rsid w:val="00AD7AF7"/>
    <w:rsid w:val="00AF2F55"/>
    <w:rsid w:val="00AF5C75"/>
    <w:rsid w:val="00B01385"/>
    <w:rsid w:val="00B03817"/>
    <w:rsid w:val="00B03FFF"/>
    <w:rsid w:val="00B06C5D"/>
    <w:rsid w:val="00B13125"/>
    <w:rsid w:val="00B16AD6"/>
    <w:rsid w:val="00B307EC"/>
    <w:rsid w:val="00B347ED"/>
    <w:rsid w:val="00B34D84"/>
    <w:rsid w:val="00B35E4B"/>
    <w:rsid w:val="00B367A8"/>
    <w:rsid w:val="00B42D53"/>
    <w:rsid w:val="00B46657"/>
    <w:rsid w:val="00B46F21"/>
    <w:rsid w:val="00B50AC9"/>
    <w:rsid w:val="00B516AB"/>
    <w:rsid w:val="00B56CDC"/>
    <w:rsid w:val="00B5740B"/>
    <w:rsid w:val="00B6007A"/>
    <w:rsid w:val="00B61DF8"/>
    <w:rsid w:val="00B65122"/>
    <w:rsid w:val="00B73347"/>
    <w:rsid w:val="00B86216"/>
    <w:rsid w:val="00B864AA"/>
    <w:rsid w:val="00B96D43"/>
    <w:rsid w:val="00BB2778"/>
    <w:rsid w:val="00BB612A"/>
    <w:rsid w:val="00BD3C51"/>
    <w:rsid w:val="00BE25AD"/>
    <w:rsid w:val="00BE667F"/>
    <w:rsid w:val="00BF7F39"/>
    <w:rsid w:val="00C0135A"/>
    <w:rsid w:val="00C14F06"/>
    <w:rsid w:val="00C15433"/>
    <w:rsid w:val="00C22B33"/>
    <w:rsid w:val="00C3492D"/>
    <w:rsid w:val="00C423D1"/>
    <w:rsid w:val="00C43E24"/>
    <w:rsid w:val="00C5184A"/>
    <w:rsid w:val="00C5248B"/>
    <w:rsid w:val="00C53A78"/>
    <w:rsid w:val="00C5730B"/>
    <w:rsid w:val="00C60D5B"/>
    <w:rsid w:val="00C62F55"/>
    <w:rsid w:val="00C64215"/>
    <w:rsid w:val="00C672F1"/>
    <w:rsid w:val="00C75B47"/>
    <w:rsid w:val="00C77DFF"/>
    <w:rsid w:val="00C91290"/>
    <w:rsid w:val="00CC1251"/>
    <w:rsid w:val="00CD109E"/>
    <w:rsid w:val="00CD3D9F"/>
    <w:rsid w:val="00CD4E66"/>
    <w:rsid w:val="00CE0643"/>
    <w:rsid w:val="00CE0BB6"/>
    <w:rsid w:val="00CE501A"/>
    <w:rsid w:val="00CE60FB"/>
    <w:rsid w:val="00CE74C9"/>
    <w:rsid w:val="00CF3151"/>
    <w:rsid w:val="00CF56A3"/>
    <w:rsid w:val="00CF6E77"/>
    <w:rsid w:val="00D052C5"/>
    <w:rsid w:val="00D063E5"/>
    <w:rsid w:val="00D07EB4"/>
    <w:rsid w:val="00D1303A"/>
    <w:rsid w:val="00D216F5"/>
    <w:rsid w:val="00D2491C"/>
    <w:rsid w:val="00D2543D"/>
    <w:rsid w:val="00D25ED3"/>
    <w:rsid w:val="00D31607"/>
    <w:rsid w:val="00D518E0"/>
    <w:rsid w:val="00D53FAD"/>
    <w:rsid w:val="00D55EA9"/>
    <w:rsid w:val="00D64F38"/>
    <w:rsid w:val="00D707BB"/>
    <w:rsid w:val="00D734BB"/>
    <w:rsid w:val="00D93016"/>
    <w:rsid w:val="00D95606"/>
    <w:rsid w:val="00D973D3"/>
    <w:rsid w:val="00DA7513"/>
    <w:rsid w:val="00DB21B8"/>
    <w:rsid w:val="00DC16F5"/>
    <w:rsid w:val="00DC1E68"/>
    <w:rsid w:val="00DC5956"/>
    <w:rsid w:val="00DD22F0"/>
    <w:rsid w:val="00DD34E3"/>
    <w:rsid w:val="00DD4CFC"/>
    <w:rsid w:val="00DF475D"/>
    <w:rsid w:val="00E04DBD"/>
    <w:rsid w:val="00E20EBD"/>
    <w:rsid w:val="00E21B0E"/>
    <w:rsid w:val="00E22AF0"/>
    <w:rsid w:val="00E33333"/>
    <w:rsid w:val="00E35CCD"/>
    <w:rsid w:val="00E35D0C"/>
    <w:rsid w:val="00E445C4"/>
    <w:rsid w:val="00E45D72"/>
    <w:rsid w:val="00E52408"/>
    <w:rsid w:val="00E5259A"/>
    <w:rsid w:val="00E553C7"/>
    <w:rsid w:val="00E57653"/>
    <w:rsid w:val="00E64A91"/>
    <w:rsid w:val="00E65098"/>
    <w:rsid w:val="00E6675A"/>
    <w:rsid w:val="00E71DB0"/>
    <w:rsid w:val="00E75CB3"/>
    <w:rsid w:val="00E86FAA"/>
    <w:rsid w:val="00EA2B39"/>
    <w:rsid w:val="00EA3919"/>
    <w:rsid w:val="00EB435F"/>
    <w:rsid w:val="00EC4075"/>
    <w:rsid w:val="00EC5B26"/>
    <w:rsid w:val="00EC6FAF"/>
    <w:rsid w:val="00ED70D1"/>
    <w:rsid w:val="00EE0122"/>
    <w:rsid w:val="00EE6CC5"/>
    <w:rsid w:val="00EF41CE"/>
    <w:rsid w:val="00EF4537"/>
    <w:rsid w:val="00F00960"/>
    <w:rsid w:val="00F02DA9"/>
    <w:rsid w:val="00F16677"/>
    <w:rsid w:val="00F32287"/>
    <w:rsid w:val="00F365E2"/>
    <w:rsid w:val="00F36890"/>
    <w:rsid w:val="00F373D0"/>
    <w:rsid w:val="00F42DBA"/>
    <w:rsid w:val="00F455F8"/>
    <w:rsid w:val="00F47C0E"/>
    <w:rsid w:val="00F50742"/>
    <w:rsid w:val="00F54C58"/>
    <w:rsid w:val="00F6363D"/>
    <w:rsid w:val="00F65784"/>
    <w:rsid w:val="00F72899"/>
    <w:rsid w:val="00F72A5E"/>
    <w:rsid w:val="00F7503B"/>
    <w:rsid w:val="00F97E10"/>
    <w:rsid w:val="00FA3484"/>
    <w:rsid w:val="00FB4D64"/>
    <w:rsid w:val="00FB7C0F"/>
    <w:rsid w:val="00FC2550"/>
    <w:rsid w:val="00FD09F9"/>
    <w:rsid w:val="00FD112E"/>
    <w:rsid w:val="00FE0446"/>
    <w:rsid w:val="00FE1499"/>
    <w:rsid w:val="00FE2377"/>
    <w:rsid w:val="00FE2D7C"/>
    <w:rsid w:val="00FF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FD830"/>
  <w15:docId w15:val="{A0A59645-5DE9-4EDF-AC92-762590D2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E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F63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23182E"/>
  </w:style>
  <w:style w:type="paragraph" w:styleId="EndnoteText">
    <w:name w:val="endnote text"/>
    <w:basedOn w:val="Normal"/>
    <w:link w:val="EndnoteTextChar"/>
    <w:uiPriority w:val="99"/>
    <w:semiHidden/>
    <w:unhideWhenUsed/>
    <w:rsid w:val="00DA751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751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A751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75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75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A751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55EF1"/>
    <w:rPr>
      <w:color w:val="0000FF" w:themeColor="hyperlink"/>
      <w:u w:val="single"/>
    </w:rPr>
  </w:style>
  <w:style w:type="paragraph" w:customStyle="1" w:styleId="Chapter">
    <w:name w:val="Chapter"/>
    <w:basedOn w:val="Normal"/>
    <w:next w:val="Normal"/>
    <w:rsid w:val="00573D0A"/>
    <w:pPr>
      <w:keepNext/>
      <w:numPr>
        <w:numId w:val="18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573D0A"/>
    <w:pPr>
      <w:numPr>
        <w:ilvl w:val="1"/>
        <w:numId w:val="18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rsid w:val="00573D0A"/>
    <w:pPr>
      <w:numPr>
        <w:ilvl w:val="2"/>
        <w:numId w:val="18"/>
      </w:numPr>
      <w:tabs>
        <w:tab w:val="clear" w:pos="2304"/>
        <w:tab w:val="num" w:pos="1152"/>
      </w:tabs>
      <w:spacing w:before="120" w:line="240" w:lineRule="auto"/>
      <w:ind w:left="1152" w:hanging="360"/>
      <w:jc w:val="both"/>
      <w:outlineLvl w:val="2"/>
    </w:pPr>
    <w:rPr>
      <w:rFonts w:ascii="Times New Roman" w:eastAsia="Times New Roman" w:hAnsi="Times New Roman" w:cs="Times New Roman"/>
      <w:sz w:val="24"/>
      <w:lang w:val="es-ES_tradnl"/>
    </w:rPr>
  </w:style>
  <w:style w:type="paragraph" w:customStyle="1" w:styleId="SubSubPar">
    <w:name w:val="SubSubPar"/>
    <w:basedOn w:val="subpar"/>
    <w:rsid w:val="00573D0A"/>
    <w:pPr>
      <w:numPr>
        <w:ilvl w:val="3"/>
      </w:numPr>
      <w:tabs>
        <w:tab w:val="clear" w:pos="2736"/>
        <w:tab w:val="left" w:pos="0"/>
        <w:tab w:val="num" w:pos="1296"/>
      </w:tabs>
      <w:ind w:left="1296" w:hanging="360"/>
    </w:pPr>
  </w:style>
  <w:style w:type="character" w:customStyle="1" w:styleId="ParagraphChar">
    <w:name w:val="Paragraph Char"/>
    <w:link w:val="Paragraph"/>
    <w:locked/>
    <w:rsid w:val="00573D0A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3D0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3D0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3D0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3D0A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E0A0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2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4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038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6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2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79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4246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2097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customXml" Target="../customXml/item1.xml"/><Relationship Id="rId21" Type="http://schemas.openxmlformats.org/officeDocument/2006/relationships/customXml" Target="../customXml/item4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1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6.xml"/><Relationship Id="rId10" Type="http://schemas.openxmlformats.org/officeDocument/2006/relationships/settings" Target="settings.xml"/><Relationship Id="rId19" Type="http://schemas.openxmlformats.org/officeDocument/2006/relationships/customXml" Target="../customXml/item2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B5C033DC028B24E8F46E7F4ECF2EC1A" ma:contentTypeVersion="0" ma:contentTypeDescription="A content type to manage public (operations) IDB documents" ma:contentTypeScope="" ma:versionID="2e4f72c38f945f3f0bb9f9000c7f0b9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Guerrero Rivera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AS-AGR</TermName>
          <TermId xmlns="http://schemas.microsoft.com/office/infopath/2007/PartnerControls">8436ee66-009e-4204-be28-64e6f6bf19fc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SFW</TermName>
          <TermId xmlns="http://schemas.microsoft.com/office/infopath/2007/PartnerControls">dad7ca5b-e14d-497b-baa5-1d3bf690bce9</TermId>
        </TermInfo>
      </Terms>
    </g511464f9e53401d84b16fa9b379a574>
    <Related_x0020_SisCor_x0020_Number xmlns="cdc7663a-08f0-4737-9e8c-148ce897a09c" xsi:nil="true"/>
    <TaxCatchAll xmlns="cdc7663a-08f0-4737-9e8c-148ce897a09c">
      <Value>34</Value>
      <Value>110</Value>
      <Value>33</Value>
      <Value>352</Value>
      <Value>1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BO-T1353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_dlc_DocId xmlns="cdc7663a-08f0-4737-9e8c-148ce897a09c">EZSHARE-442899170-2</_dlc_DocId>
    <_dlc_DocIdUrl xmlns="cdc7663a-08f0-4737-9e8c-148ce897a09c">
      <Url>https://idbg.sharepoint.com/teams/EZ-BO-TCP/BO-T1353/_layouts/15/DocIdRedir.aspx?ID=EZSHARE-442899170-2</Url>
      <Description>EZSHARE-442899170-2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10CA75E4-9224-4413-B695-F5B4B0F85A91}"/>
</file>

<file path=customXml/itemProps2.xml><?xml version="1.0" encoding="utf-8"?>
<ds:datastoreItem xmlns:ds="http://schemas.openxmlformats.org/officeDocument/2006/customXml" ds:itemID="{C2AF4F04-06CA-4650-B62B-28BF987B1CB0}"/>
</file>

<file path=customXml/itemProps3.xml><?xml version="1.0" encoding="utf-8"?>
<ds:datastoreItem xmlns:ds="http://schemas.openxmlformats.org/officeDocument/2006/customXml" ds:itemID="{DF747CAE-C36F-411B-8755-7CEBA5AB46E7}"/>
</file>

<file path=customXml/itemProps4.xml><?xml version="1.0" encoding="utf-8"?>
<ds:datastoreItem xmlns:ds="http://schemas.openxmlformats.org/officeDocument/2006/customXml" ds:itemID="{C3E75421-3F8E-444D-BE01-DCBB7E888A69}"/>
</file>

<file path=customXml/itemProps5.xml><?xml version="1.0" encoding="utf-8"?>
<ds:datastoreItem xmlns:ds="http://schemas.openxmlformats.org/officeDocument/2006/customXml" ds:itemID="{4BA9BFDE-8977-4A8F-A451-5087AC375980}"/>
</file>

<file path=customXml/itemProps6.xml><?xml version="1.0" encoding="utf-8"?>
<ds:datastoreItem xmlns:ds="http://schemas.openxmlformats.org/officeDocument/2006/customXml" ds:itemID="{21A74AD4-2242-4DFC-BD68-71EEB85B06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1588</Words>
  <Characters>9057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 Abstract template (Spanish) UPDATED strategic alignment</vt:lpstr>
      <vt:lpstr>TC Abstract template (Spanish) UPDATED strategic alignment</vt:lpstr>
    </vt:vector>
  </TitlesOfParts>
  <Company>Inter-American Development Bank</Company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Strachan</dc:creator>
  <cp:keywords/>
  <cp:lastModifiedBy>Guerrero Rivera, Marilyn Ivette</cp:lastModifiedBy>
  <cp:revision>11</cp:revision>
  <cp:lastPrinted>2012-08-24T17:26:00Z</cp:lastPrinted>
  <dcterms:created xsi:type="dcterms:W3CDTF">2019-10-18T19:11:00Z</dcterms:created>
  <dcterms:modified xsi:type="dcterms:W3CDTF">2020-03-18T19:26:00Z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110;#AS-AGR|8436ee66-009e-4204-be28-64e6f6bf19fc</vt:lpwstr>
  </property>
  <property fmtid="{D5CDD505-2E9C-101B-9397-08002B2CF9AE}" pid="7" name="Fund IDB">
    <vt:lpwstr>352;#SFW|dad7ca5b-e14d-497b-baa5-1d3bf690bce9</vt:lpwstr>
  </property>
  <property fmtid="{D5CDD505-2E9C-101B-9397-08002B2CF9AE}" pid="8" name="Country">
    <vt:lpwstr>33;#BO|6445a937-aea4-4907-9f24-bff96a7c61c8</vt:lpwstr>
  </property>
  <property fmtid="{D5CDD505-2E9C-101B-9397-08002B2CF9AE}" pid="9" name="Sector IDB">
    <vt:lpwstr>34;#AS|ba6b63cd-e402-47cb-9357-08149f7ce046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14203967-1362-43d8-a837-997a220f198a</vt:lpwstr>
  </property>
  <property fmtid="{D5CDD505-2E9C-101B-9397-08002B2CF9AE}" pid="12" name="Disclosure Activity">
    <vt:lpwstr>TC Abstract</vt:lpwstr>
  </property>
  <property fmtid="{D5CDD505-2E9C-101B-9397-08002B2CF9AE}" pid="13" name="ContentTypeId">
    <vt:lpwstr>0x0101001A458A224826124E8B45B1D613300CFC008B5C033DC028B24E8F46E7F4ECF2EC1A</vt:lpwstr>
  </property>
</Properties>
</file>