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0CA5" w:rsidRPr="0029051A" w:rsidRDefault="004C3E2A" w:rsidP="008148D5">
      <w:pPr>
        <w:spacing w:after="240"/>
        <w:jc w:val="center"/>
        <w:rPr>
          <w:b/>
        </w:rPr>
      </w:pPr>
      <w:r w:rsidRPr="0029051A">
        <w:rPr>
          <w:b/>
        </w:rPr>
        <w:t>TERMS OF REFERENCE</w:t>
      </w:r>
    </w:p>
    <w:p w:rsidR="00D4060A" w:rsidRDefault="004C3E2A" w:rsidP="008148D5">
      <w:pPr>
        <w:spacing w:after="240"/>
        <w:jc w:val="center"/>
        <w:rPr>
          <w:b/>
        </w:rPr>
      </w:pPr>
      <w:r w:rsidRPr="0029051A">
        <w:rPr>
          <w:b/>
        </w:rPr>
        <w:t xml:space="preserve">CONSULTANCY SERVICES </w:t>
      </w:r>
      <w:r w:rsidR="00593B32">
        <w:rPr>
          <w:b/>
        </w:rPr>
        <w:t>FOR THE GAS TO POWER FEASIBILITY ANALYSIS (COMPONENT II)</w:t>
      </w:r>
    </w:p>
    <w:p w:rsidR="001B4FFD" w:rsidRDefault="001B4FFD" w:rsidP="008148D5">
      <w:pPr>
        <w:spacing w:after="240"/>
        <w:jc w:val="center"/>
        <w:rPr>
          <w:b/>
        </w:rPr>
      </w:pPr>
      <w:r>
        <w:rPr>
          <w:b/>
        </w:rPr>
        <w:t>GUYANA</w:t>
      </w:r>
    </w:p>
    <w:p w:rsidR="001B4FFD" w:rsidRPr="0029051A" w:rsidRDefault="001B4FFD" w:rsidP="008148D5">
      <w:pPr>
        <w:spacing w:after="240"/>
        <w:jc w:val="center"/>
        <w:rPr>
          <w:b/>
        </w:rPr>
      </w:pPr>
      <w:r>
        <w:rPr>
          <w:b/>
        </w:rPr>
        <w:t>GY-T1147 – TAPPING THE PROMISSED LAND: GUYANA’S FUTURE AS AN OIL PRODUCER</w:t>
      </w:r>
    </w:p>
    <w:p w:rsidR="00D4060A" w:rsidRPr="0029051A" w:rsidRDefault="00D4060A" w:rsidP="008148D5">
      <w:pPr>
        <w:spacing w:after="0"/>
        <w:jc w:val="both"/>
        <w:rPr>
          <w:b/>
        </w:rPr>
      </w:pPr>
    </w:p>
    <w:p w:rsidR="003865A9" w:rsidRPr="0029051A" w:rsidRDefault="009B2C9D" w:rsidP="00425F5B">
      <w:pPr>
        <w:pStyle w:val="ListParagraph"/>
        <w:numPr>
          <w:ilvl w:val="0"/>
          <w:numId w:val="2"/>
        </w:numPr>
        <w:ind w:left="360"/>
        <w:jc w:val="both"/>
        <w:rPr>
          <w:rFonts w:asciiTheme="minorHAnsi" w:hAnsiTheme="minorHAnsi"/>
          <w:b/>
          <w:sz w:val="22"/>
          <w:szCs w:val="22"/>
        </w:rPr>
      </w:pPr>
      <w:r w:rsidRPr="0029051A">
        <w:rPr>
          <w:rFonts w:asciiTheme="minorHAnsi" w:hAnsiTheme="minorHAnsi"/>
          <w:b/>
          <w:sz w:val="22"/>
          <w:szCs w:val="22"/>
        </w:rPr>
        <w:t>Background</w:t>
      </w:r>
    </w:p>
    <w:p w:rsidR="00D4060A" w:rsidRPr="0029051A" w:rsidRDefault="00D4060A" w:rsidP="00425F5B">
      <w:pPr>
        <w:pStyle w:val="ListParagraph"/>
        <w:ind w:left="360"/>
        <w:jc w:val="both"/>
        <w:rPr>
          <w:rFonts w:asciiTheme="minorHAnsi" w:hAnsiTheme="minorHAnsi"/>
          <w:b/>
          <w:sz w:val="22"/>
          <w:szCs w:val="22"/>
        </w:rPr>
      </w:pPr>
      <w:r w:rsidRPr="0029051A">
        <w:rPr>
          <w:rFonts w:asciiTheme="minorHAnsi" w:hAnsiTheme="minorHAnsi"/>
          <w:b/>
          <w:sz w:val="22"/>
          <w:szCs w:val="22"/>
        </w:rPr>
        <w:t xml:space="preserve"> </w:t>
      </w:r>
    </w:p>
    <w:p w:rsidR="00D4060A" w:rsidRPr="0029051A" w:rsidRDefault="007B605C" w:rsidP="00425F5B">
      <w:pPr>
        <w:jc w:val="both"/>
      </w:pPr>
      <w:r w:rsidRPr="0029051A">
        <w:t xml:space="preserve">Following the recent oil discoveries of approximately 2.75 billion oil-equivalent barrels offshore Guyana, the country is poised to become a major oil producer in the </w:t>
      </w:r>
      <w:r w:rsidR="00425F5B">
        <w:t>r</w:t>
      </w:r>
      <w:r w:rsidR="00425F5B" w:rsidRPr="0029051A">
        <w:t xml:space="preserve">egion </w:t>
      </w:r>
      <w:r w:rsidRPr="0029051A">
        <w:t xml:space="preserve">by mid-2020. Moreover, the availability of indigenous </w:t>
      </w:r>
      <w:r w:rsidR="003865A9" w:rsidRPr="0029051A">
        <w:t>natural gas reserves presents the opportunity for cleaner energy generation and the reduction of CO2 emissions, while also offering a medium-term path to increased reliance on renewables in accordance with the Government’s Green State Development Strategy.</w:t>
      </w:r>
    </w:p>
    <w:p w:rsidR="00855BA9" w:rsidRDefault="003865A9" w:rsidP="00425F5B">
      <w:pPr>
        <w:jc w:val="both"/>
      </w:pPr>
      <w:r w:rsidRPr="0029051A">
        <w:t>Guyana is expected to experience a significant growth in electricity demand.</w:t>
      </w:r>
      <w:r w:rsidR="007B605C" w:rsidRPr="0029051A">
        <w:t xml:space="preserve"> Major economic and infrastructural transformation is expected over the long term, stemming from increased foreign direct investment, demand for goods and services</w:t>
      </w:r>
      <w:r w:rsidR="00425F5B">
        <w:t>,</w:t>
      </w:r>
      <w:r w:rsidR="007B605C" w:rsidRPr="0029051A">
        <w:t xml:space="preserve"> and foreign exchange earnings. </w:t>
      </w:r>
      <w:proofErr w:type="gramStart"/>
      <w:r w:rsidR="007B605C" w:rsidRPr="0029051A">
        <w:t>As a consequence</w:t>
      </w:r>
      <w:proofErr w:type="gramEnd"/>
      <w:r w:rsidR="007B605C" w:rsidRPr="0029051A">
        <w:t>, real GDP growth is expected to grow 38.5 percent and 28.5 percent in 2020 and 2021 respectively</w:t>
      </w:r>
      <w:r w:rsidR="007B605C" w:rsidRPr="0029051A">
        <w:rPr>
          <w:vertAlign w:val="superscript"/>
        </w:rPr>
        <w:footnoteReference w:id="1"/>
      </w:r>
      <w:r w:rsidR="007B605C" w:rsidRPr="0029051A">
        <w:t>. Such growth scenarios within the context of an emerging oil and gas sector could alter recent electricity demand forecasts.</w:t>
      </w:r>
      <w:r w:rsidRPr="0029051A">
        <w:t xml:space="preserve"> </w:t>
      </w:r>
    </w:p>
    <w:p w:rsidR="00855BA9" w:rsidRDefault="003865A9" w:rsidP="00425F5B">
      <w:pPr>
        <w:jc w:val="both"/>
      </w:pPr>
      <w:r w:rsidRPr="0029051A">
        <w:t>Guyana Power and Light (GPL)</w:t>
      </w:r>
      <w:r w:rsidR="004444AA" w:rsidRPr="0029051A">
        <w:t>, the main public supplier of electricity,</w:t>
      </w:r>
      <w:r w:rsidRPr="0029051A">
        <w:t xml:space="preserve"> is therefore faced with the challenge to produce, distribute and commercialize the necessary energy to supply that demand under adequate quality standards and economic conditions. </w:t>
      </w:r>
      <w:r w:rsidR="00855BA9">
        <w:t>R</w:t>
      </w:r>
      <w:r w:rsidRPr="0029051A">
        <w:t>ecent reports describe that reliability of electricity supply has been low, and characterized by frequent and long outages, load discharges and voltage variations. Poor reliability has been linked to dependence on old and obsolete equipment for power generation</w:t>
      </w:r>
      <w:r w:rsidR="00855BA9">
        <w:t xml:space="preserve"> that need to be replaced in the short run</w:t>
      </w:r>
      <w:r w:rsidR="007B605C" w:rsidRPr="0029051A">
        <w:t>.</w:t>
      </w:r>
      <w:r w:rsidR="00855BA9">
        <w:t xml:space="preserve"> Additionally, e</w:t>
      </w:r>
      <w:r w:rsidR="00855BA9" w:rsidRPr="0029051A">
        <w:t>lectricity prices in Guyana are the third highest in the Caribbean due in large part to the country's reliance on expensive imported fuel oil for electricity generation. At present, the cost of fuel accounts for up to 52% of the total cost of electricity generation.</w:t>
      </w:r>
      <w:r w:rsidR="007B605C" w:rsidRPr="0029051A" w:rsidDel="007B605C">
        <w:t xml:space="preserve"> </w:t>
      </w:r>
    </w:p>
    <w:p w:rsidR="003865A9" w:rsidRPr="0029051A" w:rsidRDefault="003865A9" w:rsidP="008148D5">
      <w:pPr>
        <w:spacing w:after="0"/>
        <w:jc w:val="both"/>
      </w:pPr>
      <w:proofErr w:type="gramStart"/>
      <w:r w:rsidRPr="0029051A">
        <w:t>In order to</w:t>
      </w:r>
      <w:proofErr w:type="gramEnd"/>
      <w:r w:rsidRPr="0029051A">
        <w:t xml:space="preserve"> identify guidelines for the development of the most adequate electrical infrastructure for generation and transmission expansion in the country, the Inter-American Development Bank (IADB) conducted in 2014 an Initial Study on System Expansion of the Generation and Transmission Sy</w:t>
      </w:r>
      <w:r w:rsidR="00951661" w:rsidRPr="0029051A">
        <w:t>stem of Guyana (Initial Study) and an U</w:t>
      </w:r>
      <w:r w:rsidRPr="0029051A">
        <w:t xml:space="preserve">pdate of the Initial Study </w:t>
      </w:r>
      <w:r w:rsidR="00951661" w:rsidRPr="0029051A">
        <w:t>which was completed</w:t>
      </w:r>
      <w:r w:rsidRPr="0029051A">
        <w:t xml:space="preserve"> in </w:t>
      </w:r>
      <w:r w:rsidR="00951661" w:rsidRPr="0029051A">
        <w:t>June 2016.</w:t>
      </w:r>
      <w:r w:rsidR="00855BA9">
        <w:t xml:space="preserve"> </w:t>
      </w:r>
      <w:r w:rsidR="007B605C" w:rsidRPr="0029051A">
        <w:t>Currently</w:t>
      </w:r>
      <w:r w:rsidR="00496A34" w:rsidRPr="0029051A">
        <w:t>,</w:t>
      </w:r>
      <w:r w:rsidR="00240B1A" w:rsidRPr="0029051A">
        <w:t xml:space="preserve"> the Government of Guyana </w:t>
      </w:r>
      <w:r w:rsidR="00876D38">
        <w:t>(</w:t>
      </w:r>
      <w:proofErr w:type="spellStart"/>
      <w:r w:rsidR="00876D38">
        <w:t>GoG</w:t>
      </w:r>
      <w:proofErr w:type="spellEnd"/>
      <w:r w:rsidR="00876D38">
        <w:t xml:space="preserve">) </w:t>
      </w:r>
      <w:r w:rsidR="00240B1A" w:rsidRPr="0029051A">
        <w:t xml:space="preserve">is expected to </w:t>
      </w:r>
      <w:r w:rsidR="00496A34" w:rsidRPr="0029051A">
        <w:t xml:space="preserve">commission a second update of the Expansion Study that will </w:t>
      </w:r>
      <w:r w:rsidR="004872CE" w:rsidRPr="0029051A">
        <w:t>consider the</w:t>
      </w:r>
      <w:r w:rsidR="00846497" w:rsidRPr="0029051A">
        <w:t xml:space="preserve"> option of </w:t>
      </w:r>
      <w:r w:rsidR="004872CE" w:rsidRPr="0029051A">
        <w:t xml:space="preserve">natural gas-fired power </w:t>
      </w:r>
      <w:r w:rsidR="00846497" w:rsidRPr="0029051A">
        <w:t xml:space="preserve">generation facilities </w:t>
      </w:r>
      <w:r w:rsidR="00855BA9">
        <w:t>utilizing</w:t>
      </w:r>
      <w:r w:rsidR="004872CE" w:rsidRPr="0029051A">
        <w:t xml:space="preserve"> </w:t>
      </w:r>
      <w:r w:rsidR="00855BA9">
        <w:t>indigenous gas resources</w:t>
      </w:r>
      <w:r w:rsidR="00846497" w:rsidRPr="0029051A">
        <w:t xml:space="preserve"> as part of an optimal generation mix.</w:t>
      </w:r>
      <w:r w:rsidR="004872CE" w:rsidRPr="0029051A">
        <w:t xml:space="preserve"> </w:t>
      </w:r>
      <w:r w:rsidR="00DF03D9" w:rsidRPr="0029051A">
        <w:t>In this regard, and as a separate assignment</w:t>
      </w:r>
      <w:r w:rsidR="00660F6E" w:rsidRPr="0029051A">
        <w:t xml:space="preserve"> Government of Guyana will undertake a </w:t>
      </w:r>
      <w:r w:rsidR="00ED0416" w:rsidRPr="0029051A">
        <w:t>comprehensive</w:t>
      </w:r>
      <w:r w:rsidR="00660F6E" w:rsidRPr="0029051A">
        <w:t xml:space="preserve"> </w:t>
      </w:r>
      <w:r w:rsidR="00DF03D9" w:rsidRPr="0029051A">
        <w:t>te</w:t>
      </w:r>
      <w:r w:rsidR="00ED0416" w:rsidRPr="0029051A">
        <w:t>chnical and</w:t>
      </w:r>
      <w:r w:rsidR="00DF03D9" w:rsidRPr="0029051A">
        <w:t xml:space="preserve"> economic</w:t>
      </w:r>
      <w:r w:rsidR="00ED0416" w:rsidRPr="0029051A">
        <w:t xml:space="preserve"> assessment</w:t>
      </w:r>
      <w:r w:rsidR="00DF03D9" w:rsidRPr="0029051A">
        <w:t xml:space="preserve"> of potential gas to power generation </w:t>
      </w:r>
      <w:r w:rsidR="009B2C9D" w:rsidRPr="0029051A">
        <w:t>options</w:t>
      </w:r>
      <w:r w:rsidR="00660F6E" w:rsidRPr="0029051A">
        <w:t xml:space="preserve"> with the support of an experienced international consulting firm</w:t>
      </w:r>
      <w:r w:rsidR="009B2C9D" w:rsidRPr="0029051A">
        <w:t xml:space="preserve">. </w:t>
      </w:r>
    </w:p>
    <w:p w:rsidR="006A7241" w:rsidRDefault="006A7241" w:rsidP="008148D5">
      <w:pPr>
        <w:spacing w:after="0"/>
        <w:jc w:val="both"/>
      </w:pPr>
    </w:p>
    <w:p w:rsidR="006A7241" w:rsidRPr="0029051A" w:rsidRDefault="006A7241" w:rsidP="008148D5">
      <w:pPr>
        <w:spacing w:after="0"/>
        <w:jc w:val="both"/>
      </w:pPr>
    </w:p>
    <w:p w:rsidR="00D4060A" w:rsidRPr="0029051A" w:rsidRDefault="00D4060A" w:rsidP="008148D5">
      <w:pPr>
        <w:pStyle w:val="ListParagraph"/>
        <w:numPr>
          <w:ilvl w:val="0"/>
          <w:numId w:val="2"/>
        </w:numPr>
        <w:ind w:left="360"/>
        <w:jc w:val="both"/>
        <w:rPr>
          <w:rFonts w:asciiTheme="minorHAnsi" w:hAnsiTheme="minorHAnsi"/>
          <w:b/>
          <w:sz w:val="22"/>
          <w:szCs w:val="22"/>
        </w:rPr>
      </w:pPr>
      <w:r w:rsidRPr="0029051A">
        <w:rPr>
          <w:rFonts w:asciiTheme="minorHAnsi" w:hAnsiTheme="minorHAnsi"/>
          <w:b/>
          <w:sz w:val="22"/>
          <w:szCs w:val="22"/>
        </w:rPr>
        <w:lastRenderedPageBreak/>
        <w:t>Objective of this assignment</w:t>
      </w:r>
    </w:p>
    <w:p w:rsidR="009B6DEC" w:rsidRPr="0029051A" w:rsidRDefault="009B6DEC" w:rsidP="008148D5">
      <w:pPr>
        <w:spacing w:after="120"/>
        <w:jc w:val="both"/>
        <w:rPr>
          <w:rFonts w:cs="Arial"/>
        </w:rPr>
      </w:pPr>
      <w:r w:rsidRPr="0029051A">
        <w:rPr>
          <w:rFonts w:cs="Arial"/>
        </w:rPr>
        <w:t>Elaboration of a technical and economic study to analyze Guyana’s gas to power options. It will include: (</w:t>
      </w:r>
      <w:proofErr w:type="spellStart"/>
      <w:r w:rsidRPr="0029051A">
        <w:rPr>
          <w:rFonts w:cs="Arial"/>
        </w:rPr>
        <w:t>i</w:t>
      </w:r>
      <w:proofErr w:type="spellEnd"/>
      <w:r w:rsidRPr="0029051A">
        <w:rPr>
          <w:rFonts w:cs="Arial"/>
        </w:rPr>
        <w:t xml:space="preserve">) </w:t>
      </w:r>
      <w:r w:rsidR="006F248B" w:rsidRPr="0029051A">
        <w:rPr>
          <w:rFonts w:cs="Arial"/>
        </w:rPr>
        <w:t xml:space="preserve">the </w:t>
      </w:r>
      <w:r w:rsidR="006F248B">
        <w:rPr>
          <w:rFonts w:cs="Arial"/>
        </w:rPr>
        <w:t xml:space="preserve">feasibility of </w:t>
      </w:r>
      <w:r w:rsidR="00EE3E0B">
        <w:rPr>
          <w:rFonts w:cs="Arial"/>
        </w:rPr>
        <w:t>using natural gas as a fuel source in a</w:t>
      </w:r>
      <w:r w:rsidR="006F248B">
        <w:rPr>
          <w:rFonts w:cs="Arial"/>
        </w:rPr>
        <w:t xml:space="preserve"> </w:t>
      </w:r>
      <w:r w:rsidR="006F248B" w:rsidRPr="0029051A">
        <w:rPr>
          <w:rFonts w:cs="Arial"/>
        </w:rPr>
        <w:t xml:space="preserve">new power plant and/or </w:t>
      </w:r>
      <w:r w:rsidR="00EE3E0B">
        <w:rPr>
          <w:rFonts w:cs="Arial"/>
        </w:rPr>
        <w:t xml:space="preserve">in </w:t>
      </w:r>
      <w:r w:rsidR="006F248B" w:rsidRPr="0029051A">
        <w:rPr>
          <w:rFonts w:cs="Arial"/>
        </w:rPr>
        <w:t>the conversion of existing ones</w:t>
      </w:r>
      <w:r w:rsidR="006F248B">
        <w:rPr>
          <w:rFonts w:cs="Arial"/>
        </w:rPr>
        <w:t xml:space="preserve">; </w:t>
      </w:r>
      <w:r w:rsidR="006F248B" w:rsidRPr="0029051A">
        <w:rPr>
          <w:rFonts w:cs="Arial"/>
        </w:rPr>
        <w:t>and (ii)</w:t>
      </w:r>
      <w:r w:rsidR="006F248B">
        <w:rPr>
          <w:rFonts w:cs="Arial"/>
        </w:rPr>
        <w:t xml:space="preserve"> </w:t>
      </w:r>
      <w:r w:rsidRPr="0029051A">
        <w:rPr>
          <w:rFonts w:cs="Arial"/>
        </w:rPr>
        <w:t xml:space="preserve">the </w:t>
      </w:r>
      <w:r w:rsidR="006F248B">
        <w:rPr>
          <w:rFonts w:cs="Arial"/>
        </w:rPr>
        <w:t xml:space="preserve">analysis of </w:t>
      </w:r>
      <w:r w:rsidR="00C578A3">
        <w:rPr>
          <w:rFonts w:cs="Arial"/>
        </w:rPr>
        <w:t>the impact of this development o</w:t>
      </w:r>
      <w:r w:rsidR="00997937">
        <w:rPr>
          <w:rFonts w:cs="Arial"/>
        </w:rPr>
        <w:t xml:space="preserve">n the </w:t>
      </w:r>
      <w:r w:rsidR="006F248B">
        <w:rPr>
          <w:rFonts w:cs="Arial"/>
        </w:rPr>
        <w:t xml:space="preserve">related infrastructure such as </w:t>
      </w:r>
      <w:r w:rsidRPr="0029051A">
        <w:rPr>
          <w:rFonts w:cs="Arial"/>
        </w:rPr>
        <w:t>the onshore pipeline (from gas plant to power plant)</w:t>
      </w:r>
      <w:r w:rsidR="006F248B">
        <w:rPr>
          <w:rFonts w:cs="Arial"/>
        </w:rPr>
        <w:t xml:space="preserve"> and </w:t>
      </w:r>
      <w:r w:rsidR="0038044C">
        <w:rPr>
          <w:rFonts w:cs="Arial"/>
        </w:rPr>
        <w:t xml:space="preserve">national </w:t>
      </w:r>
      <w:r w:rsidR="006F248B">
        <w:rPr>
          <w:rFonts w:cs="Arial"/>
        </w:rPr>
        <w:t>transmission systems.</w:t>
      </w:r>
    </w:p>
    <w:p w:rsidR="00D4060A" w:rsidRPr="0029051A" w:rsidRDefault="00D4060A" w:rsidP="008148D5">
      <w:pPr>
        <w:pStyle w:val="ListParagraph"/>
        <w:numPr>
          <w:ilvl w:val="0"/>
          <w:numId w:val="2"/>
        </w:numPr>
        <w:ind w:left="360"/>
        <w:jc w:val="both"/>
        <w:rPr>
          <w:rFonts w:asciiTheme="minorHAnsi" w:hAnsiTheme="minorHAnsi"/>
          <w:b/>
          <w:sz w:val="22"/>
          <w:szCs w:val="22"/>
        </w:rPr>
      </w:pPr>
      <w:r w:rsidRPr="0029051A">
        <w:rPr>
          <w:rFonts w:asciiTheme="minorHAnsi" w:hAnsiTheme="minorHAnsi"/>
          <w:b/>
          <w:sz w:val="22"/>
          <w:szCs w:val="22"/>
        </w:rPr>
        <w:t>Scope of work</w:t>
      </w:r>
      <w:r w:rsidR="006C68F1" w:rsidRPr="0029051A">
        <w:rPr>
          <w:rFonts w:asciiTheme="minorHAnsi" w:hAnsiTheme="minorHAnsi"/>
          <w:b/>
          <w:sz w:val="22"/>
          <w:szCs w:val="22"/>
        </w:rPr>
        <w:t>/Main Activities</w:t>
      </w:r>
    </w:p>
    <w:p w:rsidR="00294B05" w:rsidRPr="0029051A" w:rsidRDefault="00294B05" w:rsidP="008148D5">
      <w:pPr>
        <w:widowControl w:val="0"/>
        <w:autoSpaceDE w:val="0"/>
        <w:autoSpaceDN w:val="0"/>
        <w:adjustRightInd w:val="0"/>
        <w:jc w:val="both"/>
        <w:rPr>
          <w:rFonts w:cs="Arial"/>
        </w:rPr>
      </w:pPr>
      <w:r w:rsidRPr="0029051A">
        <w:rPr>
          <w:rFonts w:cs="Arial"/>
        </w:rPr>
        <w:t xml:space="preserve">The following </w:t>
      </w:r>
      <w:r w:rsidR="000D6A44">
        <w:rPr>
          <w:rFonts w:cs="Arial"/>
        </w:rPr>
        <w:t>activities</w:t>
      </w:r>
      <w:r w:rsidR="000D6A44" w:rsidRPr="0029051A">
        <w:rPr>
          <w:rFonts w:cs="Arial"/>
        </w:rPr>
        <w:t xml:space="preserve"> </w:t>
      </w:r>
      <w:r w:rsidRPr="0029051A">
        <w:rPr>
          <w:rFonts w:cs="Arial"/>
        </w:rPr>
        <w:t xml:space="preserve">will be </w:t>
      </w:r>
      <w:r w:rsidR="000D6A44">
        <w:rPr>
          <w:rFonts w:cs="Arial"/>
        </w:rPr>
        <w:t>implemented</w:t>
      </w:r>
      <w:r w:rsidR="00E52176">
        <w:rPr>
          <w:rFonts w:cs="Arial"/>
        </w:rPr>
        <w:t>:</w:t>
      </w:r>
    </w:p>
    <w:p w:rsidR="00FD1A45" w:rsidRPr="008148D5" w:rsidRDefault="00C578A3" w:rsidP="008148D5">
      <w:pPr>
        <w:widowControl w:val="0"/>
        <w:autoSpaceDE w:val="0"/>
        <w:autoSpaceDN w:val="0"/>
        <w:adjustRightInd w:val="0"/>
        <w:spacing w:after="120"/>
        <w:jc w:val="both"/>
        <w:rPr>
          <w:rFonts w:cs="Arial"/>
          <w:b/>
        </w:rPr>
      </w:pPr>
      <w:r>
        <w:rPr>
          <w:rFonts w:cs="Arial"/>
          <w:b/>
        </w:rPr>
        <w:t>Part</w:t>
      </w:r>
      <w:r w:rsidR="00FD1A45" w:rsidRPr="008148D5">
        <w:rPr>
          <w:rFonts w:cs="Arial"/>
          <w:b/>
        </w:rPr>
        <w:t xml:space="preserve"> I</w:t>
      </w:r>
      <w:r w:rsidR="00CD29D7">
        <w:rPr>
          <w:rFonts w:cs="Arial"/>
          <w:b/>
        </w:rPr>
        <w:t xml:space="preserve"> – Preparatory activities</w:t>
      </w:r>
    </w:p>
    <w:p w:rsidR="00955AA6" w:rsidRPr="0029051A" w:rsidRDefault="00294B05"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29051A">
        <w:rPr>
          <w:rFonts w:asciiTheme="minorHAnsi" w:hAnsiTheme="minorHAnsi" w:cs="Arial"/>
          <w:sz w:val="22"/>
          <w:szCs w:val="22"/>
        </w:rPr>
        <w:t xml:space="preserve">Review related studies </w:t>
      </w:r>
      <w:r w:rsidR="00832EA5" w:rsidRPr="0029051A">
        <w:rPr>
          <w:rFonts w:asciiTheme="minorHAnsi" w:hAnsiTheme="minorHAnsi" w:cs="Arial"/>
          <w:sz w:val="22"/>
          <w:szCs w:val="22"/>
        </w:rPr>
        <w:t xml:space="preserve">done by the </w:t>
      </w:r>
      <w:proofErr w:type="spellStart"/>
      <w:r w:rsidR="00832EA5" w:rsidRPr="0029051A">
        <w:rPr>
          <w:rFonts w:asciiTheme="minorHAnsi" w:hAnsiTheme="minorHAnsi" w:cs="Arial"/>
          <w:sz w:val="22"/>
          <w:szCs w:val="22"/>
        </w:rPr>
        <w:t>GoG</w:t>
      </w:r>
      <w:proofErr w:type="spellEnd"/>
      <w:r w:rsidR="00832EA5" w:rsidRPr="0029051A">
        <w:rPr>
          <w:rFonts w:asciiTheme="minorHAnsi" w:hAnsiTheme="minorHAnsi" w:cs="Arial"/>
          <w:sz w:val="22"/>
          <w:szCs w:val="22"/>
        </w:rPr>
        <w:t xml:space="preserve"> and partners</w:t>
      </w:r>
      <w:r w:rsidR="00955AA6" w:rsidRPr="0029051A">
        <w:rPr>
          <w:rFonts w:asciiTheme="minorHAnsi" w:hAnsiTheme="minorHAnsi" w:cs="Arial"/>
          <w:sz w:val="22"/>
          <w:szCs w:val="22"/>
        </w:rPr>
        <w:t xml:space="preserve"> </w:t>
      </w:r>
      <w:r w:rsidR="009B2C9D" w:rsidRPr="0029051A">
        <w:rPr>
          <w:rFonts w:asciiTheme="minorHAnsi" w:hAnsiTheme="minorHAnsi" w:cs="Arial"/>
          <w:sz w:val="22"/>
          <w:szCs w:val="22"/>
        </w:rPr>
        <w:t>including but</w:t>
      </w:r>
      <w:r w:rsidRPr="0029051A">
        <w:rPr>
          <w:rFonts w:asciiTheme="minorHAnsi" w:hAnsiTheme="minorHAnsi" w:cs="Arial"/>
          <w:sz w:val="22"/>
          <w:szCs w:val="22"/>
        </w:rPr>
        <w:t xml:space="preserve"> not limited to, the 20</w:t>
      </w:r>
      <w:r w:rsidR="00832EA5" w:rsidRPr="0029051A">
        <w:rPr>
          <w:rFonts w:asciiTheme="minorHAnsi" w:hAnsiTheme="minorHAnsi" w:cs="Arial"/>
          <w:sz w:val="22"/>
          <w:szCs w:val="22"/>
        </w:rPr>
        <w:t>16 Expansion Study, 2017 Energy Narrative NG Study</w:t>
      </w:r>
      <w:r w:rsidR="009B2C9D" w:rsidRPr="0029051A">
        <w:rPr>
          <w:rFonts w:asciiTheme="minorHAnsi" w:hAnsiTheme="minorHAnsi" w:cs="Arial"/>
          <w:sz w:val="22"/>
          <w:szCs w:val="22"/>
        </w:rPr>
        <w:t xml:space="preserve">, GPL’s </w:t>
      </w:r>
      <w:r w:rsidR="0029051A">
        <w:rPr>
          <w:rFonts w:asciiTheme="minorHAnsi" w:hAnsiTheme="minorHAnsi" w:cs="Arial"/>
          <w:sz w:val="22"/>
          <w:szCs w:val="22"/>
        </w:rPr>
        <w:t>Development and Expansion Study</w:t>
      </w:r>
      <w:r w:rsidR="00832EA5" w:rsidRPr="0029051A">
        <w:rPr>
          <w:rFonts w:asciiTheme="minorHAnsi" w:hAnsiTheme="minorHAnsi" w:cs="Arial"/>
          <w:sz w:val="22"/>
          <w:szCs w:val="22"/>
        </w:rPr>
        <w:t xml:space="preserve">, 2017 National Energy Policy (Draft), </w:t>
      </w:r>
      <w:r w:rsidR="009B2C9D" w:rsidRPr="0029051A">
        <w:rPr>
          <w:rFonts w:asciiTheme="minorHAnsi" w:hAnsiTheme="minorHAnsi" w:cs="Arial"/>
          <w:sz w:val="22"/>
          <w:szCs w:val="22"/>
        </w:rPr>
        <w:t xml:space="preserve">2017 </w:t>
      </w:r>
      <w:r w:rsidR="00832EA5" w:rsidRPr="0029051A">
        <w:rPr>
          <w:rFonts w:asciiTheme="minorHAnsi" w:hAnsiTheme="minorHAnsi" w:cs="Arial"/>
          <w:sz w:val="22"/>
          <w:szCs w:val="22"/>
        </w:rPr>
        <w:t>Policy Guidelines for the Diversification of the Electricity Matrix</w:t>
      </w:r>
      <w:r w:rsidR="00876D38">
        <w:rPr>
          <w:rFonts w:asciiTheme="minorHAnsi" w:hAnsiTheme="minorHAnsi" w:cs="Arial"/>
          <w:sz w:val="22"/>
          <w:szCs w:val="22"/>
        </w:rPr>
        <w:t>.</w:t>
      </w:r>
    </w:p>
    <w:p w:rsidR="009B6DEC" w:rsidRPr="0029051A" w:rsidRDefault="00955AA6"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29051A">
        <w:rPr>
          <w:rFonts w:asciiTheme="minorHAnsi" w:hAnsiTheme="minorHAnsi" w:cs="Arial"/>
          <w:sz w:val="22"/>
          <w:szCs w:val="22"/>
        </w:rPr>
        <w:t>Consult with main energy sector stakeholders including (</w:t>
      </w:r>
      <w:proofErr w:type="spellStart"/>
      <w:r w:rsidRPr="0029051A">
        <w:rPr>
          <w:rFonts w:asciiTheme="minorHAnsi" w:hAnsiTheme="minorHAnsi" w:cs="Arial"/>
          <w:sz w:val="22"/>
          <w:szCs w:val="22"/>
        </w:rPr>
        <w:t>i</w:t>
      </w:r>
      <w:proofErr w:type="spellEnd"/>
      <w:r w:rsidRPr="0029051A">
        <w:rPr>
          <w:rFonts w:asciiTheme="minorHAnsi" w:hAnsiTheme="minorHAnsi" w:cs="Arial"/>
          <w:sz w:val="22"/>
          <w:szCs w:val="22"/>
        </w:rPr>
        <w:t>) The Ministry of Public Infrastructure; (ii) The Guyana Energy Agency; (iii) the Guyana Power and Light Inc. and the Ministry of Natural Resources to gain a broad perspective the current state of the sector</w:t>
      </w:r>
      <w:r w:rsidR="008209C6">
        <w:rPr>
          <w:rFonts w:asciiTheme="minorHAnsi" w:hAnsiTheme="minorHAnsi" w:cs="Arial"/>
          <w:sz w:val="22"/>
          <w:szCs w:val="22"/>
        </w:rPr>
        <w:t xml:space="preserve">, </w:t>
      </w:r>
      <w:r w:rsidRPr="0029051A">
        <w:rPr>
          <w:rFonts w:asciiTheme="minorHAnsi" w:hAnsiTheme="minorHAnsi" w:cs="Arial"/>
          <w:sz w:val="22"/>
          <w:szCs w:val="22"/>
        </w:rPr>
        <w:t>polic</w:t>
      </w:r>
      <w:r w:rsidR="008209C6">
        <w:rPr>
          <w:rFonts w:asciiTheme="minorHAnsi" w:hAnsiTheme="minorHAnsi" w:cs="Arial"/>
          <w:sz w:val="22"/>
          <w:szCs w:val="22"/>
        </w:rPr>
        <w:t>ies</w:t>
      </w:r>
      <w:r w:rsidRPr="0029051A">
        <w:rPr>
          <w:rFonts w:asciiTheme="minorHAnsi" w:hAnsiTheme="minorHAnsi" w:cs="Arial"/>
          <w:sz w:val="22"/>
          <w:szCs w:val="22"/>
        </w:rPr>
        <w:t xml:space="preserve"> and strategies.</w:t>
      </w:r>
      <w:r w:rsidR="00832EA5" w:rsidRPr="0029051A">
        <w:rPr>
          <w:rFonts w:asciiTheme="minorHAnsi" w:hAnsiTheme="minorHAnsi" w:cs="Arial"/>
          <w:sz w:val="22"/>
          <w:szCs w:val="22"/>
        </w:rPr>
        <w:t xml:space="preserve"> </w:t>
      </w:r>
    </w:p>
    <w:p w:rsidR="00D135A6" w:rsidRPr="0029051A" w:rsidRDefault="00D135A6" w:rsidP="008148D5">
      <w:pPr>
        <w:numPr>
          <w:ilvl w:val="0"/>
          <w:numId w:val="17"/>
        </w:numPr>
        <w:spacing w:after="120" w:line="240" w:lineRule="auto"/>
        <w:jc w:val="both"/>
        <w:rPr>
          <w:rFonts w:eastAsia="Times New Roman" w:cs="Times New Roman"/>
        </w:rPr>
      </w:pPr>
      <w:r w:rsidRPr="0029051A">
        <w:rPr>
          <w:rFonts w:eastAsia="Times New Roman" w:cs="Times New Roman"/>
        </w:rPr>
        <w:t xml:space="preserve">Analyze </w:t>
      </w:r>
      <w:r w:rsidR="00CD29D7">
        <w:rPr>
          <w:rFonts w:eastAsia="Times New Roman" w:cs="Times New Roman"/>
        </w:rPr>
        <w:t xml:space="preserve">– and propose revisions when needed – on the </w:t>
      </w:r>
      <w:r w:rsidR="00ED0416" w:rsidRPr="0029051A">
        <w:rPr>
          <w:rFonts w:eastAsia="Times New Roman" w:cs="Times New Roman"/>
        </w:rPr>
        <w:t xml:space="preserve">main </w:t>
      </w:r>
      <w:r w:rsidR="008B0E3C" w:rsidRPr="0029051A">
        <w:rPr>
          <w:rFonts w:eastAsia="Times New Roman" w:cs="Times New Roman"/>
        </w:rPr>
        <w:t>indicators</w:t>
      </w:r>
      <w:r w:rsidR="00ED0416" w:rsidRPr="0029051A">
        <w:rPr>
          <w:rFonts w:eastAsia="Times New Roman" w:cs="Times New Roman"/>
        </w:rPr>
        <w:t xml:space="preserve"> of the </w:t>
      </w:r>
      <w:r w:rsidRPr="0029051A">
        <w:rPr>
          <w:rFonts w:eastAsia="Times New Roman" w:cs="Times New Roman"/>
        </w:rPr>
        <w:t>Guyana power sector</w:t>
      </w:r>
      <w:r w:rsidR="00ED0416" w:rsidRPr="0029051A">
        <w:rPr>
          <w:rFonts w:eastAsia="Times New Roman" w:cs="Times New Roman"/>
        </w:rPr>
        <w:t xml:space="preserve"> including the </w:t>
      </w:r>
      <w:r w:rsidRPr="0029051A">
        <w:rPr>
          <w:rFonts w:eastAsia="Times New Roman" w:cs="Times New Roman"/>
        </w:rPr>
        <w:t xml:space="preserve">current and projected electricity demand, </w:t>
      </w:r>
      <w:r w:rsidR="00ED0416" w:rsidRPr="0029051A">
        <w:rPr>
          <w:rFonts w:eastAsia="Times New Roman" w:cs="Times New Roman"/>
        </w:rPr>
        <w:t xml:space="preserve">and </w:t>
      </w:r>
      <w:r w:rsidRPr="0029051A">
        <w:rPr>
          <w:rFonts w:eastAsia="Times New Roman" w:cs="Times New Roman"/>
        </w:rPr>
        <w:t>current installed and effective power generation</w:t>
      </w:r>
      <w:r w:rsidR="00ED0416" w:rsidRPr="0029051A">
        <w:rPr>
          <w:rFonts w:eastAsia="Times New Roman" w:cs="Times New Roman"/>
        </w:rPr>
        <w:t xml:space="preserve"> and transmission</w:t>
      </w:r>
      <w:r w:rsidR="00660F6E" w:rsidRPr="0029051A">
        <w:rPr>
          <w:rFonts w:eastAsia="Times New Roman" w:cs="Times New Roman"/>
        </w:rPr>
        <w:t xml:space="preserve"> system</w:t>
      </w:r>
      <w:r w:rsidR="00ED0416" w:rsidRPr="0029051A">
        <w:rPr>
          <w:rFonts w:eastAsia="Times New Roman" w:cs="Times New Roman"/>
        </w:rPr>
        <w:t xml:space="preserve"> capacity</w:t>
      </w:r>
      <w:r w:rsidR="00876D38">
        <w:rPr>
          <w:rFonts w:eastAsia="Times New Roman" w:cs="Times New Roman"/>
        </w:rPr>
        <w:t>.</w:t>
      </w:r>
      <w:r w:rsidRPr="0029051A">
        <w:rPr>
          <w:rFonts w:eastAsia="Times New Roman" w:cs="Times New Roman"/>
        </w:rPr>
        <w:t xml:space="preserve"> </w:t>
      </w:r>
    </w:p>
    <w:p w:rsidR="00D135A6" w:rsidRPr="0029051A" w:rsidRDefault="00D135A6" w:rsidP="008148D5">
      <w:pPr>
        <w:numPr>
          <w:ilvl w:val="0"/>
          <w:numId w:val="17"/>
        </w:numPr>
        <w:spacing w:after="120" w:line="240" w:lineRule="auto"/>
        <w:jc w:val="both"/>
        <w:rPr>
          <w:rFonts w:eastAsia="Times New Roman" w:cs="Times New Roman"/>
        </w:rPr>
      </w:pPr>
      <w:r w:rsidRPr="0029051A">
        <w:rPr>
          <w:rFonts w:eastAsia="Times New Roman" w:cs="Times New Roman"/>
        </w:rPr>
        <w:t xml:space="preserve">Review the information related to the gas supply (volume, chemical composition, supply contract, prices, </w:t>
      </w:r>
      <w:r w:rsidR="004C736E">
        <w:rPr>
          <w:rFonts w:eastAsia="Times New Roman" w:cs="Times New Roman"/>
        </w:rPr>
        <w:t>other uses such as LPG</w:t>
      </w:r>
      <w:r w:rsidRPr="0029051A">
        <w:rPr>
          <w:rFonts w:eastAsia="Times New Roman" w:cs="Times New Roman"/>
        </w:rPr>
        <w:t>, etc.)</w:t>
      </w:r>
      <w:r w:rsidR="00876D38">
        <w:rPr>
          <w:rFonts w:eastAsia="Times New Roman" w:cs="Times New Roman"/>
        </w:rPr>
        <w:t xml:space="preserve"> that would be available from offshore production</w:t>
      </w:r>
      <w:r w:rsidRPr="0029051A">
        <w:rPr>
          <w:rFonts w:eastAsia="Times New Roman" w:cs="Times New Roman"/>
        </w:rPr>
        <w:t>.</w:t>
      </w:r>
    </w:p>
    <w:p w:rsidR="00D135A6" w:rsidRPr="003D4A29" w:rsidRDefault="00294B05"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29051A">
        <w:rPr>
          <w:rFonts w:asciiTheme="minorHAnsi" w:hAnsiTheme="minorHAnsi" w:cs="Arial"/>
          <w:sz w:val="22"/>
          <w:szCs w:val="22"/>
        </w:rPr>
        <w:t xml:space="preserve">Determine the technical </w:t>
      </w:r>
      <w:r w:rsidR="00660F6E" w:rsidRPr="0029051A">
        <w:rPr>
          <w:rFonts w:asciiTheme="minorHAnsi" w:hAnsiTheme="minorHAnsi" w:cs="Arial"/>
          <w:sz w:val="22"/>
          <w:szCs w:val="22"/>
        </w:rPr>
        <w:t xml:space="preserve">considerations for </w:t>
      </w:r>
      <w:r w:rsidRPr="0029051A">
        <w:rPr>
          <w:rFonts w:asciiTheme="minorHAnsi" w:hAnsiTheme="minorHAnsi" w:cs="Arial"/>
          <w:sz w:val="22"/>
          <w:szCs w:val="22"/>
        </w:rPr>
        <w:t xml:space="preserve">converting existing </w:t>
      </w:r>
      <w:r w:rsidR="00660F6E" w:rsidRPr="0029051A">
        <w:rPr>
          <w:rFonts w:asciiTheme="minorHAnsi" w:hAnsiTheme="minorHAnsi" w:cs="Arial"/>
          <w:sz w:val="22"/>
          <w:szCs w:val="22"/>
        </w:rPr>
        <w:t xml:space="preserve">oil-fired </w:t>
      </w:r>
      <w:r w:rsidRPr="0029051A">
        <w:rPr>
          <w:rFonts w:asciiTheme="minorHAnsi" w:hAnsiTheme="minorHAnsi" w:cs="Arial"/>
          <w:sz w:val="22"/>
          <w:szCs w:val="22"/>
        </w:rPr>
        <w:t>thermal power plants to natural gas</w:t>
      </w:r>
      <w:r w:rsidR="00A95D87">
        <w:rPr>
          <w:rFonts w:asciiTheme="minorHAnsi" w:hAnsiTheme="minorHAnsi" w:cs="Arial"/>
          <w:sz w:val="22"/>
          <w:szCs w:val="22"/>
        </w:rPr>
        <w:t xml:space="preserve"> and c</w:t>
      </w:r>
      <w:r w:rsidR="008209C6">
        <w:rPr>
          <w:rFonts w:asciiTheme="minorHAnsi" w:hAnsiTheme="minorHAnsi" w:cs="Arial"/>
          <w:sz w:val="22"/>
          <w:szCs w:val="22"/>
        </w:rPr>
        <w:t>alculate</w:t>
      </w:r>
      <w:r w:rsidR="00660F6E" w:rsidRPr="0029051A">
        <w:rPr>
          <w:rFonts w:asciiTheme="minorHAnsi" w:hAnsiTheme="minorHAnsi"/>
          <w:sz w:val="22"/>
          <w:szCs w:val="22"/>
        </w:rPr>
        <w:t xml:space="preserve"> the</w:t>
      </w:r>
      <w:r w:rsidR="00D135A6" w:rsidRPr="0029051A">
        <w:rPr>
          <w:rFonts w:asciiTheme="minorHAnsi" w:hAnsiTheme="minorHAnsi"/>
          <w:sz w:val="22"/>
          <w:szCs w:val="22"/>
        </w:rPr>
        <w:t xml:space="preserve"> investments needed </w:t>
      </w:r>
      <w:r w:rsidR="00B96E63" w:rsidRPr="0029051A">
        <w:rPr>
          <w:rFonts w:asciiTheme="minorHAnsi" w:hAnsiTheme="minorHAnsi"/>
          <w:sz w:val="22"/>
          <w:szCs w:val="22"/>
        </w:rPr>
        <w:t xml:space="preserve">and associated timelines for </w:t>
      </w:r>
      <w:r w:rsidR="00A95D87">
        <w:rPr>
          <w:rFonts w:asciiTheme="minorHAnsi" w:hAnsiTheme="minorHAnsi"/>
          <w:sz w:val="22"/>
          <w:szCs w:val="22"/>
        </w:rPr>
        <w:t xml:space="preserve">the </w:t>
      </w:r>
      <w:r w:rsidR="00B96E63" w:rsidRPr="0029051A">
        <w:rPr>
          <w:rFonts w:asciiTheme="minorHAnsi" w:hAnsiTheme="minorHAnsi"/>
          <w:sz w:val="22"/>
          <w:szCs w:val="22"/>
        </w:rPr>
        <w:t>conversion</w:t>
      </w:r>
      <w:r w:rsidR="00A95D87">
        <w:rPr>
          <w:rFonts w:asciiTheme="minorHAnsi" w:hAnsiTheme="minorHAnsi"/>
          <w:sz w:val="22"/>
          <w:szCs w:val="22"/>
        </w:rPr>
        <w:t xml:space="preserve">. </w:t>
      </w:r>
    </w:p>
    <w:p w:rsidR="00FD1A45" w:rsidRDefault="00FD1A45" w:rsidP="00FD1A4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29051A">
        <w:rPr>
          <w:rFonts w:asciiTheme="minorHAnsi" w:hAnsiTheme="minorHAnsi" w:cs="Arial"/>
          <w:sz w:val="22"/>
          <w:szCs w:val="22"/>
        </w:rPr>
        <w:t>Review best practices and lessons learned from other countries that have developed gas to power</w:t>
      </w:r>
      <w:r>
        <w:rPr>
          <w:rFonts w:asciiTheme="minorHAnsi" w:hAnsiTheme="minorHAnsi" w:cs="Arial"/>
          <w:sz w:val="22"/>
          <w:szCs w:val="22"/>
        </w:rPr>
        <w:t xml:space="preserve"> projects, </w:t>
      </w:r>
      <w:proofErr w:type="gramStart"/>
      <w:r>
        <w:rPr>
          <w:rFonts w:asciiTheme="minorHAnsi" w:hAnsiTheme="minorHAnsi" w:cs="Arial"/>
          <w:sz w:val="22"/>
          <w:szCs w:val="22"/>
        </w:rPr>
        <w:t>in particular those</w:t>
      </w:r>
      <w:proofErr w:type="gramEnd"/>
      <w:r>
        <w:rPr>
          <w:rFonts w:asciiTheme="minorHAnsi" w:hAnsiTheme="minorHAnsi" w:cs="Arial"/>
          <w:sz w:val="22"/>
          <w:szCs w:val="22"/>
        </w:rPr>
        <w:t xml:space="preserve"> in developing and emerging countries.</w:t>
      </w:r>
    </w:p>
    <w:p w:rsidR="00294B05" w:rsidRDefault="00876D38"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29051A">
        <w:rPr>
          <w:rFonts w:asciiTheme="minorHAnsi" w:hAnsiTheme="minorHAnsi" w:cs="Arial"/>
          <w:sz w:val="22"/>
          <w:szCs w:val="22"/>
        </w:rPr>
        <w:t xml:space="preserve">Establish the breakeven cost of electricity for the investment forecasts and its robustness against </w:t>
      </w:r>
      <w:r w:rsidR="00977949">
        <w:rPr>
          <w:rFonts w:asciiTheme="minorHAnsi" w:hAnsiTheme="minorHAnsi" w:cs="Arial"/>
          <w:sz w:val="22"/>
          <w:szCs w:val="22"/>
        </w:rPr>
        <w:t>domestic</w:t>
      </w:r>
      <w:r>
        <w:rPr>
          <w:rFonts w:asciiTheme="minorHAnsi" w:hAnsiTheme="minorHAnsi" w:cs="Arial"/>
          <w:sz w:val="22"/>
          <w:szCs w:val="22"/>
        </w:rPr>
        <w:t xml:space="preserve"> and </w:t>
      </w:r>
      <w:r w:rsidRPr="0029051A">
        <w:rPr>
          <w:rFonts w:asciiTheme="minorHAnsi" w:hAnsiTheme="minorHAnsi" w:cs="Arial"/>
          <w:sz w:val="22"/>
          <w:szCs w:val="22"/>
        </w:rPr>
        <w:t>international gas price sensitivities for both the converted plants and the new plant.</w:t>
      </w:r>
    </w:p>
    <w:p w:rsidR="00FD1A45" w:rsidRPr="008148D5" w:rsidRDefault="00C578A3" w:rsidP="008148D5">
      <w:pPr>
        <w:widowControl w:val="0"/>
        <w:autoSpaceDE w:val="0"/>
        <w:autoSpaceDN w:val="0"/>
        <w:adjustRightInd w:val="0"/>
        <w:spacing w:after="120"/>
        <w:jc w:val="both"/>
        <w:rPr>
          <w:rFonts w:cs="Arial"/>
          <w:b/>
        </w:rPr>
      </w:pPr>
      <w:r>
        <w:rPr>
          <w:rFonts w:cs="Arial"/>
          <w:b/>
        </w:rPr>
        <w:t>Part</w:t>
      </w:r>
      <w:r w:rsidR="00FD1A45" w:rsidRPr="008148D5">
        <w:rPr>
          <w:rFonts w:cs="Arial"/>
          <w:b/>
        </w:rPr>
        <w:t xml:space="preserve"> II</w:t>
      </w:r>
      <w:r w:rsidR="00CD29D7">
        <w:rPr>
          <w:rFonts w:cs="Arial"/>
          <w:b/>
        </w:rPr>
        <w:t xml:space="preserve"> – Technical and economic evaluation </w:t>
      </w:r>
    </w:p>
    <w:p w:rsidR="00294B05" w:rsidRPr="0029051A" w:rsidRDefault="00294B05"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29051A">
        <w:rPr>
          <w:rFonts w:asciiTheme="minorHAnsi" w:hAnsiTheme="minorHAnsi" w:cs="Arial"/>
          <w:sz w:val="22"/>
          <w:szCs w:val="22"/>
        </w:rPr>
        <w:t xml:space="preserve">Assess the </w:t>
      </w:r>
      <w:r w:rsidR="00CD29D7">
        <w:rPr>
          <w:rFonts w:asciiTheme="minorHAnsi" w:hAnsiTheme="minorHAnsi" w:cs="Arial"/>
          <w:sz w:val="22"/>
          <w:szCs w:val="22"/>
        </w:rPr>
        <w:t xml:space="preserve">technical and economic </w:t>
      </w:r>
      <w:r w:rsidRPr="0029051A">
        <w:rPr>
          <w:rFonts w:asciiTheme="minorHAnsi" w:hAnsiTheme="minorHAnsi" w:cs="Arial"/>
          <w:sz w:val="22"/>
          <w:szCs w:val="22"/>
        </w:rPr>
        <w:t xml:space="preserve">feasibility of </w:t>
      </w:r>
      <w:r w:rsidR="00955AA6" w:rsidRPr="0029051A">
        <w:rPr>
          <w:rFonts w:asciiTheme="minorHAnsi" w:hAnsiTheme="minorHAnsi" w:cs="Arial"/>
          <w:sz w:val="22"/>
          <w:szCs w:val="22"/>
        </w:rPr>
        <w:t>installing</w:t>
      </w:r>
      <w:r w:rsidR="00D135A6" w:rsidRPr="0029051A">
        <w:rPr>
          <w:rFonts w:asciiTheme="minorHAnsi" w:hAnsiTheme="minorHAnsi" w:cs="Arial"/>
          <w:sz w:val="22"/>
          <w:szCs w:val="22"/>
        </w:rPr>
        <w:t xml:space="preserve"> a new</w:t>
      </w:r>
      <w:r w:rsidR="00832EA5" w:rsidRPr="0029051A">
        <w:rPr>
          <w:rFonts w:asciiTheme="minorHAnsi" w:hAnsiTheme="minorHAnsi" w:cs="Arial"/>
          <w:sz w:val="22"/>
          <w:szCs w:val="22"/>
        </w:rPr>
        <w:t xml:space="preserve"> </w:t>
      </w:r>
      <w:r w:rsidR="00CD29D7">
        <w:rPr>
          <w:rFonts w:asciiTheme="minorHAnsi" w:hAnsiTheme="minorHAnsi" w:cs="Arial"/>
          <w:sz w:val="22"/>
          <w:szCs w:val="22"/>
        </w:rPr>
        <w:t>n</w:t>
      </w:r>
      <w:r w:rsidR="00832EA5" w:rsidRPr="0029051A">
        <w:rPr>
          <w:rFonts w:asciiTheme="minorHAnsi" w:hAnsiTheme="minorHAnsi" w:cs="Arial"/>
          <w:sz w:val="22"/>
          <w:szCs w:val="22"/>
        </w:rPr>
        <w:t xml:space="preserve">atural </w:t>
      </w:r>
      <w:r w:rsidR="00CD29D7">
        <w:rPr>
          <w:rFonts w:asciiTheme="minorHAnsi" w:hAnsiTheme="minorHAnsi" w:cs="Arial"/>
          <w:sz w:val="22"/>
          <w:szCs w:val="22"/>
        </w:rPr>
        <w:t>g</w:t>
      </w:r>
      <w:r w:rsidR="00832EA5" w:rsidRPr="0029051A">
        <w:rPr>
          <w:rFonts w:asciiTheme="minorHAnsi" w:hAnsiTheme="minorHAnsi" w:cs="Arial"/>
          <w:sz w:val="22"/>
          <w:szCs w:val="22"/>
        </w:rPr>
        <w:t xml:space="preserve">as </w:t>
      </w:r>
      <w:r w:rsidR="00CD29D7">
        <w:rPr>
          <w:rFonts w:asciiTheme="minorHAnsi" w:hAnsiTheme="minorHAnsi" w:cs="Arial"/>
          <w:sz w:val="22"/>
          <w:szCs w:val="22"/>
        </w:rPr>
        <w:t>p</w:t>
      </w:r>
      <w:r w:rsidR="00832EA5" w:rsidRPr="0029051A">
        <w:rPr>
          <w:rFonts w:asciiTheme="minorHAnsi" w:hAnsiTheme="minorHAnsi" w:cs="Arial"/>
          <w:sz w:val="22"/>
          <w:szCs w:val="22"/>
        </w:rPr>
        <w:t xml:space="preserve">ower plant </w:t>
      </w:r>
      <w:r w:rsidRPr="0029051A">
        <w:rPr>
          <w:rFonts w:asciiTheme="minorHAnsi" w:hAnsiTheme="minorHAnsi" w:cs="Arial"/>
          <w:sz w:val="22"/>
          <w:szCs w:val="22"/>
        </w:rPr>
        <w:t>by</w:t>
      </w:r>
      <w:r w:rsidR="00470976" w:rsidRPr="0029051A">
        <w:rPr>
          <w:rFonts w:asciiTheme="minorHAnsi" w:hAnsiTheme="minorHAnsi" w:cs="Arial"/>
          <w:sz w:val="22"/>
          <w:szCs w:val="22"/>
        </w:rPr>
        <w:t xml:space="preserve"> conducting at least the following activities</w:t>
      </w:r>
      <w:r w:rsidR="00D135A6" w:rsidRPr="0029051A">
        <w:rPr>
          <w:rFonts w:asciiTheme="minorHAnsi" w:hAnsiTheme="minorHAnsi" w:cs="Arial"/>
          <w:sz w:val="22"/>
          <w:szCs w:val="22"/>
        </w:rPr>
        <w:t>:</w:t>
      </w:r>
    </w:p>
    <w:p w:rsidR="00B50CCA" w:rsidRPr="0029051A" w:rsidRDefault="00470976" w:rsidP="008148D5">
      <w:pPr>
        <w:pStyle w:val="ListParagraph"/>
        <w:widowControl w:val="0"/>
        <w:numPr>
          <w:ilvl w:val="1"/>
          <w:numId w:val="5"/>
        </w:numPr>
        <w:autoSpaceDE w:val="0"/>
        <w:autoSpaceDN w:val="0"/>
        <w:adjustRightInd w:val="0"/>
        <w:spacing w:after="120"/>
        <w:ind w:left="720" w:hanging="270"/>
        <w:contextualSpacing w:val="0"/>
        <w:jc w:val="both"/>
        <w:rPr>
          <w:rFonts w:asciiTheme="minorHAnsi" w:hAnsiTheme="minorHAnsi" w:cs="Arial"/>
          <w:sz w:val="22"/>
          <w:szCs w:val="22"/>
        </w:rPr>
      </w:pPr>
      <w:r w:rsidRPr="0029051A">
        <w:rPr>
          <w:rFonts w:asciiTheme="minorHAnsi" w:hAnsiTheme="minorHAnsi" w:cs="Arial"/>
          <w:sz w:val="22"/>
          <w:szCs w:val="22"/>
        </w:rPr>
        <w:t xml:space="preserve">Analyze </w:t>
      </w:r>
      <w:r w:rsidR="00294B05" w:rsidRPr="0029051A">
        <w:rPr>
          <w:rFonts w:asciiTheme="minorHAnsi" w:hAnsiTheme="minorHAnsi" w:cs="Arial"/>
          <w:sz w:val="22"/>
          <w:szCs w:val="22"/>
        </w:rPr>
        <w:t>the current</w:t>
      </w:r>
      <w:r w:rsidR="00D135A6" w:rsidRPr="0029051A">
        <w:rPr>
          <w:rFonts w:asciiTheme="minorHAnsi" w:hAnsiTheme="minorHAnsi" w:cs="Arial"/>
          <w:sz w:val="22"/>
          <w:szCs w:val="22"/>
        </w:rPr>
        <w:t xml:space="preserve"> power generation system</w:t>
      </w:r>
      <w:r w:rsidR="00B601F4" w:rsidRPr="0029051A">
        <w:rPr>
          <w:rFonts w:asciiTheme="minorHAnsi" w:hAnsiTheme="minorHAnsi" w:cs="Arial"/>
          <w:sz w:val="22"/>
          <w:szCs w:val="22"/>
        </w:rPr>
        <w:t xml:space="preserve"> and associated infrastructure</w:t>
      </w:r>
      <w:r w:rsidR="00955AA6" w:rsidRPr="0029051A">
        <w:rPr>
          <w:rFonts w:asciiTheme="minorHAnsi" w:hAnsiTheme="minorHAnsi" w:cs="Arial"/>
          <w:sz w:val="22"/>
          <w:szCs w:val="22"/>
        </w:rPr>
        <w:t>.</w:t>
      </w:r>
      <w:r w:rsidR="00832EA5" w:rsidRPr="0029051A">
        <w:rPr>
          <w:rFonts w:asciiTheme="minorHAnsi" w:hAnsiTheme="minorHAnsi" w:cs="Arial"/>
          <w:sz w:val="22"/>
          <w:szCs w:val="22"/>
        </w:rPr>
        <w:t xml:space="preserve"> Recommend an optimal </w:t>
      </w:r>
      <w:r w:rsidR="009203D5" w:rsidRPr="0029051A">
        <w:rPr>
          <w:rFonts w:asciiTheme="minorHAnsi" w:hAnsiTheme="minorHAnsi" w:cs="Arial"/>
          <w:sz w:val="22"/>
          <w:szCs w:val="22"/>
        </w:rPr>
        <w:t xml:space="preserve">natural gas power </w:t>
      </w:r>
      <w:r w:rsidR="00832EA5" w:rsidRPr="0029051A">
        <w:rPr>
          <w:rFonts w:asciiTheme="minorHAnsi" w:hAnsiTheme="minorHAnsi" w:cs="Arial"/>
          <w:sz w:val="22"/>
          <w:szCs w:val="22"/>
        </w:rPr>
        <w:t xml:space="preserve">plant </w:t>
      </w:r>
      <w:r w:rsidR="009203D5" w:rsidRPr="0029051A">
        <w:rPr>
          <w:rFonts w:asciiTheme="minorHAnsi" w:hAnsiTheme="minorHAnsi" w:cs="Arial"/>
          <w:sz w:val="22"/>
          <w:szCs w:val="22"/>
        </w:rPr>
        <w:t>capacity</w:t>
      </w:r>
      <w:r w:rsidR="006029DC">
        <w:rPr>
          <w:rFonts w:asciiTheme="minorHAnsi" w:hAnsiTheme="minorHAnsi" w:cs="Arial"/>
          <w:sz w:val="22"/>
          <w:szCs w:val="22"/>
        </w:rPr>
        <w:t xml:space="preserve"> </w:t>
      </w:r>
      <w:r w:rsidR="008209C6">
        <w:rPr>
          <w:rFonts w:asciiTheme="minorHAnsi" w:hAnsiTheme="minorHAnsi" w:cs="Arial"/>
          <w:sz w:val="22"/>
          <w:szCs w:val="22"/>
        </w:rPr>
        <w:t>(</w:t>
      </w:r>
      <w:r w:rsidR="006029DC">
        <w:rPr>
          <w:rFonts w:asciiTheme="minorHAnsi" w:hAnsiTheme="minorHAnsi" w:cs="Arial"/>
          <w:sz w:val="22"/>
          <w:szCs w:val="22"/>
        </w:rPr>
        <w:t xml:space="preserve">and its </w:t>
      </w:r>
      <w:r w:rsidR="006029DC" w:rsidRPr="0029051A">
        <w:rPr>
          <w:rFonts w:asciiTheme="minorHAnsi" w:hAnsiTheme="minorHAnsi" w:cs="Arial"/>
          <w:sz w:val="22"/>
          <w:szCs w:val="22"/>
        </w:rPr>
        <w:t>resulting cost of electricity</w:t>
      </w:r>
      <w:r w:rsidR="008209C6">
        <w:rPr>
          <w:rFonts w:asciiTheme="minorHAnsi" w:hAnsiTheme="minorHAnsi" w:cs="Arial"/>
          <w:sz w:val="22"/>
          <w:szCs w:val="22"/>
        </w:rPr>
        <w:t>)</w:t>
      </w:r>
      <w:r w:rsidR="000E0F7F" w:rsidRPr="0029051A">
        <w:rPr>
          <w:rFonts w:asciiTheme="minorHAnsi" w:hAnsiTheme="minorHAnsi" w:cs="Arial"/>
          <w:sz w:val="22"/>
          <w:szCs w:val="22"/>
        </w:rPr>
        <w:t>,</w:t>
      </w:r>
      <w:r w:rsidR="009203D5" w:rsidRPr="0029051A">
        <w:rPr>
          <w:rFonts w:asciiTheme="minorHAnsi" w:hAnsiTheme="minorHAnsi" w:cs="Arial"/>
          <w:sz w:val="22"/>
          <w:szCs w:val="22"/>
        </w:rPr>
        <w:t xml:space="preserve"> </w:t>
      </w:r>
      <w:r w:rsidR="00832EA5" w:rsidRPr="0029051A">
        <w:rPr>
          <w:rFonts w:asciiTheme="minorHAnsi" w:hAnsiTheme="minorHAnsi" w:cs="Arial"/>
          <w:sz w:val="22"/>
          <w:szCs w:val="22"/>
        </w:rPr>
        <w:t xml:space="preserve">considering future </w:t>
      </w:r>
      <w:r w:rsidR="002815D1" w:rsidRPr="0029051A">
        <w:rPr>
          <w:rFonts w:asciiTheme="minorHAnsi" w:hAnsiTheme="minorHAnsi" w:cs="Arial"/>
          <w:sz w:val="22"/>
          <w:szCs w:val="22"/>
        </w:rPr>
        <w:t>developments of Renewable Energy p</w:t>
      </w:r>
      <w:r w:rsidR="00832EA5" w:rsidRPr="0029051A">
        <w:rPr>
          <w:rFonts w:asciiTheme="minorHAnsi" w:hAnsiTheme="minorHAnsi" w:cs="Arial"/>
          <w:sz w:val="22"/>
          <w:szCs w:val="22"/>
        </w:rPr>
        <w:t xml:space="preserve">ower </w:t>
      </w:r>
      <w:r w:rsidR="002815D1" w:rsidRPr="0029051A">
        <w:rPr>
          <w:rFonts w:asciiTheme="minorHAnsi" w:hAnsiTheme="minorHAnsi" w:cs="Arial"/>
          <w:sz w:val="22"/>
          <w:szCs w:val="22"/>
        </w:rPr>
        <w:t xml:space="preserve">generation </w:t>
      </w:r>
      <w:r w:rsidR="00832EA5" w:rsidRPr="0029051A">
        <w:rPr>
          <w:rFonts w:asciiTheme="minorHAnsi" w:hAnsiTheme="minorHAnsi" w:cs="Arial"/>
          <w:sz w:val="22"/>
          <w:szCs w:val="22"/>
        </w:rPr>
        <w:t>plants</w:t>
      </w:r>
      <w:r w:rsidR="002815D1" w:rsidRPr="0029051A">
        <w:rPr>
          <w:rFonts w:asciiTheme="minorHAnsi" w:hAnsiTheme="minorHAnsi" w:cs="Arial"/>
          <w:sz w:val="22"/>
          <w:szCs w:val="22"/>
        </w:rPr>
        <w:t xml:space="preserve"> in the long run</w:t>
      </w:r>
      <w:r w:rsidR="000E0F7F" w:rsidRPr="0029051A">
        <w:rPr>
          <w:rFonts w:asciiTheme="minorHAnsi" w:hAnsiTheme="minorHAnsi" w:cs="Arial"/>
          <w:sz w:val="22"/>
          <w:szCs w:val="22"/>
        </w:rPr>
        <w:t>,</w:t>
      </w:r>
      <w:r w:rsidR="009203D5" w:rsidRPr="0029051A">
        <w:rPr>
          <w:rFonts w:asciiTheme="minorHAnsi" w:hAnsiTheme="minorHAnsi" w:cs="Arial"/>
          <w:sz w:val="22"/>
          <w:szCs w:val="22"/>
        </w:rPr>
        <w:t xml:space="preserve"> and </w:t>
      </w:r>
      <w:r w:rsidR="000E0F7F" w:rsidRPr="0029051A">
        <w:rPr>
          <w:rFonts w:asciiTheme="minorHAnsi" w:hAnsiTheme="minorHAnsi" w:cs="Arial"/>
          <w:sz w:val="22"/>
          <w:szCs w:val="22"/>
        </w:rPr>
        <w:t xml:space="preserve">recent </w:t>
      </w:r>
      <w:r w:rsidR="009203D5" w:rsidRPr="0029051A">
        <w:rPr>
          <w:rFonts w:asciiTheme="minorHAnsi" w:hAnsiTheme="minorHAnsi" w:cs="Arial"/>
          <w:sz w:val="22"/>
          <w:szCs w:val="22"/>
        </w:rPr>
        <w:t>electricity demand projections</w:t>
      </w:r>
      <w:r w:rsidR="00832EA5" w:rsidRPr="0029051A">
        <w:rPr>
          <w:rFonts w:asciiTheme="minorHAnsi" w:hAnsiTheme="minorHAnsi" w:cs="Arial"/>
          <w:sz w:val="22"/>
          <w:szCs w:val="22"/>
        </w:rPr>
        <w:t xml:space="preserve">. </w:t>
      </w:r>
    </w:p>
    <w:p w:rsidR="006029DC" w:rsidRPr="008148D5" w:rsidRDefault="006029DC" w:rsidP="008148D5">
      <w:pPr>
        <w:pStyle w:val="ListParagraph"/>
        <w:widowControl w:val="0"/>
        <w:numPr>
          <w:ilvl w:val="1"/>
          <w:numId w:val="5"/>
        </w:numPr>
        <w:autoSpaceDE w:val="0"/>
        <w:autoSpaceDN w:val="0"/>
        <w:adjustRightInd w:val="0"/>
        <w:spacing w:after="120"/>
        <w:ind w:left="720" w:hanging="270"/>
        <w:contextualSpacing w:val="0"/>
        <w:jc w:val="both"/>
        <w:rPr>
          <w:rFonts w:asciiTheme="minorHAnsi" w:hAnsiTheme="minorHAnsi" w:cs="Arial"/>
          <w:sz w:val="22"/>
          <w:szCs w:val="22"/>
        </w:rPr>
      </w:pPr>
      <w:r w:rsidRPr="008148D5">
        <w:rPr>
          <w:rFonts w:asciiTheme="minorHAnsi" w:hAnsiTheme="minorHAnsi"/>
          <w:sz w:val="22"/>
          <w:szCs w:val="22"/>
        </w:rPr>
        <w:t xml:space="preserve">Establish potential locations for the proposed new gas-fired power plants </w:t>
      </w:r>
      <w:r w:rsidRPr="008148D5">
        <w:rPr>
          <w:rFonts w:asciiTheme="minorHAnsi" w:hAnsiTheme="minorHAnsi" w:cs="Arial"/>
          <w:sz w:val="22"/>
          <w:szCs w:val="22"/>
        </w:rPr>
        <w:t>considering space availability, plant layout options, proximity to transmission infrastructure</w:t>
      </w:r>
      <w:r w:rsidR="008209C6" w:rsidRPr="008148D5">
        <w:rPr>
          <w:rFonts w:asciiTheme="minorHAnsi" w:hAnsiTheme="minorHAnsi" w:cs="Arial"/>
          <w:sz w:val="22"/>
          <w:szCs w:val="22"/>
        </w:rPr>
        <w:t>,</w:t>
      </w:r>
      <w:r w:rsidRPr="008148D5">
        <w:rPr>
          <w:rFonts w:asciiTheme="minorHAnsi" w:hAnsiTheme="minorHAnsi" w:cs="Arial"/>
          <w:sz w:val="22"/>
          <w:szCs w:val="22"/>
        </w:rPr>
        <w:t xml:space="preserve"> and potential environmental and social impacts.</w:t>
      </w:r>
      <w:r w:rsidR="00B50CCA" w:rsidRPr="00B50CCA">
        <w:t xml:space="preserve"> </w:t>
      </w:r>
      <w:r w:rsidR="00B50CCA" w:rsidRPr="008148D5">
        <w:rPr>
          <w:rFonts w:asciiTheme="minorHAnsi" w:hAnsiTheme="minorHAnsi" w:cs="Arial"/>
          <w:sz w:val="22"/>
          <w:szCs w:val="22"/>
        </w:rPr>
        <w:t>Estimate the required gas pipeline investments and associated construction terms to deliver natural gas to each of the future dual fuel power plants</w:t>
      </w:r>
    </w:p>
    <w:p w:rsidR="00D135A6" w:rsidRPr="0029051A" w:rsidRDefault="00D135A6" w:rsidP="008148D5">
      <w:pPr>
        <w:pStyle w:val="ListParagraph"/>
        <w:widowControl w:val="0"/>
        <w:numPr>
          <w:ilvl w:val="1"/>
          <w:numId w:val="5"/>
        </w:numPr>
        <w:autoSpaceDE w:val="0"/>
        <w:autoSpaceDN w:val="0"/>
        <w:adjustRightInd w:val="0"/>
        <w:spacing w:after="120"/>
        <w:ind w:left="720" w:hanging="270"/>
        <w:contextualSpacing w:val="0"/>
        <w:jc w:val="both"/>
        <w:rPr>
          <w:rFonts w:asciiTheme="minorHAnsi" w:hAnsiTheme="minorHAnsi" w:cs="Arial"/>
          <w:sz w:val="22"/>
          <w:szCs w:val="22"/>
        </w:rPr>
      </w:pPr>
      <w:r w:rsidRPr="0029051A">
        <w:rPr>
          <w:rFonts w:asciiTheme="minorHAnsi" w:hAnsiTheme="minorHAnsi"/>
          <w:sz w:val="22"/>
          <w:szCs w:val="22"/>
        </w:rPr>
        <w:t xml:space="preserve">Propose alternatives </w:t>
      </w:r>
      <w:r w:rsidR="008209C6">
        <w:rPr>
          <w:rFonts w:asciiTheme="minorHAnsi" w:hAnsiTheme="minorHAnsi"/>
          <w:sz w:val="22"/>
          <w:szCs w:val="22"/>
        </w:rPr>
        <w:t xml:space="preserve">with </w:t>
      </w:r>
      <w:r w:rsidR="00CC2F12">
        <w:rPr>
          <w:rFonts w:asciiTheme="minorHAnsi" w:hAnsiTheme="minorHAnsi"/>
          <w:sz w:val="22"/>
          <w:szCs w:val="22"/>
        </w:rPr>
        <w:t xml:space="preserve">a cost-benefit analysis </w:t>
      </w:r>
      <w:r w:rsidR="000E0F7F" w:rsidRPr="0029051A">
        <w:rPr>
          <w:rFonts w:asciiTheme="minorHAnsi" w:hAnsiTheme="minorHAnsi"/>
          <w:sz w:val="22"/>
          <w:szCs w:val="22"/>
        </w:rPr>
        <w:t xml:space="preserve">for the </w:t>
      </w:r>
      <w:r w:rsidRPr="0029051A">
        <w:rPr>
          <w:rFonts w:asciiTheme="minorHAnsi" w:hAnsiTheme="minorHAnsi"/>
          <w:sz w:val="22"/>
          <w:szCs w:val="22"/>
        </w:rPr>
        <w:t>deploy</w:t>
      </w:r>
      <w:r w:rsidR="000E0F7F" w:rsidRPr="0029051A">
        <w:rPr>
          <w:rFonts w:asciiTheme="minorHAnsi" w:hAnsiTheme="minorHAnsi"/>
          <w:sz w:val="22"/>
          <w:szCs w:val="22"/>
        </w:rPr>
        <w:t>ment</w:t>
      </w:r>
      <w:r w:rsidRPr="0029051A">
        <w:rPr>
          <w:rFonts w:asciiTheme="minorHAnsi" w:hAnsiTheme="minorHAnsi"/>
          <w:sz w:val="22"/>
          <w:szCs w:val="22"/>
        </w:rPr>
        <w:t xml:space="preserve"> </w:t>
      </w:r>
      <w:r w:rsidR="000E0F7F" w:rsidRPr="0029051A">
        <w:rPr>
          <w:rFonts w:asciiTheme="minorHAnsi" w:hAnsiTheme="minorHAnsi"/>
          <w:sz w:val="22"/>
          <w:szCs w:val="22"/>
        </w:rPr>
        <w:t>of gas-fired power plants</w:t>
      </w:r>
      <w:r w:rsidRPr="0029051A">
        <w:rPr>
          <w:rFonts w:asciiTheme="minorHAnsi" w:hAnsiTheme="minorHAnsi"/>
          <w:sz w:val="22"/>
          <w:szCs w:val="22"/>
        </w:rPr>
        <w:t>, including at least: (</w:t>
      </w:r>
      <w:proofErr w:type="spellStart"/>
      <w:r w:rsidRPr="0029051A">
        <w:rPr>
          <w:rFonts w:asciiTheme="minorHAnsi" w:hAnsiTheme="minorHAnsi"/>
          <w:sz w:val="22"/>
          <w:szCs w:val="22"/>
        </w:rPr>
        <w:t>i</w:t>
      </w:r>
      <w:proofErr w:type="spellEnd"/>
      <w:r w:rsidRPr="0029051A">
        <w:rPr>
          <w:rFonts w:asciiTheme="minorHAnsi" w:hAnsiTheme="minorHAnsi"/>
          <w:sz w:val="22"/>
          <w:szCs w:val="22"/>
        </w:rPr>
        <w:t>) a combine</w:t>
      </w:r>
      <w:r w:rsidR="000E0F7F" w:rsidRPr="0029051A">
        <w:rPr>
          <w:rFonts w:asciiTheme="minorHAnsi" w:hAnsiTheme="minorHAnsi"/>
          <w:sz w:val="22"/>
          <w:szCs w:val="22"/>
        </w:rPr>
        <w:t>d-</w:t>
      </w:r>
      <w:r w:rsidRPr="0029051A">
        <w:rPr>
          <w:rFonts w:asciiTheme="minorHAnsi" w:hAnsiTheme="minorHAnsi"/>
          <w:sz w:val="22"/>
          <w:szCs w:val="22"/>
        </w:rPr>
        <w:t xml:space="preserve">cycle of 200 MW, (ii) an open cycle of 100 MW, (iii) the conversion to gas of all existent power plants, (iv) an open cycle of 100 MW combined with the conversion to gas of all the existent power plants, or (v) any other combination that the </w:t>
      </w:r>
      <w:r w:rsidR="00C578A3">
        <w:rPr>
          <w:rFonts w:asciiTheme="minorHAnsi" w:hAnsiTheme="minorHAnsi"/>
          <w:sz w:val="22"/>
          <w:szCs w:val="22"/>
        </w:rPr>
        <w:t>c</w:t>
      </w:r>
      <w:r w:rsidRPr="0029051A">
        <w:rPr>
          <w:rFonts w:asciiTheme="minorHAnsi" w:hAnsiTheme="minorHAnsi"/>
          <w:sz w:val="22"/>
          <w:szCs w:val="22"/>
        </w:rPr>
        <w:t>onsultant considers is appropriate.</w:t>
      </w:r>
    </w:p>
    <w:p w:rsidR="00D135A6" w:rsidRPr="003D4A29" w:rsidRDefault="00294B05" w:rsidP="008148D5">
      <w:pPr>
        <w:pStyle w:val="ListParagraph"/>
        <w:widowControl w:val="0"/>
        <w:numPr>
          <w:ilvl w:val="1"/>
          <w:numId w:val="5"/>
        </w:numPr>
        <w:autoSpaceDE w:val="0"/>
        <w:autoSpaceDN w:val="0"/>
        <w:adjustRightInd w:val="0"/>
        <w:spacing w:after="120"/>
        <w:ind w:left="720" w:hanging="270"/>
        <w:contextualSpacing w:val="0"/>
        <w:jc w:val="both"/>
        <w:rPr>
          <w:rFonts w:asciiTheme="minorHAnsi" w:hAnsiTheme="minorHAnsi" w:cs="Arial"/>
          <w:sz w:val="22"/>
          <w:szCs w:val="22"/>
        </w:rPr>
      </w:pPr>
      <w:r w:rsidRPr="00EE3E0B">
        <w:rPr>
          <w:rFonts w:asciiTheme="minorHAnsi" w:hAnsiTheme="minorHAnsi" w:cs="Arial"/>
          <w:sz w:val="22"/>
          <w:szCs w:val="22"/>
        </w:rPr>
        <w:lastRenderedPageBreak/>
        <w:t xml:space="preserve">Determine </w:t>
      </w:r>
      <w:r w:rsidR="00D135A6" w:rsidRPr="00EE3E0B">
        <w:rPr>
          <w:rFonts w:asciiTheme="minorHAnsi" w:hAnsiTheme="minorHAnsi"/>
          <w:sz w:val="22"/>
          <w:szCs w:val="22"/>
        </w:rPr>
        <w:t xml:space="preserve">the two best alternatives </w:t>
      </w:r>
      <w:r w:rsidR="007831EE">
        <w:rPr>
          <w:rFonts w:asciiTheme="minorHAnsi" w:hAnsiTheme="minorHAnsi"/>
          <w:sz w:val="22"/>
          <w:szCs w:val="22"/>
        </w:rPr>
        <w:t xml:space="preserve">(and their trade-offs) </w:t>
      </w:r>
      <w:r w:rsidR="00D135A6" w:rsidRPr="00EE3E0B">
        <w:rPr>
          <w:rFonts w:asciiTheme="minorHAnsi" w:hAnsiTheme="minorHAnsi"/>
          <w:sz w:val="22"/>
          <w:szCs w:val="22"/>
        </w:rPr>
        <w:t>to deploy natural gas to power</w:t>
      </w:r>
      <w:r w:rsidR="004C736E">
        <w:rPr>
          <w:rFonts w:asciiTheme="minorHAnsi" w:hAnsiTheme="minorHAnsi"/>
          <w:sz w:val="22"/>
          <w:szCs w:val="22"/>
        </w:rPr>
        <w:t>, and make a re</w:t>
      </w:r>
      <w:r w:rsidR="00FC3BEA">
        <w:rPr>
          <w:rFonts w:asciiTheme="minorHAnsi" w:hAnsiTheme="minorHAnsi"/>
          <w:sz w:val="22"/>
          <w:szCs w:val="22"/>
        </w:rPr>
        <w:t>commendation on the best option</w:t>
      </w:r>
      <w:r w:rsidR="00D135A6" w:rsidRPr="00EE3E0B">
        <w:rPr>
          <w:rFonts w:asciiTheme="minorHAnsi" w:hAnsiTheme="minorHAnsi"/>
          <w:sz w:val="22"/>
          <w:szCs w:val="22"/>
        </w:rPr>
        <w:t>, indicating for each one at least: (</w:t>
      </w:r>
      <w:proofErr w:type="spellStart"/>
      <w:r w:rsidR="00D135A6" w:rsidRPr="00EE3E0B">
        <w:rPr>
          <w:rFonts w:asciiTheme="minorHAnsi" w:hAnsiTheme="minorHAnsi"/>
          <w:sz w:val="22"/>
          <w:szCs w:val="22"/>
        </w:rPr>
        <w:t>i</w:t>
      </w:r>
      <w:proofErr w:type="spellEnd"/>
      <w:r w:rsidR="00D135A6" w:rsidRPr="00EE3E0B">
        <w:rPr>
          <w:rFonts w:asciiTheme="minorHAnsi" w:hAnsiTheme="minorHAnsi"/>
          <w:sz w:val="22"/>
          <w:szCs w:val="22"/>
        </w:rPr>
        <w:t>) location and civil works investments, (</w:t>
      </w:r>
      <w:r w:rsidR="00D135A6" w:rsidRPr="008209C6">
        <w:rPr>
          <w:rFonts w:asciiTheme="minorHAnsi" w:hAnsiTheme="minorHAnsi"/>
          <w:sz w:val="22"/>
          <w:szCs w:val="22"/>
        </w:rPr>
        <w:t xml:space="preserve">ii) the cost break-down, (iii) construction timetables, (iv) detail of additional investments </w:t>
      </w:r>
      <w:r w:rsidR="007831EE" w:rsidRPr="008209C6">
        <w:rPr>
          <w:rFonts w:asciiTheme="minorHAnsi" w:hAnsiTheme="minorHAnsi"/>
          <w:sz w:val="22"/>
          <w:szCs w:val="22"/>
        </w:rPr>
        <w:t xml:space="preserve">required </w:t>
      </w:r>
      <w:r w:rsidR="00D135A6" w:rsidRPr="008209C6">
        <w:rPr>
          <w:rFonts w:asciiTheme="minorHAnsi" w:hAnsiTheme="minorHAnsi"/>
          <w:sz w:val="22"/>
          <w:szCs w:val="22"/>
        </w:rPr>
        <w:t>(e.g. gas pipelines, transmission reinforcements</w:t>
      </w:r>
      <w:r w:rsidR="008209C6">
        <w:rPr>
          <w:rFonts w:asciiTheme="minorHAnsi" w:hAnsiTheme="minorHAnsi"/>
          <w:sz w:val="22"/>
          <w:szCs w:val="22"/>
        </w:rPr>
        <w:t>)</w:t>
      </w:r>
      <w:r w:rsidR="00D135A6" w:rsidRPr="008209C6">
        <w:rPr>
          <w:rFonts w:asciiTheme="minorHAnsi" w:hAnsiTheme="minorHAnsi"/>
          <w:sz w:val="22"/>
          <w:szCs w:val="22"/>
        </w:rPr>
        <w:t xml:space="preserve">, (v) economic and financial analysis, </w:t>
      </w:r>
      <w:r w:rsidR="007831EE">
        <w:rPr>
          <w:rFonts w:asciiTheme="minorHAnsi" w:hAnsiTheme="minorHAnsi"/>
          <w:sz w:val="22"/>
          <w:szCs w:val="22"/>
        </w:rPr>
        <w:t xml:space="preserve">and </w:t>
      </w:r>
      <w:r w:rsidR="00A16E32">
        <w:rPr>
          <w:rFonts w:asciiTheme="minorHAnsi" w:hAnsiTheme="minorHAnsi"/>
          <w:sz w:val="22"/>
          <w:szCs w:val="22"/>
        </w:rPr>
        <w:t>(vi) emission reductions and climate benefits</w:t>
      </w:r>
      <w:r w:rsidR="007831EE">
        <w:rPr>
          <w:rFonts w:asciiTheme="minorHAnsi" w:hAnsiTheme="minorHAnsi"/>
          <w:sz w:val="22"/>
          <w:szCs w:val="22"/>
        </w:rPr>
        <w:t xml:space="preserve">. </w:t>
      </w:r>
    </w:p>
    <w:p w:rsidR="00294B05" w:rsidRPr="008148D5" w:rsidRDefault="00C578A3" w:rsidP="008148D5">
      <w:pPr>
        <w:widowControl w:val="0"/>
        <w:autoSpaceDE w:val="0"/>
        <w:autoSpaceDN w:val="0"/>
        <w:adjustRightInd w:val="0"/>
        <w:spacing w:after="120"/>
        <w:jc w:val="both"/>
        <w:rPr>
          <w:rFonts w:cs="Arial"/>
          <w:b/>
        </w:rPr>
      </w:pPr>
      <w:r w:rsidRPr="008148D5">
        <w:rPr>
          <w:rFonts w:ascii="Times New Roman" w:eastAsia="Times New Roman" w:hAnsi="Times New Roman" w:cs="Times New Roman"/>
          <w:b/>
          <w:sz w:val="24"/>
          <w:szCs w:val="24"/>
        </w:rPr>
        <w:t>Part</w:t>
      </w:r>
      <w:r w:rsidR="00FD1A45" w:rsidRPr="008148D5">
        <w:rPr>
          <w:rFonts w:ascii="Times New Roman" w:eastAsia="Times New Roman" w:hAnsi="Times New Roman" w:cs="Arial"/>
          <w:b/>
          <w:sz w:val="24"/>
          <w:szCs w:val="24"/>
        </w:rPr>
        <w:t xml:space="preserve"> III</w:t>
      </w:r>
      <w:r w:rsidR="00CD29D7">
        <w:rPr>
          <w:rFonts w:cs="Arial"/>
          <w:b/>
        </w:rPr>
        <w:t xml:space="preserve"> – Complementary analysis </w:t>
      </w:r>
    </w:p>
    <w:p w:rsidR="009B6DEC" w:rsidRPr="00AF088C" w:rsidRDefault="00BC4D48"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3D4A29">
        <w:rPr>
          <w:rFonts w:asciiTheme="minorHAnsi" w:hAnsiTheme="minorHAnsi" w:cs="Arial"/>
          <w:sz w:val="22"/>
          <w:szCs w:val="22"/>
        </w:rPr>
        <w:t>Asses</w:t>
      </w:r>
      <w:r w:rsidR="00C578A3">
        <w:rPr>
          <w:rFonts w:asciiTheme="minorHAnsi" w:hAnsiTheme="minorHAnsi" w:cs="Arial"/>
          <w:sz w:val="22"/>
          <w:szCs w:val="22"/>
        </w:rPr>
        <w:t>s</w:t>
      </w:r>
      <w:r w:rsidRPr="003D4A29">
        <w:rPr>
          <w:rFonts w:asciiTheme="minorHAnsi" w:hAnsiTheme="minorHAnsi" w:cs="Arial"/>
          <w:sz w:val="22"/>
          <w:szCs w:val="22"/>
        </w:rPr>
        <w:t xml:space="preserve"> all transmission </w:t>
      </w:r>
      <w:r w:rsidR="00AF088C" w:rsidRPr="003D4A29">
        <w:rPr>
          <w:rFonts w:asciiTheme="minorHAnsi" w:hAnsiTheme="minorHAnsi" w:cs="Arial"/>
          <w:sz w:val="22"/>
          <w:szCs w:val="22"/>
        </w:rPr>
        <w:t xml:space="preserve">and distribution </w:t>
      </w:r>
      <w:r w:rsidRPr="00AF088C">
        <w:rPr>
          <w:rFonts w:cs="Arial"/>
        </w:rPr>
        <w:t xml:space="preserve">upgrade requirements </w:t>
      </w:r>
      <w:r w:rsidR="00FC3BEA">
        <w:rPr>
          <w:rFonts w:asciiTheme="minorHAnsi" w:hAnsiTheme="minorHAnsi" w:cs="Arial"/>
          <w:sz w:val="22"/>
          <w:szCs w:val="22"/>
        </w:rPr>
        <w:t xml:space="preserve">(transmission lines and substations) </w:t>
      </w:r>
      <w:r w:rsidRPr="003D4A29">
        <w:rPr>
          <w:rFonts w:asciiTheme="minorHAnsi" w:hAnsiTheme="minorHAnsi" w:cs="Arial"/>
          <w:sz w:val="22"/>
          <w:szCs w:val="22"/>
        </w:rPr>
        <w:t xml:space="preserve">and </w:t>
      </w:r>
      <w:r w:rsidR="00AF088C" w:rsidRPr="003D4A29">
        <w:rPr>
          <w:rFonts w:asciiTheme="minorHAnsi" w:hAnsiTheme="minorHAnsi" w:cs="Arial"/>
          <w:sz w:val="22"/>
          <w:szCs w:val="22"/>
        </w:rPr>
        <w:t xml:space="preserve">their </w:t>
      </w:r>
      <w:r w:rsidRPr="003D4A29">
        <w:rPr>
          <w:rFonts w:asciiTheme="minorHAnsi" w:hAnsiTheme="minorHAnsi" w:cs="Arial"/>
          <w:sz w:val="22"/>
          <w:szCs w:val="22"/>
        </w:rPr>
        <w:t>associated investment</w:t>
      </w:r>
      <w:r w:rsidR="007D37E3" w:rsidRPr="00AF088C">
        <w:rPr>
          <w:rFonts w:cs="Arial"/>
        </w:rPr>
        <w:t xml:space="preserve"> costs</w:t>
      </w:r>
      <w:r w:rsidR="00AF088C" w:rsidRPr="00AF088C">
        <w:rPr>
          <w:rFonts w:cs="Arial"/>
        </w:rPr>
        <w:t>, considering</w:t>
      </w:r>
      <w:r w:rsidR="007D37E3" w:rsidRPr="00AF088C">
        <w:rPr>
          <w:rFonts w:asciiTheme="minorHAnsi" w:hAnsiTheme="minorHAnsi" w:cs="Arial"/>
          <w:sz w:val="22"/>
          <w:szCs w:val="22"/>
        </w:rPr>
        <w:t xml:space="preserve"> electricity demand information</w:t>
      </w:r>
      <w:r w:rsidR="00297DB4" w:rsidRPr="00AF088C">
        <w:rPr>
          <w:rFonts w:asciiTheme="minorHAnsi" w:hAnsiTheme="minorHAnsi" w:cs="Arial"/>
          <w:sz w:val="22"/>
          <w:szCs w:val="22"/>
        </w:rPr>
        <w:t xml:space="preserve"> including base</w:t>
      </w:r>
      <w:r w:rsidR="009B6DEC" w:rsidRPr="00AF088C">
        <w:rPr>
          <w:rFonts w:asciiTheme="minorHAnsi" w:hAnsiTheme="minorHAnsi" w:cs="Arial"/>
          <w:sz w:val="22"/>
          <w:szCs w:val="22"/>
        </w:rPr>
        <w:t>-load versus peak-load</w:t>
      </w:r>
      <w:r w:rsidR="00AF088C">
        <w:rPr>
          <w:rFonts w:asciiTheme="minorHAnsi" w:hAnsiTheme="minorHAnsi" w:cs="Arial"/>
          <w:sz w:val="22"/>
          <w:szCs w:val="22"/>
        </w:rPr>
        <w:t xml:space="preserve">. </w:t>
      </w:r>
    </w:p>
    <w:p w:rsidR="00FD1A45" w:rsidRDefault="006029DC"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Pr>
          <w:rFonts w:asciiTheme="minorHAnsi" w:hAnsiTheme="minorHAnsi" w:cs="Arial"/>
          <w:sz w:val="22"/>
          <w:szCs w:val="22"/>
        </w:rPr>
        <w:t>Propose</w:t>
      </w:r>
      <w:r w:rsidR="009B6DEC" w:rsidRPr="0029051A">
        <w:rPr>
          <w:rFonts w:asciiTheme="minorHAnsi" w:hAnsiTheme="minorHAnsi" w:cs="Arial"/>
          <w:sz w:val="22"/>
          <w:szCs w:val="22"/>
        </w:rPr>
        <w:t xml:space="preserve"> the commercial mechanisms and contract terms for the </w:t>
      </w:r>
      <w:r w:rsidR="00FD1A45">
        <w:rPr>
          <w:rFonts w:asciiTheme="minorHAnsi" w:hAnsiTheme="minorHAnsi" w:cs="Arial"/>
          <w:sz w:val="22"/>
          <w:szCs w:val="22"/>
        </w:rPr>
        <w:t xml:space="preserve">supply of natural gas (types of contract, main clauses, risks and mitigation measures) </w:t>
      </w:r>
      <w:r>
        <w:rPr>
          <w:rFonts w:asciiTheme="minorHAnsi" w:hAnsiTheme="minorHAnsi" w:cs="Arial"/>
          <w:sz w:val="22"/>
          <w:szCs w:val="22"/>
        </w:rPr>
        <w:t xml:space="preserve">to have the plants operational </w:t>
      </w:r>
      <w:r w:rsidR="00FD1A45">
        <w:rPr>
          <w:rFonts w:asciiTheme="minorHAnsi" w:hAnsiTheme="minorHAnsi" w:cs="Arial"/>
          <w:sz w:val="22"/>
          <w:szCs w:val="22"/>
        </w:rPr>
        <w:t xml:space="preserve">and the supply </w:t>
      </w:r>
      <w:r w:rsidR="00597A91">
        <w:rPr>
          <w:rFonts w:asciiTheme="minorHAnsi" w:hAnsiTheme="minorHAnsi" w:cs="Arial"/>
          <w:sz w:val="22"/>
          <w:szCs w:val="22"/>
        </w:rPr>
        <w:t xml:space="preserve">contracts </w:t>
      </w:r>
      <w:r w:rsidR="00FD1A45">
        <w:rPr>
          <w:rFonts w:asciiTheme="minorHAnsi" w:hAnsiTheme="minorHAnsi" w:cs="Arial"/>
          <w:sz w:val="22"/>
          <w:szCs w:val="22"/>
        </w:rPr>
        <w:t xml:space="preserve">in place </w:t>
      </w:r>
      <w:r>
        <w:rPr>
          <w:rFonts w:asciiTheme="minorHAnsi" w:hAnsiTheme="minorHAnsi" w:cs="Arial"/>
          <w:sz w:val="22"/>
          <w:szCs w:val="22"/>
        </w:rPr>
        <w:t xml:space="preserve">by </w:t>
      </w:r>
      <w:r w:rsidR="00C578A3">
        <w:rPr>
          <w:rFonts w:asciiTheme="minorHAnsi" w:hAnsiTheme="minorHAnsi" w:cs="Arial"/>
          <w:sz w:val="22"/>
          <w:szCs w:val="22"/>
        </w:rPr>
        <w:t>2021-</w:t>
      </w:r>
      <w:r>
        <w:rPr>
          <w:rFonts w:asciiTheme="minorHAnsi" w:hAnsiTheme="minorHAnsi" w:cs="Arial"/>
          <w:sz w:val="22"/>
          <w:szCs w:val="22"/>
        </w:rPr>
        <w:t xml:space="preserve">2022. </w:t>
      </w:r>
    </w:p>
    <w:p w:rsidR="00597A91" w:rsidRDefault="00597A91"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Pr>
          <w:rFonts w:asciiTheme="minorHAnsi" w:hAnsiTheme="minorHAnsi" w:cs="Arial"/>
          <w:sz w:val="22"/>
          <w:szCs w:val="22"/>
        </w:rPr>
        <w:t xml:space="preserve">Identify and describe the synergies and how the natural gas </w:t>
      </w:r>
      <w:r w:rsidR="000C5E64">
        <w:rPr>
          <w:rFonts w:asciiTheme="minorHAnsi" w:hAnsiTheme="minorHAnsi" w:cs="Arial"/>
          <w:sz w:val="22"/>
          <w:szCs w:val="22"/>
        </w:rPr>
        <w:t xml:space="preserve">power </w:t>
      </w:r>
      <w:r>
        <w:rPr>
          <w:rFonts w:asciiTheme="minorHAnsi" w:hAnsiTheme="minorHAnsi" w:cs="Arial"/>
          <w:sz w:val="22"/>
          <w:szCs w:val="22"/>
        </w:rPr>
        <w:t>plants will interact in the future with development of renewable energy projects in Guyana.</w:t>
      </w:r>
    </w:p>
    <w:p w:rsidR="00FD1A45" w:rsidRPr="008148D5" w:rsidRDefault="00FD1A45"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8148D5">
        <w:rPr>
          <w:rFonts w:asciiTheme="minorHAnsi" w:hAnsiTheme="minorHAnsi" w:cs="Arial"/>
          <w:sz w:val="22"/>
          <w:szCs w:val="22"/>
        </w:rPr>
        <w:t xml:space="preserve">Screen the different </w:t>
      </w:r>
      <w:proofErr w:type="spellStart"/>
      <w:r w:rsidRPr="008148D5">
        <w:rPr>
          <w:rFonts w:asciiTheme="minorHAnsi" w:hAnsiTheme="minorHAnsi" w:cs="Arial"/>
          <w:sz w:val="22"/>
          <w:szCs w:val="22"/>
        </w:rPr>
        <w:t>GoG</w:t>
      </w:r>
      <w:proofErr w:type="spellEnd"/>
      <w:r w:rsidRPr="008148D5">
        <w:rPr>
          <w:rFonts w:asciiTheme="minorHAnsi" w:hAnsiTheme="minorHAnsi" w:cs="Arial"/>
          <w:sz w:val="22"/>
          <w:szCs w:val="22"/>
        </w:rPr>
        <w:t xml:space="preserve"> </w:t>
      </w:r>
      <w:r w:rsidRPr="008148D5">
        <w:rPr>
          <w:rFonts w:asciiTheme="minorHAnsi" w:hAnsiTheme="minorHAnsi" w:cstheme="minorBidi"/>
          <w:sz w:val="22"/>
          <w:szCs w:val="22"/>
        </w:rPr>
        <w:t xml:space="preserve">financing options and their attractiveness for </w:t>
      </w:r>
      <w:r w:rsidR="00CD29D7">
        <w:rPr>
          <w:rFonts w:asciiTheme="minorHAnsi" w:hAnsiTheme="minorHAnsi" w:cstheme="minorBidi"/>
          <w:sz w:val="22"/>
          <w:szCs w:val="22"/>
        </w:rPr>
        <w:t xml:space="preserve">the </w:t>
      </w:r>
      <w:r w:rsidRPr="008148D5">
        <w:rPr>
          <w:rFonts w:asciiTheme="minorHAnsi" w:hAnsiTheme="minorHAnsi" w:cstheme="minorBidi"/>
          <w:sz w:val="22"/>
          <w:szCs w:val="22"/>
        </w:rPr>
        <w:t xml:space="preserve">required investment profile </w:t>
      </w:r>
      <w:r w:rsidR="00CD29D7">
        <w:rPr>
          <w:rFonts w:asciiTheme="minorHAnsi" w:hAnsiTheme="minorHAnsi" w:cstheme="minorBidi"/>
          <w:sz w:val="22"/>
          <w:szCs w:val="22"/>
        </w:rPr>
        <w:t xml:space="preserve">in </w:t>
      </w:r>
      <w:r w:rsidRPr="008148D5">
        <w:rPr>
          <w:rFonts w:asciiTheme="minorHAnsi" w:hAnsiTheme="minorHAnsi" w:cstheme="minorBidi"/>
          <w:sz w:val="22"/>
          <w:szCs w:val="22"/>
        </w:rPr>
        <w:t xml:space="preserve">the power plants (new or convertible ones). </w:t>
      </w:r>
    </w:p>
    <w:p w:rsidR="002B6DAA" w:rsidRDefault="002B6DAA"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sidRPr="003D4A29">
        <w:rPr>
          <w:rFonts w:asciiTheme="minorHAnsi" w:hAnsiTheme="minorHAnsi" w:cs="Arial"/>
          <w:sz w:val="22"/>
          <w:szCs w:val="22"/>
        </w:rPr>
        <w:t xml:space="preserve">Develop a roadmap with the sequence of activities </w:t>
      </w:r>
      <w:r w:rsidRPr="00FD1A45">
        <w:rPr>
          <w:rFonts w:asciiTheme="minorHAnsi" w:hAnsiTheme="minorHAnsi" w:cs="Arial"/>
          <w:sz w:val="22"/>
          <w:szCs w:val="22"/>
        </w:rPr>
        <w:t xml:space="preserve">and timelines for the two best options. </w:t>
      </w:r>
    </w:p>
    <w:p w:rsidR="008148D5" w:rsidRPr="00FD1A45" w:rsidRDefault="008148D5" w:rsidP="008148D5">
      <w:pPr>
        <w:pStyle w:val="ListParagraph"/>
        <w:widowControl w:val="0"/>
        <w:numPr>
          <w:ilvl w:val="0"/>
          <w:numId w:val="17"/>
        </w:numPr>
        <w:autoSpaceDE w:val="0"/>
        <w:autoSpaceDN w:val="0"/>
        <w:adjustRightInd w:val="0"/>
        <w:spacing w:after="120"/>
        <w:contextualSpacing w:val="0"/>
        <w:jc w:val="both"/>
        <w:rPr>
          <w:rFonts w:asciiTheme="minorHAnsi" w:hAnsiTheme="minorHAnsi" w:cs="Arial"/>
          <w:sz w:val="22"/>
          <w:szCs w:val="22"/>
        </w:rPr>
      </w:pPr>
      <w:r>
        <w:rPr>
          <w:rFonts w:asciiTheme="minorHAnsi" w:hAnsiTheme="minorHAnsi" w:cs="Arial"/>
          <w:sz w:val="22"/>
          <w:szCs w:val="22"/>
        </w:rPr>
        <w:t>Review and suggest the required regulatory framework for the natural gas power plants to be operational.</w:t>
      </w:r>
    </w:p>
    <w:p w:rsidR="00E01034" w:rsidRDefault="00E01034" w:rsidP="008148D5">
      <w:pPr>
        <w:pStyle w:val="ListParagraph"/>
        <w:ind w:left="360"/>
        <w:jc w:val="both"/>
        <w:rPr>
          <w:rFonts w:asciiTheme="minorHAnsi" w:hAnsiTheme="minorHAnsi"/>
          <w:b/>
          <w:sz w:val="22"/>
          <w:szCs w:val="22"/>
        </w:rPr>
      </w:pPr>
    </w:p>
    <w:p w:rsidR="00D4060A" w:rsidRPr="0029051A" w:rsidRDefault="00D4060A" w:rsidP="008148D5">
      <w:pPr>
        <w:pStyle w:val="ListParagraph"/>
        <w:numPr>
          <w:ilvl w:val="0"/>
          <w:numId w:val="2"/>
        </w:numPr>
        <w:ind w:left="360"/>
        <w:jc w:val="both"/>
        <w:rPr>
          <w:rFonts w:asciiTheme="minorHAnsi" w:hAnsiTheme="minorHAnsi"/>
          <w:b/>
          <w:sz w:val="22"/>
          <w:szCs w:val="22"/>
        </w:rPr>
      </w:pPr>
      <w:r w:rsidRPr="0029051A">
        <w:rPr>
          <w:rFonts w:asciiTheme="minorHAnsi" w:hAnsiTheme="minorHAnsi"/>
          <w:b/>
          <w:sz w:val="22"/>
          <w:szCs w:val="22"/>
        </w:rPr>
        <w:t xml:space="preserve">Deliverables </w:t>
      </w:r>
    </w:p>
    <w:p w:rsidR="009B6DEC" w:rsidRPr="0029051A" w:rsidRDefault="004D6031" w:rsidP="008148D5">
      <w:pPr>
        <w:spacing w:before="51"/>
        <w:ind w:right="86"/>
        <w:jc w:val="both"/>
        <w:rPr>
          <w:rFonts w:cs="Arial"/>
        </w:rPr>
      </w:pPr>
      <w:r w:rsidRPr="0029051A">
        <w:rPr>
          <w:rFonts w:cs="Arial"/>
        </w:rPr>
        <w:t xml:space="preserve">The core deliverable for this assignment </w:t>
      </w:r>
      <w:r w:rsidR="00DC4710" w:rsidRPr="0029051A">
        <w:rPr>
          <w:rFonts w:cs="Arial"/>
        </w:rPr>
        <w:t>is</w:t>
      </w:r>
      <w:r w:rsidR="00351C97" w:rsidRPr="0029051A">
        <w:rPr>
          <w:rFonts w:cs="Arial"/>
        </w:rPr>
        <w:t xml:space="preserve"> </w:t>
      </w:r>
      <w:r w:rsidRPr="0029051A">
        <w:rPr>
          <w:rFonts w:cs="Arial"/>
        </w:rPr>
        <w:t>the provision of</w:t>
      </w:r>
      <w:r w:rsidR="009B6709" w:rsidRPr="0029051A">
        <w:rPr>
          <w:rFonts w:cs="Arial"/>
        </w:rPr>
        <w:t xml:space="preserve"> relevant</w:t>
      </w:r>
      <w:r w:rsidRPr="0029051A">
        <w:rPr>
          <w:rFonts w:cs="Arial"/>
        </w:rPr>
        <w:t xml:space="preserve"> </w:t>
      </w:r>
      <w:r w:rsidR="009B6709" w:rsidRPr="0029051A">
        <w:rPr>
          <w:rFonts w:cs="Arial"/>
        </w:rPr>
        <w:t xml:space="preserve">technical </w:t>
      </w:r>
      <w:r w:rsidRPr="0029051A">
        <w:rPr>
          <w:rFonts w:cs="Arial"/>
        </w:rPr>
        <w:t xml:space="preserve">advice and </w:t>
      </w:r>
      <w:r w:rsidR="009B6709" w:rsidRPr="0029051A">
        <w:rPr>
          <w:rFonts w:cs="Arial"/>
        </w:rPr>
        <w:t xml:space="preserve">support </w:t>
      </w:r>
      <w:r w:rsidRPr="0029051A">
        <w:rPr>
          <w:rFonts w:cs="Arial"/>
        </w:rPr>
        <w:t xml:space="preserve">required to execute the </w:t>
      </w:r>
      <w:proofErr w:type="gramStart"/>
      <w:r w:rsidR="009B6709" w:rsidRPr="0029051A">
        <w:rPr>
          <w:rFonts w:cs="Arial"/>
        </w:rPr>
        <w:t xml:space="preserve">aforementioned </w:t>
      </w:r>
      <w:r w:rsidR="00E52176">
        <w:rPr>
          <w:rFonts w:cs="Arial"/>
        </w:rPr>
        <w:t>scope</w:t>
      </w:r>
      <w:proofErr w:type="gramEnd"/>
      <w:r w:rsidR="00E52176">
        <w:rPr>
          <w:rFonts w:cs="Arial"/>
        </w:rPr>
        <w:t xml:space="preserve"> of work and address the o</w:t>
      </w:r>
      <w:r w:rsidRPr="0029051A">
        <w:rPr>
          <w:rFonts w:cs="Arial"/>
        </w:rPr>
        <w:t xml:space="preserve">bjective. </w:t>
      </w:r>
    </w:p>
    <w:p w:rsidR="004D6031" w:rsidRPr="0029051A" w:rsidRDefault="009B6709" w:rsidP="008148D5">
      <w:pPr>
        <w:spacing w:before="51"/>
        <w:ind w:right="86"/>
        <w:jc w:val="both"/>
        <w:rPr>
          <w:rFonts w:cs="Arial"/>
        </w:rPr>
      </w:pPr>
      <w:r w:rsidRPr="0029051A">
        <w:rPr>
          <w:rFonts w:cs="Arial"/>
        </w:rPr>
        <w:t xml:space="preserve">It </w:t>
      </w:r>
      <w:r w:rsidR="004D6031" w:rsidRPr="0029051A">
        <w:rPr>
          <w:rFonts w:cs="Arial"/>
        </w:rPr>
        <w:t>includes a comprehensive feasibility study of</w:t>
      </w:r>
      <w:r w:rsidR="00DC4710" w:rsidRPr="0029051A">
        <w:rPr>
          <w:rFonts w:cs="Arial"/>
        </w:rPr>
        <w:t>: (</w:t>
      </w:r>
      <w:proofErr w:type="spellStart"/>
      <w:r w:rsidR="00DC4710" w:rsidRPr="0029051A">
        <w:rPr>
          <w:rFonts w:cs="Arial"/>
        </w:rPr>
        <w:t>i</w:t>
      </w:r>
      <w:proofErr w:type="spellEnd"/>
      <w:r w:rsidR="00DC4710" w:rsidRPr="0029051A">
        <w:rPr>
          <w:rFonts w:cs="Arial"/>
        </w:rPr>
        <w:t>)</w:t>
      </w:r>
      <w:r w:rsidR="004D6031" w:rsidRPr="0029051A">
        <w:rPr>
          <w:rFonts w:cs="Arial"/>
        </w:rPr>
        <w:t xml:space="preserve"> converting existing HFO plants to Natural Gas</w:t>
      </w:r>
      <w:r w:rsidR="00DC4710" w:rsidRPr="0029051A">
        <w:rPr>
          <w:rFonts w:cs="Arial"/>
        </w:rPr>
        <w:t>;</w:t>
      </w:r>
      <w:r w:rsidR="00E01034">
        <w:rPr>
          <w:rFonts w:cs="Arial"/>
        </w:rPr>
        <w:t xml:space="preserve"> </w:t>
      </w:r>
      <w:r w:rsidR="00DC4710" w:rsidRPr="0029051A">
        <w:rPr>
          <w:rFonts w:cs="Arial"/>
        </w:rPr>
        <w:t xml:space="preserve">(ii) </w:t>
      </w:r>
      <w:r w:rsidR="004D6031" w:rsidRPr="0029051A">
        <w:rPr>
          <w:rFonts w:cs="Arial"/>
        </w:rPr>
        <w:t xml:space="preserve">the installation of a new Natural Gas Power plant with </w:t>
      </w:r>
      <w:r w:rsidR="00B94EB7">
        <w:rPr>
          <w:rFonts w:cs="Arial"/>
        </w:rPr>
        <w:t>modern technology such</w:t>
      </w:r>
      <w:r w:rsidR="00876D38">
        <w:rPr>
          <w:rFonts w:cs="Arial"/>
        </w:rPr>
        <w:t xml:space="preserve"> </w:t>
      </w:r>
      <w:r w:rsidR="00B94EB7">
        <w:rPr>
          <w:rFonts w:cs="Arial"/>
        </w:rPr>
        <w:t xml:space="preserve">as </w:t>
      </w:r>
      <w:r w:rsidR="004D6031" w:rsidRPr="0029051A">
        <w:rPr>
          <w:rFonts w:cs="Arial"/>
        </w:rPr>
        <w:t xml:space="preserve">combined cycle </w:t>
      </w:r>
      <w:r w:rsidR="007D5584" w:rsidRPr="0029051A">
        <w:rPr>
          <w:rFonts w:cs="Arial"/>
        </w:rPr>
        <w:t xml:space="preserve">gas </w:t>
      </w:r>
      <w:r w:rsidR="004D6031" w:rsidRPr="0029051A">
        <w:rPr>
          <w:rFonts w:cs="Arial"/>
        </w:rPr>
        <w:t>turbines</w:t>
      </w:r>
      <w:r w:rsidR="007D5584" w:rsidRPr="0029051A">
        <w:rPr>
          <w:rFonts w:cs="Arial"/>
        </w:rPr>
        <w:t xml:space="preserve"> (CCGT)</w:t>
      </w:r>
      <w:r w:rsidR="00DC4710" w:rsidRPr="0029051A">
        <w:rPr>
          <w:rFonts w:cs="Arial"/>
        </w:rPr>
        <w:t xml:space="preserve"> together with required transmission</w:t>
      </w:r>
      <w:r w:rsidR="002122E6" w:rsidRPr="0029051A">
        <w:rPr>
          <w:rFonts w:cs="Arial"/>
        </w:rPr>
        <w:t xml:space="preserve"> system upgrades</w:t>
      </w:r>
      <w:r w:rsidR="00DC4710" w:rsidRPr="0029051A">
        <w:rPr>
          <w:rFonts w:cs="Arial"/>
        </w:rPr>
        <w:t>;</w:t>
      </w:r>
      <w:r w:rsidR="00E01034">
        <w:rPr>
          <w:rFonts w:cs="Arial"/>
        </w:rPr>
        <w:t xml:space="preserve"> </w:t>
      </w:r>
      <w:r w:rsidR="00DC4710" w:rsidRPr="0029051A">
        <w:rPr>
          <w:rFonts w:cs="Arial"/>
        </w:rPr>
        <w:t>and (</w:t>
      </w:r>
      <w:r w:rsidR="006029DC">
        <w:rPr>
          <w:rFonts w:cs="Arial"/>
        </w:rPr>
        <w:t>i</w:t>
      </w:r>
      <w:r w:rsidR="00FD1A45">
        <w:rPr>
          <w:rFonts w:cs="Arial"/>
        </w:rPr>
        <w:t>ii</w:t>
      </w:r>
      <w:r w:rsidR="00DC4710" w:rsidRPr="0029051A">
        <w:rPr>
          <w:rFonts w:cs="Arial"/>
        </w:rPr>
        <w:t>)</w:t>
      </w:r>
      <w:r w:rsidR="004D6031" w:rsidRPr="0029051A">
        <w:rPr>
          <w:rFonts w:cs="Arial"/>
        </w:rPr>
        <w:t xml:space="preserve"> an investment scenario, and its resulting imp</w:t>
      </w:r>
      <w:r w:rsidR="00294B05" w:rsidRPr="0029051A">
        <w:rPr>
          <w:rFonts w:cs="Arial"/>
        </w:rPr>
        <w:t xml:space="preserve">act on the cost of electricity. </w:t>
      </w:r>
      <w:r w:rsidR="004D6031" w:rsidRPr="0029051A">
        <w:rPr>
          <w:rFonts w:cs="Arial"/>
        </w:rPr>
        <w:t xml:space="preserve">The associated equity financing options for the </w:t>
      </w:r>
      <w:r w:rsidR="00FD1A45" w:rsidRPr="0029051A">
        <w:rPr>
          <w:rFonts w:cs="Arial"/>
        </w:rPr>
        <w:t xml:space="preserve">investments </w:t>
      </w:r>
      <w:r w:rsidR="004D6031" w:rsidRPr="0029051A">
        <w:rPr>
          <w:rFonts w:cs="Arial"/>
        </w:rPr>
        <w:t xml:space="preserve">required </w:t>
      </w:r>
      <w:r w:rsidR="00FD1A45">
        <w:rPr>
          <w:rFonts w:cs="Arial"/>
        </w:rPr>
        <w:t xml:space="preserve">for the </w:t>
      </w:r>
      <w:r w:rsidR="004D6031" w:rsidRPr="0029051A">
        <w:rPr>
          <w:rFonts w:cs="Arial"/>
        </w:rPr>
        <w:t>Government of Guyana will</w:t>
      </w:r>
      <w:r w:rsidR="00DC4710" w:rsidRPr="0029051A">
        <w:rPr>
          <w:rFonts w:cs="Arial"/>
        </w:rPr>
        <w:t xml:space="preserve"> also</w:t>
      </w:r>
      <w:r w:rsidR="004D6031" w:rsidRPr="0029051A">
        <w:rPr>
          <w:rFonts w:cs="Arial"/>
        </w:rPr>
        <w:t xml:space="preserve"> be </w:t>
      </w:r>
      <w:r w:rsidR="00FD1A45">
        <w:rPr>
          <w:rFonts w:cs="Arial"/>
        </w:rPr>
        <w:t>reviewed</w:t>
      </w:r>
      <w:r w:rsidR="004D6031" w:rsidRPr="0029051A">
        <w:rPr>
          <w:rFonts w:cs="Arial"/>
        </w:rPr>
        <w:t>.</w:t>
      </w:r>
    </w:p>
    <w:p w:rsidR="00F56A2E" w:rsidRDefault="00F56A2E" w:rsidP="008148D5">
      <w:pPr>
        <w:pStyle w:val="ListParagraph"/>
        <w:spacing w:after="120"/>
        <w:ind w:left="0"/>
        <w:jc w:val="both"/>
        <w:rPr>
          <w:rFonts w:asciiTheme="minorHAnsi" w:hAnsiTheme="minorHAnsi" w:cs="Arial"/>
          <w:sz w:val="22"/>
          <w:szCs w:val="22"/>
        </w:rPr>
      </w:pPr>
      <w:r w:rsidRPr="0029051A">
        <w:rPr>
          <w:rFonts w:asciiTheme="minorHAnsi" w:hAnsiTheme="minorHAnsi" w:cs="Arial"/>
          <w:sz w:val="22"/>
          <w:szCs w:val="22"/>
        </w:rPr>
        <w:t xml:space="preserve">The expected outcome is to provide </w:t>
      </w:r>
      <w:r w:rsidR="002122E6" w:rsidRPr="0029051A">
        <w:rPr>
          <w:rFonts w:asciiTheme="minorHAnsi" w:hAnsiTheme="minorHAnsi" w:cs="Arial"/>
          <w:sz w:val="22"/>
          <w:szCs w:val="22"/>
        </w:rPr>
        <w:t>the Government of</w:t>
      </w:r>
      <w:r w:rsidRPr="0029051A">
        <w:rPr>
          <w:rFonts w:asciiTheme="minorHAnsi" w:hAnsiTheme="minorHAnsi" w:cs="Arial"/>
          <w:sz w:val="22"/>
          <w:szCs w:val="22"/>
        </w:rPr>
        <w:t xml:space="preserve"> Guyana with high quality information</w:t>
      </w:r>
      <w:r w:rsidR="002122E6" w:rsidRPr="0029051A">
        <w:rPr>
          <w:rFonts w:asciiTheme="minorHAnsi" w:hAnsiTheme="minorHAnsi" w:cs="Arial"/>
          <w:sz w:val="22"/>
          <w:szCs w:val="22"/>
        </w:rPr>
        <w:t xml:space="preserve"> that would lead to the selection of the optimal natural gas generation solution that would provide the greatest benefit for electricity consumers, GPL and the country. </w:t>
      </w:r>
      <w:r w:rsidRPr="0029051A">
        <w:rPr>
          <w:rFonts w:asciiTheme="minorHAnsi" w:hAnsiTheme="minorHAnsi" w:cs="Arial"/>
          <w:sz w:val="22"/>
          <w:szCs w:val="22"/>
        </w:rPr>
        <w:t xml:space="preserve"> </w:t>
      </w:r>
    </w:p>
    <w:p w:rsidR="00E01034" w:rsidRPr="0029051A" w:rsidRDefault="00E01034" w:rsidP="008148D5">
      <w:pPr>
        <w:pStyle w:val="ListParagraph"/>
        <w:spacing w:after="120"/>
        <w:ind w:left="0"/>
        <w:jc w:val="both"/>
        <w:rPr>
          <w:rFonts w:asciiTheme="minorHAnsi" w:hAnsiTheme="minorHAnsi" w:cs="Arial"/>
          <w:spacing w:val="-10"/>
          <w:sz w:val="22"/>
          <w:szCs w:val="22"/>
        </w:rPr>
      </w:pPr>
    </w:p>
    <w:p w:rsidR="00D4060A" w:rsidRPr="0029051A" w:rsidRDefault="00D4060A" w:rsidP="008148D5">
      <w:pPr>
        <w:pStyle w:val="ListParagraph"/>
        <w:numPr>
          <w:ilvl w:val="0"/>
          <w:numId w:val="2"/>
        </w:numPr>
        <w:ind w:left="360"/>
        <w:jc w:val="both"/>
        <w:rPr>
          <w:rFonts w:asciiTheme="minorHAnsi" w:hAnsiTheme="minorHAnsi"/>
          <w:b/>
          <w:sz w:val="22"/>
          <w:szCs w:val="22"/>
        </w:rPr>
      </w:pPr>
      <w:r w:rsidRPr="0029051A">
        <w:rPr>
          <w:rFonts w:asciiTheme="minorHAnsi" w:hAnsiTheme="minorHAnsi"/>
          <w:b/>
          <w:sz w:val="22"/>
          <w:szCs w:val="22"/>
        </w:rPr>
        <w:t>Reporting Obligations</w:t>
      </w:r>
    </w:p>
    <w:p w:rsidR="004E668C" w:rsidRPr="0029051A" w:rsidRDefault="004E668C" w:rsidP="008148D5">
      <w:pPr>
        <w:spacing w:before="51"/>
        <w:ind w:right="86"/>
        <w:jc w:val="both"/>
        <w:rPr>
          <w:rFonts w:eastAsia="MS Mincho"/>
        </w:rPr>
      </w:pPr>
      <w:r w:rsidRPr="0029051A">
        <w:rPr>
          <w:rFonts w:eastAsia="MS Mincho"/>
        </w:rPr>
        <w:t xml:space="preserve">The following reports will have to be issued and approved by </w:t>
      </w:r>
      <w:proofErr w:type="spellStart"/>
      <w:r w:rsidRPr="0029051A">
        <w:rPr>
          <w:rFonts w:eastAsia="MS Mincho"/>
        </w:rPr>
        <w:t>MoPI</w:t>
      </w:r>
      <w:proofErr w:type="spellEnd"/>
      <w:r w:rsidR="00C91CCB">
        <w:rPr>
          <w:rFonts w:eastAsia="MS Mincho"/>
        </w:rPr>
        <w:t xml:space="preserve"> and the IADB</w:t>
      </w:r>
      <w:r w:rsidR="00876D38">
        <w:rPr>
          <w:rFonts w:eastAsia="MS Mincho"/>
        </w:rPr>
        <w:t>:</w:t>
      </w:r>
    </w:p>
    <w:p w:rsidR="004E668C" w:rsidRPr="0029051A" w:rsidRDefault="004E668C" w:rsidP="008148D5">
      <w:pPr>
        <w:numPr>
          <w:ilvl w:val="0"/>
          <w:numId w:val="3"/>
        </w:numPr>
        <w:spacing w:after="120" w:line="276" w:lineRule="auto"/>
        <w:ind w:left="720"/>
        <w:jc w:val="both"/>
        <w:rPr>
          <w:rFonts w:cs="Arial"/>
        </w:rPr>
      </w:pPr>
      <w:r w:rsidRPr="0029051A">
        <w:rPr>
          <w:rFonts w:cs="Arial"/>
        </w:rPr>
        <w:t xml:space="preserve">Inception report </w:t>
      </w:r>
    </w:p>
    <w:p w:rsidR="004E668C" w:rsidRPr="0029051A" w:rsidRDefault="004E668C" w:rsidP="008148D5">
      <w:pPr>
        <w:numPr>
          <w:ilvl w:val="0"/>
          <w:numId w:val="3"/>
        </w:numPr>
        <w:spacing w:after="120" w:line="276" w:lineRule="auto"/>
        <w:ind w:left="720"/>
        <w:jc w:val="both"/>
        <w:rPr>
          <w:rFonts w:cs="Arial"/>
        </w:rPr>
      </w:pPr>
      <w:r w:rsidRPr="0029051A">
        <w:rPr>
          <w:rFonts w:cs="Arial"/>
        </w:rPr>
        <w:t>Interim Report</w:t>
      </w:r>
      <w:r w:rsidR="00B94EB7">
        <w:rPr>
          <w:rFonts w:cs="Arial"/>
        </w:rPr>
        <w:t xml:space="preserve"> with respective </w:t>
      </w:r>
      <w:r w:rsidR="00876D38">
        <w:rPr>
          <w:rFonts w:cs="Arial"/>
        </w:rPr>
        <w:t xml:space="preserve">brief </w:t>
      </w:r>
      <w:r w:rsidR="00B94EB7">
        <w:rPr>
          <w:rFonts w:cs="Arial"/>
        </w:rPr>
        <w:t>presentation</w:t>
      </w:r>
      <w:r w:rsidRPr="0029051A">
        <w:rPr>
          <w:rFonts w:cs="Arial"/>
        </w:rPr>
        <w:t xml:space="preserve"> </w:t>
      </w:r>
    </w:p>
    <w:p w:rsidR="004E668C" w:rsidRPr="0029051A" w:rsidRDefault="004E668C" w:rsidP="008148D5">
      <w:pPr>
        <w:numPr>
          <w:ilvl w:val="0"/>
          <w:numId w:val="3"/>
        </w:numPr>
        <w:spacing w:after="120" w:line="276" w:lineRule="auto"/>
        <w:ind w:left="720"/>
        <w:jc w:val="both"/>
        <w:rPr>
          <w:rFonts w:cs="Arial"/>
        </w:rPr>
      </w:pPr>
      <w:r w:rsidRPr="0029051A">
        <w:rPr>
          <w:rFonts w:cs="Arial"/>
        </w:rPr>
        <w:t>Final Report</w:t>
      </w:r>
      <w:r w:rsidR="00E21643">
        <w:rPr>
          <w:rFonts w:cs="Arial"/>
        </w:rPr>
        <w:t xml:space="preserve"> with respective presentation</w:t>
      </w:r>
    </w:p>
    <w:p w:rsidR="004E668C" w:rsidRDefault="004E668C" w:rsidP="008148D5">
      <w:pPr>
        <w:widowControl w:val="0"/>
        <w:autoSpaceDE w:val="0"/>
        <w:autoSpaceDN w:val="0"/>
        <w:adjustRightInd w:val="0"/>
        <w:spacing w:after="120"/>
        <w:jc w:val="both"/>
        <w:rPr>
          <w:rFonts w:cs="Arial"/>
        </w:rPr>
      </w:pPr>
      <w:r w:rsidRPr="0029051A">
        <w:rPr>
          <w:rFonts w:cs="Arial"/>
        </w:rPr>
        <w:t xml:space="preserve">All deliverables shall be submitted to the </w:t>
      </w:r>
      <w:proofErr w:type="spellStart"/>
      <w:r w:rsidRPr="0029051A">
        <w:rPr>
          <w:rFonts w:cs="Arial"/>
        </w:rPr>
        <w:t>MoPI</w:t>
      </w:r>
      <w:proofErr w:type="spellEnd"/>
      <w:r w:rsidRPr="0029051A">
        <w:rPr>
          <w:rFonts w:cs="Arial"/>
        </w:rPr>
        <w:t xml:space="preserve"> </w:t>
      </w:r>
      <w:r w:rsidR="00C91CCB">
        <w:rPr>
          <w:rFonts w:cs="Arial"/>
        </w:rPr>
        <w:t xml:space="preserve">and the IADB </w:t>
      </w:r>
      <w:r w:rsidRPr="0029051A">
        <w:rPr>
          <w:rFonts w:cs="Arial"/>
        </w:rPr>
        <w:t>for review and approval. Deliverables must be submitted in electronic and printed copy (</w:t>
      </w:r>
      <w:r w:rsidR="004D6031" w:rsidRPr="0029051A">
        <w:rPr>
          <w:rFonts w:cs="Arial"/>
        </w:rPr>
        <w:t>2</w:t>
      </w:r>
      <w:r w:rsidRPr="0029051A">
        <w:rPr>
          <w:rFonts w:cs="Arial"/>
        </w:rPr>
        <w:t xml:space="preserve"> copies) as required by the </w:t>
      </w:r>
      <w:proofErr w:type="spellStart"/>
      <w:r w:rsidRPr="0029051A">
        <w:rPr>
          <w:rFonts w:cs="Arial"/>
        </w:rPr>
        <w:t>Mo</w:t>
      </w:r>
      <w:r w:rsidR="004D6031" w:rsidRPr="0029051A">
        <w:rPr>
          <w:rFonts w:cs="Arial"/>
        </w:rPr>
        <w:t>PI</w:t>
      </w:r>
      <w:proofErr w:type="spellEnd"/>
      <w:r w:rsidRPr="0029051A">
        <w:rPr>
          <w:rFonts w:cs="Arial"/>
        </w:rPr>
        <w:t xml:space="preserve">. Deliverables are </w:t>
      </w:r>
      <w:r w:rsidRPr="0029051A">
        <w:rPr>
          <w:rFonts w:cs="Arial"/>
        </w:rPr>
        <w:lastRenderedPageBreak/>
        <w:t xml:space="preserve">expected to comply with the deadlines established. </w:t>
      </w:r>
    </w:p>
    <w:p w:rsidR="000C5E64" w:rsidRPr="0029051A" w:rsidRDefault="000C5E64" w:rsidP="008148D5">
      <w:pPr>
        <w:widowControl w:val="0"/>
        <w:autoSpaceDE w:val="0"/>
        <w:autoSpaceDN w:val="0"/>
        <w:adjustRightInd w:val="0"/>
        <w:spacing w:after="120"/>
        <w:jc w:val="both"/>
        <w:rPr>
          <w:rFonts w:cs="Arial"/>
        </w:rPr>
      </w:pPr>
    </w:p>
    <w:p w:rsidR="00D4060A" w:rsidRPr="0029051A" w:rsidRDefault="00D4060A" w:rsidP="008148D5">
      <w:pPr>
        <w:pStyle w:val="ListParagraph"/>
        <w:numPr>
          <w:ilvl w:val="0"/>
          <w:numId w:val="2"/>
        </w:numPr>
        <w:ind w:left="360"/>
        <w:jc w:val="both"/>
        <w:rPr>
          <w:rFonts w:asciiTheme="minorHAnsi" w:hAnsiTheme="minorHAnsi"/>
          <w:b/>
          <w:sz w:val="22"/>
          <w:szCs w:val="22"/>
        </w:rPr>
      </w:pPr>
      <w:r w:rsidRPr="0029051A">
        <w:rPr>
          <w:rFonts w:asciiTheme="minorHAnsi" w:hAnsiTheme="minorHAnsi"/>
          <w:b/>
          <w:sz w:val="22"/>
          <w:szCs w:val="22"/>
        </w:rPr>
        <w:t>Duration of the assignment</w:t>
      </w:r>
      <w:r w:rsidR="00C91CCB">
        <w:rPr>
          <w:rFonts w:asciiTheme="minorHAnsi" w:hAnsiTheme="minorHAnsi"/>
          <w:b/>
          <w:sz w:val="22"/>
          <w:szCs w:val="22"/>
        </w:rPr>
        <w:t xml:space="preserve"> and schedule of payments</w:t>
      </w:r>
    </w:p>
    <w:p w:rsidR="00C91CCB" w:rsidRDefault="004E668C" w:rsidP="008148D5">
      <w:pPr>
        <w:pStyle w:val="tsrtable"/>
        <w:spacing w:after="120"/>
        <w:jc w:val="both"/>
        <w:rPr>
          <w:rFonts w:asciiTheme="minorHAnsi" w:hAnsiTheme="minorHAnsi" w:cs="Arial"/>
          <w:b w:val="0"/>
          <w:sz w:val="22"/>
          <w:szCs w:val="22"/>
        </w:rPr>
      </w:pPr>
      <w:r w:rsidRPr="0029051A">
        <w:rPr>
          <w:rFonts w:asciiTheme="minorHAnsi" w:hAnsiTheme="minorHAnsi" w:cs="Arial"/>
          <w:b w:val="0"/>
          <w:sz w:val="22"/>
          <w:szCs w:val="22"/>
        </w:rPr>
        <w:t>The duration of the assi</w:t>
      </w:r>
      <w:r w:rsidR="00E01034">
        <w:rPr>
          <w:rFonts w:asciiTheme="minorHAnsi" w:hAnsiTheme="minorHAnsi" w:cs="Arial"/>
          <w:b w:val="0"/>
          <w:sz w:val="22"/>
          <w:szCs w:val="22"/>
        </w:rPr>
        <w:t>gnment is expected to be about 6</w:t>
      </w:r>
      <w:r w:rsidRPr="0029051A">
        <w:rPr>
          <w:rFonts w:asciiTheme="minorHAnsi" w:hAnsiTheme="minorHAnsi" w:cs="Arial"/>
          <w:b w:val="0"/>
          <w:sz w:val="22"/>
          <w:szCs w:val="22"/>
        </w:rPr>
        <w:t xml:space="preserve"> months. The consultant is requested to present a work plan and any assumptions made regarding the level of effort indicated in this TOR prior the start of the assignment.</w:t>
      </w:r>
      <w:r w:rsidR="00A84793">
        <w:rPr>
          <w:rFonts w:asciiTheme="minorHAnsi" w:hAnsiTheme="minorHAnsi" w:cs="Arial"/>
          <w:b w:val="0"/>
          <w:sz w:val="22"/>
          <w:szCs w:val="22"/>
        </w:rPr>
        <w:t xml:space="preserve"> </w:t>
      </w:r>
      <w:r w:rsidR="00C91CCB">
        <w:rPr>
          <w:rFonts w:asciiTheme="minorHAnsi" w:hAnsiTheme="minorHAnsi" w:cs="Arial"/>
          <w:b w:val="0"/>
          <w:sz w:val="22"/>
          <w:szCs w:val="22"/>
        </w:rPr>
        <w:t>The payment terms will be based on the deliverables and follow this schedule:</w:t>
      </w:r>
    </w:p>
    <w:p w:rsidR="00C91CCB" w:rsidRDefault="00FE6FB8" w:rsidP="008148D5">
      <w:pPr>
        <w:pStyle w:val="tsrtable"/>
        <w:numPr>
          <w:ilvl w:val="0"/>
          <w:numId w:val="16"/>
        </w:numPr>
        <w:spacing w:after="120"/>
        <w:jc w:val="both"/>
        <w:rPr>
          <w:rFonts w:asciiTheme="minorHAnsi" w:hAnsiTheme="minorHAnsi" w:cs="Arial"/>
          <w:b w:val="0"/>
          <w:sz w:val="22"/>
          <w:szCs w:val="22"/>
        </w:rPr>
      </w:pPr>
      <w:r>
        <w:rPr>
          <w:rFonts w:asciiTheme="minorHAnsi" w:hAnsiTheme="minorHAnsi" w:cs="Arial"/>
          <w:b w:val="0"/>
          <w:sz w:val="22"/>
          <w:szCs w:val="22"/>
        </w:rPr>
        <w:t>4</w:t>
      </w:r>
      <w:r w:rsidR="00E21643">
        <w:rPr>
          <w:rFonts w:asciiTheme="minorHAnsi" w:hAnsiTheme="minorHAnsi" w:cs="Arial"/>
          <w:b w:val="0"/>
          <w:sz w:val="22"/>
          <w:szCs w:val="22"/>
        </w:rPr>
        <w:t xml:space="preserve">0% </w:t>
      </w:r>
      <w:r w:rsidR="00CA1EB2">
        <w:rPr>
          <w:rFonts w:asciiTheme="minorHAnsi" w:hAnsiTheme="minorHAnsi" w:cs="Arial"/>
          <w:b w:val="0"/>
          <w:sz w:val="22"/>
          <w:szCs w:val="22"/>
        </w:rPr>
        <w:t xml:space="preserve">at the completion and approval of the </w:t>
      </w:r>
      <w:r w:rsidR="00E21643">
        <w:rPr>
          <w:rFonts w:asciiTheme="minorHAnsi" w:hAnsiTheme="minorHAnsi" w:cs="Arial"/>
          <w:b w:val="0"/>
          <w:sz w:val="22"/>
          <w:szCs w:val="22"/>
        </w:rPr>
        <w:t>Interim Report and presentation</w:t>
      </w:r>
    </w:p>
    <w:p w:rsidR="008148D5" w:rsidRDefault="008148D5" w:rsidP="008148D5">
      <w:pPr>
        <w:pStyle w:val="tsrtable"/>
        <w:numPr>
          <w:ilvl w:val="0"/>
          <w:numId w:val="16"/>
        </w:numPr>
        <w:spacing w:after="120"/>
        <w:jc w:val="both"/>
        <w:rPr>
          <w:rFonts w:asciiTheme="minorHAnsi" w:hAnsiTheme="minorHAnsi" w:cs="Arial"/>
          <w:b w:val="0"/>
          <w:sz w:val="22"/>
          <w:szCs w:val="22"/>
        </w:rPr>
      </w:pPr>
      <w:r>
        <w:rPr>
          <w:rFonts w:asciiTheme="minorHAnsi" w:hAnsiTheme="minorHAnsi" w:cs="Arial"/>
          <w:b w:val="0"/>
          <w:sz w:val="22"/>
          <w:szCs w:val="22"/>
        </w:rPr>
        <w:t>40% with the presentation of the Interim Report</w:t>
      </w:r>
    </w:p>
    <w:p w:rsidR="00E21643" w:rsidRPr="0029051A" w:rsidRDefault="00FE6FB8" w:rsidP="008148D5">
      <w:pPr>
        <w:pStyle w:val="tsrtable"/>
        <w:numPr>
          <w:ilvl w:val="0"/>
          <w:numId w:val="16"/>
        </w:numPr>
        <w:spacing w:after="120"/>
        <w:jc w:val="both"/>
        <w:rPr>
          <w:rFonts w:asciiTheme="minorHAnsi" w:hAnsiTheme="minorHAnsi" w:cs="Arial"/>
          <w:b w:val="0"/>
          <w:sz w:val="22"/>
          <w:szCs w:val="22"/>
        </w:rPr>
      </w:pPr>
      <w:r>
        <w:rPr>
          <w:rFonts w:asciiTheme="minorHAnsi" w:hAnsiTheme="minorHAnsi" w:cs="Arial"/>
          <w:b w:val="0"/>
          <w:sz w:val="22"/>
          <w:szCs w:val="22"/>
        </w:rPr>
        <w:t>2</w:t>
      </w:r>
      <w:r w:rsidR="00E21643">
        <w:rPr>
          <w:rFonts w:asciiTheme="minorHAnsi" w:hAnsiTheme="minorHAnsi" w:cs="Arial"/>
          <w:b w:val="0"/>
          <w:sz w:val="22"/>
          <w:szCs w:val="22"/>
        </w:rPr>
        <w:t xml:space="preserve">0% </w:t>
      </w:r>
      <w:r w:rsidR="00CA1EB2">
        <w:rPr>
          <w:rFonts w:asciiTheme="minorHAnsi" w:hAnsiTheme="minorHAnsi" w:cs="Arial"/>
          <w:b w:val="0"/>
          <w:sz w:val="22"/>
          <w:szCs w:val="22"/>
        </w:rPr>
        <w:t xml:space="preserve">at the completion and approval of the </w:t>
      </w:r>
      <w:r w:rsidR="00E21643">
        <w:rPr>
          <w:rFonts w:asciiTheme="minorHAnsi" w:hAnsiTheme="minorHAnsi" w:cs="Arial"/>
          <w:b w:val="0"/>
          <w:sz w:val="22"/>
          <w:szCs w:val="22"/>
        </w:rPr>
        <w:t>Final Report and presentation</w:t>
      </w:r>
    </w:p>
    <w:p w:rsidR="00D4060A" w:rsidRPr="0029051A" w:rsidRDefault="00D4060A" w:rsidP="00EE3E0B">
      <w:pPr>
        <w:jc w:val="both"/>
        <w:rPr>
          <w:b/>
        </w:rPr>
      </w:pPr>
    </w:p>
    <w:p w:rsidR="00D4060A" w:rsidRPr="0029051A" w:rsidRDefault="00D4060A" w:rsidP="008148D5">
      <w:pPr>
        <w:pStyle w:val="ListParagraph"/>
        <w:numPr>
          <w:ilvl w:val="0"/>
          <w:numId w:val="2"/>
        </w:numPr>
        <w:ind w:left="360"/>
        <w:jc w:val="both"/>
        <w:rPr>
          <w:rFonts w:asciiTheme="minorHAnsi" w:hAnsiTheme="minorHAnsi"/>
          <w:b/>
          <w:sz w:val="22"/>
          <w:szCs w:val="22"/>
        </w:rPr>
      </w:pPr>
      <w:r w:rsidRPr="0029051A">
        <w:rPr>
          <w:rFonts w:asciiTheme="minorHAnsi" w:hAnsiTheme="minorHAnsi"/>
          <w:b/>
          <w:sz w:val="22"/>
          <w:szCs w:val="22"/>
        </w:rPr>
        <w:t>Expected consultancy experience</w:t>
      </w:r>
      <w:r w:rsidR="00FA6B8A" w:rsidRPr="0029051A">
        <w:rPr>
          <w:rFonts w:asciiTheme="minorHAnsi" w:hAnsiTheme="minorHAnsi"/>
          <w:b/>
          <w:sz w:val="22"/>
          <w:szCs w:val="22"/>
        </w:rPr>
        <w:t>/Qualifications of the Consultants</w:t>
      </w:r>
    </w:p>
    <w:p w:rsidR="00D4060A" w:rsidRPr="0029051A" w:rsidRDefault="00D4060A" w:rsidP="008148D5">
      <w:pPr>
        <w:widowControl w:val="0"/>
        <w:autoSpaceDE w:val="0"/>
        <w:autoSpaceDN w:val="0"/>
        <w:adjustRightInd w:val="0"/>
        <w:spacing w:after="240"/>
        <w:ind w:left="360"/>
        <w:jc w:val="both"/>
        <w:rPr>
          <w:rFonts w:cs="Arial"/>
        </w:rPr>
      </w:pPr>
      <w:r w:rsidRPr="0029051A">
        <w:rPr>
          <w:rFonts w:cs="Arial"/>
        </w:rPr>
        <w:t>The consulting</w:t>
      </w:r>
      <w:r w:rsidR="00C77D1D" w:rsidRPr="0029051A">
        <w:rPr>
          <w:rFonts w:cs="Arial"/>
        </w:rPr>
        <w:t xml:space="preserve"> company shortlisting criteria</w:t>
      </w:r>
      <w:r w:rsidRPr="0029051A">
        <w:rPr>
          <w:rFonts w:cs="Arial"/>
        </w:rPr>
        <w:t xml:space="preserve"> includes; </w:t>
      </w:r>
    </w:p>
    <w:p w:rsidR="00FA6B8A" w:rsidRPr="0029051A" w:rsidRDefault="00FA6B8A" w:rsidP="008148D5">
      <w:pPr>
        <w:pStyle w:val="ListParagraph"/>
        <w:widowControl w:val="0"/>
        <w:numPr>
          <w:ilvl w:val="0"/>
          <w:numId w:val="1"/>
        </w:numPr>
        <w:autoSpaceDE w:val="0"/>
        <w:autoSpaceDN w:val="0"/>
        <w:adjustRightInd w:val="0"/>
        <w:spacing w:after="120"/>
        <w:ind w:left="720"/>
        <w:contextualSpacing w:val="0"/>
        <w:jc w:val="both"/>
        <w:rPr>
          <w:rFonts w:asciiTheme="minorHAnsi" w:hAnsiTheme="minorHAnsi" w:cs="Arial"/>
          <w:sz w:val="22"/>
          <w:szCs w:val="22"/>
        </w:rPr>
      </w:pPr>
      <w:r w:rsidRPr="0029051A">
        <w:rPr>
          <w:rFonts w:asciiTheme="minorHAnsi" w:hAnsiTheme="minorHAnsi"/>
          <w:sz w:val="22"/>
          <w:szCs w:val="22"/>
        </w:rPr>
        <w:t xml:space="preserve">It is expected that all members of the team or consortium of firms should have a post graduate level degree (Masters or Ph.D.) with a minimum of 10 years of experience in the field and, at least, 5 years of significant in-depth international expertise and regional knowledge of the Power sector and relevant consulting services advising National Governments. </w:t>
      </w:r>
    </w:p>
    <w:p w:rsidR="00FA6B8A" w:rsidRPr="0029051A" w:rsidRDefault="00FA6B8A" w:rsidP="008148D5">
      <w:pPr>
        <w:pStyle w:val="ListParagraph"/>
        <w:numPr>
          <w:ilvl w:val="0"/>
          <w:numId w:val="1"/>
        </w:numPr>
        <w:spacing w:after="120"/>
        <w:ind w:left="720"/>
        <w:contextualSpacing w:val="0"/>
        <w:jc w:val="both"/>
        <w:rPr>
          <w:rFonts w:asciiTheme="minorHAnsi" w:hAnsiTheme="minorHAnsi" w:cs="Arial"/>
          <w:sz w:val="22"/>
          <w:szCs w:val="22"/>
        </w:rPr>
      </w:pPr>
      <w:r w:rsidRPr="0029051A">
        <w:rPr>
          <w:rFonts w:asciiTheme="minorHAnsi" w:hAnsiTheme="minorHAnsi" w:cs="Arial"/>
          <w:sz w:val="22"/>
          <w:szCs w:val="22"/>
        </w:rPr>
        <w:t xml:space="preserve">A track record of success in technical and commercial feasibility assessment of gas to power alternatives for countries with no </w:t>
      </w:r>
      <w:r w:rsidR="00AC0789">
        <w:rPr>
          <w:rFonts w:asciiTheme="minorHAnsi" w:hAnsiTheme="minorHAnsi" w:cs="Arial"/>
          <w:sz w:val="22"/>
          <w:szCs w:val="22"/>
        </w:rPr>
        <w:t>natural gas</w:t>
      </w:r>
      <w:r w:rsidRPr="0029051A">
        <w:rPr>
          <w:rFonts w:asciiTheme="minorHAnsi" w:hAnsiTheme="minorHAnsi" w:cs="Arial"/>
          <w:sz w:val="22"/>
          <w:szCs w:val="22"/>
        </w:rPr>
        <w:t xml:space="preserve"> infrastructure is also a requirement.</w:t>
      </w:r>
    </w:p>
    <w:p w:rsidR="008C2FE6" w:rsidRPr="0029051A" w:rsidRDefault="008C2FE6" w:rsidP="008148D5">
      <w:pPr>
        <w:pStyle w:val="ListParagraph"/>
        <w:widowControl w:val="0"/>
        <w:numPr>
          <w:ilvl w:val="0"/>
          <w:numId w:val="1"/>
        </w:numPr>
        <w:autoSpaceDE w:val="0"/>
        <w:autoSpaceDN w:val="0"/>
        <w:adjustRightInd w:val="0"/>
        <w:spacing w:after="120"/>
        <w:ind w:left="720"/>
        <w:contextualSpacing w:val="0"/>
        <w:jc w:val="both"/>
        <w:rPr>
          <w:rFonts w:asciiTheme="minorHAnsi" w:hAnsiTheme="minorHAnsi" w:cs="Arial"/>
          <w:sz w:val="22"/>
          <w:szCs w:val="22"/>
        </w:rPr>
      </w:pPr>
      <w:r w:rsidRPr="0029051A">
        <w:rPr>
          <w:rFonts w:asciiTheme="minorHAnsi" w:hAnsiTheme="minorHAnsi" w:cstheme="minorBidi"/>
          <w:sz w:val="22"/>
          <w:szCs w:val="22"/>
        </w:rPr>
        <w:t>The firm must have successfully completed at least 3 assignments of similar nature and complexity, over the past 10 years.</w:t>
      </w:r>
    </w:p>
    <w:p w:rsidR="00FA6B8A" w:rsidRPr="0029051A" w:rsidRDefault="00FA6B8A" w:rsidP="008148D5">
      <w:pPr>
        <w:pStyle w:val="ListParagraph"/>
        <w:widowControl w:val="0"/>
        <w:numPr>
          <w:ilvl w:val="0"/>
          <w:numId w:val="1"/>
        </w:numPr>
        <w:autoSpaceDE w:val="0"/>
        <w:autoSpaceDN w:val="0"/>
        <w:adjustRightInd w:val="0"/>
        <w:spacing w:after="120"/>
        <w:ind w:left="720"/>
        <w:contextualSpacing w:val="0"/>
        <w:jc w:val="both"/>
        <w:rPr>
          <w:rFonts w:asciiTheme="minorHAnsi" w:hAnsiTheme="minorHAnsi" w:cs="Arial"/>
          <w:sz w:val="22"/>
          <w:szCs w:val="22"/>
        </w:rPr>
      </w:pPr>
      <w:r w:rsidRPr="0029051A">
        <w:rPr>
          <w:rFonts w:asciiTheme="minorHAnsi" w:hAnsiTheme="minorHAnsi"/>
          <w:sz w:val="22"/>
          <w:szCs w:val="22"/>
        </w:rPr>
        <w:t>Highly relevant and prove</w:t>
      </w:r>
      <w:r w:rsidR="008C2FE6" w:rsidRPr="0029051A">
        <w:rPr>
          <w:rFonts w:asciiTheme="minorHAnsi" w:hAnsiTheme="minorHAnsi"/>
          <w:sz w:val="22"/>
          <w:szCs w:val="22"/>
        </w:rPr>
        <w:t xml:space="preserve">n </w:t>
      </w:r>
      <w:r w:rsidRPr="0029051A">
        <w:rPr>
          <w:rFonts w:asciiTheme="minorHAnsi" w:hAnsiTheme="minorHAnsi"/>
          <w:sz w:val="22"/>
          <w:szCs w:val="22"/>
        </w:rPr>
        <w:t>sector experience could in cases stand for in lieu of a post graduate degree. Fluency in English is a prerequisite for each team member.</w:t>
      </w:r>
    </w:p>
    <w:p w:rsidR="008C2FE6" w:rsidRDefault="00D4060A" w:rsidP="008148D5">
      <w:pPr>
        <w:pStyle w:val="ListParagraph"/>
        <w:numPr>
          <w:ilvl w:val="0"/>
          <w:numId w:val="1"/>
        </w:numPr>
        <w:spacing w:after="120"/>
        <w:ind w:left="720"/>
        <w:contextualSpacing w:val="0"/>
        <w:jc w:val="both"/>
        <w:rPr>
          <w:rFonts w:asciiTheme="minorHAnsi" w:hAnsiTheme="minorHAnsi" w:cs="Arial"/>
          <w:sz w:val="22"/>
          <w:szCs w:val="22"/>
        </w:rPr>
      </w:pPr>
      <w:r w:rsidRPr="0029051A">
        <w:rPr>
          <w:rFonts w:asciiTheme="minorHAnsi" w:hAnsiTheme="minorHAnsi" w:cs="Arial"/>
          <w:sz w:val="22"/>
          <w:szCs w:val="22"/>
        </w:rPr>
        <w:t>The consulting firm may propose the best team combination to achieve the overall goal. To be considered for the assignment, proposed team members should submit their respective CV’s.</w:t>
      </w:r>
    </w:p>
    <w:p w:rsidR="0029051A" w:rsidRPr="0029051A" w:rsidRDefault="0029051A" w:rsidP="008148D5">
      <w:pPr>
        <w:pStyle w:val="ListParagraph"/>
        <w:jc w:val="both"/>
        <w:rPr>
          <w:rFonts w:asciiTheme="minorHAnsi" w:hAnsiTheme="minorHAnsi" w:cs="Arial"/>
          <w:sz w:val="22"/>
          <w:szCs w:val="22"/>
        </w:rPr>
      </w:pPr>
    </w:p>
    <w:p w:rsidR="00D4060A" w:rsidRPr="0029051A" w:rsidRDefault="00D4060A" w:rsidP="008148D5">
      <w:pPr>
        <w:pStyle w:val="tsrtable"/>
        <w:numPr>
          <w:ilvl w:val="0"/>
          <w:numId w:val="2"/>
        </w:numPr>
        <w:ind w:left="360"/>
        <w:jc w:val="both"/>
        <w:rPr>
          <w:rFonts w:asciiTheme="minorHAnsi" w:hAnsiTheme="minorHAnsi" w:cs="Arial"/>
          <w:sz w:val="22"/>
          <w:szCs w:val="22"/>
        </w:rPr>
      </w:pPr>
      <w:r w:rsidRPr="0029051A">
        <w:rPr>
          <w:rFonts w:asciiTheme="minorHAnsi" w:hAnsiTheme="minorHAnsi" w:cs="Arial"/>
          <w:sz w:val="22"/>
          <w:szCs w:val="22"/>
        </w:rPr>
        <w:t>Client support during the Implementation</w:t>
      </w:r>
      <w:r w:rsidR="00351C97" w:rsidRPr="0029051A">
        <w:rPr>
          <w:rFonts w:asciiTheme="minorHAnsi" w:hAnsiTheme="minorHAnsi" w:cs="Arial"/>
          <w:sz w:val="22"/>
          <w:szCs w:val="22"/>
        </w:rPr>
        <w:t>/Coordination</w:t>
      </w:r>
    </w:p>
    <w:p w:rsidR="001D5A22" w:rsidRPr="0029051A" w:rsidRDefault="001D5A22" w:rsidP="008148D5">
      <w:pPr>
        <w:pStyle w:val="tsrtable"/>
        <w:ind w:left="360"/>
        <w:jc w:val="both"/>
        <w:rPr>
          <w:rFonts w:asciiTheme="minorHAnsi" w:hAnsiTheme="minorHAnsi" w:cs="Arial"/>
          <w:sz w:val="22"/>
          <w:szCs w:val="22"/>
        </w:rPr>
      </w:pPr>
    </w:p>
    <w:p w:rsidR="00D4060A" w:rsidRPr="0029051A" w:rsidRDefault="00D4060A" w:rsidP="008148D5">
      <w:pPr>
        <w:widowControl w:val="0"/>
        <w:tabs>
          <w:tab w:val="left" w:pos="220"/>
          <w:tab w:val="left" w:pos="720"/>
        </w:tabs>
        <w:autoSpaceDE w:val="0"/>
        <w:autoSpaceDN w:val="0"/>
        <w:adjustRightInd w:val="0"/>
        <w:spacing w:after="320"/>
        <w:jc w:val="both"/>
        <w:rPr>
          <w:rFonts w:cs="Arial"/>
        </w:rPr>
      </w:pPr>
      <w:r w:rsidRPr="0029051A">
        <w:rPr>
          <w:rFonts w:cs="Arial"/>
        </w:rPr>
        <w:t xml:space="preserve">The </w:t>
      </w:r>
      <w:proofErr w:type="spellStart"/>
      <w:r w:rsidRPr="0029051A">
        <w:rPr>
          <w:rFonts w:cs="Arial"/>
        </w:rPr>
        <w:t>Mo</w:t>
      </w:r>
      <w:r w:rsidR="00C77D1D" w:rsidRPr="0029051A">
        <w:rPr>
          <w:rFonts w:cs="Arial"/>
        </w:rPr>
        <w:t>PI</w:t>
      </w:r>
      <w:proofErr w:type="spellEnd"/>
      <w:r w:rsidRPr="0029051A">
        <w:rPr>
          <w:rFonts w:cs="Arial"/>
        </w:rPr>
        <w:t xml:space="preserve"> will designate two Focal Points, one</w:t>
      </w:r>
      <w:r w:rsidR="00C77D1D" w:rsidRPr="0029051A">
        <w:rPr>
          <w:rFonts w:cs="Arial"/>
        </w:rPr>
        <w:t xml:space="preserve"> from GEA and one from</w:t>
      </w:r>
      <w:r w:rsidRPr="0029051A">
        <w:rPr>
          <w:rFonts w:cs="Arial"/>
        </w:rPr>
        <w:t xml:space="preserve"> </w:t>
      </w:r>
      <w:r w:rsidR="00C77D1D" w:rsidRPr="0029051A">
        <w:rPr>
          <w:rFonts w:cs="Arial"/>
        </w:rPr>
        <w:t>GPL</w:t>
      </w:r>
      <w:r w:rsidRPr="0029051A">
        <w:rPr>
          <w:rFonts w:cs="Arial"/>
        </w:rPr>
        <w:t>, each to work with the Consultants. The Consultant shall make its own arrangements for carrying out its services, including, documents reproduction, printing and reproduction of all reports.</w:t>
      </w:r>
      <w:r w:rsidR="00B94EB7">
        <w:rPr>
          <w:rFonts w:cs="Arial"/>
        </w:rPr>
        <w:t xml:space="preserve"> It is expected the consultants to be available – if needed – for one or two trips to Guyana to discuss the results of the study.</w:t>
      </w:r>
      <w:r w:rsidRPr="0029051A">
        <w:rPr>
          <w:rFonts w:cs="Arial"/>
        </w:rPr>
        <w:t xml:space="preserve"> </w:t>
      </w:r>
      <w:r w:rsidRPr="0029051A">
        <w:rPr>
          <w:rFonts w:ascii="MS Gothic" w:eastAsia="MS Gothic" w:hAnsi="MS Gothic" w:cs="MS Gothic" w:hint="eastAsia"/>
        </w:rPr>
        <w:t> </w:t>
      </w:r>
    </w:p>
    <w:p w:rsidR="00D4060A" w:rsidRPr="0029051A" w:rsidRDefault="00C77D1D" w:rsidP="008148D5">
      <w:pPr>
        <w:jc w:val="both"/>
        <w:rPr>
          <w:b/>
        </w:rPr>
      </w:pPr>
      <w:r w:rsidRPr="0029051A">
        <w:rPr>
          <w:rFonts w:cs="Arial"/>
        </w:rPr>
        <w:t xml:space="preserve">The </w:t>
      </w:r>
      <w:proofErr w:type="spellStart"/>
      <w:r w:rsidRPr="0029051A">
        <w:rPr>
          <w:rFonts w:cs="Arial"/>
        </w:rPr>
        <w:t>MoPI</w:t>
      </w:r>
      <w:proofErr w:type="spellEnd"/>
      <w:r w:rsidR="00D4060A" w:rsidRPr="0029051A">
        <w:rPr>
          <w:rFonts w:cs="Arial"/>
        </w:rPr>
        <w:t xml:space="preserve"> Focal Points will provide existing documentation regarding the </w:t>
      </w:r>
      <w:r w:rsidRPr="0029051A">
        <w:rPr>
          <w:rFonts w:cs="Arial"/>
        </w:rPr>
        <w:t xml:space="preserve">Gas to Power </w:t>
      </w:r>
      <w:r w:rsidR="00D4060A" w:rsidRPr="0029051A">
        <w:rPr>
          <w:rFonts w:cs="Arial"/>
        </w:rPr>
        <w:t>Project, nevertheless, the Consultant will be responsible for obtaining all the necessary public information required to perform the tasks included in th</w:t>
      </w:r>
      <w:r w:rsidR="00B94EB7">
        <w:rPr>
          <w:rFonts w:cs="Arial"/>
        </w:rPr>
        <w:t xml:space="preserve">is </w:t>
      </w:r>
      <w:r w:rsidR="00D4060A" w:rsidRPr="0029051A">
        <w:rPr>
          <w:rFonts w:cs="Arial"/>
        </w:rPr>
        <w:t xml:space="preserve">TOR. All reports to be provided under this assignment shall be sent to </w:t>
      </w:r>
      <w:proofErr w:type="spellStart"/>
      <w:r w:rsidR="00D4060A" w:rsidRPr="0029051A">
        <w:rPr>
          <w:rFonts w:cs="Arial"/>
        </w:rPr>
        <w:t>Mo</w:t>
      </w:r>
      <w:r w:rsidRPr="0029051A">
        <w:rPr>
          <w:rFonts w:cs="Arial"/>
        </w:rPr>
        <w:t>PI</w:t>
      </w:r>
      <w:proofErr w:type="spellEnd"/>
      <w:r w:rsidR="00D4060A" w:rsidRPr="0029051A">
        <w:rPr>
          <w:rFonts w:cs="Arial"/>
        </w:rPr>
        <w:t>.</w:t>
      </w:r>
    </w:p>
    <w:sectPr w:rsidR="00D4060A" w:rsidRPr="0029051A" w:rsidSect="008148D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955" w:rsidRDefault="00700955" w:rsidP="003865A9">
      <w:pPr>
        <w:spacing w:after="0" w:line="240" w:lineRule="auto"/>
      </w:pPr>
      <w:r>
        <w:separator/>
      </w:r>
    </w:p>
  </w:endnote>
  <w:endnote w:type="continuationSeparator" w:id="0">
    <w:p w:rsidR="00700955" w:rsidRDefault="00700955" w:rsidP="00386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4CC" w:rsidRDefault="00A104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4CC" w:rsidRDefault="00A104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4CC" w:rsidRDefault="00A10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955" w:rsidRDefault="00700955" w:rsidP="003865A9">
      <w:pPr>
        <w:spacing w:after="0" w:line="240" w:lineRule="auto"/>
      </w:pPr>
      <w:r>
        <w:separator/>
      </w:r>
    </w:p>
  </w:footnote>
  <w:footnote w:type="continuationSeparator" w:id="0">
    <w:p w:rsidR="00700955" w:rsidRDefault="00700955" w:rsidP="003865A9">
      <w:pPr>
        <w:spacing w:after="0" w:line="240" w:lineRule="auto"/>
      </w:pPr>
      <w:r>
        <w:continuationSeparator/>
      </w:r>
    </w:p>
  </w:footnote>
  <w:footnote w:id="1">
    <w:p w:rsidR="007B605C" w:rsidRPr="008148D5" w:rsidRDefault="007B605C" w:rsidP="007B605C">
      <w:pPr>
        <w:pStyle w:val="FootnoteText"/>
        <w:rPr>
          <w:sz w:val="18"/>
        </w:rPr>
      </w:pPr>
      <w:r w:rsidRPr="008148D5">
        <w:rPr>
          <w:rStyle w:val="FootnoteReference"/>
          <w:sz w:val="18"/>
        </w:rPr>
        <w:footnoteRef/>
      </w:r>
      <w:r w:rsidRPr="008148D5">
        <w:rPr>
          <w:sz w:val="18"/>
        </w:rPr>
        <w:t xml:space="preserve"> IMF Country Report No. 17/175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4CC" w:rsidRDefault="00A10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29C" w:rsidRDefault="0031629C" w:rsidP="008148D5">
    <w:pPr>
      <w:pStyle w:val="Header"/>
      <w:jc w:val="right"/>
    </w:pPr>
    <w:r w:rsidRPr="00A104CC">
      <w:t>ANNEX [X]</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4CC" w:rsidRDefault="00A10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09C"/>
    <w:multiLevelType w:val="hybridMultilevel"/>
    <w:tmpl w:val="9E4A1350"/>
    <w:lvl w:ilvl="0" w:tplc="5CB021F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A01291"/>
    <w:multiLevelType w:val="hybridMultilevel"/>
    <w:tmpl w:val="A4025A74"/>
    <w:lvl w:ilvl="0" w:tplc="C04CD79C">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004ADA"/>
    <w:multiLevelType w:val="hybridMultilevel"/>
    <w:tmpl w:val="4A7CE5DA"/>
    <w:lvl w:ilvl="0" w:tplc="E0ACE226">
      <w:start w:val="1"/>
      <w:numFmt w:val="decimal"/>
      <w:lvlText w:val="%1.6"/>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D722CC"/>
    <w:multiLevelType w:val="hybridMultilevel"/>
    <w:tmpl w:val="C83423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627341"/>
    <w:multiLevelType w:val="hybridMultilevel"/>
    <w:tmpl w:val="FE7C7A26"/>
    <w:lvl w:ilvl="0" w:tplc="0AEC47DA">
      <w:start w:val="1"/>
      <w:numFmt w:val="decimal"/>
      <w:lvlText w:val="%1.7"/>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8EE4FD6"/>
    <w:multiLevelType w:val="hybridMultilevel"/>
    <w:tmpl w:val="2FA08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7A2C76"/>
    <w:multiLevelType w:val="hybridMultilevel"/>
    <w:tmpl w:val="A26223CC"/>
    <w:lvl w:ilvl="0" w:tplc="D916C010">
      <w:start w:val="1"/>
      <w:numFmt w:val="decimal"/>
      <w:lvlText w:val="%1.5"/>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0004B64"/>
    <w:multiLevelType w:val="hybridMultilevel"/>
    <w:tmpl w:val="BB843766"/>
    <w:lvl w:ilvl="0" w:tplc="8F505EEA">
      <w:start w:val="1"/>
      <w:numFmt w:val="decimal"/>
      <w:lvlText w:val="%1.2"/>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0384989"/>
    <w:multiLevelType w:val="hybridMultilevel"/>
    <w:tmpl w:val="71DEC866"/>
    <w:lvl w:ilvl="0" w:tplc="D53E6C34">
      <w:start w:val="1"/>
      <w:numFmt w:val="decimal"/>
      <w:lvlText w:val="%1.3"/>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13477C8"/>
    <w:multiLevelType w:val="hybridMultilevel"/>
    <w:tmpl w:val="1444FD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1B7179C"/>
    <w:multiLevelType w:val="hybridMultilevel"/>
    <w:tmpl w:val="EF24E1EC"/>
    <w:lvl w:ilvl="0" w:tplc="1DBE5642">
      <w:start w:val="1"/>
      <w:numFmt w:val="decimal"/>
      <w:lvlText w:val="%1.4"/>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2A59B6"/>
    <w:multiLevelType w:val="hybridMultilevel"/>
    <w:tmpl w:val="EE6C699A"/>
    <w:lvl w:ilvl="0" w:tplc="04090001">
      <w:start w:val="1"/>
      <w:numFmt w:val="bullet"/>
      <w:lvlText w:val=""/>
      <w:lvlJc w:val="left"/>
      <w:pPr>
        <w:ind w:left="1080" w:hanging="360"/>
      </w:pPr>
      <w:rPr>
        <w:rFonts w:ascii="Symbol" w:hAnsi="Symbol"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6632189"/>
    <w:multiLevelType w:val="hybridMultilevel"/>
    <w:tmpl w:val="7054CB02"/>
    <w:lvl w:ilvl="0" w:tplc="9AA67396">
      <w:start w:val="1"/>
      <w:numFmt w:val="decimal"/>
      <w:lvlText w:val="3.%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B0277E5"/>
    <w:multiLevelType w:val="hybridMultilevel"/>
    <w:tmpl w:val="58A63B44"/>
    <w:lvl w:ilvl="0" w:tplc="57F83B1E">
      <w:start w:val="1"/>
      <w:numFmt w:val="decimal"/>
      <w:lvlText w:val="%1.8"/>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DD83D8F"/>
    <w:multiLevelType w:val="hybridMultilevel"/>
    <w:tmpl w:val="77CC48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735716B9"/>
    <w:multiLevelType w:val="hybridMultilevel"/>
    <w:tmpl w:val="C85E4AC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3DA472B"/>
    <w:multiLevelType w:val="multilevel"/>
    <w:tmpl w:val="385ED50E"/>
    <w:lvl w:ilvl="0">
      <w:start w:val="1"/>
      <w:numFmt w:val="upperRoman"/>
      <w:lvlText w:val="%1."/>
      <w:lvlJc w:val="right"/>
      <w:pPr>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num w:numId="1">
    <w:abstractNumId w:val="9"/>
  </w:num>
  <w:num w:numId="2">
    <w:abstractNumId w:val="3"/>
  </w:num>
  <w:num w:numId="3">
    <w:abstractNumId w:val="0"/>
  </w:num>
  <w:num w:numId="4">
    <w:abstractNumId w:val="15"/>
  </w:num>
  <w:num w:numId="5">
    <w:abstractNumId w:val="11"/>
  </w:num>
  <w:num w:numId="6">
    <w:abstractNumId w:val="1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num>
  <w:num w:numId="10">
    <w:abstractNumId w:val="8"/>
  </w:num>
  <w:num w:numId="11">
    <w:abstractNumId w:val="10"/>
  </w:num>
  <w:num w:numId="12">
    <w:abstractNumId w:val="6"/>
  </w:num>
  <w:num w:numId="13">
    <w:abstractNumId w:val="2"/>
  </w:num>
  <w:num w:numId="14">
    <w:abstractNumId w:val="4"/>
  </w:num>
  <w:num w:numId="15">
    <w:abstractNumId w:val="13"/>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7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60A"/>
    <w:rsid w:val="000C41BD"/>
    <w:rsid w:val="000C5E64"/>
    <w:rsid w:val="000D6A44"/>
    <w:rsid w:val="000E0F7F"/>
    <w:rsid w:val="0011145E"/>
    <w:rsid w:val="001B4FFD"/>
    <w:rsid w:val="001C5B11"/>
    <w:rsid w:val="001D5A22"/>
    <w:rsid w:val="002122E6"/>
    <w:rsid w:val="00240B1A"/>
    <w:rsid w:val="002815D1"/>
    <w:rsid w:val="0029051A"/>
    <w:rsid w:val="00294B05"/>
    <w:rsid w:val="00297DB4"/>
    <w:rsid w:val="002A1D1D"/>
    <w:rsid w:val="002B66A2"/>
    <w:rsid w:val="002B6DAA"/>
    <w:rsid w:val="0031629C"/>
    <w:rsid w:val="00351C97"/>
    <w:rsid w:val="0038044C"/>
    <w:rsid w:val="003865A9"/>
    <w:rsid w:val="00397D7B"/>
    <w:rsid w:val="003D4A29"/>
    <w:rsid w:val="003E29C9"/>
    <w:rsid w:val="003E6D73"/>
    <w:rsid w:val="003F3241"/>
    <w:rsid w:val="004239E4"/>
    <w:rsid w:val="00425F5B"/>
    <w:rsid w:val="00441AD2"/>
    <w:rsid w:val="004444AA"/>
    <w:rsid w:val="00470976"/>
    <w:rsid w:val="004872CE"/>
    <w:rsid w:val="00496A34"/>
    <w:rsid w:val="004C3E2A"/>
    <w:rsid w:val="004C736E"/>
    <w:rsid w:val="004D0CA5"/>
    <w:rsid w:val="004D6031"/>
    <w:rsid w:val="004E668C"/>
    <w:rsid w:val="00593B32"/>
    <w:rsid w:val="00597A91"/>
    <w:rsid w:val="006029DC"/>
    <w:rsid w:val="00660F6E"/>
    <w:rsid w:val="006A35B2"/>
    <w:rsid w:val="006A7241"/>
    <w:rsid w:val="006C68F1"/>
    <w:rsid w:val="006F248B"/>
    <w:rsid w:val="00700955"/>
    <w:rsid w:val="007426C2"/>
    <w:rsid w:val="007831EE"/>
    <w:rsid w:val="007B605C"/>
    <w:rsid w:val="007D37E3"/>
    <w:rsid w:val="007D5584"/>
    <w:rsid w:val="008056A0"/>
    <w:rsid w:val="008148D5"/>
    <w:rsid w:val="008209C6"/>
    <w:rsid w:val="00821838"/>
    <w:rsid w:val="00832EA5"/>
    <w:rsid w:val="00846497"/>
    <w:rsid w:val="00855BA9"/>
    <w:rsid w:val="00873952"/>
    <w:rsid w:val="00876D38"/>
    <w:rsid w:val="008B0E3C"/>
    <w:rsid w:val="008C2FE6"/>
    <w:rsid w:val="008E2657"/>
    <w:rsid w:val="009203D5"/>
    <w:rsid w:val="00951661"/>
    <w:rsid w:val="00955AA6"/>
    <w:rsid w:val="00977949"/>
    <w:rsid w:val="00997937"/>
    <w:rsid w:val="009B2C9D"/>
    <w:rsid w:val="009B6709"/>
    <w:rsid w:val="009B6DEC"/>
    <w:rsid w:val="009E7446"/>
    <w:rsid w:val="00A03858"/>
    <w:rsid w:val="00A05E08"/>
    <w:rsid w:val="00A104CC"/>
    <w:rsid w:val="00A16E32"/>
    <w:rsid w:val="00A84793"/>
    <w:rsid w:val="00A95D87"/>
    <w:rsid w:val="00AC0789"/>
    <w:rsid w:val="00AF088C"/>
    <w:rsid w:val="00B24957"/>
    <w:rsid w:val="00B33B8A"/>
    <w:rsid w:val="00B50CCA"/>
    <w:rsid w:val="00B601F4"/>
    <w:rsid w:val="00B65EAA"/>
    <w:rsid w:val="00B94EB7"/>
    <w:rsid w:val="00B96E63"/>
    <w:rsid w:val="00BC4D48"/>
    <w:rsid w:val="00BF25A2"/>
    <w:rsid w:val="00C578A3"/>
    <w:rsid w:val="00C77D1D"/>
    <w:rsid w:val="00C91CCB"/>
    <w:rsid w:val="00CA1EB2"/>
    <w:rsid w:val="00CC2F12"/>
    <w:rsid w:val="00CD29D7"/>
    <w:rsid w:val="00D135A6"/>
    <w:rsid w:val="00D4060A"/>
    <w:rsid w:val="00DC4710"/>
    <w:rsid w:val="00DC7E7C"/>
    <w:rsid w:val="00DF03D9"/>
    <w:rsid w:val="00E01034"/>
    <w:rsid w:val="00E21643"/>
    <w:rsid w:val="00E52176"/>
    <w:rsid w:val="00ED0416"/>
    <w:rsid w:val="00EE3E0B"/>
    <w:rsid w:val="00F56A2E"/>
    <w:rsid w:val="00FA6B8A"/>
    <w:rsid w:val="00FC3BEA"/>
    <w:rsid w:val="00FD1A45"/>
    <w:rsid w:val="00FD47F5"/>
    <w:rsid w:val="00FE2A76"/>
    <w:rsid w:val="00FE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CBF71F-ECBF-440D-8E05-960697FE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4060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D4060A"/>
    <w:rPr>
      <w:rFonts w:ascii="Times New Roman" w:eastAsia="Times New Roman" w:hAnsi="Times New Roman" w:cs="Times New Roman"/>
      <w:sz w:val="24"/>
      <w:szCs w:val="24"/>
    </w:rPr>
  </w:style>
  <w:style w:type="paragraph" w:customStyle="1" w:styleId="tsrtable">
    <w:name w:val="tsrtable"/>
    <w:basedOn w:val="Normal"/>
    <w:rsid w:val="00D4060A"/>
    <w:pPr>
      <w:spacing w:after="0" w:line="240" w:lineRule="auto"/>
      <w:jc w:val="center"/>
    </w:pPr>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3865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65A9"/>
    <w:rPr>
      <w:rFonts w:ascii="Segoe UI" w:hAnsi="Segoe UI" w:cs="Segoe UI"/>
      <w:sz w:val="18"/>
      <w:szCs w:val="18"/>
    </w:rPr>
  </w:style>
  <w:style w:type="paragraph" w:styleId="FootnoteText">
    <w:name w:val="footnote text"/>
    <w:basedOn w:val="Normal"/>
    <w:link w:val="FootnoteTextChar"/>
    <w:uiPriority w:val="99"/>
    <w:semiHidden/>
    <w:unhideWhenUsed/>
    <w:rsid w:val="003865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65A9"/>
    <w:rPr>
      <w:sz w:val="20"/>
      <w:szCs w:val="20"/>
    </w:rPr>
  </w:style>
  <w:style w:type="character" w:styleId="FootnoteReference">
    <w:name w:val="footnote reference"/>
    <w:basedOn w:val="DefaultParagraphFont"/>
    <w:uiPriority w:val="99"/>
    <w:semiHidden/>
    <w:unhideWhenUsed/>
    <w:rsid w:val="003865A9"/>
    <w:rPr>
      <w:vertAlign w:val="superscript"/>
    </w:rPr>
  </w:style>
  <w:style w:type="character" w:styleId="CommentReference">
    <w:name w:val="annotation reference"/>
    <w:basedOn w:val="DefaultParagraphFont"/>
    <w:uiPriority w:val="99"/>
    <w:semiHidden/>
    <w:unhideWhenUsed/>
    <w:rsid w:val="006C68F1"/>
    <w:rPr>
      <w:sz w:val="16"/>
      <w:szCs w:val="16"/>
    </w:rPr>
  </w:style>
  <w:style w:type="paragraph" w:styleId="CommentText">
    <w:name w:val="annotation text"/>
    <w:basedOn w:val="Normal"/>
    <w:link w:val="CommentTextChar"/>
    <w:uiPriority w:val="99"/>
    <w:unhideWhenUsed/>
    <w:rsid w:val="006C68F1"/>
    <w:pPr>
      <w:spacing w:line="240" w:lineRule="auto"/>
    </w:pPr>
    <w:rPr>
      <w:sz w:val="20"/>
      <w:szCs w:val="20"/>
    </w:rPr>
  </w:style>
  <w:style w:type="character" w:customStyle="1" w:styleId="CommentTextChar">
    <w:name w:val="Comment Text Char"/>
    <w:basedOn w:val="DefaultParagraphFont"/>
    <w:link w:val="CommentText"/>
    <w:uiPriority w:val="99"/>
    <w:rsid w:val="006C68F1"/>
    <w:rPr>
      <w:sz w:val="20"/>
      <w:szCs w:val="20"/>
    </w:rPr>
  </w:style>
  <w:style w:type="paragraph" w:styleId="CommentSubject">
    <w:name w:val="annotation subject"/>
    <w:basedOn w:val="CommentText"/>
    <w:next w:val="CommentText"/>
    <w:link w:val="CommentSubjectChar"/>
    <w:uiPriority w:val="99"/>
    <w:semiHidden/>
    <w:unhideWhenUsed/>
    <w:rsid w:val="006C68F1"/>
    <w:rPr>
      <w:b/>
      <w:bCs/>
    </w:rPr>
  </w:style>
  <w:style w:type="character" w:customStyle="1" w:styleId="CommentSubjectChar">
    <w:name w:val="Comment Subject Char"/>
    <w:basedOn w:val="CommentTextChar"/>
    <w:link w:val="CommentSubject"/>
    <w:uiPriority w:val="99"/>
    <w:semiHidden/>
    <w:rsid w:val="006C68F1"/>
    <w:rPr>
      <w:b/>
      <w:bCs/>
      <w:sz w:val="20"/>
      <w:szCs w:val="20"/>
    </w:rPr>
  </w:style>
  <w:style w:type="paragraph" w:styleId="Header">
    <w:name w:val="header"/>
    <w:basedOn w:val="Normal"/>
    <w:link w:val="HeaderChar"/>
    <w:uiPriority w:val="99"/>
    <w:unhideWhenUsed/>
    <w:rsid w:val="00316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29C"/>
  </w:style>
  <w:style w:type="paragraph" w:styleId="Footer">
    <w:name w:val="footer"/>
    <w:basedOn w:val="Normal"/>
    <w:link w:val="FooterChar"/>
    <w:uiPriority w:val="99"/>
    <w:unhideWhenUsed/>
    <w:rsid w:val="00316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4800">
      <w:bodyDiv w:val="1"/>
      <w:marLeft w:val="0"/>
      <w:marRight w:val="0"/>
      <w:marTop w:val="0"/>
      <w:marBottom w:val="0"/>
      <w:divBdr>
        <w:top w:val="none" w:sz="0" w:space="0" w:color="auto"/>
        <w:left w:val="none" w:sz="0" w:space="0" w:color="auto"/>
        <w:bottom w:val="none" w:sz="0" w:space="0" w:color="auto"/>
        <w:right w:val="none" w:sz="0" w:space="0" w:color="auto"/>
      </w:divBdr>
    </w:div>
    <w:div w:id="504248512">
      <w:bodyDiv w:val="1"/>
      <w:marLeft w:val="0"/>
      <w:marRight w:val="0"/>
      <w:marTop w:val="0"/>
      <w:marBottom w:val="0"/>
      <w:divBdr>
        <w:top w:val="none" w:sz="0" w:space="0" w:color="auto"/>
        <w:left w:val="none" w:sz="0" w:space="0" w:color="auto"/>
        <w:bottom w:val="none" w:sz="0" w:space="0" w:color="auto"/>
        <w:right w:val="none" w:sz="0" w:space="0" w:color="auto"/>
      </w:divBdr>
    </w:div>
    <w:div w:id="787897147">
      <w:bodyDiv w:val="1"/>
      <w:marLeft w:val="0"/>
      <w:marRight w:val="0"/>
      <w:marTop w:val="0"/>
      <w:marBottom w:val="0"/>
      <w:divBdr>
        <w:top w:val="none" w:sz="0" w:space="0" w:color="auto"/>
        <w:left w:val="none" w:sz="0" w:space="0" w:color="auto"/>
        <w:bottom w:val="none" w:sz="0" w:space="0" w:color="auto"/>
        <w:right w:val="none" w:sz="0" w:space="0" w:color="auto"/>
      </w:divBdr>
    </w:div>
    <w:div w:id="1127359758">
      <w:bodyDiv w:val="1"/>
      <w:marLeft w:val="0"/>
      <w:marRight w:val="0"/>
      <w:marTop w:val="0"/>
      <w:marBottom w:val="0"/>
      <w:divBdr>
        <w:top w:val="none" w:sz="0" w:space="0" w:color="auto"/>
        <w:left w:val="none" w:sz="0" w:space="0" w:color="auto"/>
        <w:bottom w:val="none" w:sz="0" w:space="0" w:color="auto"/>
        <w:right w:val="none" w:sz="0" w:space="0" w:color="auto"/>
      </w:divBdr>
    </w:div>
    <w:div w:id="1162621461">
      <w:bodyDiv w:val="1"/>
      <w:marLeft w:val="0"/>
      <w:marRight w:val="0"/>
      <w:marTop w:val="0"/>
      <w:marBottom w:val="0"/>
      <w:divBdr>
        <w:top w:val="none" w:sz="0" w:space="0" w:color="auto"/>
        <w:left w:val="none" w:sz="0" w:space="0" w:color="auto"/>
        <w:bottom w:val="none" w:sz="0" w:space="0" w:color="auto"/>
        <w:right w:val="none" w:sz="0" w:space="0" w:color="auto"/>
      </w:divBdr>
    </w:div>
    <w:div w:id="189558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63E8DF34C2001498300C88014A199E9" ma:contentTypeVersion="31" ma:contentTypeDescription="A content type to manage public (operations) IDB documents" ma:contentTypeScope="" ma:versionID="c10897f1a34e150198dfdeb9a8cd00ce">
  <xsd:schema xmlns:xsd="http://www.w3.org/2001/XMLSchema" xmlns:xs="http://www.w3.org/2001/XMLSchema" xmlns:p="http://schemas.microsoft.com/office/2006/metadata/properties" xmlns:ns2="cdc7663a-08f0-4737-9e8c-148ce897a09c" targetNamespace="http://schemas.microsoft.com/office/2006/metadata/properties" ma:root="true" ma:fieldsID="cb23b56180533ae888147ed0b4a8bb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ATN/OC-16533-GY;</Approval_x0020_Number>
    <Phase xmlns="cdc7663a-08f0-4737-9e8c-148ce897a09c">ACTIVE</Phase>
    <Document_x0020_Author xmlns="cdc7663a-08f0-4737-9e8c-148ce897a09c">Sucre Pantin, Carlos Gustavo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NEW OIL AND GAS AND EXTRACTIVE INDUSTRIES</TermName>
          <TermId xmlns="http://schemas.microsoft.com/office/infopath/2007/PartnerControls">bcc83a9b-50a8-4d09-8319-26ca493c6afc</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TaxCatchAll xmlns="cdc7663a-08f0-4737-9e8c-148ce897a09c">
      <Value>69</Value>
      <Value>102</Value>
      <Value>45</Value>
      <Value>9</Value>
      <Value>28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GY-T1147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R0001361462</Record_x0020_Number>
    <_dlc_DocId xmlns="cdc7663a-08f0-4737-9e8c-148ce897a09c">EZSHARE-452454260-3</_dlc_DocId>
    <_dlc_DocIdUrl xmlns="cdc7663a-08f0-4737-9e8c-148ce897a09c">
      <Url>https://idbg.sharepoint.com/teams/EZ-GY-TCP/GY-T1147/_layouts/15/DocIdRedir.aspx?ID=EZSHARE-452454260-3</Url>
      <Description>EZSHARE-452454260-3</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169A9D6-9DE1-4888-9B5A-A74E621181E7}">
  <ds:schemaRefs>
    <ds:schemaRef ds:uri="http://schemas.openxmlformats.org/officeDocument/2006/bibliography"/>
  </ds:schemaRefs>
</ds:datastoreItem>
</file>

<file path=customXml/itemProps2.xml><?xml version="1.0" encoding="utf-8"?>
<ds:datastoreItem xmlns:ds="http://schemas.openxmlformats.org/officeDocument/2006/customXml" ds:itemID="{702280A9-D783-4472-B065-D2908D7CDB60}"/>
</file>

<file path=customXml/itemProps3.xml><?xml version="1.0" encoding="utf-8"?>
<ds:datastoreItem xmlns:ds="http://schemas.openxmlformats.org/officeDocument/2006/customXml" ds:itemID="{CD80081E-482C-4C7E-A04F-DE05C92C7E52}"/>
</file>

<file path=customXml/itemProps4.xml><?xml version="1.0" encoding="utf-8"?>
<ds:datastoreItem xmlns:ds="http://schemas.openxmlformats.org/officeDocument/2006/customXml" ds:itemID="{61F70970-0760-4094-8EAD-636CF0458E76}"/>
</file>

<file path=customXml/itemProps5.xml><?xml version="1.0" encoding="utf-8"?>
<ds:datastoreItem xmlns:ds="http://schemas.openxmlformats.org/officeDocument/2006/customXml" ds:itemID="{EDB13D2B-6B6F-467B-B39A-5562279F4B2B}"/>
</file>

<file path=customXml/itemProps6.xml><?xml version="1.0" encoding="utf-8"?>
<ds:datastoreItem xmlns:ds="http://schemas.openxmlformats.org/officeDocument/2006/customXml" ds:itemID="{E0CA4ED6-A739-4E79-89B9-30F0C855C6D8}"/>
</file>

<file path=customXml/itemProps7.xml><?xml version="1.0" encoding="utf-8"?>
<ds:datastoreItem xmlns:ds="http://schemas.openxmlformats.org/officeDocument/2006/customXml" ds:itemID="{305056E3-E86A-4EAC-A10B-701D8268F150}"/>
</file>

<file path=customXml/itemProps8.xml><?xml version="1.0" encoding="utf-8"?>
<ds:datastoreItem xmlns:ds="http://schemas.openxmlformats.org/officeDocument/2006/customXml" ds:itemID="{FB240C67-CCC0-4050-944C-5274226F8D3E}"/>
</file>

<file path=docProps/app.xml><?xml version="1.0" encoding="utf-8"?>
<Properties xmlns="http://schemas.openxmlformats.org/officeDocument/2006/extended-properties" xmlns:vt="http://schemas.openxmlformats.org/officeDocument/2006/docPropsVTypes">
  <Template>Normal.dotm</Template>
  <TotalTime>0</TotalTime>
  <Pages>4</Pages>
  <Words>1732</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Sologuren Blanco, Jaime</dc:creator>
  <cp:keywords/>
  <dc:description/>
  <cp:lastModifiedBy>Balza Angulo, Lenin Humberto</cp:lastModifiedBy>
  <cp:revision>3</cp:revision>
  <cp:lastPrinted>2017-11-14T15:34:00Z</cp:lastPrinted>
  <dcterms:created xsi:type="dcterms:W3CDTF">2017-11-15T01:04:00Z</dcterms:created>
  <dcterms:modified xsi:type="dcterms:W3CDTF">2017-11-15T01:04:00Z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102;#NEW OIL AND GAS AND EXTRACTIVE INDUSTRIES|bcc83a9b-50a8-4d09-8319-26ca493c6afc</vt:lpwstr>
  </property>
  <property fmtid="{D5CDD505-2E9C-101B-9397-08002B2CF9AE}" pid="7" name="Fund IDB">
    <vt:lpwstr>69;#CTY|480c4b50-1d26-4981-a192-620d20903d26</vt:lpwstr>
  </property>
  <property fmtid="{D5CDD505-2E9C-101B-9397-08002B2CF9AE}" pid="8" name="Country">
    <vt:lpwstr>28;#Guyana|56862354-b867-4ea1-80cf-2c12eebb71f3</vt:lpwstr>
  </property>
  <property fmtid="{D5CDD505-2E9C-101B-9397-08002B2CF9AE}" pid="9" name="Sector IDB">
    <vt:lpwstr>45;#ENERGY|4fed196a-cd0b-4970-87de-42da17f9b203</vt:lpwstr>
  </property>
  <property fmtid="{D5CDD505-2E9C-101B-9397-08002B2CF9AE}" pid="10" name="Function Operations IDB">
    <vt:lpwstr>9;#Project Administration|751f71fd-1433-4702-a2db-ff12a4e45594</vt:lpwstr>
  </property>
  <property fmtid="{D5CDD505-2E9C-101B-9397-08002B2CF9AE}" pid="11" name="_dlc_DocIdItemGuid">
    <vt:lpwstr>8166ddb4-c2c2-4023-bc8e-292c733e18ae</vt:lpwstr>
  </property>
  <property fmtid="{D5CDD505-2E9C-101B-9397-08002B2CF9AE}" pid="12" name="RecordPoint_ActiveItemMoved">
    <vt:lpwstr>/teams/EZ-GY-TCP/GY-T1147/05 Basic Data/GY-T1147 TOR II.docx</vt:lpwstr>
  </property>
  <property fmtid="{D5CDD505-2E9C-101B-9397-08002B2CF9AE}" pid="13" name="RecordStorageActiveId">
    <vt:lpwstr>7adf4255-823f-4ac3-be9c-f178ac949b86</vt:lpwstr>
  </property>
  <property fmtid="{D5CDD505-2E9C-101B-9397-08002B2CF9AE}" pid="14" name="Disclosure Activity">
    <vt:lpwstr>Approved TC document</vt:lpwstr>
  </property>
  <property fmtid="{D5CDD505-2E9C-101B-9397-08002B2CF9AE}" pid="15" name="ContentTypeId">
    <vt:lpwstr>0x0101001A458A224826124E8B45B1D613300CFC00B63E8DF34C2001498300C88014A199E9</vt:lpwstr>
  </property>
</Properties>
</file>