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A9A12E" w14:textId="77777777" w:rsidR="00ED751C" w:rsidRPr="00046E14" w:rsidRDefault="00ED751C" w:rsidP="00ED751C">
      <w:pPr>
        <w:pStyle w:val="SubSubPar"/>
        <w:numPr>
          <w:ilvl w:val="0"/>
          <w:numId w:val="0"/>
        </w:numPr>
        <w:spacing w:after="0"/>
        <w:jc w:val="center"/>
        <w:rPr>
          <w:rFonts w:ascii="Arial" w:hAnsi="Arial" w:cs="Arial"/>
          <w:smallCaps/>
          <w:sz w:val="22"/>
          <w:szCs w:val="22"/>
          <w:lang w:val="es-ES"/>
        </w:rPr>
      </w:pPr>
      <w:r w:rsidRPr="00046E14">
        <w:rPr>
          <w:rFonts w:ascii="Arial" w:hAnsi="Arial" w:cs="Arial"/>
          <w:smallCaps/>
          <w:sz w:val="22"/>
          <w:szCs w:val="22"/>
          <w:lang w:val="es-ES"/>
        </w:rPr>
        <w:t xml:space="preserve">Documento del Banco Interamericano </w:t>
      </w:r>
      <w:r w:rsidR="00C1154C" w:rsidRPr="00046E14">
        <w:rPr>
          <w:rFonts w:ascii="Arial" w:hAnsi="Arial" w:cs="Arial"/>
          <w:smallCaps/>
          <w:sz w:val="22"/>
          <w:szCs w:val="22"/>
          <w:lang w:val="es-ES"/>
        </w:rPr>
        <w:t>d</w:t>
      </w:r>
      <w:r w:rsidRPr="00046E14">
        <w:rPr>
          <w:rFonts w:ascii="Arial" w:hAnsi="Arial" w:cs="Arial"/>
          <w:smallCaps/>
          <w:sz w:val="22"/>
          <w:szCs w:val="22"/>
          <w:lang w:val="es-ES"/>
        </w:rPr>
        <w:t>e Desarrollo</w:t>
      </w:r>
    </w:p>
    <w:p w14:paraId="7D994776" w14:textId="77777777" w:rsidR="00ED751C" w:rsidRPr="00046E14" w:rsidRDefault="00ED751C" w:rsidP="00ED751C">
      <w:pPr>
        <w:tabs>
          <w:tab w:val="left" w:pos="1440"/>
          <w:tab w:val="left" w:pos="3060"/>
        </w:tabs>
        <w:jc w:val="center"/>
        <w:rPr>
          <w:rFonts w:ascii="Arial" w:hAnsi="Arial" w:cs="Arial"/>
          <w:smallCaps/>
          <w:sz w:val="22"/>
          <w:szCs w:val="22"/>
          <w:lang w:val="es-ES"/>
        </w:rPr>
      </w:pPr>
    </w:p>
    <w:p w14:paraId="7C576D54" w14:textId="77777777" w:rsidR="00ED751C" w:rsidRPr="00046E14" w:rsidRDefault="00ED751C" w:rsidP="00ED751C">
      <w:pPr>
        <w:tabs>
          <w:tab w:val="left" w:pos="1440"/>
          <w:tab w:val="left" w:pos="3060"/>
        </w:tabs>
        <w:jc w:val="center"/>
        <w:rPr>
          <w:rFonts w:ascii="Arial" w:hAnsi="Arial" w:cs="Arial"/>
          <w:smallCaps/>
          <w:sz w:val="22"/>
          <w:szCs w:val="22"/>
          <w:lang w:val="es-ES"/>
        </w:rPr>
      </w:pPr>
    </w:p>
    <w:p w14:paraId="410A2C46" w14:textId="77777777" w:rsidR="00ED751C" w:rsidRPr="00046E14" w:rsidRDefault="00ED751C" w:rsidP="00ED751C">
      <w:pPr>
        <w:tabs>
          <w:tab w:val="left" w:pos="1440"/>
          <w:tab w:val="left" w:pos="3060"/>
        </w:tabs>
        <w:jc w:val="center"/>
        <w:rPr>
          <w:rFonts w:ascii="Arial" w:hAnsi="Arial" w:cs="Arial"/>
          <w:smallCaps/>
          <w:sz w:val="22"/>
          <w:szCs w:val="22"/>
          <w:lang w:val="es-ES"/>
        </w:rPr>
      </w:pPr>
    </w:p>
    <w:p w14:paraId="3E513D8A" w14:textId="77777777" w:rsidR="00ED751C" w:rsidRPr="00046E14" w:rsidRDefault="00ED751C" w:rsidP="00ED751C">
      <w:pPr>
        <w:tabs>
          <w:tab w:val="left" w:pos="1440"/>
          <w:tab w:val="left" w:pos="3060"/>
        </w:tabs>
        <w:jc w:val="center"/>
        <w:rPr>
          <w:rFonts w:ascii="Arial" w:hAnsi="Arial" w:cs="Arial"/>
          <w:smallCaps/>
          <w:sz w:val="22"/>
          <w:szCs w:val="22"/>
          <w:lang w:val="es-ES"/>
        </w:rPr>
      </w:pPr>
    </w:p>
    <w:p w14:paraId="4DB2B53E" w14:textId="77777777" w:rsidR="00ED751C" w:rsidRPr="00046E14" w:rsidRDefault="00ED751C" w:rsidP="00ED751C">
      <w:pPr>
        <w:tabs>
          <w:tab w:val="left" w:pos="1440"/>
          <w:tab w:val="left" w:pos="3060"/>
        </w:tabs>
        <w:jc w:val="center"/>
        <w:rPr>
          <w:rFonts w:ascii="Arial" w:hAnsi="Arial" w:cs="Arial"/>
          <w:smallCaps/>
          <w:sz w:val="22"/>
          <w:szCs w:val="22"/>
          <w:lang w:val="es-ES"/>
        </w:rPr>
      </w:pPr>
    </w:p>
    <w:p w14:paraId="5BDFEAC2" w14:textId="77777777" w:rsidR="00ED751C" w:rsidRPr="00046E14" w:rsidRDefault="00ED751C" w:rsidP="00ED751C">
      <w:pPr>
        <w:tabs>
          <w:tab w:val="left" w:pos="1440"/>
          <w:tab w:val="left" w:pos="3060"/>
        </w:tabs>
        <w:jc w:val="center"/>
        <w:rPr>
          <w:rFonts w:ascii="Arial" w:hAnsi="Arial" w:cs="Arial"/>
          <w:smallCaps/>
          <w:sz w:val="22"/>
          <w:szCs w:val="22"/>
          <w:lang w:val="es-ES"/>
        </w:rPr>
      </w:pPr>
    </w:p>
    <w:p w14:paraId="383DE925" w14:textId="77777777" w:rsidR="00F54AAD" w:rsidRPr="00046E14" w:rsidRDefault="00F54AAD" w:rsidP="00ED751C">
      <w:pPr>
        <w:tabs>
          <w:tab w:val="left" w:pos="1440"/>
          <w:tab w:val="left" w:pos="3060"/>
        </w:tabs>
        <w:jc w:val="center"/>
        <w:rPr>
          <w:rFonts w:ascii="Arial" w:hAnsi="Arial" w:cs="Arial"/>
          <w:smallCaps/>
          <w:sz w:val="22"/>
          <w:szCs w:val="22"/>
          <w:lang w:val="es-ES"/>
        </w:rPr>
      </w:pPr>
    </w:p>
    <w:p w14:paraId="3A261406" w14:textId="77777777" w:rsidR="00F54AAD" w:rsidRPr="00046E14" w:rsidRDefault="00F54AAD" w:rsidP="00ED751C">
      <w:pPr>
        <w:tabs>
          <w:tab w:val="left" w:pos="1440"/>
          <w:tab w:val="left" w:pos="3060"/>
        </w:tabs>
        <w:jc w:val="center"/>
        <w:rPr>
          <w:rFonts w:ascii="Arial" w:hAnsi="Arial" w:cs="Arial"/>
          <w:smallCaps/>
          <w:sz w:val="22"/>
          <w:szCs w:val="22"/>
          <w:lang w:val="es-ES"/>
        </w:rPr>
      </w:pPr>
    </w:p>
    <w:p w14:paraId="61DAED04" w14:textId="77777777" w:rsidR="00ED751C" w:rsidRPr="00046E14" w:rsidRDefault="00ED751C" w:rsidP="00ED751C">
      <w:pPr>
        <w:tabs>
          <w:tab w:val="left" w:pos="1440"/>
          <w:tab w:val="left" w:pos="3060"/>
        </w:tabs>
        <w:jc w:val="center"/>
        <w:rPr>
          <w:rFonts w:ascii="Arial" w:hAnsi="Arial" w:cs="Arial"/>
          <w:smallCaps/>
          <w:sz w:val="22"/>
          <w:szCs w:val="22"/>
          <w:lang w:val="es-ES"/>
        </w:rPr>
      </w:pPr>
    </w:p>
    <w:p w14:paraId="26C38D31" w14:textId="77777777" w:rsidR="00ED751C" w:rsidRPr="00046E14" w:rsidRDefault="00A868B0" w:rsidP="00ED751C">
      <w:pPr>
        <w:tabs>
          <w:tab w:val="left" w:pos="1440"/>
          <w:tab w:val="left" w:pos="3060"/>
        </w:tabs>
        <w:jc w:val="center"/>
        <w:rPr>
          <w:rFonts w:ascii="Arial" w:hAnsi="Arial" w:cs="Arial"/>
          <w:b/>
          <w:smallCaps/>
          <w:sz w:val="28"/>
          <w:szCs w:val="28"/>
          <w:lang w:val="es-ES"/>
        </w:rPr>
      </w:pPr>
      <w:r>
        <w:rPr>
          <w:rFonts w:ascii="Arial" w:hAnsi="Arial" w:cs="Arial"/>
          <w:b/>
          <w:smallCaps/>
          <w:sz w:val="28"/>
          <w:szCs w:val="28"/>
          <w:lang w:val="es-ES"/>
        </w:rPr>
        <w:t>Honduras</w:t>
      </w:r>
    </w:p>
    <w:p w14:paraId="370C695E" w14:textId="77777777" w:rsidR="00ED751C" w:rsidRPr="00046E14" w:rsidRDefault="00ED751C" w:rsidP="00ED751C">
      <w:pPr>
        <w:tabs>
          <w:tab w:val="left" w:pos="1440"/>
          <w:tab w:val="left" w:pos="3060"/>
        </w:tabs>
        <w:jc w:val="center"/>
        <w:rPr>
          <w:rFonts w:ascii="Arial" w:hAnsi="Arial" w:cs="Arial"/>
          <w:smallCaps/>
          <w:sz w:val="22"/>
          <w:szCs w:val="22"/>
          <w:lang w:val="es-ES"/>
        </w:rPr>
      </w:pPr>
    </w:p>
    <w:p w14:paraId="72330972" w14:textId="77777777" w:rsidR="00ED751C" w:rsidRPr="00046E14" w:rsidRDefault="00ED751C" w:rsidP="00ED751C">
      <w:pPr>
        <w:tabs>
          <w:tab w:val="left" w:pos="1440"/>
          <w:tab w:val="left" w:pos="3060"/>
        </w:tabs>
        <w:jc w:val="center"/>
        <w:rPr>
          <w:rFonts w:ascii="Arial" w:hAnsi="Arial" w:cs="Arial"/>
          <w:smallCaps/>
          <w:sz w:val="22"/>
          <w:szCs w:val="22"/>
          <w:lang w:val="es-ES"/>
        </w:rPr>
      </w:pPr>
    </w:p>
    <w:p w14:paraId="2AFE5380" w14:textId="77777777" w:rsidR="00ED751C" w:rsidRPr="00046E14" w:rsidRDefault="00ED751C" w:rsidP="00ED751C">
      <w:pPr>
        <w:tabs>
          <w:tab w:val="left" w:pos="1440"/>
          <w:tab w:val="left" w:pos="3060"/>
        </w:tabs>
        <w:jc w:val="center"/>
        <w:rPr>
          <w:rFonts w:ascii="Arial" w:hAnsi="Arial" w:cs="Arial"/>
          <w:smallCaps/>
          <w:sz w:val="22"/>
          <w:szCs w:val="22"/>
          <w:lang w:val="es-ES"/>
        </w:rPr>
      </w:pPr>
    </w:p>
    <w:p w14:paraId="79D61D5A" w14:textId="77777777" w:rsidR="00F54AAD" w:rsidRPr="00046E14" w:rsidRDefault="00F54AAD" w:rsidP="00ED751C">
      <w:pPr>
        <w:tabs>
          <w:tab w:val="left" w:pos="1440"/>
          <w:tab w:val="left" w:pos="3060"/>
        </w:tabs>
        <w:jc w:val="center"/>
        <w:rPr>
          <w:rFonts w:ascii="Arial" w:hAnsi="Arial" w:cs="Arial"/>
          <w:smallCaps/>
          <w:sz w:val="22"/>
          <w:szCs w:val="22"/>
          <w:lang w:val="es-ES"/>
        </w:rPr>
      </w:pPr>
    </w:p>
    <w:p w14:paraId="26310D51" w14:textId="77777777" w:rsidR="00ED751C" w:rsidRPr="00046E14" w:rsidRDefault="00ED751C" w:rsidP="00ED751C">
      <w:pPr>
        <w:tabs>
          <w:tab w:val="left" w:pos="1440"/>
          <w:tab w:val="left" w:pos="3060"/>
        </w:tabs>
        <w:jc w:val="center"/>
        <w:rPr>
          <w:rFonts w:ascii="Arial" w:hAnsi="Arial" w:cs="Arial"/>
          <w:smallCaps/>
          <w:sz w:val="22"/>
          <w:szCs w:val="22"/>
          <w:lang w:val="es-ES"/>
        </w:rPr>
      </w:pPr>
    </w:p>
    <w:p w14:paraId="295FE0F3" w14:textId="2D8CAAA7" w:rsidR="00ED751C" w:rsidRDefault="00D976B8" w:rsidP="00ED751C">
      <w:pPr>
        <w:pStyle w:val="Newpage"/>
        <w:rPr>
          <w:rFonts w:ascii="Arial" w:hAnsi="Arial" w:cs="Arial"/>
          <w:bCs/>
          <w:sz w:val="28"/>
          <w:szCs w:val="28"/>
          <w:lang w:val="es-AR"/>
        </w:rPr>
      </w:pPr>
      <w:r w:rsidRPr="00D976B8">
        <w:rPr>
          <w:rFonts w:ascii="Arial" w:hAnsi="Arial" w:cs="Arial"/>
          <w:bCs/>
          <w:sz w:val="28"/>
          <w:szCs w:val="28"/>
          <w:lang w:val="es-AR"/>
        </w:rPr>
        <w:t>Programa Apoyo a la Integración de Honduras en el Mercado Eléctrico Regional (HO-L1039) (3103/BL-HO)</w:t>
      </w:r>
    </w:p>
    <w:p w14:paraId="087B904E" w14:textId="77777777" w:rsidR="00451F11" w:rsidRPr="00046E14" w:rsidRDefault="00451F11" w:rsidP="00ED751C">
      <w:pPr>
        <w:pStyle w:val="Newpage"/>
        <w:rPr>
          <w:rFonts w:ascii="Arial" w:hAnsi="Arial" w:cs="Arial"/>
          <w:b w:val="0"/>
          <w:caps/>
          <w:smallCaps w:val="0"/>
          <w:sz w:val="22"/>
          <w:szCs w:val="22"/>
        </w:rPr>
      </w:pPr>
    </w:p>
    <w:p w14:paraId="36D82DEC" w14:textId="77777777" w:rsidR="00451F11" w:rsidRDefault="00451F11" w:rsidP="00261D8E">
      <w:pPr>
        <w:pStyle w:val="Newpage"/>
        <w:rPr>
          <w:rFonts w:ascii="Arial" w:hAnsi="Arial" w:cs="Arial"/>
          <w:bCs/>
          <w:sz w:val="28"/>
          <w:szCs w:val="28"/>
          <w:lang w:val="es-AR"/>
        </w:rPr>
      </w:pPr>
      <w:r w:rsidRPr="00451F11">
        <w:rPr>
          <w:rFonts w:ascii="Arial" w:hAnsi="Arial" w:cs="Arial"/>
          <w:bCs/>
          <w:sz w:val="28"/>
          <w:szCs w:val="28"/>
          <w:lang w:val="es-AR"/>
        </w:rPr>
        <w:t>Apoyo a la Integración de Honduras en el Mercado Eléctrico Regional y Al Acceso de la Energía Renovable a la Red</w:t>
      </w:r>
    </w:p>
    <w:p w14:paraId="5DCB3FD6" w14:textId="77777777" w:rsidR="00451F11" w:rsidRDefault="00451F11" w:rsidP="00261D8E">
      <w:pPr>
        <w:pStyle w:val="Newpage"/>
        <w:rPr>
          <w:rFonts w:ascii="Arial" w:hAnsi="Arial" w:cs="Arial"/>
          <w:bCs/>
          <w:sz w:val="28"/>
          <w:szCs w:val="28"/>
          <w:lang w:val="es-AR"/>
        </w:rPr>
      </w:pPr>
    </w:p>
    <w:p w14:paraId="1ADE98B1" w14:textId="1E668363" w:rsidR="00261D8E" w:rsidRDefault="00451F11" w:rsidP="00261D8E">
      <w:pPr>
        <w:pStyle w:val="Newpage"/>
        <w:rPr>
          <w:rFonts w:ascii="Arial" w:hAnsi="Arial" w:cs="Arial"/>
          <w:caps/>
          <w:sz w:val="22"/>
          <w:szCs w:val="22"/>
          <w:lang w:val="es-ES_tradnl"/>
        </w:rPr>
      </w:pPr>
      <w:r w:rsidRPr="00451F11">
        <w:rPr>
          <w:rFonts w:ascii="Arial" w:hAnsi="Arial" w:cs="Arial"/>
          <w:bCs/>
          <w:sz w:val="28"/>
          <w:szCs w:val="28"/>
          <w:lang w:val="es-AR"/>
        </w:rPr>
        <w:t xml:space="preserve"> Financiamiento Complementario; Inversión No Reembolsable (HO-G1006)</w:t>
      </w:r>
    </w:p>
    <w:p w14:paraId="24B10189" w14:textId="747A93EB" w:rsidR="00261D8E" w:rsidRPr="00261D8E" w:rsidRDefault="00261D8E" w:rsidP="00261D8E">
      <w:pPr>
        <w:pStyle w:val="Newpage"/>
        <w:spacing w:before="0"/>
        <w:rPr>
          <w:rFonts w:ascii="Arial" w:hAnsi="Arial" w:cs="Arial"/>
          <w:caps/>
          <w:sz w:val="22"/>
          <w:szCs w:val="22"/>
        </w:rPr>
      </w:pPr>
    </w:p>
    <w:p w14:paraId="630102F8" w14:textId="41E3A115" w:rsidR="00ED751C" w:rsidRDefault="00ED751C" w:rsidP="00ED751C">
      <w:pPr>
        <w:tabs>
          <w:tab w:val="left" w:pos="1440"/>
          <w:tab w:val="left" w:pos="3060"/>
        </w:tabs>
        <w:jc w:val="center"/>
        <w:rPr>
          <w:rFonts w:ascii="Arial" w:hAnsi="Arial" w:cs="Arial"/>
          <w:smallCaps/>
          <w:sz w:val="22"/>
          <w:szCs w:val="22"/>
          <w:lang w:val="es-ES"/>
        </w:rPr>
      </w:pPr>
    </w:p>
    <w:p w14:paraId="54A78635" w14:textId="39D48874" w:rsidR="00D976B8" w:rsidRDefault="00D976B8" w:rsidP="00ED751C">
      <w:pPr>
        <w:tabs>
          <w:tab w:val="left" w:pos="1440"/>
          <w:tab w:val="left" w:pos="3060"/>
        </w:tabs>
        <w:jc w:val="center"/>
        <w:rPr>
          <w:rFonts w:ascii="Arial" w:hAnsi="Arial" w:cs="Arial"/>
          <w:smallCaps/>
          <w:sz w:val="22"/>
          <w:szCs w:val="22"/>
          <w:lang w:val="es-ES"/>
        </w:rPr>
      </w:pPr>
    </w:p>
    <w:p w14:paraId="6FD72A8D" w14:textId="77777777" w:rsidR="00303AE9" w:rsidRPr="00046E14" w:rsidRDefault="00303AE9" w:rsidP="00ED751C">
      <w:pPr>
        <w:tabs>
          <w:tab w:val="left" w:pos="1440"/>
          <w:tab w:val="left" w:pos="3060"/>
        </w:tabs>
        <w:jc w:val="center"/>
        <w:rPr>
          <w:rFonts w:ascii="Arial" w:hAnsi="Arial" w:cs="Arial"/>
          <w:smallCaps/>
          <w:sz w:val="22"/>
          <w:szCs w:val="22"/>
          <w:lang w:val="es-ES"/>
        </w:rPr>
      </w:pPr>
    </w:p>
    <w:p w14:paraId="61AAA4A4" w14:textId="3D047C79" w:rsidR="00ED751C" w:rsidRPr="00046E14" w:rsidRDefault="00D976B8" w:rsidP="00ED751C">
      <w:pPr>
        <w:tabs>
          <w:tab w:val="left" w:pos="1440"/>
          <w:tab w:val="left" w:pos="3060"/>
        </w:tabs>
        <w:jc w:val="center"/>
        <w:outlineLvl w:val="0"/>
        <w:rPr>
          <w:rFonts w:ascii="Arial" w:hAnsi="Arial" w:cs="Arial"/>
          <w:b/>
          <w:szCs w:val="24"/>
          <w:lang w:val="es-ES"/>
        </w:rPr>
      </w:pPr>
      <w:r>
        <w:rPr>
          <w:rFonts w:ascii="Arial" w:hAnsi="Arial" w:cs="Arial"/>
          <w:b/>
          <w:smallCaps/>
          <w:szCs w:val="24"/>
          <w:lang w:val="es-ES"/>
        </w:rPr>
        <w:t xml:space="preserve">Actualización de la </w:t>
      </w:r>
      <w:r w:rsidR="009403E8">
        <w:rPr>
          <w:rFonts w:ascii="Arial" w:hAnsi="Arial" w:cs="Arial"/>
          <w:b/>
          <w:smallCaps/>
          <w:szCs w:val="24"/>
          <w:lang w:val="es-ES"/>
        </w:rPr>
        <w:t xml:space="preserve">Evaluación </w:t>
      </w:r>
      <w:r w:rsidR="009A4DF8">
        <w:rPr>
          <w:rFonts w:ascii="Arial" w:hAnsi="Arial" w:cs="Arial"/>
          <w:b/>
          <w:smallCaps/>
          <w:szCs w:val="24"/>
          <w:lang w:val="es-ES"/>
        </w:rPr>
        <w:t xml:space="preserve">Financiera y </w:t>
      </w:r>
      <w:r w:rsidR="009403E8">
        <w:rPr>
          <w:rFonts w:ascii="Arial" w:hAnsi="Arial" w:cs="Arial"/>
          <w:b/>
          <w:smallCaps/>
          <w:szCs w:val="24"/>
          <w:lang w:val="es-ES"/>
        </w:rPr>
        <w:t>Económica</w:t>
      </w:r>
    </w:p>
    <w:p w14:paraId="6A7B0CBB" w14:textId="77777777" w:rsidR="00ED751C" w:rsidRPr="00046E14" w:rsidRDefault="00ED751C" w:rsidP="00ED751C">
      <w:pPr>
        <w:tabs>
          <w:tab w:val="left" w:pos="1440"/>
          <w:tab w:val="left" w:pos="3060"/>
        </w:tabs>
        <w:jc w:val="center"/>
        <w:rPr>
          <w:rFonts w:ascii="Arial" w:hAnsi="Arial" w:cs="Arial"/>
          <w:sz w:val="22"/>
          <w:szCs w:val="22"/>
          <w:lang w:val="es-ES"/>
        </w:rPr>
      </w:pPr>
    </w:p>
    <w:p w14:paraId="0DA44405" w14:textId="77777777" w:rsidR="00ED751C" w:rsidRPr="00046E14" w:rsidRDefault="00ED751C" w:rsidP="00ED751C">
      <w:pPr>
        <w:tabs>
          <w:tab w:val="left" w:pos="1440"/>
          <w:tab w:val="left" w:pos="3060"/>
        </w:tabs>
        <w:jc w:val="center"/>
        <w:rPr>
          <w:rFonts w:ascii="Arial" w:hAnsi="Arial" w:cs="Arial"/>
          <w:sz w:val="22"/>
          <w:szCs w:val="22"/>
          <w:lang w:val="es-ES"/>
        </w:rPr>
      </w:pPr>
    </w:p>
    <w:p w14:paraId="0B17DCE9" w14:textId="473C243D" w:rsidR="00ED751C" w:rsidRDefault="00ED751C" w:rsidP="00ED751C">
      <w:pPr>
        <w:tabs>
          <w:tab w:val="left" w:pos="1440"/>
          <w:tab w:val="left" w:pos="3060"/>
        </w:tabs>
        <w:jc w:val="center"/>
        <w:rPr>
          <w:rFonts w:ascii="Arial" w:hAnsi="Arial" w:cs="Arial"/>
          <w:sz w:val="22"/>
          <w:szCs w:val="22"/>
          <w:lang w:val="es-ES"/>
        </w:rPr>
      </w:pPr>
    </w:p>
    <w:p w14:paraId="69470329" w14:textId="77777777" w:rsidR="002D3706" w:rsidRPr="00046E14" w:rsidRDefault="002D3706" w:rsidP="00ED751C">
      <w:pPr>
        <w:tabs>
          <w:tab w:val="left" w:pos="1440"/>
          <w:tab w:val="left" w:pos="3060"/>
        </w:tabs>
        <w:jc w:val="center"/>
        <w:rPr>
          <w:rFonts w:ascii="Arial" w:hAnsi="Arial" w:cs="Arial"/>
          <w:sz w:val="22"/>
          <w:szCs w:val="22"/>
          <w:lang w:val="es-ES"/>
        </w:rPr>
      </w:pPr>
    </w:p>
    <w:p w14:paraId="2D829FC7" w14:textId="77777777" w:rsidR="00ED751C" w:rsidRPr="00046E14" w:rsidRDefault="00ED751C" w:rsidP="00ED751C">
      <w:pPr>
        <w:tabs>
          <w:tab w:val="left" w:pos="1440"/>
          <w:tab w:val="left" w:pos="3060"/>
        </w:tabs>
        <w:jc w:val="center"/>
        <w:rPr>
          <w:rFonts w:ascii="Arial" w:hAnsi="Arial" w:cs="Arial"/>
          <w:sz w:val="22"/>
          <w:szCs w:val="22"/>
          <w:lang w:val="es-ES"/>
        </w:rPr>
      </w:pPr>
    </w:p>
    <w:p w14:paraId="07385390" w14:textId="77777777" w:rsidR="00ED751C" w:rsidRPr="00046E14" w:rsidRDefault="00ED751C" w:rsidP="00ED751C">
      <w:pPr>
        <w:tabs>
          <w:tab w:val="left" w:pos="1440"/>
          <w:tab w:val="left" w:pos="3060"/>
        </w:tabs>
        <w:jc w:val="center"/>
        <w:rPr>
          <w:rFonts w:ascii="Arial" w:hAnsi="Arial" w:cs="Arial"/>
          <w:sz w:val="22"/>
          <w:szCs w:val="22"/>
          <w:lang w:val="es-ES"/>
        </w:rPr>
      </w:pPr>
    </w:p>
    <w:p w14:paraId="16EA6C9E" w14:textId="77777777" w:rsidR="00ED751C" w:rsidRDefault="00ED751C" w:rsidP="00ED751C">
      <w:pPr>
        <w:tabs>
          <w:tab w:val="left" w:pos="1440"/>
          <w:tab w:val="left" w:pos="3060"/>
        </w:tabs>
        <w:jc w:val="center"/>
        <w:rPr>
          <w:rFonts w:ascii="Arial" w:hAnsi="Arial" w:cs="Arial"/>
          <w:sz w:val="22"/>
          <w:szCs w:val="22"/>
          <w:lang w:val="es-ES"/>
        </w:rPr>
      </w:pPr>
    </w:p>
    <w:p w14:paraId="58281FAA" w14:textId="77777777" w:rsidR="00A868B0" w:rsidRPr="00046E14" w:rsidRDefault="00A868B0" w:rsidP="00ED751C">
      <w:pPr>
        <w:tabs>
          <w:tab w:val="left" w:pos="1440"/>
          <w:tab w:val="left" w:pos="3060"/>
        </w:tabs>
        <w:jc w:val="center"/>
        <w:rPr>
          <w:rFonts w:ascii="Arial" w:hAnsi="Arial" w:cs="Arial"/>
          <w:sz w:val="22"/>
          <w:szCs w:val="22"/>
          <w:lang w:val="es-ES"/>
        </w:rPr>
      </w:pPr>
    </w:p>
    <w:p w14:paraId="135918E8" w14:textId="77777777" w:rsidR="00303AE9" w:rsidRDefault="00303AE9" w:rsidP="00ED751C">
      <w:pPr>
        <w:tabs>
          <w:tab w:val="left" w:pos="1440"/>
          <w:tab w:val="left" w:pos="3060"/>
        </w:tabs>
        <w:jc w:val="center"/>
        <w:rPr>
          <w:rFonts w:ascii="Arial" w:hAnsi="Arial" w:cs="Arial"/>
          <w:sz w:val="22"/>
          <w:szCs w:val="22"/>
          <w:lang w:val="es-ES"/>
        </w:rPr>
      </w:pPr>
      <w:bookmarkStart w:id="0" w:name="_GoBack"/>
      <w:bookmarkEnd w:id="0"/>
    </w:p>
    <w:p w14:paraId="2E98AA13" w14:textId="31C17352" w:rsidR="009403E8" w:rsidRDefault="009403E8" w:rsidP="00ED751C">
      <w:pPr>
        <w:tabs>
          <w:tab w:val="left" w:pos="1440"/>
          <w:tab w:val="left" w:pos="3060"/>
        </w:tabs>
        <w:jc w:val="center"/>
        <w:rPr>
          <w:rFonts w:ascii="Arial" w:hAnsi="Arial" w:cs="Arial"/>
          <w:sz w:val="22"/>
          <w:szCs w:val="22"/>
          <w:lang w:val="es-ES"/>
        </w:rPr>
      </w:pPr>
    </w:p>
    <w:p w14:paraId="6571D127" w14:textId="77777777" w:rsidR="009403E8" w:rsidRPr="00046E14" w:rsidRDefault="009403E8" w:rsidP="00ED751C">
      <w:pPr>
        <w:tabs>
          <w:tab w:val="left" w:pos="1440"/>
          <w:tab w:val="left" w:pos="3060"/>
        </w:tabs>
        <w:jc w:val="center"/>
        <w:rPr>
          <w:rFonts w:ascii="Arial" w:hAnsi="Arial" w:cs="Arial"/>
          <w:sz w:val="22"/>
          <w:szCs w:val="22"/>
          <w:lang w:val="es-ES"/>
        </w:rPr>
      </w:pPr>
    </w:p>
    <w:p w14:paraId="217749BA" w14:textId="77777777" w:rsidR="00ED751C" w:rsidRPr="00046E14" w:rsidRDefault="00ED751C" w:rsidP="00ED751C">
      <w:pPr>
        <w:tabs>
          <w:tab w:val="left" w:pos="1440"/>
          <w:tab w:val="left" w:pos="3060"/>
        </w:tabs>
        <w:jc w:val="center"/>
        <w:rPr>
          <w:rFonts w:ascii="Arial" w:hAnsi="Arial" w:cs="Arial"/>
          <w:sz w:val="22"/>
          <w:szCs w:val="22"/>
          <w:lang w:val="es-ES"/>
        </w:rPr>
      </w:pPr>
    </w:p>
    <w:p w14:paraId="7854357D" w14:textId="23C9DD45" w:rsidR="00ED751C" w:rsidRPr="00046E14" w:rsidRDefault="00ED751C" w:rsidP="00A868B0">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20"/>
          <w:lang w:val="es-ES"/>
        </w:rPr>
      </w:pPr>
      <w:r w:rsidRPr="00046E14">
        <w:rPr>
          <w:rFonts w:ascii="Arial" w:hAnsi="Arial" w:cs="Arial"/>
          <w:sz w:val="20"/>
          <w:lang w:val="es-ES"/>
        </w:rPr>
        <w:t>Este documento fue preparado por</w:t>
      </w:r>
      <w:r w:rsidR="004D6E46">
        <w:rPr>
          <w:rFonts w:ascii="Arial" w:hAnsi="Arial" w:cs="Arial"/>
          <w:sz w:val="20"/>
          <w:lang w:val="es-ES"/>
        </w:rPr>
        <w:t xml:space="preserve">: </w:t>
      </w:r>
      <w:r w:rsidR="009403E8">
        <w:rPr>
          <w:rFonts w:ascii="Arial" w:hAnsi="Arial" w:cs="Arial"/>
          <w:sz w:val="20"/>
          <w:lang w:val="es-ES"/>
        </w:rPr>
        <w:t xml:space="preserve">Nancy Jesurun-Clements (INE/ENE); </w:t>
      </w:r>
      <w:r w:rsidR="00A868B0" w:rsidRPr="00A868B0">
        <w:rPr>
          <w:rFonts w:ascii="Arial" w:hAnsi="Arial" w:cs="Arial"/>
          <w:sz w:val="20"/>
          <w:lang w:val="es-ES"/>
        </w:rPr>
        <w:t>Carlos Jácome (ENE/CHO)</w:t>
      </w:r>
      <w:r w:rsidR="009403E8">
        <w:rPr>
          <w:rFonts w:ascii="Arial" w:hAnsi="Arial" w:cs="Arial"/>
          <w:sz w:val="20"/>
          <w:lang w:val="es-ES"/>
        </w:rPr>
        <w:t>;</w:t>
      </w:r>
      <w:r w:rsidR="00303AE9">
        <w:rPr>
          <w:rFonts w:ascii="Arial" w:hAnsi="Arial" w:cs="Arial"/>
          <w:sz w:val="20"/>
          <w:lang w:val="es-ES"/>
        </w:rPr>
        <w:t xml:space="preserve"> y </w:t>
      </w:r>
      <w:r w:rsidR="009403E8">
        <w:rPr>
          <w:rFonts w:ascii="Arial" w:hAnsi="Arial" w:cs="Arial"/>
          <w:sz w:val="20"/>
          <w:lang w:val="es-ES"/>
        </w:rPr>
        <w:t xml:space="preserve">Wilkferg </w:t>
      </w:r>
      <w:r w:rsidR="0096187B">
        <w:rPr>
          <w:rFonts w:ascii="Arial" w:hAnsi="Arial" w:cs="Arial"/>
          <w:sz w:val="20"/>
          <w:lang w:val="es-ES"/>
        </w:rPr>
        <w:t>V</w:t>
      </w:r>
      <w:r w:rsidR="009403E8">
        <w:rPr>
          <w:rFonts w:ascii="Arial" w:hAnsi="Arial" w:cs="Arial"/>
          <w:sz w:val="20"/>
          <w:lang w:val="es-ES"/>
        </w:rPr>
        <w:t>anegas (INE/ENE)</w:t>
      </w:r>
      <w:r w:rsidR="0096187B">
        <w:rPr>
          <w:rFonts w:ascii="Arial" w:hAnsi="Arial" w:cs="Arial"/>
          <w:sz w:val="20"/>
          <w:lang w:val="es-ES"/>
        </w:rPr>
        <w:t>.</w:t>
      </w:r>
      <w:r w:rsidR="00A868B0" w:rsidRPr="00A868B0">
        <w:rPr>
          <w:rFonts w:ascii="Arial" w:hAnsi="Arial" w:cs="Arial"/>
          <w:sz w:val="20"/>
          <w:lang w:val="es-ES"/>
        </w:rPr>
        <w:t xml:space="preserve"> </w:t>
      </w:r>
    </w:p>
    <w:p w14:paraId="51950335" w14:textId="77777777" w:rsidR="00ED751C" w:rsidRPr="00046E14" w:rsidRDefault="00ED751C" w:rsidP="00ED751C">
      <w:pPr>
        <w:tabs>
          <w:tab w:val="left" w:pos="1440"/>
          <w:tab w:val="left" w:pos="3060"/>
        </w:tabs>
        <w:outlineLvl w:val="0"/>
        <w:rPr>
          <w:rFonts w:ascii="Arial" w:hAnsi="Arial" w:cs="Arial"/>
          <w:sz w:val="22"/>
          <w:szCs w:val="22"/>
          <w:lang w:val="es-ES"/>
        </w:rPr>
        <w:sectPr w:rsidR="00ED751C" w:rsidRPr="00046E14" w:rsidSect="00ED751C">
          <w:headerReference w:type="even" r:id="rId14"/>
          <w:headerReference w:type="default" r:id="rId15"/>
          <w:footerReference w:type="even" r:id="rId16"/>
          <w:pgSz w:w="12240" w:h="15840" w:code="1"/>
          <w:pgMar w:top="1440" w:right="1800" w:bottom="1440" w:left="1800" w:header="706" w:footer="706" w:gutter="0"/>
          <w:pgNumType w:fmt="lowerRoman" w:start="1"/>
          <w:cols w:space="720"/>
          <w:formProt w:val="0"/>
          <w:titlePg/>
        </w:sectPr>
      </w:pPr>
    </w:p>
    <w:p w14:paraId="5CA8D966" w14:textId="77777777" w:rsidR="00ED751C" w:rsidRPr="00046E14" w:rsidRDefault="00ED751C" w:rsidP="00ED751C">
      <w:pPr>
        <w:pStyle w:val="Newpage"/>
        <w:rPr>
          <w:rFonts w:ascii="Arial" w:hAnsi="Arial" w:cs="Arial"/>
          <w:sz w:val="22"/>
          <w:szCs w:val="22"/>
        </w:rPr>
      </w:pPr>
      <w:r w:rsidRPr="00046E14">
        <w:rPr>
          <w:rFonts w:ascii="Arial" w:hAnsi="Arial" w:cs="Arial"/>
          <w:sz w:val="22"/>
          <w:szCs w:val="22"/>
        </w:rPr>
        <w:lastRenderedPageBreak/>
        <w:t>Índice</w:t>
      </w:r>
    </w:p>
    <w:p w14:paraId="7559CE66" w14:textId="77777777" w:rsidR="00ED751C" w:rsidRPr="00046E14" w:rsidRDefault="00ED751C" w:rsidP="00ED751C">
      <w:pPr>
        <w:pStyle w:val="Newpage"/>
        <w:rPr>
          <w:rFonts w:ascii="Arial" w:hAnsi="Arial" w:cs="Arial"/>
          <w:sz w:val="22"/>
          <w:szCs w:val="22"/>
        </w:rPr>
      </w:pPr>
    </w:p>
    <w:p w14:paraId="5EF687C2" w14:textId="3DA43CFE" w:rsidR="00BB68D9" w:rsidRDefault="00E3347F">
      <w:pPr>
        <w:pStyle w:val="TOC1"/>
        <w:rPr>
          <w:rFonts w:asciiTheme="minorHAnsi" w:eastAsiaTheme="minorEastAsia" w:hAnsiTheme="minorHAnsi" w:cstheme="minorBidi"/>
          <w:b w:val="0"/>
          <w:smallCaps w:val="0"/>
          <w:lang w:val="es-US" w:eastAsia="zh-CN"/>
        </w:rPr>
      </w:pPr>
      <w:r w:rsidRPr="00BC1545">
        <w:rPr>
          <w:rFonts w:ascii="Arial" w:hAnsi="Arial" w:cs="Arial"/>
          <w:noProof w:val="0"/>
          <w:lang w:val="es-ES"/>
        </w:rPr>
        <w:fldChar w:fldCharType="begin"/>
      </w:r>
      <w:r w:rsidR="00ED751C" w:rsidRPr="00BC1545">
        <w:rPr>
          <w:rFonts w:ascii="Arial" w:hAnsi="Arial" w:cs="Arial"/>
          <w:noProof w:val="0"/>
          <w:lang w:val="es-ES"/>
        </w:rPr>
        <w:instrText xml:space="preserve"> TOC \f \t "Chapter,1,FirstHeading,2,SecHeading,3" </w:instrText>
      </w:r>
      <w:r w:rsidRPr="00BC1545">
        <w:rPr>
          <w:rFonts w:ascii="Arial" w:hAnsi="Arial" w:cs="Arial"/>
          <w:noProof w:val="0"/>
          <w:lang w:val="es-ES"/>
        </w:rPr>
        <w:fldChar w:fldCharType="separate"/>
      </w:r>
      <w:r w:rsidR="00BB68D9" w:rsidRPr="00753620">
        <w:rPr>
          <w:rFonts w:ascii="Arial" w:hAnsi="Arial" w:cs="Arial"/>
        </w:rPr>
        <w:t>I.</w:t>
      </w:r>
      <w:r w:rsidR="00BB68D9">
        <w:rPr>
          <w:rFonts w:asciiTheme="minorHAnsi" w:eastAsiaTheme="minorEastAsia" w:hAnsiTheme="minorHAnsi" w:cstheme="minorBidi"/>
          <w:b w:val="0"/>
          <w:smallCaps w:val="0"/>
          <w:lang w:val="es-US" w:eastAsia="zh-CN"/>
        </w:rPr>
        <w:tab/>
      </w:r>
      <w:r w:rsidR="00BB68D9" w:rsidRPr="00753620">
        <w:rPr>
          <w:rFonts w:ascii="Arial" w:hAnsi="Arial" w:cs="Arial"/>
        </w:rPr>
        <w:t>Introducción</w:t>
      </w:r>
      <w:r w:rsidR="00BB68D9">
        <w:tab/>
      </w:r>
      <w:r w:rsidR="00BB68D9">
        <w:fldChar w:fldCharType="begin"/>
      </w:r>
      <w:r w:rsidR="00BB68D9">
        <w:instrText xml:space="preserve"> PAGEREF _Toc483312813 \h </w:instrText>
      </w:r>
      <w:r w:rsidR="00BB68D9">
        <w:fldChar w:fldCharType="separate"/>
      </w:r>
      <w:r w:rsidR="00BB68D9">
        <w:t>1</w:t>
      </w:r>
      <w:r w:rsidR="00BB68D9">
        <w:fldChar w:fldCharType="end"/>
      </w:r>
    </w:p>
    <w:p w14:paraId="32C31729" w14:textId="7FC74C4D" w:rsidR="00BB68D9" w:rsidRDefault="00BB68D9">
      <w:pPr>
        <w:pStyle w:val="TOC2"/>
        <w:rPr>
          <w:rFonts w:asciiTheme="minorHAnsi" w:eastAsiaTheme="minorEastAsia" w:hAnsiTheme="minorHAnsi" w:cstheme="minorBidi"/>
          <w:sz w:val="22"/>
          <w:szCs w:val="22"/>
          <w:lang w:val="es-US" w:eastAsia="zh-CN"/>
        </w:rPr>
      </w:pPr>
      <w:r w:rsidRPr="00753620">
        <w:rPr>
          <w:rFonts w:ascii="Arial" w:hAnsi="Arial" w:cs="Arial"/>
        </w:rPr>
        <w:t>A.</w:t>
      </w:r>
      <w:r>
        <w:rPr>
          <w:rFonts w:asciiTheme="minorHAnsi" w:eastAsiaTheme="minorEastAsia" w:hAnsiTheme="minorHAnsi" w:cstheme="minorBidi"/>
          <w:sz w:val="22"/>
          <w:szCs w:val="22"/>
          <w:lang w:val="es-US" w:eastAsia="zh-CN"/>
        </w:rPr>
        <w:tab/>
      </w:r>
      <w:r w:rsidRPr="00753620">
        <w:rPr>
          <w:rFonts w:ascii="Arial" w:hAnsi="Arial" w:cs="Arial"/>
        </w:rPr>
        <w:t>Antecedentes</w:t>
      </w:r>
      <w:r>
        <w:tab/>
      </w:r>
      <w:r>
        <w:fldChar w:fldCharType="begin"/>
      </w:r>
      <w:r>
        <w:instrText xml:space="preserve"> PAGEREF _Toc483312814 \h </w:instrText>
      </w:r>
      <w:r>
        <w:fldChar w:fldCharType="separate"/>
      </w:r>
      <w:r>
        <w:t>1</w:t>
      </w:r>
      <w:r>
        <w:fldChar w:fldCharType="end"/>
      </w:r>
    </w:p>
    <w:p w14:paraId="015C5923" w14:textId="00DE9A66" w:rsidR="00BB68D9" w:rsidRDefault="00BB68D9">
      <w:pPr>
        <w:pStyle w:val="TOC2"/>
        <w:rPr>
          <w:rFonts w:asciiTheme="minorHAnsi" w:eastAsiaTheme="minorEastAsia" w:hAnsiTheme="minorHAnsi" w:cstheme="minorBidi"/>
          <w:sz w:val="22"/>
          <w:szCs w:val="22"/>
          <w:lang w:val="es-US" w:eastAsia="zh-CN"/>
        </w:rPr>
      </w:pPr>
      <w:r w:rsidRPr="00753620">
        <w:rPr>
          <w:rFonts w:ascii="Arial" w:hAnsi="Arial" w:cs="Arial"/>
        </w:rPr>
        <w:t>B.</w:t>
      </w:r>
      <w:r>
        <w:rPr>
          <w:rFonts w:asciiTheme="minorHAnsi" w:eastAsiaTheme="minorEastAsia" w:hAnsiTheme="minorHAnsi" w:cstheme="minorBidi"/>
          <w:sz w:val="22"/>
          <w:szCs w:val="22"/>
          <w:lang w:val="es-US" w:eastAsia="zh-CN"/>
        </w:rPr>
        <w:tab/>
      </w:r>
      <w:r w:rsidRPr="00753620">
        <w:rPr>
          <w:rFonts w:ascii="Arial" w:hAnsi="Arial" w:cs="Arial"/>
        </w:rPr>
        <w:t>Descripción de las inversiones</w:t>
      </w:r>
      <w:r>
        <w:tab/>
      </w:r>
      <w:r>
        <w:fldChar w:fldCharType="begin"/>
      </w:r>
      <w:r>
        <w:instrText xml:space="preserve"> PAGEREF _Toc483312815 \h </w:instrText>
      </w:r>
      <w:r>
        <w:fldChar w:fldCharType="separate"/>
      </w:r>
      <w:r>
        <w:t>1</w:t>
      </w:r>
      <w:r>
        <w:fldChar w:fldCharType="end"/>
      </w:r>
    </w:p>
    <w:p w14:paraId="4ED45401" w14:textId="09508CB9" w:rsidR="00BB68D9" w:rsidRDefault="00BB68D9">
      <w:pPr>
        <w:pStyle w:val="TOC2"/>
        <w:rPr>
          <w:rFonts w:asciiTheme="minorHAnsi" w:eastAsiaTheme="minorEastAsia" w:hAnsiTheme="minorHAnsi" w:cstheme="minorBidi"/>
          <w:sz w:val="22"/>
          <w:szCs w:val="22"/>
          <w:lang w:val="es-US" w:eastAsia="zh-CN"/>
        </w:rPr>
      </w:pPr>
      <w:r w:rsidRPr="00753620">
        <w:rPr>
          <w:rFonts w:ascii="Arial" w:hAnsi="Arial" w:cs="Arial"/>
        </w:rPr>
        <w:t>C.</w:t>
      </w:r>
      <w:r>
        <w:rPr>
          <w:rFonts w:asciiTheme="minorHAnsi" w:eastAsiaTheme="minorEastAsia" w:hAnsiTheme="minorHAnsi" w:cstheme="minorBidi"/>
          <w:sz w:val="22"/>
          <w:szCs w:val="22"/>
          <w:lang w:val="es-US" w:eastAsia="zh-CN"/>
        </w:rPr>
        <w:tab/>
      </w:r>
      <w:r w:rsidRPr="00753620">
        <w:rPr>
          <w:rFonts w:ascii="Arial" w:hAnsi="Arial" w:cs="Arial"/>
        </w:rPr>
        <w:t>Justificación y beneficios esperados de la intervención</w:t>
      </w:r>
      <w:r>
        <w:tab/>
      </w:r>
      <w:r>
        <w:fldChar w:fldCharType="begin"/>
      </w:r>
      <w:r>
        <w:instrText xml:space="preserve"> PAGEREF _Toc483312816 \h </w:instrText>
      </w:r>
      <w:r>
        <w:fldChar w:fldCharType="separate"/>
      </w:r>
      <w:r>
        <w:t>2</w:t>
      </w:r>
      <w:r>
        <w:fldChar w:fldCharType="end"/>
      </w:r>
    </w:p>
    <w:p w14:paraId="42A77E5C" w14:textId="7834CB7F" w:rsidR="00BB68D9" w:rsidRDefault="00BB68D9">
      <w:pPr>
        <w:pStyle w:val="TOC2"/>
        <w:rPr>
          <w:rFonts w:asciiTheme="minorHAnsi" w:eastAsiaTheme="minorEastAsia" w:hAnsiTheme="minorHAnsi" w:cstheme="minorBidi"/>
          <w:sz w:val="22"/>
          <w:szCs w:val="22"/>
          <w:lang w:val="es-US" w:eastAsia="zh-CN"/>
        </w:rPr>
      </w:pPr>
      <w:r w:rsidRPr="00753620">
        <w:rPr>
          <w:rFonts w:ascii="Arial" w:hAnsi="Arial" w:cs="Arial"/>
        </w:rPr>
        <w:t>D.</w:t>
      </w:r>
      <w:r>
        <w:rPr>
          <w:rFonts w:asciiTheme="minorHAnsi" w:eastAsiaTheme="minorEastAsia" w:hAnsiTheme="minorHAnsi" w:cstheme="minorBidi"/>
          <w:sz w:val="22"/>
          <w:szCs w:val="22"/>
          <w:lang w:val="es-US" w:eastAsia="zh-CN"/>
        </w:rPr>
        <w:tab/>
      </w:r>
      <w:r w:rsidRPr="00753620">
        <w:rPr>
          <w:rFonts w:ascii="Arial" w:hAnsi="Arial" w:cs="Arial"/>
        </w:rPr>
        <w:t>Indicadores Clave de Resultados</w:t>
      </w:r>
      <w:r>
        <w:tab/>
      </w:r>
      <w:r>
        <w:fldChar w:fldCharType="begin"/>
      </w:r>
      <w:r>
        <w:instrText xml:space="preserve"> PAGEREF _Toc483312817 \h </w:instrText>
      </w:r>
      <w:r>
        <w:fldChar w:fldCharType="separate"/>
      </w:r>
      <w:r>
        <w:t>3</w:t>
      </w:r>
      <w:r>
        <w:fldChar w:fldCharType="end"/>
      </w:r>
    </w:p>
    <w:p w14:paraId="2EA7661E" w14:textId="1B66B866" w:rsidR="00BB68D9" w:rsidRDefault="00BB68D9">
      <w:pPr>
        <w:pStyle w:val="TOC1"/>
        <w:rPr>
          <w:rFonts w:asciiTheme="minorHAnsi" w:eastAsiaTheme="minorEastAsia" w:hAnsiTheme="minorHAnsi" w:cstheme="minorBidi"/>
          <w:b w:val="0"/>
          <w:smallCaps w:val="0"/>
          <w:lang w:val="es-US" w:eastAsia="zh-CN"/>
        </w:rPr>
      </w:pPr>
      <w:r w:rsidRPr="00753620">
        <w:rPr>
          <w:rFonts w:ascii="Arial" w:hAnsi="Arial" w:cs="Arial"/>
        </w:rPr>
        <w:t>II.</w:t>
      </w:r>
      <w:r>
        <w:rPr>
          <w:rFonts w:asciiTheme="minorHAnsi" w:eastAsiaTheme="minorEastAsia" w:hAnsiTheme="minorHAnsi" w:cstheme="minorBidi"/>
          <w:b w:val="0"/>
          <w:smallCaps w:val="0"/>
          <w:lang w:val="es-US" w:eastAsia="zh-CN"/>
        </w:rPr>
        <w:tab/>
      </w:r>
      <w:r w:rsidRPr="00753620">
        <w:rPr>
          <w:rFonts w:ascii="Arial" w:hAnsi="Arial" w:cs="Arial"/>
        </w:rPr>
        <w:t>Evaluación Técnico-Financiera</w:t>
      </w:r>
      <w:r>
        <w:tab/>
      </w:r>
      <w:r>
        <w:fldChar w:fldCharType="begin"/>
      </w:r>
      <w:r>
        <w:instrText xml:space="preserve"> PAGEREF _Toc483312818 \h </w:instrText>
      </w:r>
      <w:r>
        <w:fldChar w:fldCharType="separate"/>
      </w:r>
      <w:r>
        <w:t>3</w:t>
      </w:r>
      <w:r>
        <w:fldChar w:fldCharType="end"/>
      </w:r>
    </w:p>
    <w:p w14:paraId="67054671" w14:textId="53DD325B" w:rsidR="00BB68D9" w:rsidRDefault="00BB68D9">
      <w:pPr>
        <w:pStyle w:val="TOC2"/>
        <w:rPr>
          <w:rFonts w:asciiTheme="minorHAnsi" w:eastAsiaTheme="minorEastAsia" w:hAnsiTheme="minorHAnsi" w:cstheme="minorBidi"/>
          <w:sz w:val="22"/>
          <w:szCs w:val="22"/>
          <w:lang w:val="es-US" w:eastAsia="zh-CN"/>
        </w:rPr>
      </w:pPr>
      <w:r w:rsidRPr="00753620">
        <w:rPr>
          <w:rFonts w:ascii="Arial" w:hAnsi="Arial" w:cs="Arial"/>
        </w:rPr>
        <w:t>A.</w:t>
      </w:r>
      <w:r>
        <w:rPr>
          <w:rFonts w:asciiTheme="minorHAnsi" w:eastAsiaTheme="minorEastAsia" w:hAnsiTheme="minorHAnsi" w:cstheme="minorBidi"/>
          <w:sz w:val="22"/>
          <w:szCs w:val="22"/>
          <w:lang w:val="es-US" w:eastAsia="zh-CN"/>
        </w:rPr>
        <w:tab/>
      </w:r>
      <w:r w:rsidRPr="00753620">
        <w:rPr>
          <w:rFonts w:ascii="Arial" w:hAnsi="Arial" w:cs="Arial"/>
        </w:rPr>
        <w:t>Metodología</w:t>
      </w:r>
      <w:r>
        <w:tab/>
      </w:r>
      <w:r>
        <w:fldChar w:fldCharType="begin"/>
      </w:r>
      <w:r>
        <w:instrText xml:space="preserve"> PAGEREF _Toc483312819 \h </w:instrText>
      </w:r>
      <w:r>
        <w:fldChar w:fldCharType="separate"/>
      </w:r>
      <w:r>
        <w:t>3</w:t>
      </w:r>
      <w:r>
        <w:fldChar w:fldCharType="end"/>
      </w:r>
    </w:p>
    <w:p w14:paraId="506C4A12" w14:textId="24C91D41" w:rsidR="00BB68D9" w:rsidRDefault="00BB68D9">
      <w:pPr>
        <w:pStyle w:val="TOC2"/>
        <w:rPr>
          <w:rFonts w:asciiTheme="minorHAnsi" w:eastAsiaTheme="minorEastAsia" w:hAnsiTheme="minorHAnsi" w:cstheme="minorBidi"/>
          <w:sz w:val="22"/>
          <w:szCs w:val="22"/>
          <w:lang w:val="es-US" w:eastAsia="zh-CN"/>
        </w:rPr>
      </w:pPr>
      <w:r w:rsidRPr="00753620">
        <w:rPr>
          <w:rFonts w:ascii="Arial" w:hAnsi="Arial" w:cs="Arial"/>
        </w:rPr>
        <w:t>B.</w:t>
      </w:r>
      <w:r>
        <w:rPr>
          <w:rFonts w:asciiTheme="minorHAnsi" w:eastAsiaTheme="minorEastAsia" w:hAnsiTheme="minorHAnsi" w:cstheme="minorBidi"/>
          <w:sz w:val="22"/>
          <w:szCs w:val="22"/>
          <w:lang w:val="es-US" w:eastAsia="zh-CN"/>
        </w:rPr>
        <w:tab/>
      </w:r>
      <w:r w:rsidRPr="00753620">
        <w:rPr>
          <w:rFonts w:ascii="Arial" w:hAnsi="Arial" w:cs="Arial"/>
        </w:rPr>
        <w:t>SE Progreso</w:t>
      </w:r>
      <w:r>
        <w:tab/>
      </w:r>
      <w:r>
        <w:fldChar w:fldCharType="begin"/>
      </w:r>
      <w:r>
        <w:instrText xml:space="preserve"> PAGEREF _Toc483312820 \h </w:instrText>
      </w:r>
      <w:r>
        <w:fldChar w:fldCharType="separate"/>
      </w:r>
      <w:r>
        <w:t>3</w:t>
      </w:r>
      <w:r>
        <w:fldChar w:fldCharType="end"/>
      </w:r>
    </w:p>
    <w:p w14:paraId="65627964" w14:textId="0D37CDCD" w:rsidR="00BB68D9" w:rsidRDefault="00BB68D9">
      <w:pPr>
        <w:pStyle w:val="TOC2"/>
        <w:rPr>
          <w:rFonts w:asciiTheme="minorHAnsi" w:eastAsiaTheme="minorEastAsia" w:hAnsiTheme="minorHAnsi" w:cstheme="minorBidi"/>
          <w:sz w:val="22"/>
          <w:szCs w:val="22"/>
          <w:lang w:val="es-US" w:eastAsia="zh-CN"/>
        </w:rPr>
      </w:pPr>
      <w:r w:rsidRPr="00753620">
        <w:rPr>
          <w:rFonts w:ascii="Arial" w:hAnsi="Arial" w:cs="Arial"/>
        </w:rPr>
        <w:t>C.</w:t>
      </w:r>
      <w:r>
        <w:rPr>
          <w:rFonts w:asciiTheme="minorHAnsi" w:eastAsiaTheme="minorEastAsia" w:hAnsiTheme="minorHAnsi" w:cstheme="minorBidi"/>
          <w:sz w:val="22"/>
          <w:szCs w:val="22"/>
          <w:lang w:val="es-US" w:eastAsia="zh-CN"/>
        </w:rPr>
        <w:tab/>
      </w:r>
      <w:r w:rsidRPr="00753620">
        <w:rPr>
          <w:rFonts w:ascii="Arial" w:hAnsi="Arial" w:cs="Arial"/>
        </w:rPr>
        <w:t>SE Toncontín</w:t>
      </w:r>
      <w:r>
        <w:tab/>
      </w:r>
      <w:r>
        <w:fldChar w:fldCharType="begin"/>
      </w:r>
      <w:r>
        <w:instrText xml:space="preserve"> PAGEREF _Toc483312821 \h </w:instrText>
      </w:r>
      <w:r>
        <w:fldChar w:fldCharType="separate"/>
      </w:r>
      <w:r>
        <w:t>5</w:t>
      </w:r>
      <w:r>
        <w:fldChar w:fldCharType="end"/>
      </w:r>
    </w:p>
    <w:p w14:paraId="0DD7DDE7" w14:textId="155C62EA" w:rsidR="00BB68D9" w:rsidRDefault="00BB68D9">
      <w:pPr>
        <w:pStyle w:val="TOC1"/>
        <w:rPr>
          <w:rFonts w:asciiTheme="minorHAnsi" w:eastAsiaTheme="minorEastAsia" w:hAnsiTheme="minorHAnsi" w:cstheme="minorBidi"/>
          <w:b w:val="0"/>
          <w:smallCaps w:val="0"/>
          <w:lang w:val="es-US" w:eastAsia="zh-CN"/>
        </w:rPr>
      </w:pPr>
      <w:r w:rsidRPr="00753620">
        <w:rPr>
          <w:rFonts w:ascii="Arial" w:hAnsi="Arial" w:cs="Arial"/>
        </w:rPr>
        <w:t>III.</w:t>
      </w:r>
      <w:r>
        <w:rPr>
          <w:rFonts w:asciiTheme="minorHAnsi" w:eastAsiaTheme="minorEastAsia" w:hAnsiTheme="minorHAnsi" w:cstheme="minorBidi"/>
          <w:b w:val="0"/>
          <w:smallCaps w:val="0"/>
          <w:lang w:val="es-US" w:eastAsia="zh-CN"/>
        </w:rPr>
        <w:tab/>
      </w:r>
      <w:r w:rsidRPr="00753620">
        <w:rPr>
          <w:rFonts w:ascii="Arial" w:hAnsi="Arial" w:cs="Arial"/>
        </w:rPr>
        <w:t>Evaluación Económica</w:t>
      </w:r>
      <w:r>
        <w:tab/>
      </w:r>
      <w:r>
        <w:fldChar w:fldCharType="begin"/>
      </w:r>
      <w:r>
        <w:instrText xml:space="preserve"> PAGEREF _Toc483312822 \h </w:instrText>
      </w:r>
      <w:r>
        <w:fldChar w:fldCharType="separate"/>
      </w:r>
      <w:r>
        <w:t>8</w:t>
      </w:r>
      <w:r>
        <w:fldChar w:fldCharType="end"/>
      </w:r>
    </w:p>
    <w:p w14:paraId="2D68A1F7" w14:textId="5D8B8256" w:rsidR="00BB68D9" w:rsidRDefault="00BB68D9">
      <w:pPr>
        <w:pStyle w:val="TOC2"/>
        <w:rPr>
          <w:rFonts w:asciiTheme="minorHAnsi" w:eastAsiaTheme="minorEastAsia" w:hAnsiTheme="minorHAnsi" w:cstheme="minorBidi"/>
          <w:sz w:val="22"/>
          <w:szCs w:val="22"/>
          <w:lang w:val="es-US" w:eastAsia="zh-CN"/>
        </w:rPr>
      </w:pPr>
      <w:r w:rsidRPr="00753620">
        <w:rPr>
          <w:rFonts w:ascii="Arial" w:hAnsi="Arial" w:cs="Arial"/>
        </w:rPr>
        <w:t>A.</w:t>
      </w:r>
      <w:r>
        <w:rPr>
          <w:rFonts w:asciiTheme="minorHAnsi" w:eastAsiaTheme="minorEastAsia" w:hAnsiTheme="minorHAnsi" w:cstheme="minorBidi"/>
          <w:sz w:val="22"/>
          <w:szCs w:val="22"/>
          <w:lang w:val="es-US" w:eastAsia="zh-CN"/>
        </w:rPr>
        <w:tab/>
      </w:r>
      <w:r w:rsidRPr="00753620">
        <w:rPr>
          <w:rFonts w:ascii="Arial" w:hAnsi="Arial" w:cs="Arial"/>
        </w:rPr>
        <w:t>Metodología</w:t>
      </w:r>
      <w:r>
        <w:tab/>
      </w:r>
      <w:r>
        <w:fldChar w:fldCharType="begin"/>
      </w:r>
      <w:r>
        <w:instrText xml:space="preserve"> PAGEREF _Toc483312823 \h </w:instrText>
      </w:r>
      <w:r>
        <w:fldChar w:fldCharType="separate"/>
      </w:r>
      <w:r>
        <w:t>8</w:t>
      </w:r>
      <w:r>
        <w:fldChar w:fldCharType="end"/>
      </w:r>
    </w:p>
    <w:p w14:paraId="221A394E" w14:textId="60A282CC" w:rsidR="00BB68D9" w:rsidRDefault="00BB68D9">
      <w:pPr>
        <w:pStyle w:val="TOC2"/>
        <w:rPr>
          <w:rFonts w:asciiTheme="minorHAnsi" w:eastAsiaTheme="minorEastAsia" w:hAnsiTheme="minorHAnsi" w:cstheme="minorBidi"/>
          <w:sz w:val="22"/>
          <w:szCs w:val="22"/>
          <w:lang w:val="es-US" w:eastAsia="zh-CN"/>
        </w:rPr>
      </w:pPr>
      <w:r w:rsidRPr="00753620">
        <w:rPr>
          <w:rFonts w:ascii="Arial" w:hAnsi="Arial" w:cs="Arial"/>
        </w:rPr>
        <w:t>B.</w:t>
      </w:r>
      <w:r>
        <w:rPr>
          <w:rFonts w:asciiTheme="minorHAnsi" w:eastAsiaTheme="minorEastAsia" w:hAnsiTheme="minorHAnsi" w:cstheme="minorBidi"/>
          <w:sz w:val="22"/>
          <w:szCs w:val="22"/>
          <w:lang w:val="es-US" w:eastAsia="zh-CN"/>
        </w:rPr>
        <w:tab/>
      </w:r>
      <w:r w:rsidRPr="00753620">
        <w:rPr>
          <w:rFonts w:ascii="Arial" w:hAnsi="Arial" w:cs="Arial"/>
        </w:rPr>
        <w:t>SE Progreso</w:t>
      </w:r>
      <w:r>
        <w:tab/>
      </w:r>
      <w:r>
        <w:fldChar w:fldCharType="begin"/>
      </w:r>
      <w:r>
        <w:instrText xml:space="preserve"> PAGEREF _Toc483312824 \h </w:instrText>
      </w:r>
      <w:r>
        <w:fldChar w:fldCharType="separate"/>
      </w:r>
      <w:r>
        <w:t>10</w:t>
      </w:r>
      <w:r>
        <w:fldChar w:fldCharType="end"/>
      </w:r>
    </w:p>
    <w:p w14:paraId="63151E21" w14:textId="26C415BD" w:rsidR="00BB68D9" w:rsidRDefault="00BB68D9">
      <w:pPr>
        <w:pStyle w:val="TOC2"/>
        <w:rPr>
          <w:rFonts w:asciiTheme="minorHAnsi" w:eastAsiaTheme="minorEastAsia" w:hAnsiTheme="minorHAnsi" w:cstheme="minorBidi"/>
          <w:sz w:val="22"/>
          <w:szCs w:val="22"/>
          <w:lang w:val="es-US" w:eastAsia="zh-CN"/>
        </w:rPr>
      </w:pPr>
      <w:r w:rsidRPr="00753620">
        <w:rPr>
          <w:rFonts w:ascii="Arial" w:hAnsi="Arial" w:cs="Arial"/>
        </w:rPr>
        <w:t>C.</w:t>
      </w:r>
      <w:r>
        <w:rPr>
          <w:rFonts w:asciiTheme="minorHAnsi" w:eastAsiaTheme="minorEastAsia" w:hAnsiTheme="minorHAnsi" w:cstheme="minorBidi"/>
          <w:sz w:val="22"/>
          <w:szCs w:val="22"/>
          <w:lang w:val="es-US" w:eastAsia="zh-CN"/>
        </w:rPr>
        <w:tab/>
      </w:r>
      <w:r w:rsidRPr="00753620">
        <w:rPr>
          <w:rFonts w:ascii="Arial" w:hAnsi="Arial" w:cs="Arial"/>
        </w:rPr>
        <w:t>SE Toncontín</w:t>
      </w:r>
      <w:r>
        <w:tab/>
      </w:r>
      <w:r>
        <w:fldChar w:fldCharType="begin"/>
      </w:r>
      <w:r>
        <w:instrText xml:space="preserve"> PAGEREF _Toc483312825 \h </w:instrText>
      </w:r>
      <w:r>
        <w:fldChar w:fldCharType="separate"/>
      </w:r>
      <w:r>
        <w:t>10</w:t>
      </w:r>
      <w:r>
        <w:fldChar w:fldCharType="end"/>
      </w:r>
    </w:p>
    <w:p w14:paraId="3C31CC0E" w14:textId="5F00E7A0" w:rsidR="00BB68D9" w:rsidRDefault="00BB68D9">
      <w:pPr>
        <w:pStyle w:val="TOC2"/>
        <w:rPr>
          <w:rFonts w:asciiTheme="minorHAnsi" w:eastAsiaTheme="minorEastAsia" w:hAnsiTheme="minorHAnsi" w:cstheme="minorBidi"/>
          <w:sz w:val="22"/>
          <w:szCs w:val="22"/>
          <w:lang w:val="es-US" w:eastAsia="zh-CN"/>
        </w:rPr>
      </w:pPr>
      <w:r w:rsidRPr="00753620">
        <w:rPr>
          <w:rFonts w:ascii="Arial" w:hAnsi="Arial" w:cs="Arial"/>
        </w:rPr>
        <w:t>D.</w:t>
      </w:r>
      <w:r>
        <w:rPr>
          <w:rFonts w:asciiTheme="minorHAnsi" w:eastAsiaTheme="minorEastAsia" w:hAnsiTheme="minorHAnsi" w:cstheme="minorBidi"/>
          <w:sz w:val="22"/>
          <w:szCs w:val="22"/>
          <w:lang w:val="es-US" w:eastAsia="zh-CN"/>
        </w:rPr>
        <w:tab/>
      </w:r>
      <w:r w:rsidRPr="00753620">
        <w:rPr>
          <w:rFonts w:ascii="Arial" w:hAnsi="Arial" w:cs="Arial"/>
        </w:rPr>
        <w:t>Análisis de Sensibilidad</w:t>
      </w:r>
      <w:r>
        <w:tab/>
      </w:r>
      <w:r>
        <w:fldChar w:fldCharType="begin"/>
      </w:r>
      <w:r>
        <w:instrText xml:space="preserve"> PAGEREF _Toc483312826 \h </w:instrText>
      </w:r>
      <w:r>
        <w:fldChar w:fldCharType="separate"/>
      </w:r>
      <w:r>
        <w:t>11</w:t>
      </w:r>
      <w:r>
        <w:fldChar w:fldCharType="end"/>
      </w:r>
    </w:p>
    <w:p w14:paraId="5D6DF66C" w14:textId="568334DF" w:rsidR="00BB68D9" w:rsidRDefault="00BB68D9">
      <w:pPr>
        <w:pStyle w:val="TOC1"/>
        <w:rPr>
          <w:rFonts w:asciiTheme="minorHAnsi" w:eastAsiaTheme="minorEastAsia" w:hAnsiTheme="minorHAnsi" w:cstheme="minorBidi"/>
          <w:b w:val="0"/>
          <w:smallCaps w:val="0"/>
          <w:lang w:val="es-US" w:eastAsia="zh-CN"/>
        </w:rPr>
      </w:pPr>
      <w:r w:rsidRPr="00753620">
        <w:rPr>
          <w:rFonts w:ascii="Arial" w:hAnsi="Arial" w:cs="Arial"/>
        </w:rPr>
        <w:t>IV.</w:t>
      </w:r>
      <w:r>
        <w:rPr>
          <w:rFonts w:asciiTheme="minorHAnsi" w:eastAsiaTheme="minorEastAsia" w:hAnsiTheme="minorHAnsi" w:cstheme="minorBidi"/>
          <w:b w:val="0"/>
          <w:smallCaps w:val="0"/>
          <w:lang w:val="es-US" w:eastAsia="zh-CN"/>
        </w:rPr>
        <w:tab/>
      </w:r>
      <w:r w:rsidRPr="00753620">
        <w:rPr>
          <w:rFonts w:ascii="Arial" w:hAnsi="Arial" w:cs="Arial"/>
        </w:rPr>
        <w:t>Conclusiones</w:t>
      </w:r>
      <w:r>
        <w:tab/>
      </w:r>
      <w:r>
        <w:fldChar w:fldCharType="begin"/>
      </w:r>
      <w:r>
        <w:instrText xml:space="preserve"> PAGEREF _Toc483312827 \h </w:instrText>
      </w:r>
      <w:r>
        <w:fldChar w:fldCharType="separate"/>
      </w:r>
      <w:r>
        <w:t>11</w:t>
      </w:r>
      <w:r>
        <w:fldChar w:fldCharType="end"/>
      </w:r>
    </w:p>
    <w:p w14:paraId="05F76B36" w14:textId="1FCEE366" w:rsidR="00ED751C" w:rsidRPr="00046E14" w:rsidRDefault="00E3347F" w:rsidP="00E90703">
      <w:pPr>
        <w:pStyle w:val="TOC2"/>
        <w:rPr>
          <w:rFonts w:ascii="Arial" w:hAnsi="Arial" w:cs="Arial"/>
          <w:sz w:val="22"/>
          <w:szCs w:val="22"/>
        </w:rPr>
      </w:pPr>
      <w:r w:rsidRPr="00BC1545">
        <w:rPr>
          <w:rFonts w:ascii="Arial" w:hAnsi="Arial" w:cs="Arial"/>
          <w:sz w:val="22"/>
          <w:szCs w:val="22"/>
        </w:rPr>
        <w:fldChar w:fldCharType="end"/>
      </w:r>
    </w:p>
    <w:p w14:paraId="7FD89C01" w14:textId="35F47B1D" w:rsidR="00ED751C" w:rsidRPr="00046E14" w:rsidRDefault="00ED751C" w:rsidP="00ED751C">
      <w:pPr>
        <w:rPr>
          <w:rFonts w:ascii="Arial" w:hAnsi="Arial" w:cs="Arial"/>
          <w:sz w:val="22"/>
          <w:szCs w:val="22"/>
          <w:lang w:val="es-ES"/>
        </w:rPr>
      </w:pPr>
    </w:p>
    <w:p w14:paraId="0C03EBE1" w14:textId="5A04723C" w:rsidR="007C6FAF" w:rsidRDefault="007C6FAF" w:rsidP="00792F64">
      <w:pPr>
        <w:spacing w:after="200" w:line="276" w:lineRule="auto"/>
        <w:rPr>
          <w:rFonts w:ascii="Arial" w:hAnsi="Arial" w:cs="Arial"/>
          <w:b/>
          <w:sz w:val="22"/>
          <w:szCs w:val="22"/>
          <w:lang w:val="es-ES"/>
        </w:rPr>
      </w:pPr>
    </w:p>
    <w:p w14:paraId="779F3B30" w14:textId="77777777" w:rsidR="007C6FAF" w:rsidRDefault="007C6FAF">
      <w:pPr>
        <w:spacing w:after="200" w:line="276" w:lineRule="auto"/>
        <w:rPr>
          <w:rFonts w:ascii="Arial" w:hAnsi="Arial" w:cs="Arial"/>
          <w:b/>
          <w:sz w:val="22"/>
          <w:szCs w:val="22"/>
          <w:lang w:val="es-ES"/>
        </w:rPr>
      </w:pPr>
      <w:r>
        <w:rPr>
          <w:rFonts w:ascii="Arial" w:hAnsi="Arial" w:cs="Arial"/>
          <w:b/>
          <w:sz w:val="22"/>
          <w:szCs w:val="22"/>
          <w:lang w:val="es-ES"/>
        </w:rPr>
        <w:br w:type="page"/>
      </w:r>
    </w:p>
    <w:p w14:paraId="5A0DAF21" w14:textId="77777777" w:rsidR="00BF5E46" w:rsidRPr="00046E14" w:rsidRDefault="00BF5E46" w:rsidP="00792F64">
      <w:pPr>
        <w:spacing w:after="200" w:line="276" w:lineRule="auto"/>
        <w:rPr>
          <w:rFonts w:ascii="Arial" w:hAnsi="Arial" w:cs="Arial"/>
          <w:b/>
          <w:sz w:val="22"/>
          <w:szCs w:val="22"/>
          <w:lang w:val="es-ES"/>
        </w:rPr>
      </w:pPr>
    </w:p>
    <w:tbl>
      <w:tblPr>
        <w:tblW w:w="8640" w:type="dxa"/>
        <w:tblInd w:w="108" w:type="dxa"/>
        <w:tblLook w:val="01E0" w:firstRow="1" w:lastRow="1" w:firstColumn="1" w:lastColumn="1" w:noHBand="0" w:noVBand="0"/>
      </w:tblPr>
      <w:tblGrid>
        <w:gridCol w:w="1145"/>
        <w:gridCol w:w="7495"/>
      </w:tblGrid>
      <w:tr w:rsidR="00C62367" w:rsidRPr="00046E14" w14:paraId="08FE9F4B" w14:textId="77777777" w:rsidTr="00175C6F">
        <w:trPr>
          <w:cantSplit/>
          <w:trHeight w:val="423"/>
        </w:trPr>
        <w:tc>
          <w:tcPr>
            <w:tcW w:w="8640"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0D7CD4DB" w14:textId="77777777" w:rsidR="00C62367" w:rsidRPr="00046E14" w:rsidRDefault="00C62367" w:rsidP="00860AB9">
            <w:pPr>
              <w:spacing w:before="20" w:after="20"/>
              <w:jc w:val="center"/>
              <w:rPr>
                <w:rFonts w:ascii="Arial" w:eastAsia="Arial Unicode MS" w:hAnsi="Arial" w:cs="Arial"/>
                <w:b/>
                <w:bCs/>
                <w:smallCaps/>
                <w:sz w:val="22"/>
                <w:szCs w:val="22"/>
                <w:lang w:val="es-ES"/>
              </w:rPr>
            </w:pPr>
            <w:r w:rsidRPr="00046E14">
              <w:rPr>
                <w:rFonts w:ascii="Arial" w:eastAsia="Arial Unicode MS" w:hAnsi="Arial" w:cs="Arial"/>
                <w:b/>
                <w:bCs/>
                <w:smallCaps/>
                <w:sz w:val="22"/>
                <w:szCs w:val="22"/>
                <w:lang w:val="es-ES"/>
              </w:rPr>
              <w:t>Abreviaturas</w:t>
            </w:r>
          </w:p>
        </w:tc>
      </w:tr>
      <w:tr w:rsidR="00A25974" w:rsidRPr="00046E14" w14:paraId="1028FD00" w14:textId="77777777" w:rsidTr="00682A5C">
        <w:trPr>
          <w:cantSplit/>
        </w:trPr>
        <w:tc>
          <w:tcPr>
            <w:tcW w:w="1145" w:type="dxa"/>
            <w:tcBorders>
              <w:top w:val="single" w:sz="4" w:space="0" w:color="auto"/>
              <w:left w:val="single" w:sz="4" w:space="0" w:color="auto"/>
            </w:tcBorders>
          </w:tcPr>
          <w:p w14:paraId="2B31A988" w14:textId="77777777" w:rsidR="00A25974" w:rsidRPr="00046E14" w:rsidRDefault="00A25974" w:rsidP="00860AB9">
            <w:pPr>
              <w:spacing w:before="20" w:after="20"/>
              <w:rPr>
                <w:rFonts w:ascii="Arial" w:hAnsi="Arial" w:cs="Arial"/>
                <w:sz w:val="22"/>
                <w:szCs w:val="22"/>
                <w:lang w:val="es-ES"/>
              </w:rPr>
            </w:pPr>
            <w:r w:rsidRPr="00046E14">
              <w:rPr>
                <w:rFonts w:ascii="Arial" w:hAnsi="Arial" w:cs="Arial"/>
                <w:sz w:val="22"/>
                <w:szCs w:val="22"/>
                <w:lang w:val="es-ES"/>
              </w:rPr>
              <w:t>BID</w:t>
            </w:r>
          </w:p>
        </w:tc>
        <w:tc>
          <w:tcPr>
            <w:tcW w:w="7495" w:type="dxa"/>
            <w:tcBorders>
              <w:top w:val="single" w:sz="4" w:space="0" w:color="auto"/>
              <w:right w:val="single" w:sz="4" w:space="0" w:color="auto"/>
            </w:tcBorders>
          </w:tcPr>
          <w:p w14:paraId="2B41A378" w14:textId="77777777" w:rsidR="00A25974" w:rsidRPr="00046E14" w:rsidRDefault="00A25974" w:rsidP="00860AB9">
            <w:pPr>
              <w:spacing w:before="20" w:after="20"/>
              <w:rPr>
                <w:rFonts w:ascii="Arial" w:hAnsi="Arial" w:cs="Arial"/>
                <w:sz w:val="22"/>
                <w:szCs w:val="22"/>
                <w:lang w:val="es-ES"/>
              </w:rPr>
            </w:pPr>
            <w:r w:rsidRPr="00046E14">
              <w:rPr>
                <w:rFonts w:ascii="Arial" w:hAnsi="Arial" w:cs="Arial"/>
                <w:sz w:val="22"/>
                <w:szCs w:val="22"/>
                <w:lang w:val="es-ES"/>
              </w:rPr>
              <w:t>Banco Interamericano de Desarrollo</w:t>
            </w:r>
          </w:p>
        </w:tc>
      </w:tr>
      <w:tr w:rsidR="00A25974" w:rsidRPr="00046E14" w14:paraId="04C5A801" w14:textId="77777777" w:rsidTr="00682A5C">
        <w:trPr>
          <w:cantSplit/>
        </w:trPr>
        <w:tc>
          <w:tcPr>
            <w:tcW w:w="1145" w:type="dxa"/>
            <w:tcBorders>
              <w:left w:val="single" w:sz="4" w:space="0" w:color="auto"/>
            </w:tcBorders>
          </w:tcPr>
          <w:p w14:paraId="0F7EAAA4" w14:textId="0E07C590" w:rsidR="00A25974" w:rsidRPr="00046E14" w:rsidRDefault="00A22BC9" w:rsidP="00860AB9">
            <w:pPr>
              <w:spacing w:before="20" w:after="20"/>
              <w:rPr>
                <w:rFonts w:ascii="Arial" w:hAnsi="Arial" w:cs="Arial"/>
                <w:sz w:val="22"/>
                <w:szCs w:val="22"/>
                <w:lang w:val="es-ES"/>
              </w:rPr>
            </w:pPr>
            <w:r>
              <w:rPr>
                <w:rFonts w:ascii="Arial" w:hAnsi="Arial" w:cs="Arial"/>
                <w:sz w:val="22"/>
                <w:szCs w:val="22"/>
                <w:lang w:val="es-ES"/>
              </w:rPr>
              <w:t>CIF</w:t>
            </w:r>
          </w:p>
        </w:tc>
        <w:tc>
          <w:tcPr>
            <w:tcW w:w="7495" w:type="dxa"/>
            <w:tcBorders>
              <w:right w:val="single" w:sz="4" w:space="0" w:color="auto"/>
            </w:tcBorders>
          </w:tcPr>
          <w:p w14:paraId="09650D8E" w14:textId="56658CAB" w:rsidR="00A25974" w:rsidRPr="00A22BC9" w:rsidRDefault="00A22BC9" w:rsidP="00860AB9">
            <w:pPr>
              <w:spacing w:before="20" w:after="20"/>
              <w:rPr>
                <w:rFonts w:ascii="Arial" w:hAnsi="Arial" w:cs="Arial"/>
                <w:i/>
                <w:sz w:val="22"/>
                <w:szCs w:val="22"/>
                <w:lang w:val="es-ES"/>
              </w:rPr>
            </w:pPr>
            <w:r w:rsidRPr="00865FFF">
              <w:rPr>
                <w:rFonts w:ascii="Arial" w:hAnsi="Arial" w:cs="Arial"/>
                <w:i/>
                <w:sz w:val="22"/>
                <w:szCs w:val="22"/>
                <w:lang w:val="es-US"/>
              </w:rPr>
              <w:t>Climate Investment Fund</w:t>
            </w:r>
            <w:r w:rsidR="001A7CDA">
              <w:rPr>
                <w:rFonts w:ascii="Arial" w:hAnsi="Arial" w:cs="Arial"/>
                <w:i/>
                <w:sz w:val="22"/>
                <w:szCs w:val="22"/>
                <w:lang w:val="es-ES"/>
              </w:rPr>
              <w:t xml:space="preserve"> </w:t>
            </w:r>
            <w:r w:rsidR="001A7CDA" w:rsidRPr="001A7CDA">
              <w:rPr>
                <w:rFonts w:ascii="Arial" w:hAnsi="Arial" w:cs="Arial"/>
                <w:sz w:val="22"/>
                <w:szCs w:val="22"/>
                <w:lang w:val="es-ES"/>
              </w:rPr>
              <w:t>(Fondo</w:t>
            </w:r>
            <w:r w:rsidR="001A7CDA">
              <w:rPr>
                <w:rFonts w:ascii="Arial" w:hAnsi="Arial" w:cs="Arial"/>
                <w:sz w:val="22"/>
                <w:szCs w:val="22"/>
                <w:lang w:val="es-ES"/>
              </w:rPr>
              <w:t xml:space="preserve"> E</w:t>
            </w:r>
            <w:r w:rsidR="001A7CDA" w:rsidRPr="001A7CDA">
              <w:rPr>
                <w:rFonts w:ascii="Arial" w:hAnsi="Arial" w:cs="Arial"/>
                <w:sz w:val="22"/>
                <w:szCs w:val="22"/>
                <w:lang w:val="es-ES"/>
              </w:rPr>
              <w:t>stratégico sobre el Clima)</w:t>
            </w:r>
            <w:r w:rsidR="001A7CDA">
              <w:rPr>
                <w:rFonts w:ascii="Arial" w:hAnsi="Arial" w:cs="Arial"/>
                <w:i/>
                <w:sz w:val="22"/>
                <w:szCs w:val="22"/>
                <w:lang w:val="es-ES"/>
              </w:rPr>
              <w:t xml:space="preserve"> </w:t>
            </w:r>
          </w:p>
        </w:tc>
      </w:tr>
      <w:tr w:rsidR="0058070F" w:rsidRPr="00046E14" w14:paraId="5D066350" w14:textId="77777777" w:rsidTr="00682A5C">
        <w:trPr>
          <w:cantSplit/>
        </w:trPr>
        <w:tc>
          <w:tcPr>
            <w:tcW w:w="1145" w:type="dxa"/>
            <w:tcBorders>
              <w:left w:val="single" w:sz="4" w:space="0" w:color="auto"/>
            </w:tcBorders>
          </w:tcPr>
          <w:p w14:paraId="26800224" w14:textId="242A0FC1" w:rsidR="0058070F" w:rsidRPr="00046E14" w:rsidRDefault="0058070F" w:rsidP="00860AB9">
            <w:pPr>
              <w:spacing w:before="20" w:after="20"/>
              <w:rPr>
                <w:rFonts w:ascii="Arial" w:hAnsi="Arial" w:cs="Arial"/>
                <w:sz w:val="22"/>
                <w:szCs w:val="22"/>
                <w:lang w:val="es-ES"/>
              </w:rPr>
            </w:pPr>
            <w:r>
              <w:rPr>
                <w:rFonts w:ascii="Arial" w:hAnsi="Arial" w:cs="Arial"/>
                <w:sz w:val="22"/>
                <w:szCs w:val="22"/>
                <w:lang w:val="es-ES"/>
              </w:rPr>
              <w:t>ENEE</w:t>
            </w:r>
          </w:p>
        </w:tc>
        <w:tc>
          <w:tcPr>
            <w:tcW w:w="7495" w:type="dxa"/>
            <w:tcBorders>
              <w:right w:val="single" w:sz="4" w:space="0" w:color="auto"/>
            </w:tcBorders>
          </w:tcPr>
          <w:p w14:paraId="17DEE510" w14:textId="289CCC89" w:rsidR="0058070F" w:rsidRPr="00046E14" w:rsidRDefault="0058070F" w:rsidP="00860AB9">
            <w:pPr>
              <w:spacing w:before="20" w:after="20"/>
              <w:rPr>
                <w:rFonts w:ascii="Arial" w:hAnsi="Arial" w:cs="Arial"/>
                <w:sz w:val="22"/>
                <w:szCs w:val="22"/>
                <w:lang w:val="es-ES"/>
              </w:rPr>
            </w:pPr>
            <w:r w:rsidRPr="0058070F">
              <w:rPr>
                <w:rFonts w:ascii="Arial" w:hAnsi="Arial" w:cs="Arial"/>
                <w:sz w:val="22"/>
                <w:szCs w:val="22"/>
                <w:lang w:val="es-ES"/>
              </w:rPr>
              <w:t>Empresa Nacional de Energía Eléctrica</w:t>
            </w:r>
          </w:p>
        </w:tc>
      </w:tr>
      <w:tr w:rsidR="00EA135B" w:rsidRPr="00046E14" w14:paraId="0BCE3FE6" w14:textId="77777777" w:rsidTr="00682A5C">
        <w:trPr>
          <w:cantSplit/>
        </w:trPr>
        <w:tc>
          <w:tcPr>
            <w:tcW w:w="1145" w:type="dxa"/>
            <w:tcBorders>
              <w:left w:val="single" w:sz="4" w:space="0" w:color="auto"/>
            </w:tcBorders>
          </w:tcPr>
          <w:p w14:paraId="1CD69B85" w14:textId="49174828" w:rsidR="00EA135B" w:rsidRDefault="00EA135B" w:rsidP="00860AB9">
            <w:pPr>
              <w:spacing w:before="20" w:after="20"/>
              <w:rPr>
                <w:rFonts w:ascii="Arial" w:hAnsi="Arial" w:cs="Arial"/>
                <w:sz w:val="22"/>
                <w:szCs w:val="22"/>
                <w:lang w:val="es-ES"/>
              </w:rPr>
            </w:pPr>
            <w:r>
              <w:rPr>
                <w:rFonts w:ascii="Arial" w:hAnsi="Arial" w:cs="Arial"/>
                <w:sz w:val="22"/>
                <w:szCs w:val="22"/>
                <w:lang w:val="es-ES"/>
              </w:rPr>
              <w:t>ER</w:t>
            </w:r>
          </w:p>
        </w:tc>
        <w:tc>
          <w:tcPr>
            <w:tcW w:w="7495" w:type="dxa"/>
            <w:tcBorders>
              <w:right w:val="single" w:sz="4" w:space="0" w:color="auto"/>
            </w:tcBorders>
          </w:tcPr>
          <w:p w14:paraId="70190B2A" w14:textId="5CDCB6D3" w:rsidR="00EA135B" w:rsidRDefault="00EA135B" w:rsidP="00860AB9">
            <w:pPr>
              <w:spacing w:before="20" w:after="20"/>
              <w:rPr>
                <w:rFonts w:ascii="Arial" w:hAnsi="Arial" w:cs="Arial"/>
                <w:sz w:val="22"/>
                <w:szCs w:val="22"/>
                <w:lang w:val="es-ES"/>
              </w:rPr>
            </w:pPr>
            <w:r w:rsidRPr="00EA135B">
              <w:rPr>
                <w:rFonts w:ascii="Arial" w:hAnsi="Arial" w:cs="Arial"/>
                <w:sz w:val="22"/>
                <w:szCs w:val="22"/>
                <w:lang w:val="es-ES"/>
              </w:rPr>
              <w:t>Energía Renovable</w:t>
            </w:r>
          </w:p>
        </w:tc>
      </w:tr>
      <w:tr w:rsidR="0058070F" w:rsidRPr="00046E14" w14:paraId="4A753EBD" w14:textId="77777777" w:rsidTr="00682A5C">
        <w:trPr>
          <w:cantSplit/>
        </w:trPr>
        <w:tc>
          <w:tcPr>
            <w:tcW w:w="1145" w:type="dxa"/>
            <w:tcBorders>
              <w:left w:val="single" w:sz="4" w:space="0" w:color="auto"/>
            </w:tcBorders>
          </w:tcPr>
          <w:p w14:paraId="0DB2E77C" w14:textId="16677F65" w:rsidR="0058070F" w:rsidRDefault="0058070F" w:rsidP="00860AB9">
            <w:pPr>
              <w:spacing w:before="20" w:after="20"/>
              <w:rPr>
                <w:rFonts w:ascii="Arial" w:hAnsi="Arial" w:cs="Arial"/>
                <w:sz w:val="22"/>
                <w:szCs w:val="22"/>
                <w:lang w:val="es-ES"/>
              </w:rPr>
            </w:pPr>
            <w:r>
              <w:rPr>
                <w:rFonts w:ascii="Arial" w:hAnsi="Arial" w:cs="Arial"/>
                <w:sz w:val="22"/>
                <w:szCs w:val="22"/>
                <w:lang w:val="es-ES"/>
              </w:rPr>
              <w:t>ER</w:t>
            </w:r>
            <w:r w:rsidR="00EA135B">
              <w:rPr>
                <w:rFonts w:ascii="Arial" w:hAnsi="Arial" w:cs="Arial"/>
                <w:sz w:val="22"/>
                <w:szCs w:val="22"/>
                <w:lang w:val="es-ES"/>
              </w:rPr>
              <w:t>NC</w:t>
            </w:r>
          </w:p>
        </w:tc>
        <w:tc>
          <w:tcPr>
            <w:tcW w:w="7495" w:type="dxa"/>
            <w:tcBorders>
              <w:right w:val="single" w:sz="4" w:space="0" w:color="auto"/>
            </w:tcBorders>
          </w:tcPr>
          <w:p w14:paraId="23673BFE" w14:textId="2C63E06D" w:rsidR="0058070F" w:rsidRDefault="0058070F" w:rsidP="00860AB9">
            <w:pPr>
              <w:spacing w:before="20" w:after="20"/>
              <w:rPr>
                <w:rFonts w:ascii="Arial" w:hAnsi="Arial" w:cs="Arial"/>
                <w:sz w:val="22"/>
                <w:szCs w:val="22"/>
                <w:lang w:val="es-ES"/>
              </w:rPr>
            </w:pPr>
            <w:r>
              <w:rPr>
                <w:rFonts w:ascii="Arial" w:hAnsi="Arial" w:cs="Arial"/>
                <w:sz w:val="22"/>
                <w:szCs w:val="22"/>
                <w:lang w:val="es-ES"/>
              </w:rPr>
              <w:t>Energía Renovable</w:t>
            </w:r>
            <w:r w:rsidR="00EA135B">
              <w:rPr>
                <w:rFonts w:ascii="Arial" w:hAnsi="Arial" w:cs="Arial"/>
                <w:sz w:val="22"/>
                <w:szCs w:val="22"/>
                <w:lang w:val="es-ES"/>
              </w:rPr>
              <w:t xml:space="preserve"> No Convencional</w:t>
            </w:r>
          </w:p>
        </w:tc>
      </w:tr>
      <w:tr w:rsidR="0058070F" w:rsidRPr="00046E14" w14:paraId="5C25C6AF" w14:textId="77777777" w:rsidTr="00682A5C">
        <w:trPr>
          <w:cantSplit/>
        </w:trPr>
        <w:tc>
          <w:tcPr>
            <w:tcW w:w="1145" w:type="dxa"/>
            <w:tcBorders>
              <w:left w:val="single" w:sz="4" w:space="0" w:color="auto"/>
            </w:tcBorders>
          </w:tcPr>
          <w:p w14:paraId="40ECFA2F" w14:textId="60903235" w:rsidR="0058070F" w:rsidRPr="00046E14" w:rsidRDefault="0058070F" w:rsidP="00860AB9">
            <w:pPr>
              <w:spacing w:before="20" w:after="20"/>
              <w:rPr>
                <w:rFonts w:ascii="Arial" w:hAnsi="Arial" w:cs="Arial"/>
                <w:sz w:val="22"/>
                <w:szCs w:val="22"/>
                <w:lang w:val="es-ES"/>
              </w:rPr>
            </w:pPr>
            <w:r>
              <w:rPr>
                <w:rFonts w:ascii="Arial" w:hAnsi="Arial" w:cs="Arial"/>
                <w:sz w:val="22"/>
                <w:szCs w:val="22"/>
                <w:lang w:val="es-ES"/>
              </w:rPr>
              <w:t>Gobierno</w:t>
            </w:r>
          </w:p>
        </w:tc>
        <w:tc>
          <w:tcPr>
            <w:tcW w:w="7495" w:type="dxa"/>
            <w:tcBorders>
              <w:right w:val="single" w:sz="4" w:space="0" w:color="auto"/>
            </w:tcBorders>
          </w:tcPr>
          <w:p w14:paraId="5E46C5F9" w14:textId="124F1058" w:rsidR="0058070F" w:rsidRPr="00046E14" w:rsidRDefault="0058070F" w:rsidP="00860AB9">
            <w:pPr>
              <w:spacing w:before="20" w:after="20"/>
              <w:rPr>
                <w:rFonts w:ascii="Arial" w:hAnsi="Arial" w:cs="Arial"/>
                <w:sz w:val="22"/>
                <w:szCs w:val="22"/>
                <w:lang w:val="es-ES"/>
              </w:rPr>
            </w:pPr>
            <w:r>
              <w:rPr>
                <w:rFonts w:ascii="Arial" w:hAnsi="Arial" w:cs="Arial"/>
                <w:sz w:val="22"/>
                <w:szCs w:val="22"/>
                <w:lang w:val="es-ES"/>
              </w:rPr>
              <w:t>El Gobierno de Honduras</w:t>
            </w:r>
          </w:p>
        </w:tc>
      </w:tr>
      <w:tr w:rsidR="009B2D75" w:rsidRPr="00046E14" w14:paraId="5EBC6B3D" w14:textId="77777777" w:rsidTr="00682A5C">
        <w:trPr>
          <w:cantSplit/>
        </w:trPr>
        <w:tc>
          <w:tcPr>
            <w:tcW w:w="1145" w:type="dxa"/>
            <w:tcBorders>
              <w:left w:val="single" w:sz="4" w:space="0" w:color="auto"/>
            </w:tcBorders>
          </w:tcPr>
          <w:p w14:paraId="6D08F2BD" w14:textId="7E93B179" w:rsidR="009B2D75" w:rsidRDefault="009B2D75" w:rsidP="0058070F">
            <w:pPr>
              <w:spacing w:before="20" w:after="20"/>
              <w:rPr>
                <w:rFonts w:ascii="Arial" w:hAnsi="Arial" w:cs="Arial"/>
                <w:sz w:val="22"/>
                <w:szCs w:val="22"/>
                <w:lang w:val="es-ES"/>
              </w:rPr>
            </w:pPr>
            <w:r>
              <w:rPr>
                <w:rFonts w:ascii="Arial" w:hAnsi="Arial" w:cs="Arial"/>
                <w:sz w:val="22"/>
                <w:szCs w:val="22"/>
                <w:lang w:val="es-ES"/>
              </w:rPr>
              <w:t>MER</w:t>
            </w:r>
          </w:p>
        </w:tc>
        <w:tc>
          <w:tcPr>
            <w:tcW w:w="7495" w:type="dxa"/>
            <w:tcBorders>
              <w:right w:val="single" w:sz="4" w:space="0" w:color="auto"/>
            </w:tcBorders>
          </w:tcPr>
          <w:p w14:paraId="0B553419" w14:textId="0CB9ECAE" w:rsidR="009B2D75" w:rsidRDefault="009B2D75" w:rsidP="0058070F">
            <w:pPr>
              <w:spacing w:before="20" w:after="20"/>
              <w:rPr>
                <w:rFonts w:ascii="Arial" w:hAnsi="Arial" w:cs="Arial"/>
                <w:sz w:val="22"/>
                <w:szCs w:val="22"/>
              </w:rPr>
            </w:pPr>
            <w:r w:rsidRPr="009B2D75">
              <w:rPr>
                <w:rFonts w:ascii="Arial" w:hAnsi="Arial" w:cs="Arial"/>
                <w:sz w:val="22"/>
                <w:szCs w:val="22"/>
              </w:rPr>
              <w:t>Mercado Eléctrico Regional</w:t>
            </w:r>
          </w:p>
        </w:tc>
      </w:tr>
      <w:tr w:rsidR="00783A42" w:rsidRPr="00046E14" w14:paraId="0557DFA6" w14:textId="77777777" w:rsidTr="00682A5C">
        <w:trPr>
          <w:cantSplit/>
        </w:trPr>
        <w:tc>
          <w:tcPr>
            <w:tcW w:w="1145" w:type="dxa"/>
            <w:tcBorders>
              <w:left w:val="single" w:sz="4" w:space="0" w:color="auto"/>
            </w:tcBorders>
          </w:tcPr>
          <w:p w14:paraId="291A7DF9" w14:textId="1774DAD4" w:rsidR="00783A42" w:rsidRDefault="00783A42" w:rsidP="0058070F">
            <w:pPr>
              <w:spacing w:before="20" w:after="20"/>
              <w:rPr>
                <w:rFonts w:ascii="Arial" w:hAnsi="Arial" w:cs="Arial"/>
                <w:sz w:val="22"/>
                <w:szCs w:val="22"/>
                <w:lang w:val="es-ES"/>
              </w:rPr>
            </w:pPr>
            <w:r>
              <w:rPr>
                <w:rFonts w:ascii="Arial" w:hAnsi="Arial" w:cs="Arial"/>
                <w:sz w:val="22"/>
                <w:szCs w:val="22"/>
                <w:lang w:val="es-ES"/>
              </w:rPr>
              <w:t>SE</w:t>
            </w:r>
          </w:p>
        </w:tc>
        <w:tc>
          <w:tcPr>
            <w:tcW w:w="7495" w:type="dxa"/>
            <w:tcBorders>
              <w:right w:val="single" w:sz="4" w:space="0" w:color="auto"/>
            </w:tcBorders>
          </w:tcPr>
          <w:p w14:paraId="785F9158" w14:textId="1D5D9739" w:rsidR="00783A42" w:rsidRPr="00783A42" w:rsidRDefault="00783A42" w:rsidP="0058070F">
            <w:pPr>
              <w:spacing w:before="20" w:after="20"/>
              <w:rPr>
                <w:rFonts w:ascii="Arial" w:hAnsi="Arial" w:cs="Arial"/>
                <w:sz w:val="22"/>
                <w:szCs w:val="22"/>
              </w:rPr>
            </w:pPr>
            <w:r>
              <w:rPr>
                <w:rFonts w:ascii="Arial" w:hAnsi="Arial" w:cs="Arial"/>
                <w:sz w:val="22"/>
                <w:szCs w:val="22"/>
              </w:rPr>
              <w:t>Subestación Eléctrica</w:t>
            </w:r>
          </w:p>
        </w:tc>
      </w:tr>
      <w:tr w:rsidR="00783A42" w:rsidRPr="00046E14" w14:paraId="00146A21" w14:textId="77777777" w:rsidTr="00682A5C">
        <w:trPr>
          <w:cantSplit/>
        </w:trPr>
        <w:tc>
          <w:tcPr>
            <w:tcW w:w="1145" w:type="dxa"/>
            <w:tcBorders>
              <w:left w:val="single" w:sz="4" w:space="0" w:color="auto"/>
            </w:tcBorders>
          </w:tcPr>
          <w:p w14:paraId="7635CA81" w14:textId="59C6C8B6" w:rsidR="00783A42" w:rsidRDefault="00783A42" w:rsidP="0058070F">
            <w:pPr>
              <w:spacing w:before="20" w:after="20"/>
              <w:rPr>
                <w:rFonts w:ascii="Arial" w:hAnsi="Arial" w:cs="Arial"/>
                <w:sz w:val="22"/>
                <w:szCs w:val="22"/>
                <w:lang w:val="es-ES"/>
              </w:rPr>
            </w:pPr>
            <w:r>
              <w:rPr>
                <w:rFonts w:ascii="Arial" w:hAnsi="Arial" w:cs="Arial"/>
                <w:sz w:val="22"/>
                <w:szCs w:val="22"/>
                <w:lang w:val="es-ES"/>
              </w:rPr>
              <w:t>SIEPAC</w:t>
            </w:r>
          </w:p>
        </w:tc>
        <w:tc>
          <w:tcPr>
            <w:tcW w:w="7495" w:type="dxa"/>
            <w:tcBorders>
              <w:right w:val="single" w:sz="4" w:space="0" w:color="auto"/>
            </w:tcBorders>
          </w:tcPr>
          <w:p w14:paraId="08A6BFB0" w14:textId="267E4F30" w:rsidR="00783A42" w:rsidRPr="00B609A8" w:rsidRDefault="00783A42" w:rsidP="0058070F">
            <w:pPr>
              <w:spacing w:before="20" w:after="20"/>
              <w:rPr>
                <w:rFonts w:ascii="Arial" w:hAnsi="Arial" w:cs="Arial"/>
                <w:sz w:val="22"/>
                <w:szCs w:val="22"/>
                <w:lang w:val="es-ES"/>
              </w:rPr>
            </w:pPr>
            <w:r w:rsidRPr="00783A42">
              <w:rPr>
                <w:rFonts w:ascii="Arial" w:hAnsi="Arial" w:cs="Arial"/>
                <w:sz w:val="22"/>
                <w:szCs w:val="22"/>
              </w:rPr>
              <w:t>Sistema de Interconexión Eléctrica para América Central</w:t>
            </w:r>
          </w:p>
        </w:tc>
      </w:tr>
      <w:tr w:rsidR="0058070F" w:rsidRPr="00046E14" w14:paraId="4558811D" w14:textId="77777777" w:rsidTr="00682A5C">
        <w:trPr>
          <w:cantSplit/>
        </w:trPr>
        <w:tc>
          <w:tcPr>
            <w:tcW w:w="1145" w:type="dxa"/>
            <w:tcBorders>
              <w:left w:val="single" w:sz="4" w:space="0" w:color="auto"/>
            </w:tcBorders>
          </w:tcPr>
          <w:p w14:paraId="1BC629EA" w14:textId="72736F88" w:rsidR="0058070F" w:rsidRPr="00046E14" w:rsidRDefault="00B609A8" w:rsidP="0058070F">
            <w:pPr>
              <w:spacing w:before="20" w:after="20"/>
              <w:rPr>
                <w:rFonts w:ascii="Arial" w:hAnsi="Arial" w:cs="Arial"/>
                <w:sz w:val="22"/>
                <w:szCs w:val="22"/>
                <w:lang w:val="es-ES"/>
              </w:rPr>
            </w:pPr>
            <w:r>
              <w:rPr>
                <w:rFonts w:ascii="Arial" w:hAnsi="Arial" w:cs="Arial"/>
                <w:sz w:val="22"/>
                <w:szCs w:val="22"/>
                <w:lang w:val="es-ES"/>
              </w:rPr>
              <w:t>SIN</w:t>
            </w:r>
          </w:p>
        </w:tc>
        <w:tc>
          <w:tcPr>
            <w:tcW w:w="7495" w:type="dxa"/>
            <w:tcBorders>
              <w:right w:val="single" w:sz="4" w:space="0" w:color="auto"/>
            </w:tcBorders>
          </w:tcPr>
          <w:p w14:paraId="1C42AFA1" w14:textId="5C96E6EF" w:rsidR="0058070F" w:rsidRPr="00046E14" w:rsidRDefault="00B609A8" w:rsidP="0058070F">
            <w:pPr>
              <w:spacing w:before="20" w:after="20"/>
              <w:rPr>
                <w:rFonts w:ascii="Arial" w:hAnsi="Arial" w:cs="Arial"/>
                <w:sz w:val="22"/>
                <w:szCs w:val="22"/>
                <w:lang w:val="es-ES"/>
              </w:rPr>
            </w:pPr>
            <w:r w:rsidRPr="00B609A8">
              <w:rPr>
                <w:rFonts w:ascii="Arial" w:hAnsi="Arial" w:cs="Arial"/>
                <w:sz w:val="22"/>
                <w:szCs w:val="22"/>
                <w:lang w:val="es-ES"/>
              </w:rPr>
              <w:t>Sistema Interconectado Nacional</w:t>
            </w:r>
          </w:p>
        </w:tc>
      </w:tr>
      <w:tr w:rsidR="00B609A8" w:rsidRPr="001A7CDA" w14:paraId="7C1EEE37" w14:textId="77777777" w:rsidTr="00B42F48">
        <w:trPr>
          <w:cantSplit/>
        </w:trPr>
        <w:tc>
          <w:tcPr>
            <w:tcW w:w="1145" w:type="dxa"/>
            <w:tcBorders>
              <w:left w:val="single" w:sz="4" w:space="0" w:color="auto"/>
            </w:tcBorders>
          </w:tcPr>
          <w:p w14:paraId="68E3A3B7" w14:textId="27989BED" w:rsidR="00B609A8" w:rsidRPr="00046E14" w:rsidRDefault="00B609A8" w:rsidP="0058070F">
            <w:pPr>
              <w:spacing w:before="20" w:after="20"/>
              <w:rPr>
                <w:rFonts w:ascii="Arial" w:hAnsi="Arial" w:cs="Arial"/>
                <w:sz w:val="22"/>
                <w:szCs w:val="22"/>
                <w:lang w:val="es-ES"/>
              </w:rPr>
            </w:pPr>
            <w:r>
              <w:rPr>
                <w:rFonts w:ascii="Arial" w:hAnsi="Arial" w:cs="Arial"/>
                <w:sz w:val="22"/>
                <w:szCs w:val="22"/>
                <w:lang w:val="es-ES"/>
              </w:rPr>
              <w:t>SREP</w:t>
            </w:r>
          </w:p>
        </w:tc>
        <w:tc>
          <w:tcPr>
            <w:tcW w:w="7495" w:type="dxa"/>
            <w:tcBorders>
              <w:right w:val="single" w:sz="4" w:space="0" w:color="auto"/>
            </w:tcBorders>
          </w:tcPr>
          <w:p w14:paraId="000C8A36" w14:textId="4FE80B79" w:rsidR="00B609A8" w:rsidRPr="001A7CDA" w:rsidRDefault="00B609A8" w:rsidP="0058070F">
            <w:pPr>
              <w:spacing w:before="20" w:after="20"/>
              <w:rPr>
                <w:rFonts w:ascii="Arial" w:hAnsi="Arial" w:cs="Arial"/>
                <w:i/>
                <w:sz w:val="22"/>
                <w:szCs w:val="22"/>
                <w:lang w:val="es-US"/>
              </w:rPr>
            </w:pPr>
            <w:r w:rsidRPr="00865FFF">
              <w:rPr>
                <w:rFonts w:ascii="Arial" w:hAnsi="Arial" w:cs="Arial"/>
                <w:i/>
                <w:sz w:val="22"/>
                <w:szCs w:val="22"/>
                <w:lang w:val="es-US"/>
              </w:rPr>
              <w:t>Scaling Up Renewable Energy Program</w:t>
            </w:r>
            <w:r w:rsidR="001A7CDA" w:rsidRPr="001A7CDA">
              <w:rPr>
                <w:rFonts w:ascii="Arial" w:hAnsi="Arial" w:cs="Arial"/>
                <w:i/>
                <w:sz w:val="22"/>
                <w:szCs w:val="22"/>
                <w:lang w:val="es-US"/>
              </w:rPr>
              <w:t xml:space="preserve"> (</w:t>
            </w:r>
            <w:r w:rsidR="001A7CDA" w:rsidRPr="001A7CDA">
              <w:rPr>
                <w:rFonts w:ascii="Arial" w:hAnsi="Arial" w:cs="Arial"/>
                <w:sz w:val="22"/>
                <w:szCs w:val="22"/>
              </w:rPr>
              <w:t>Programa de Impulso a las Estrategias Renovables en Países de Bajos</w:t>
            </w:r>
            <w:r w:rsidR="001A7CDA">
              <w:rPr>
                <w:rFonts w:ascii="Arial" w:hAnsi="Arial" w:cs="Arial"/>
                <w:i/>
                <w:sz w:val="22"/>
                <w:szCs w:val="22"/>
              </w:rPr>
              <w:t>)</w:t>
            </w:r>
          </w:p>
        </w:tc>
      </w:tr>
      <w:tr w:rsidR="00DA2D4C" w:rsidRPr="001A7CDA" w14:paraId="6823F209" w14:textId="77777777" w:rsidTr="00B42F48">
        <w:trPr>
          <w:cantSplit/>
        </w:trPr>
        <w:tc>
          <w:tcPr>
            <w:tcW w:w="1145" w:type="dxa"/>
            <w:tcBorders>
              <w:left w:val="single" w:sz="4" w:space="0" w:color="auto"/>
            </w:tcBorders>
          </w:tcPr>
          <w:p w14:paraId="57383EEC" w14:textId="0C6F5847" w:rsidR="00DA2D4C" w:rsidRPr="00B42F48" w:rsidRDefault="00DA2D4C" w:rsidP="0058070F">
            <w:pPr>
              <w:spacing w:before="20" w:after="20"/>
              <w:rPr>
                <w:rFonts w:ascii="Arial" w:hAnsi="Arial" w:cs="Arial"/>
                <w:sz w:val="22"/>
                <w:szCs w:val="22"/>
                <w:lang w:val="es-ES"/>
              </w:rPr>
            </w:pPr>
            <w:r>
              <w:rPr>
                <w:rFonts w:ascii="Arial" w:hAnsi="Arial" w:cs="Arial"/>
                <w:sz w:val="22"/>
                <w:szCs w:val="22"/>
                <w:lang w:val="es-ES"/>
              </w:rPr>
              <w:t>TIR</w:t>
            </w:r>
          </w:p>
        </w:tc>
        <w:tc>
          <w:tcPr>
            <w:tcW w:w="7495" w:type="dxa"/>
            <w:tcBorders>
              <w:right w:val="single" w:sz="4" w:space="0" w:color="auto"/>
            </w:tcBorders>
          </w:tcPr>
          <w:p w14:paraId="23D2C6DE" w14:textId="7AC449E7" w:rsidR="00DA2D4C" w:rsidRPr="00B42F48" w:rsidRDefault="00DA2D4C" w:rsidP="0058070F">
            <w:pPr>
              <w:spacing w:before="20" w:after="20"/>
              <w:rPr>
                <w:rFonts w:ascii="Arial" w:hAnsi="Arial" w:cs="Arial"/>
                <w:sz w:val="22"/>
                <w:szCs w:val="22"/>
                <w:lang w:val="es-US"/>
              </w:rPr>
            </w:pPr>
            <w:r w:rsidRPr="00DA2D4C">
              <w:rPr>
                <w:rFonts w:ascii="Arial" w:hAnsi="Arial" w:cs="Arial"/>
                <w:sz w:val="22"/>
                <w:szCs w:val="22"/>
                <w:lang w:val="es-US"/>
              </w:rPr>
              <w:t>Tasa Interna de Retorno</w:t>
            </w:r>
          </w:p>
        </w:tc>
      </w:tr>
      <w:tr w:rsidR="00B42F48" w:rsidRPr="001A7CDA" w14:paraId="63EEB655" w14:textId="77777777" w:rsidTr="00B42F48">
        <w:trPr>
          <w:cantSplit/>
        </w:trPr>
        <w:tc>
          <w:tcPr>
            <w:tcW w:w="1145" w:type="dxa"/>
            <w:tcBorders>
              <w:left w:val="single" w:sz="4" w:space="0" w:color="auto"/>
            </w:tcBorders>
          </w:tcPr>
          <w:p w14:paraId="45D9150C" w14:textId="0FABAC1B" w:rsidR="00B42F48" w:rsidRPr="00B42F48" w:rsidRDefault="00B42F48" w:rsidP="0058070F">
            <w:pPr>
              <w:spacing w:before="20" w:after="20"/>
              <w:rPr>
                <w:rFonts w:ascii="Arial" w:hAnsi="Arial" w:cs="Arial"/>
                <w:sz w:val="22"/>
                <w:szCs w:val="22"/>
                <w:lang w:val="es-ES"/>
              </w:rPr>
            </w:pPr>
            <w:r w:rsidRPr="00B42F48">
              <w:rPr>
                <w:rFonts w:ascii="Arial" w:hAnsi="Arial" w:cs="Arial"/>
                <w:sz w:val="22"/>
                <w:szCs w:val="22"/>
                <w:lang w:val="es-ES"/>
              </w:rPr>
              <w:t>TIR</w:t>
            </w:r>
            <w:r w:rsidR="009A1994">
              <w:rPr>
                <w:rFonts w:ascii="Arial" w:hAnsi="Arial" w:cs="Arial"/>
                <w:sz w:val="22"/>
                <w:szCs w:val="22"/>
                <w:lang w:val="es-ES"/>
              </w:rPr>
              <w:t>E</w:t>
            </w:r>
          </w:p>
        </w:tc>
        <w:tc>
          <w:tcPr>
            <w:tcW w:w="7495" w:type="dxa"/>
            <w:tcBorders>
              <w:right w:val="single" w:sz="4" w:space="0" w:color="auto"/>
            </w:tcBorders>
          </w:tcPr>
          <w:p w14:paraId="34094D7E" w14:textId="11264547" w:rsidR="00B42F48" w:rsidRPr="00B42F48" w:rsidRDefault="00B42F48" w:rsidP="0058070F">
            <w:pPr>
              <w:spacing w:before="20" w:after="20"/>
              <w:rPr>
                <w:rFonts w:ascii="Arial" w:hAnsi="Arial" w:cs="Arial"/>
                <w:sz w:val="22"/>
                <w:szCs w:val="22"/>
                <w:lang w:val="es-US"/>
              </w:rPr>
            </w:pPr>
            <w:r w:rsidRPr="00B42F48">
              <w:rPr>
                <w:rFonts w:ascii="Arial" w:hAnsi="Arial" w:cs="Arial"/>
                <w:sz w:val="22"/>
                <w:szCs w:val="22"/>
                <w:lang w:val="es-US"/>
              </w:rPr>
              <w:t>Tasa Interna de Retorno</w:t>
            </w:r>
            <w:r w:rsidR="009A1994">
              <w:rPr>
                <w:rFonts w:ascii="Arial" w:hAnsi="Arial" w:cs="Arial"/>
                <w:sz w:val="22"/>
                <w:szCs w:val="22"/>
                <w:lang w:val="es-US"/>
              </w:rPr>
              <w:t xml:space="preserve"> Económico</w:t>
            </w:r>
          </w:p>
        </w:tc>
      </w:tr>
      <w:tr w:rsidR="00B42F48" w:rsidRPr="001A7CDA" w14:paraId="6FEB8DDC" w14:textId="77777777" w:rsidTr="00682A5C">
        <w:trPr>
          <w:cantSplit/>
        </w:trPr>
        <w:tc>
          <w:tcPr>
            <w:tcW w:w="1145" w:type="dxa"/>
            <w:tcBorders>
              <w:left w:val="single" w:sz="4" w:space="0" w:color="auto"/>
              <w:bottom w:val="single" w:sz="4" w:space="0" w:color="auto"/>
            </w:tcBorders>
          </w:tcPr>
          <w:p w14:paraId="2F33E3EF" w14:textId="296F4857" w:rsidR="00B42F48" w:rsidRPr="00B42F48" w:rsidRDefault="00B42F48" w:rsidP="0058070F">
            <w:pPr>
              <w:spacing w:before="20" w:after="20"/>
              <w:rPr>
                <w:rFonts w:ascii="Arial" w:hAnsi="Arial" w:cs="Arial"/>
                <w:sz w:val="22"/>
                <w:szCs w:val="22"/>
                <w:lang w:val="es-ES"/>
              </w:rPr>
            </w:pPr>
            <w:r>
              <w:rPr>
                <w:rFonts w:ascii="Arial" w:hAnsi="Arial" w:cs="Arial"/>
                <w:sz w:val="22"/>
                <w:szCs w:val="22"/>
                <w:lang w:val="es-ES"/>
              </w:rPr>
              <w:t>VP</w:t>
            </w:r>
            <w:r w:rsidR="00D6297A">
              <w:rPr>
                <w:rFonts w:ascii="Arial" w:hAnsi="Arial" w:cs="Arial"/>
                <w:sz w:val="22"/>
                <w:szCs w:val="22"/>
                <w:lang w:val="es-ES"/>
              </w:rPr>
              <w:t>NE</w:t>
            </w:r>
          </w:p>
        </w:tc>
        <w:tc>
          <w:tcPr>
            <w:tcW w:w="7495" w:type="dxa"/>
            <w:tcBorders>
              <w:bottom w:val="single" w:sz="4" w:space="0" w:color="auto"/>
              <w:right w:val="single" w:sz="4" w:space="0" w:color="auto"/>
            </w:tcBorders>
          </w:tcPr>
          <w:p w14:paraId="74BC1E83" w14:textId="721BD327" w:rsidR="00B42F48" w:rsidRPr="00B42F48" w:rsidRDefault="00B42F48" w:rsidP="0058070F">
            <w:pPr>
              <w:spacing w:before="20" w:after="20"/>
              <w:rPr>
                <w:rFonts w:ascii="Arial" w:hAnsi="Arial" w:cs="Arial"/>
                <w:sz w:val="22"/>
                <w:szCs w:val="22"/>
                <w:lang w:val="es-US"/>
              </w:rPr>
            </w:pPr>
            <w:r>
              <w:rPr>
                <w:rFonts w:ascii="Arial" w:hAnsi="Arial" w:cs="Arial"/>
                <w:sz w:val="22"/>
                <w:szCs w:val="22"/>
                <w:lang w:val="es-US"/>
              </w:rPr>
              <w:t>Valor Presente Neto</w:t>
            </w:r>
            <w:r w:rsidR="00D6297A">
              <w:rPr>
                <w:rFonts w:ascii="Arial" w:hAnsi="Arial" w:cs="Arial"/>
                <w:sz w:val="22"/>
                <w:szCs w:val="22"/>
                <w:lang w:val="es-US"/>
              </w:rPr>
              <w:t xml:space="preserve"> Económico</w:t>
            </w:r>
          </w:p>
        </w:tc>
      </w:tr>
    </w:tbl>
    <w:p w14:paraId="70F9D98C" w14:textId="77777777" w:rsidR="00ED751C" w:rsidRPr="00046E14" w:rsidRDefault="00ED751C" w:rsidP="00ED751C">
      <w:pPr>
        <w:tabs>
          <w:tab w:val="left" w:pos="3060"/>
        </w:tabs>
        <w:jc w:val="both"/>
        <w:rPr>
          <w:rFonts w:ascii="Arial" w:hAnsi="Arial" w:cs="Arial"/>
          <w:sz w:val="22"/>
          <w:szCs w:val="22"/>
          <w:lang w:val="es-ES"/>
        </w:rPr>
      </w:pPr>
    </w:p>
    <w:p w14:paraId="3C1BCC17" w14:textId="77777777" w:rsidR="00ED751C" w:rsidRPr="006066BF" w:rsidRDefault="00ED751C" w:rsidP="00ED751C">
      <w:pPr>
        <w:pStyle w:val="AbbrDesc"/>
        <w:tabs>
          <w:tab w:val="left" w:pos="1440"/>
        </w:tabs>
        <w:rPr>
          <w:rFonts w:ascii="Arial" w:hAnsi="Arial" w:cs="Arial"/>
          <w:sz w:val="22"/>
          <w:szCs w:val="22"/>
          <w:lang w:val="es-ES"/>
        </w:rPr>
        <w:sectPr w:rsidR="00ED751C" w:rsidRPr="006066BF">
          <w:headerReference w:type="first" r:id="rId17"/>
          <w:pgSz w:w="12240" w:h="15840" w:code="1"/>
          <w:pgMar w:top="1440" w:right="1800" w:bottom="1440" w:left="1800" w:header="706" w:footer="706" w:gutter="0"/>
          <w:pgNumType w:fmt="lowerRoman" w:start="1"/>
          <w:cols w:space="720"/>
          <w:formProt w:val="0"/>
          <w:titlePg/>
        </w:sectPr>
      </w:pPr>
    </w:p>
    <w:p w14:paraId="7D91D8B1" w14:textId="77777777" w:rsidR="00ED751C" w:rsidRPr="006066BF" w:rsidRDefault="00ED751C" w:rsidP="00053201">
      <w:pPr>
        <w:pStyle w:val="Paragraph"/>
        <w:pBdr>
          <w:bottom w:val="single" w:sz="4" w:space="1" w:color="auto"/>
        </w:pBdr>
        <w:rPr>
          <w:rFonts w:ascii="Arial" w:hAnsi="Arial" w:cs="Arial"/>
          <w:sz w:val="22"/>
          <w:szCs w:val="22"/>
        </w:rPr>
        <w:sectPr w:rsidR="00ED751C" w:rsidRPr="006066BF">
          <w:headerReference w:type="even" r:id="rId18"/>
          <w:headerReference w:type="default" r:id="rId19"/>
          <w:footerReference w:type="even" r:id="rId20"/>
          <w:footerReference w:type="default" r:id="rId21"/>
          <w:headerReference w:type="first" r:id="rId22"/>
          <w:pgSz w:w="12240" w:h="15840" w:code="1"/>
          <w:pgMar w:top="1440" w:right="1800" w:bottom="1440" w:left="1800" w:header="706" w:footer="706" w:gutter="0"/>
          <w:pgNumType w:start="1"/>
          <w:cols w:space="720"/>
          <w:formProt w:val="0"/>
        </w:sectPr>
      </w:pPr>
    </w:p>
    <w:p w14:paraId="57B4B994" w14:textId="4ACC847A" w:rsidR="00ED751C" w:rsidRPr="006066BF" w:rsidRDefault="00D976B8" w:rsidP="003A30E9">
      <w:pPr>
        <w:pStyle w:val="Chapter"/>
        <w:tabs>
          <w:tab w:val="clear" w:pos="1440"/>
          <w:tab w:val="clear" w:pos="1800"/>
          <w:tab w:val="num" w:pos="720"/>
        </w:tabs>
        <w:snapToGrid w:val="0"/>
        <w:spacing w:before="0" w:after="120"/>
        <w:ind w:left="0" w:firstLine="0"/>
        <w:rPr>
          <w:rFonts w:ascii="Arial" w:hAnsi="Arial" w:cs="Arial"/>
          <w:sz w:val="22"/>
          <w:szCs w:val="22"/>
        </w:rPr>
      </w:pPr>
      <w:bookmarkStart w:id="1" w:name="_Toc483312813"/>
      <w:r w:rsidRPr="006066BF">
        <w:rPr>
          <w:rFonts w:ascii="Arial" w:hAnsi="Arial" w:cs="Arial"/>
          <w:sz w:val="22"/>
          <w:szCs w:val="22"/>
        </w:rPr>
        <w:t>Introducción</w:t>
      </w:r>
      <w:bookmarkEnd w:id="1"/>
    </w:p>
    <w:bookmarkStart w:id="2" w:name="_Hlk482097918"/>
    <w:p w14:paraId="4B4047FE" w14:textId="5537B772" w:rsidR="00ED751C" w:rsidRPr="006066BF" w:rsidRDefault="00EB0154" w:rsidP="009F767D">
      <w:pPr>
        <w:pStyle w:val="FirstHeading"/>
        <w:ind w:left="720"/>
        <w:rPr>
          <w:rFonts w:ascii="Arial" w:hAnsi="Arial" w:cs="Arial"/>
          <w:sz w:val="22"/>
          <w:szCs w:val="22"/>
        </w:rPr>
      </w:pPr>
      <w:r w:rsidRPr="006066BF">
        <w:rPr>
          <w:rFonts w:ascii="Arial" w:hAnsi="Arial" w:cs="Arial"/>
          <w:sz w:val="22"/>
          <w:szCs w:val="22"/>
        </w:rPr>
        <w:fldChar w:fldCharType="begin"/>
      </w:r>
      <w:r w:rsidRPr="006066BF">
        <w:rPr>
          <w:rFonts w:ascii="Arial" w:hAnsi="Arial" w:cs="Arial"/>
          <w:sz w:val="22"/>
          <w:szCs w:val="22"/>
        </w:rPr>
        <w:instrText xml:space="preserve"> SEQ "</w:instrText>
      </w:r>
      <w:r w:rsidRPr="006066BF">
        <w:rPr>
          <w:rFonts w:ascii="Arial" w:hAnsi="Arial" w:cs="Arial"/>
          <w:sz w:val="22"/>
          <w:szCs w:val="22"/>
        </w:rPr>
        <w:fldChar w:fldCharType="begin"/>
      </w:r>
      <w:r w:rsidRPr="006066BF">
        <w:rPr>
          <w:rFonts w:ascii="Arial" w:hAnsi="Arial" w:cs="Arial"/>
          <w:sz w:val="22"/>
          <w:szCs w:val="22"/>
        </w:rPr>
        <w:instrText xml:space="preserve"> SECTION  \* MERGEFORMAT </w:instrText>
      </w:r>
      <w:r w:rsidRPr="006066BF">
        <w:rPr>
          <w:rFonts w:ascii="Arial" w:hAnsi="Arial" w:cs="Arial"/>
          <w:sz w:val="22"/>
          <w:szCs w:val="22"/>
        </w:rPr>
        <w:fldChar w:fldCharType="separate"/>
      </w:r>
      <w:r w:rsidR="005910CE" w:rsidRPr="006066BF">
        <w:rPr>
          <w:rFonts w:ascii="Arial" w:hAnsi="Arial" w:cs="Arial"/>
          <w:sz w:val="22"/>
          <w:szCs w:val="22"/>
        </w:rPr>
        <w:instrText>4</w:instrText>
      </w:r>
      <w:r w:rsidRPr="006066BF">
        <w:rPr>
          <w:rFonts w:ascii="Arial" w:hAnsi="Arial" w:cs="Arial"/>
          <w:sz w:val="22"/>
          <w:szCs w:val="22"/>
        </w:rPr>
        <w:fldChar w:fldCharType="end"/>
      </w:r>
      <w:r w:rsidRPr="006066BF">
        <w:rPr>
          <w:rFonts w:ascii="Arial" w:hAnsi="Arial" w:cs="Arial"/>
          <w:sz w:val="22"/>
          <w:szCs w:val="22"/>
        </w:rPr>
        <w:instrText xml:space="preserve">#"\* ALPHABETIC \* MERGEFORMAT </w:instrText>
      </w:r>
      <w:r w:rsidRPr="006066BF">
        <w:rPr>
          <w:rFonts w:ascii="Arial" w:hAnsi="Arial" w:cs="Arial"/>
          <w:sz w:val="22"/>
          <w:szCs w:val="22"/>
        </w:rPr>
        <w:fldChar w:fldCharType="separate"/>
      </w:r>
      <w:bookmarkStart w:id="3" w:name="_Toc483312814"/>
      <w:r w:rsidR="005910CE" w:rsidRPr="006066BF">
        <w:rPr>
          <w:rFonts w:ascii="Arial" w:hAnsi="Arial" w:cs="Arial"/>
          <w:noProof/>
          <w:sz w:val="22"/>
          <w:szCs w:val="22"/>
        </w:rPr>
        <w:t>A</w:t>
      </w:r>
      <w:r w:rsidRPr="006066BF">
        <w:rPr>
          <w:rFonts w:ascii="Arial" w:hAnsi="Arial" w:cs="Arial"/>
          <w:sz w:val="22"/>
          <w:szCs w:val="22"/>
        </w:rPr>
        <w:fldChar w:fldCharType="end"/>
      </w:r>
      <w:r w:rsidRPr="006066BF">
        <w:rPr>
          <w:rFonts w:ascii="Arial" w:hAnsi="Arial" w:cs="Arial"/>
          <w:sz w:val="22"/>
          <w:szCs w:val="22"/>
        </w:rPr>
        <w:t>.</w:t>
      </w:r>
      <w:r w:rsidRPr="006066BF">
        <w:rPr>
          <w:rFonts w:ascii="Arial" w:hAnsi="Arial" w:cs="Arial"/>
          <w:sz w:val="22"/>
          <w:szCs w:val="22"/>
        </w:rPr>
        <w:tab/>
      </w:r>
      <w:r w:rsidR="00ED751C" w:rsidRPr="006066BF">
        <w:rPr>
          <w:rFonts w:ascii="Arial" w:hAnsi="Arial" w:cs="Arial"/>
          <w:sz w:val="22"/>
          <w:szCs w:val="22"/>
        </w:rPr>
        <w:t>Antecedentes</w:t>
      </w:r>
      <w:bookmarkEnd w:id="3"/>
    </w:p>
    <w:bookmarkEnd w:id="2"/>
    <w:p w14:paraId="22F79FC4" w14:textId="78F56D03" w:rsidR="00D976B8" w:rsidRPr="006066BF" w:rsidRDefault="00D976B8" w:rsidP="00974F0D">
      <w:pPr>
        <w:pStyle w:val="Paragraph"/>
        <w:numPr>
          <w:ilvl w:val="1"/>
          <w:numId w:val="2"/>
        </w:numPr>
        <w:autoSpaceDE w:val="0"/>
        <w:autoSpaceDN w:val="0"/>
        <w:adjustRightInd w:val="0"/>
        <w:spacing w:before="0"/>
        <w:ind w:left="720" w:hanging="720"/>
        <w:rPr>
          <w:rFonts w:ascii="Arial" w:hAnsi="Arial" w:cs="Arial"/>
          <w:sz w:val="22"/>
          <w:szCs w:val="22"/>
        </w:rPr>
      </w:pPr>
      <w:r w:rsidRPr="006066BF">
        <w:rPr>
          <w:rFonts w:ascii="Arial" w:hAnsi="Arial" w:cs="Arial"/>
          <w:sz w:val="22"/>
          <w:szCs w:val="22"/>
        </w:rPr>
        <w:t>Este documento presenta una actualización del análisis financiero y económico ex-ante del Programa Apoyo a la Integración de Honduras en el Mercado Eléctrico Regional (HO-L1039) (3103/BL-HO) en Honduras, cuya ejecución arrancó en 2014 Esta actualización se realiza para incluir la evaluación del uso de US$7 millones del que se dispondrá como financiamiento complementario al HO-L1039 (3103/BL-HO), a partir del tercer trimestre de 2017, con recursos de cooperación no reembolsable del Programa para el Impulso a la Energía Renovable en Países de Ingreso Bajo (</w:t>
      </w:r>
      <w:r w:rsidRPr="00D6297A">
        <w:rPr>
          <w:rFonts w:ascii="Arial" w:hAnsi="Arial" w:cs="Arial"/>
          <w:i/>
          <w:sz w:val="22"/>
          <w:szCs w:val="22"/>
          <w:lang w:val="es-US"/>
        </w:rPr>
        <w:t>Scaling up Renewable Energy Program</w:t>
      </w:r>
      <w:r w:rsidRPr="006066BF">
        <w:rPr>
          <w:rFonts w:ascii="Arial" w:hAnsi="Arial" w:cs="Arial"/>
          <w:sz w:val="22"/>
          <w:szCs w:val="22"/>
        </w:rPr>
        <w:t xml:space="preserve"> -SREP) del Fondo Estratégico para el Clima (</w:t>
      </w:r>
      <w:r w:rsidRPr="00D6297A">
        <w:rPr>
          <w:rFonts w:ascii="Arial" w:hAnsi="Arial" w:cs="Arial"/>
          <w:i/>
          <w:sz w:val="22"/>
          <w:szCs w:val="22"/>
          <w:lang w:val="es-US"/>
        </w:rPr>
        <w:t>Climate Investment Fund</w:t>
      </w:r>
      <w:r w:rsidR="006D2746">
        <w:rPr>
          <w:rFonts w:ascii="Arial" w:hAnsi="Arial" w:cs="Arial"/>
          <w:sz w:val="22"/>
          <w:szCs w:val="22"/>
        </w:rPr>
        <w:t>–</w:t>
      </w:r>
      <w:r w:rsidRPr="006066BF">
        <w:rPr>
          <w:rFonts w:ascii="Arial" w:hAnsi="Arial" w:cs="Arial"/>
          <w:sz w:val="22"/>
          <w:szCs w:val="22"/>
        </w:rPr>
        <w:t>CIF), en el Marco del Plan de Inversiones de SREP para Honduras.</w:t>
      </w:r>
    </w:p>
    <w:p w14:paraId="5D2922B5" w14:textId="7E01F023" w:rsidR="00CF1B54" w:rsidRPr="00BA4006" w:rsidRDefault="00D976B8" w:rsidP="00974F0D">
      <w:pPr>
        <w:pStyle w:val="Paragraph"/>
        <w:numPr>
          <w:ilvl w:val="1"/>
          <w:numId w:val="2"/>
        </w:numPr>
        <w:autoSpaceDE w:val="0"/>
        <w:autoSpaceDN w:val="0"/>
        <w:adjustRightInd w:val="0"/>
        <w:spacing w:before="0"/>
        <w:ind w:left="720" w:hanging="720"/>
        <w:rPr>
          <w:rFonts w:ascii="Arial" w:hAnsi="Arial" w:cs="Arial"/>
          <w:sz w:val="22"/>
          <w:szCs w:val="22"/>
        </w:rPr>
      </w:pPr>
      <w:r w:rsidRPr="006066BF">
        <w:rPr>
          <w:rFonts w:ascii="Arial" w:hAnsi="Arial" w:cs="Arial"/>
          <w:sz w:val="22"/>
          <w:szCs w:val="22"/>
        </w:rPr>
        <w:t xml:space="preserve">El objetivo del financiamiento complementario, consistente con el objetivo original del programa HO-L1039, es </w:t>
      </w:r>
      <w:r w:rsidRPr="006066BF">
        <w:rPr>
          <w:rFonts w:ascii="Arial" w:hAnsi="Arial" w:cs="Arial"/>
          <w:sz w:val="22"/>
          <w:szCs w:val="22"/>
          <w:lang w:val="es-ES_tradnl"/>
        </w:rPr>
        <w:t xml:space="preserve">mejorar las condiciones de infraestructura física de Honduras que le permita una participación efectiva en el Mercado Eléctrico Regional (MER), mediante la ampliación de dos Subestaciones </w:t>
      </w:r>
      <w:r w:rsidR="00744E5D" w:rsidRPr="006066BF">
        <w:rPr>
          <w:rFonts w:ascii="Arial" w:hAnsi="Arial" w:cs="Arial"/>
          <w:sz w:val="22"/>
          <w:szCs w:val="22"/>
          <w:lang w:val="es-ES_tradnl"/>
        </w:rPr>
        <w:t xml:space="preserve">eléctricas </w:t>
      </w:r>
      <w:r w:rsidRPr="006066BF">
        <w:rPr>
          <w:rFonts w:ascii="Arial" w:hAnsi="Arial" w:cs="Arial"/>
          <w:sz w:val="22"/>
          <w:szCs w:val="22"/>
          <w:lang w:val="es-ES_tradnl"/>
        </w:rPr>
        <w:t xml:space="preserve">(SE) existentes y </w:t>
      </w:r>
      <w:r w:rsidRPr="006066BF">
        <w:rPr>
          <w:rFonts w:ascii="Arial" w:hAnsi="Arial" w:cs="Arial"/>
          <w:bCs/>
          <w:kern w:val="28"/>
          <w:sz w:val="22"/>
          <w:szCs w:val="22"/>
          <w:lang w:val="es-AR"/>
        </w:rPr>
        <w:t>operativas</w:t>
      </w:r>
      <w:r w:rsidR="00744E5D" w:rsidRPr="006066BF">
        <w:rPr>
          <w:rFonts w:ascii="Arial" w:hAnsi="Arial" w:cs="Arial"/>
          <w:bCs/>
          <w:kern w:val="28"/>
          <w:sz w:val="22"/>
          <w:szCs w:val="22"/>
          <w:lang w:val="es-AR"/>
        </w:rPr>
        <w:t>,</w:t>
      </w:r>
      <w:r w:rsidRPr="006066BF">
        <w:rPr>
          <w:rFonts w:ascii="Arial" w:hAnsi="Arial" w:cs="Arial"/>
          <w:sz w:val="22"/>
          <w:szCs w:val="22"/>
          <w:lang w:val="es-ES_tradnl"/>
        </w:rPr>
        <w:t xml:space="preserve"> </w:t>
      </w:r>
      <w:r w:rsidRPr="006066BF">
        <w:rPr>
          <w:rFonts w:ascii="Arial" w:hAnsi="Arial" w:cs="Arial"/>
          <w:sz w:val="22"/>
          <w:szCs w:val="22"/>
        </w:rPr>
        <w:t xml:space="preserve">que forman parte de los refuerzos nacionales del sistema de transmisión de Honduras, para potenciar el uso del Sistema de Interconexión Eléctrica para América Central (SIEPAC) y facilitar la incorporación de energías renovable no convencional (ERNC), en el Sistema Interconectado Nacional (SIN). Las obras se desarrollarán bajo el Componente I del Programa (3103/BL-HO). Los recursos adicionales por </w:t>
      </w:r>
      <w:r w:rsidRPr="00BA4006">
        <w:rPr>
          <w:rFonts w:ascii="Arial" w:hAnsi="Arial" w:cs="Arial"/>
          <w:sz w:val="22"/>
          <w:szCs w:val="22"/>
        </w:rPr>
        <w:t xml:space="preserve">US$7 millones representan el 30,5% </w:t>
      </w:r>
      <w:r w:rsidRPr="00BA4006">
        <w:rPr>
          <w:rFonts w:ascii="Arial" w:hAnsi="Arial" w:cs="Arial"/>
          <w:sz w:val="22"/>
          <w:szCs w:val="22"/>
          <w:lang w:val="es-ES_tradnl"/>
        </w:rPr>
        <w:t xml:space="preserve">del monto original </w:t>
      </w:r>
      <w:r w:rsidR="00744E5D" w:rsidRPr="00BA4006">
        <w:rPr>
          <w:rFonts w:ascii="Arial" w:hAnsi="Arial" w:cs="Arial"/>
          <w:sz w:val="22"/>
          <w:szCs w:val="22"/>
          <w:lang w:val="es-ES_tradnl"/>
        </w:rPr>
        <w:t xml:space="preserve">de </w:t>
      </w:r>
      <w:r w:rsidRPr="00BA4006">
        <w:rPr>
          <w:rFonts w:ascii="Arial" w:hAnsi="Arial" w:cs="Arial"/>
          <w:sz w:val="22"/>
          <w:szCs w:val="22"/>
          <w:lang w:val="es-ES_tradnl"/>
        </w:rPr>
        <w:t xml:space="preserve">US$22,93 millones. Los </w:t>
      </w:r>
      <w:r w:rsidRPr="00BA4006">
        <w:rPr>
          <w:rFonts w:ascii="Arial" w:hAnsi="Arial" w:cs="Arial"/>
          <w:bCs/>
          <w:kern w:val="28"/>
          <w:sz w:val="22"/>
          <w:szCs w:val="22"/>
          <w:lang w:val="es-AR"/>
        </w:rPr>
        <w:t>recursos</w:t>
      </w:r>
      <w:r w:rsidRPr="00BA4006">
        <w:rPr>
          <w:rFonts w:ascii="Arial" w:hAnsi="Arial" w:cs="Arial"/>
          <w:sz w:val="22"/>
          <w:szCs w:val="22"/>
          <w:lang w:val="es-ES_tradnl"/>
        </w:rPr>
        <w:t xml:space="preserve"> adicionales serán utilizados manteniendo el esquema de los componentes originales del programa</w:t>
      </w:r>
      <w:r w:rsidR="00303AE9" w:rsidRPr="00BA4006">
        <w:rPr>
          <w:rFonts w:ascii="Arial" w:hAnsi="Arial" w:cs="Arial"/>
          <w:sz w:val="22"/>
          <w:szCs w:val="22"/>
          <w:lang w:val="es-ES_tradnl"/>
        </w:rPr>
        <w:t>.</w:t>
      </w:r>
    </w:p>
    <w:p w14:paraId="2B666780" w14:textId="682528CB" w:rsidR="00BA4006" w:rsidRPr="00BA4006" w:rsidRDefault="00BA4006" w:rsidP="00BA4006">
      <w:pPr>
        <w:pStyle w:val="Paragraph"/>
        <w:numPr>
          <w:ilvl w:val="1"/>
          <w:numId w:val="2"/>
        </w:numPr>
        <w:autoSpaceDE w:val="0"/>
        <w:autoSpaceDN w:val="0"/>
        <w:adjustRightInd w:val="0"/>
        <w:spacing w:before="0"/>
        <w:ind w:left="720" w:hanging="720"/>
        <w:rPr>
          <w:rFonts w:ascii="Arial" w:hAnsi="Arial" w:cs="Arial"/>
          <w:sz w:val="22"/>
          <w:szCs w:val="22"/>
        </w:rPr>
      </w:pPr>
      <w:r w:rsidRPr="00BA4006">
        <w:rPr>
          <w:rFonts w:ascii="Arial" w:hAnsi="Arial" w:cs="Arial"/>
          <w:sz w:val="22"/>
          <w:szCs w:val="22"/>
        </w:rPr>
        <w:t>La presente evaluación comple</w:t>
      </w:r>
      <w:r w:rsidR="009E200E">
        <w:rPr>
          <w:rFonts w:ascii="Arial" w:hAnsi="Arial" w:cs="Arial"/>
          <w:sz w:val="22"/>
          <w:szCs w:val="22"/>
        </w:rPr>
        <w:t>men</w:t>
      </w:r>
      <w:r w:rsidRPr="00BA4006">
        <w:rPr>
          <w:rFonts w:ascii="Arial" w:hAnsi="Arial" w:cs="Arial"/>
          <w:sz w:val="22"/>
          <w:szCs w:val="22"/>
        </w:rPr>
        <w:t>ta los resultados del análisis ex ante realizado</w:t>
      </w:r>
      <w:r>
        <w:rPr>
          <w:rFonts w:ascii="Arial" w:hAnsi="Arial" w:cs="Arial"/>
          <w:sz w:val="22"/>
          <w:szCs w:val="22"/>
        </w:rPr>
        <w:t xml:space="preserve"> en 2013</w:t>
      </w:r>
      <w:r w:rsidR="009E200E">
        <w:rPr>
          <w:rFonts w:ascii="Arial" w:hAnsi="Arial" w:cs="Arial"/>
          <w:sz w:val="22"/>
          <w:szCs w:val="22"/>
        </w:rPr>
        <w:t>,</w:t>
      </w:r>
      <w:r w:rsidRPr="00BA4006">
        <w:rPr>
          <w:rFonts w:ascii="Arial" w:hAnsi="Arial" w:cs="Arial"/>
          <w:sz w:val="22"/>
          <w:szCs w:val="22"/>
        </w:rPr>
        <w:t xml:space="preserve"> presentado en el Informe de </w:t>
      </w:r>
      <w:hyperlink r:id="rId23" w:history="1">
        <w:r w:rsidRPr="00BA4006">
          <w:rPr>
            <w:rStyle w:val="Hyperlink"/>
            <w:rFonts w:ascii="Arial" w:hAnsi="Arial" w:cs="Arial"/>
            <w:sz w:val="22"/>
            <w:szCs w:val="22"/>
          </w:rPr>
          <w:t>Análisis Económico de HO-L1039</w:t>
        </w:r>
      </w:hyperlink>
      <w:r w:rsidRPr="00BA4006">
        <w:rPr>
          <w:rFonts w:ascii="Arial" w:eastAsiaTheme="minorHAnsi" w:hAnsi="Arial" w:cs="Arial"/>
          <w:color w:val="000000"/>
          <w:sz w:val="22"/>
          <w:szCs w:val="22"/>
          <w:lang w:val="es-US"/>
        </w:rPr>
        <w:t>.</w:t>
      </w:r>
    </w:p>
    <w:p w14:paraId="3377FC7D" w14:textId="688B762D" w:rsidR="00852D2D" w:rsidRPr="00BA4006" w:rsidRDefault="00852D2D" w:rsidP="00852D2D">
      <w:pPr>
        <w:pStyle w:val="FirstHeading"/>
        <w:ind w:left="720"/>
        <w:rPr>
          <w:rFonts w:ascii="Arial" w:hAnsi="Arial" w:cs="Arial"/>
          <w:sz w:val="22"/>
          <w:szCs w:val="22"/>
        </w:rPr>
      </w:pPr>
      <w:bookmarkStart w:id="4" w:name="_Toc483312815"/>
      <w:bookmarkStart w:id="5" w:name="_Hlk482098242"/>
      <w:r w:rsidRPr="00BA4006">
        <w:rPr>
          <w:rFonts w:ascii="Arial" w:hAnsi="Arial" w:cs="Arial"/>
          <w:sz w:val="22"/>
          <w:szCs w:val="22"/>
        </w:rPr>
        <w:t>B.</w:t>
      </w:r>
      <w:r w:rsidR="00180933" w:rsidRPr="00BA4006">
        <w:rPr>
          <w:rFonts w:ascii="Arial" w:hAnsi="Arial" w:cs="Arial"/>
          <w:sz w:val="22"/>
          <w:szCs w:val="22"/>
        </w:rPr>
        <w:tab/>
      </w:r>
      <w:r w:rsidR="00D976B8" w:rsidRPr="00BA4006">
        <w:rPr>
          <w:rFonts w:ascii="Arial" w:hAnsi="Arial" w:cs="Arial"/>
          <w:sz w:val="22"/>
          <w:szCs w:val="22"/>
        </w:rPr>
        <w:t>Descripción de las inversiones</w:t>
      </w:r>
      <w:bookmarkEnd w:id="4"/>
    </w:p>
    <w:p w14:paraId="67A866D2" w14:textId="77777777" w:rsidR="00D976B8" w:rsidRPr="006066BF" w:rsidRDefault="00D976B8" w:rsidP="00974F0D">
      <w:pPr>
        <w:pStyle w:val="Paragraph"/>
        <w:numPr>
          <w:ilvl w:val="1"/>
          <w:numId w:val="2"/>
        </w:numPr>
        <w:autoSpaceDE w:val="0"/>
        <w:autoSpaceDN w:val="0"/>
        <w:adjustRightInd w:val="0"/>
        <w:spacing w:before="0"/>
        <w:ind w:left="720" w:hanging="720"/>
        <w:rPr>
          <w:rFonts w:ascii="Arial" w:hAnsi="Arial" w:cs="Arial"/>
          <w:b/>
          <w:sz w:val="22"/>
          <w:szCs w:val="22"/>
          <w:lang w:val="es-CO"/>
        </w:rPr>
      </w:pPr>
      <w:r w:rsidRPr="006066BF">
        <w:rPr>
          <w:rFonts w:ascii="Arial" w:hAnsi="Arial" w:cs="Arial"/>
          <w:b/>
          <w:sz w:val="22"/>
          <w:szCs w:val="22"/>
        </w:rPr>
        <w:t xml:space="preserve">Componente I. </w:t>
      </w:r>
      <w:r w:rsidRPr="006066BF">
        <w:rPr>
          <w:rFonts w:ascii="Arial" w:hAnsi="Arial" w:cs="Arial"/>
          <w:b/>
          <w:sz w:val="22"/>
          <w:szCs w:val="22"/>
          <w:lang w:val="es-ES_tradnl"/>
        </w:rPr>
        <w:t xml:space="preserve">Inversión en obras relacionadas con la integración de Honduras al SIEPAC.  </w:t>
      </w:r>
      <w:r w:rsidRPr="006066BF">
        <w:rPr>
          <w:rFonts w:ascii="Arial" w:hAnsi="Arial" w:cs="Arial"/>
          <w:sz w:val="22"/>
          <w:szCs w:val="22"/>
          <w:lang w:val="es-ES_tradnl"/>
        </w:rPr>
        <w:t>Se incluyen las siguientes obras:</w:t>
      </w:r>
      <w:r w:rsidRPr="006066BF">
        <w:rPr>
          <w:rFonts w:ascii="Arial" w:hAnsi="Arial" w:cs="Arial"/>
          <w:b/>
          <w:sz w:val="22"/>
          <w:szCs w:val="22"/>
          <w:lang w:val="es-ES_tradnl"/>
        </w:rPr>
        <w:t xml:space="preserve"> </w:t>
      </w:r>
    </w:p>
    <w:p w14:paraId="427D6A9E" w14:textId="0D9F7BB3" w:rsidR="00D976B8" w:rsidRPr="006066BF" w:rsidRDefault="00D976B8" w:rsidP="00DE5483">
      <w:pPr>
        <w:numPr>
          <w:ilvl w:val="0"/>
          <w:numId w:val="3"/>
        </w:numPr>
        <w:ind w:left="1080"/>
        <w:jc w:val="both"/>
        <w:rPr>
          <w:rFonts w:ascii="Arial" w:hAnsi="Arial" w:cs="Arial"/>
          <w:sz w:val="22"/>
          <w:szCs w:val="22"/>
        </w:rPr>
      </w:pPr>
      <w:r w:rsidRPr="006066BF">
        <w:rPr>
          <w:rFonts w:ascii="Arial" w:hAnsi="Arial" w:cs="Arial"/>
          <w:sz w:val="22"/>
          <w:szCs w:val="22"/>
          <w:u w:val="single"/>
        </w:rPr>
        <w:t xml:space="preserve">Ampliación de la </w:t>
      </w:r>
      <w:r w:rsidR="006D2746" w:rsidRPr="006066BF">
        <w:rPr>
          <w:rFonts w:ascii="Arial" w:hAnsi="Arial" w:cs="Arial"/>
          <w:sz w:val="22"/>
          <w:szCs w:val="22"/>
          <w:u w:val="single"/>
        </w:rPr>
        <w:t xml:space="preserve">SE </w:t>
      </w:r>
      <w:r w:rsidR="006D2746">
        <w:rPr>
          <w:rFonts w:ascii="Arial" w:hAnsi="Arial" w:cs="Arial"/>
          <w:sz w:val="22"/>
          <w:szCs w:val="22"/>
          <w:u w:val="single"/>
        </w:rPr>
        <w:t>Progreso</w:t>
      </w:r>
      <w:r w:rsidRPr="006066BF">
        <w:rPr>
          <w:rFonts w:ascii="Arial" w:hAnsi="Arial" w:cs="Arial"/>
          <w:sz w:val="22"/>
          <w:szCs w:val="22"/>
        </w:rPr>
        <w:t xml:space="preserve"> (US$4,3 millones). </w:t>
      </w:r>
      <w:r w:rsidR="00821612" w:rsidRPr="006066BF">
        <w:rPr>
          <w:rFonts w:ascii="Arial" w:hAnsi="Arial" w:cs="Arial"/>
          <w:sz w:val="22"/>
          <w:szCs w:val="22"/>
        </w:rPr>
        <w:t>Consiste en la instalación y puesta en marcha de un nuevo transformador de potencia en 230/138kV de 150MVA, la construcción de una bahía completa de interruptor y medio en 230kV, y conexión del transformador actual de distribución 230/34,5kV de 50MVA, en el lado de baja del transformador nuevo en la bahía existente en 138kV. Todos los trabajos se realizarán en el terreno de la SE actual, de propiedad de la ENEE. En la actualidad La SE Progreso es parte del SIN en 230kV, y se constituye en el punto de enlace estratégico de conexión de electricidad de la zona centro y sur del país, hacia el norte y el Litoral Atlántico</w:t>
      </w:r>
      <w:r w:rsidR="00821612" w:rsidRPr="006066BF">
        <w:rPr>
          <w:rFonts w:ascii="Arial" w:hAnsi="Arial" w:cs="Arial"/>
          <w:sz w:val="22"/>
          <w:szCs w:val="22"/>
          <w:vertAlign w:val="superscript"/>
        </w:rPr>
        <w:footnoteReference w:id="2"/>
      </w:r>
      <w:r w:rsidR="00821612" w:rsidRPr="006066BF">
        <w:rPr>
          <w:rFonts w:ascii="Arial" w:hAnsi="Arial" w:cs="Arial"/>
          <w:sz w:val="22"/>
          <w:szCs w:val="22"/>
        </w:rPr>
        <w:t xml:space="preserve">, cuenta con cuatro transformadores (un transformador de distribución de </w:t>
      </w:r>
      <w:r w:rsidR="00821612" w:rsidRPr="006066BF">
        <w:rPr>
          <w:rFonts w:ascii="Arial" w:hAnsi="Arial" w:cs="Arial"/>
          <w:sz w:val="22"/>
          <w:szCs w:val="22"/>
        </w:rPr>
        <w:lastRenderedPageBreak/>
        <w:t>50MVA en 230/34,5kV, un transformador de 50MVA en 138/69kV, dos transformadores de transmisión de 150MVA en 230/138 kV cada uno) localizados en la ciudad de Progreso, departamento de Yoro.</w:t>
      </w:r>
    </w:p>
    <w:p w14:paraId="77F000EE" w14:textId="77777777" w:rsidR="00821612" w:rsidRPr="006066BF" w:rsidRDefault="00821612" w:rsidP="00821612">
      <w:pPr>
        <w:ind w:left="927"/>
        <w:jc w:val="both"/>
        <w:rPr>
          <w:rFonts w:ascii="Arial" w:hAnsi="Arial" w:cs="Arial"/>
          <w:sz w:val="22"/>
          <w:szCs w:val="22"/>
        </w:rPr>
      </w:pPr>
    </w:p>
    <w:p w14:paraId="49417D3B" w14:textId="67DDC138" w:rsidR="00D976B8" w:rsidRPr="006066BF" w:rsidRDefault="00D976B8" w:rsidP="00DE5483">
      <w:pPr>
        <w:numPr>
          <w:ilvl w:val="0"/>
          <w:numId w:val="3"/>
        </w:numPr>
        <w:ind w:left="1080"/>
        <w:jc w:val="both"/>
        <w:rPr>
          <w:rFonts w:ascii="Arial" w:hAnsi="Arial" w:cs="Arial"/>
          <w:sz w:val="22"/>
          <w:szCs w:val="22"/>
        </w:rPr>
      </w:pPr>
      <w:r w:rsidRPr="006066BF">
        <w:rPr>
          <w:rFonts w:ascii="Arial" w:hAnsi="Arial" w:cs="Arial"/>
          <w:sz w:val="22"/>
          <w:szCs w:val="22"/>
          <w:u w:val="single"/>
        </w:rPr>
        <w:t>Ampliación de la SE Toncontín Etapa I</w:t>
      </w:r>
      <w:r w:rsidRPr="006066BF">
        <w:rPr>
          <w:rFonts w:ascii="Arial" w:hAnsi="Arial" w:cs="Arial"/>
          <w:sz w:val="22"/>
          <w:szCs w:val="22"/>
        </w:rPr>
        <w:t xml:space="preserve"> (US$2,5 millones)</w:t>
      </w:r>
      <w:r w:rsidR="00B42F48" w:rsidRPr="006066BF">
        <w:rPr>
          <w:rFonts w:ascii="Arial" w:hAnsi="Arial" w:cs="Arial"/>
          <w:sz w:val="22"/>
          <w:szCs w:val="22"/>
        </w:rPr>
        <w:t>.  Consiste en instalar y poner en operación un nuevo transformador en la SE Toncontín con capacidad de 150MVA en 230/138kV y su equipo asociado. Los trabajos se realizarán en el terreno de la SE actual, de propiedad de la ENEE. En la actualidad la SE Toncontín que cuenta con dos transformadores de potencia (uno para distribución de 44,8MVA 230/13,8kV que alimenta las zonas aledañas a esta subestación; y otro para transmisión de 84MVA 230/138kV que interconecta a las subestaciones La Cañada “LCD” y Santa Fe “SFE” y a su vez alimenta a cargas estratégicas del Distrito Central Tegucigalpa y Comayaguela). La SE Toncontín se encuentra localizada en la ciudad de Tegucigalpa, departamento de Francisco Morazán.</w:t>
      </w:r>
    </w:p>
    <w:p w14:paraId="6B21EA18" w14:textId="00645E6F" w:rsidR="00180933" w:rsidRPr="006066BF" w:rsidRDefault="00180933" w:rsidP="00744E5D">
      <w:pPr>
        <w:pStyle w:val="FirstHeading"/>
        <w:tabs>
          <w:tab w:val="num" w:pos="720"/>
        </w:tabs>
        <w:snapToGrid w:val="0"/>
        <w:spacing w:before="240"/>
        <w:ind w:left="720"/>
        <w:rPr>
          <w:rFonts w:ascii="Arial" w:hAnsi="Arial" w:cs="Arial"/>
          <w:sz w:val="22"/>
          <w:szCs w:val="22"/>
        </w:rPr>
      </w:pPr>
      <w:bookmarkStart w:id="6" w:name="_Toc483312816"/>
      <w:bookmarkEnd w:id="5"/>
      <w:r w:rsidRPr="006066BF">
        <w:rPr>
          <w:rFonts w:ascii="Arial" w:hAnsi="Arial" w:cs="Arial"/>
          <w:sz w:val="22"/>
          <w:szCs w:val="22"/>
        </w:rPr>
        <w:t>C.</w:t>
      </w:r>
      <w:r w:rsidRPr="006066BF">
        <w:rPr>
          <w:rFonts w:ascii="Arial" w:hAnsi="Arial" w:cs="Arial"/>
          <w:sz w:val="22"/>
          <w:szCs w:val="22"/>
        </w:rPr>
        <w:tab/>
        <w:t xml:space="preserve">Justificación </w:t>
      </w:r>
      <w:r w:rsidR="00974F0D" w:rsidRPr="006066BF">
        <w:rPr>
          <w:rFonts w:ascii="Arial" w:hAnsi="Arial" w:cs="Arial"/>
          <w:sz w:val="22"/>
          <w:szCs w:val="22"/>
        </w:rPr>
        <w:t>y beneficios</w:t>
      </w:r>
      <w:r w:rsidR="000C0117" w:rsidRPr="006066BF">
        <w:rPr>
          <w:rFonts w:ascii="Arial" w:hAnsi="Arial" w:cs="Arial"/>
          <w:sz w:val="22"/>
          <w:szCs w:val="22"/>
        </w:rPr>
        <w:t xml:space="preserve"> esperados</w:t>
      </w:r>
      <w:r w:rsidR="00974F0D" w:rsidRPr="006066BF">
        <w:rPr>
          <w:rFonts w:ascii="Arial" w:hAnsi="Arial" w:cs="Arial"/>
          <w:sz w:val="22"/>
          <w:szCs w:val="22"/>
        </w:rPr>
        <w:t xml:space="preserve"> </w:t>
      </w:r>
      <w:r w:rsidRPr="006066BF">
        <w:rPr>
          <w:rFonts w:ascii="Arial" w:hAnsi="Arial" w:cs="Arial"/>
          <w:sz w:val="22"/>
          <w:szCs w:val="22"/>
        </w:rPr>
        <w:t>de la intervención</w:t>
      </w:r>
      <w:bookmarkEnd w:id="6"/>
      <w:r w:rsidRPr="006066BF">
        <w:rPr>
          <w:rFonts w:ascii="Arial" w:eastAsia="Arial" w:hAnsi="Arial" w:cs="Arial"/>
          <w:sz w:val="22"/>
          <w:szCs w:val="22"/>
        </w:rPr>
        <w:t xml:space="preserve"> </w:t>
      </w:r>
    </w:p>
    <w:p w14:paraId="054E01BB" w14:textId="77625545" w:rsidR="0096404C" w:rsidRPr="006066BF" w:rsidRDefault="00974F0D" w:rsidP="0096404C">
      <w:pPr>
        <w:pStyle w:val="Paragraph"/>
        <w:numPr>
          <w:ilvl w:val="1"/>
          <w:numId w:val="2"/>
        </w:numPr>
        <w:autoSpaceDE w:val="0"/>
        <w:autoSpaceDN w:val="0"/>
        <w:adjustRightInd w:val="0"/>
        <w:spacing w:before="0"/>
        <w:ind w:left="720" w:hanging="720"/>
        <w:rPr>
          <w:rFonts w:ascii="Arial" w:hAnsi="Arial" w:cs="Arial"/>
          <w:sz w:val="22"/>
          <w:szCs w:val="22"/>
          <w:lang w:val="es-ES_tradnl"/>
        </w:rPr>
      </w:pPr>
      <w:bookmarkStart w:id="7" w:name="_Hlk480985255"/>
      <w:r w:rsidRPr="006066BF">
        <w:rPr>
          <w:rFonts w:ascii="Arial" w:hAnsi="Arial" w:cs="Arial"/>
          <w:sz w:val="22"/>
          <w:szCs w:val="22"/>
          <w:u w:val="single"/>
          <w:lang w:val="es-ES_tradnl"/>
        </w:rPr>
        <w:t>SE Progreso</w:t>
      </w:r>
      <w:r w:rsidRPr="006066BF">
        <w:rPr>
          <w:rFonts w:ascii="Arial" w:hAnsi="Arial" w:cs="Arial"/>
          <w:sz w:val="22"/>
          <w:szCs w:val="22"/>
          <w:lang w:val="es-ES_tradnl"/>
        </w:rPr>
        <w:t xml:space="preserve">. </w:t>
      </w:r>
      <w:r w:rsidR="0096404C" w:rsidRPr="006066BF">
        <w:rPr>
          <w:rFonts w:ascii="Arial" w:hAnsi="Arial" w:cs="Arial"/>
          <w:sz w:val="22"/>
          <w:szCs w:val="22"/>
          <w:lang w:val="es-ES_tradnl"/>
        </w:rPr>
        <w:t xml:space="preserve">Debido a la creciente demanda de energía en las zonas de atención de la SE Progreso los transformadores de 230/138 kV se encuentran muy sobrecargados, y un eventual daño de los mismos comprometería el suministro eléctrico. </w:t>
      </w:r>
      <w:r w:rsidR="000A33B2" w:rsidRPr="000A33B2">
        <w:rPr>
          <w:rFonts w:ascii="Arial" w:hAnsi="Arial" w:cs="Arial"/>
          <w:sz w:val="22"/>
          <w:szCs w:val="22"/>
          <w:lang w:val="es-ES_tradnl"/>
        </w:rPr>
        <w:t xml:space="preserve">Las limitantes </w:t>
      </w:r>
      <w:r w:rsidR="000A33B2">
        <w:rPr>
          <w:rFonts w:ascii="Arial" w:hAnsi="Arial" w:cs="Arial"/>
          <w:sz w:val="22"/>
          <w:szCs w:val="22"/>
          <w:lang w:val="es-ES_tradnl"/>
        </w:rPr>
        <w:t xml:space="preserve">actuales </w:t>
      </w:r>
      <w:r w:rsidR="000A33B2" w:rsidRPr="000A33B2">
        <w:rPr>
          <w:rFonts w:ascii="Arial" w:hAnsi="Arial" w:cs="Arial"/>
          <w:sz w:val="22"/>
          <w:szCs w:val="22"/>
          <w:lang w:val="es-ES_tradnl"/>
        </w:rPr>
        <w:t>de capacidad</w:t>
      </w:r>
      <w:r w:rsidR="000A33B2">
        <w:rPr>
          <w:rFonts w:ascii="Arial" w:hAnsi="Arial" w:cs="Arial"/>
          <w:sz w:val="22"/>
          <w:szCs w:val="22"/>
          <w:lang w:val="es-ES_tradnl"/>
        </w:rPr>
        <w:t>,</w:t>
      </w:r>
      <w:r w:rsidR="000A33B2" w:rsidRPr="000A33B2">
        <w:rPr>
          <w:rFonts w:ascii="Arial" w:hAnsi="Arial" w:cs="Arial"/>
          <w:sz w:val="22"/>
          <w:szCs w:val="22"/>
          <w:lang w:val="es-ES_tradnl"/>
        </w:rPr>
        <w:t xml:space="preserve"> obligan a operar con plantas de costo más alto en el área norte y subutilizar la disponibilidad en el área sur</w:t>
      </w:r>
      <w:r w:rsidR="000A33B2">
        <w:rPr>
          <w:rFonts w:ascii="Arial" w:hAnsi="Arial" w:cs="Arial"/>
          <w:sz w:val="22"/>
          <w:szCs w:val="22"/>
          <w:lang w:val="es-ES_tradnl"/>
        </w:rPr>
        <w:t>.</w:t>
      </w:r>
    </w:p>
    <w:p w14:paraId="0E5EF2C0" w14:textId="5489AF09" w:rsidR="00ED1D6A" w:rsidRPr="006066BF" w:rsidRDefault="00974F0D" w:rsidP="00581017">
      <w:pPr>
        <w:pStyle w:val="Paragraph"/>
        <w:numPr>
          <w:ilvl w:val="1"/>
          <w:numId w:val="2"/>
        </w:numPr>
        <w:autoSpaceDE w:val="0"/>
        <w:autoSpaceDN w:val="0"/>
        <w:adjustRightInd w:val="0"/>
        <w:spacing w:before="0"/>
        <w:ind w:left="720" w:hanging="720"/>
        <w:rPr>
          <w:rFonts w:ascii="Arial" w:hAnsi="Arial" w:cs="Arial"/>
          <w:sz w:val="22"/>
          <w:szCs w:val="22"/>
        </w:rPr>
      </w:pPr>
      <w:r w:rsidRPr="006066BF">
        <w:rPr>
          <w:rFonts w:ascii="Arial" w:hAnsi="Arial" w:cs="Arial"/>
          <w:sz w:val="22"/>
          <w:szCs w:val="22"/>
          <w:lang w:val="es-ES_tradnl"/>
        </w:rPr>
        <w:t>Con el fortalecimiento de la SE Progreso se evitará racionamientos a corto plazo por falta de capacidad adecuada de transformación.  Se dispondrá de una mayor capacidad para absorber la demanda de nuevos abonados en la Región Nor-Atlántico del país; y se logrará que el sistema de transmisión en las áreas de cobertura del proyecto esté en capacidad de dar mayor confiabilidad al sistema.</w:t>
      </w:r>
      <w:r w:rsidR="0096404C" w:rsidRPr="006066BF">
        <w:rPr>
          <w:rFonts w:ascii="Arial" w:hAnsi="Arial" w:cs="Arial"/>
          <w:sz w:val="22"/>
          <w:szCs w:val="22"/>
          <w:lang w:val="es-ES_tradnl"/>
        </w:rPr>
        <w:t xml:space="preserve"> </w:t>
      </w:r>
      <w:r w:rsidRPr="006066BF">
        <w:rPr>
          <w:rFonts w:ascii="Arial" w:hAnsi="Arial" w:cs="Arial"/>
          <w:sz w:val="22"/>
          <w:szCs w:val="22"/>
          <w:lang w:val="es-MX"/>
        </w:rPr>
        <w:t>E</w:t>
      </w:r>
      <w:r w:rsidR="0096404C" w:rsidRPr="006066BF">
        <w:rPr>
          <w:rFonts w:ascii="Arial" w:hAnsi="Arial" w:cs="Arial"/>
          <w:sz w:val="22"/>
          <w:szCs w:val="22"/>
          <w:lang w:val="es-MX"/>
        </w:rPr>
        <w:t>l</w:t>
      </w:r>
      <w:r w:rsidRPr="006066BF">
        <w:rPr>
          <w:rFonts w:ascii="Arial" w:hAnsi="Arial" w:cs="Arial"/>
          <w:sz w:val="22"/>
          <w:szCs w:val="22"/>
          <w:lang w:val="es-ES_tradnl"/>
        </w:rPr>
        <w:t xml:space="preserve"> refuerzo permitirá fortalecer el sistema de transmisión, volviéndole más robusto y confiable, repercutiendo en mejoras a la calidad de la red de transmisión de manera que permita mantener las condiciones de operación y disponibilidad de la red eléctrica. Aumentará la capacidad de transmisión de potencia eléctrica en la zona de influencia, lo que permitirá atender nuevas cargas propias del crecimiento y desarrollo económico, favoreciendo, proyectos de energía renovable que se desarrollarán a futuro en esa zona y que serán interconectados al SIN, y fortaleciendo</w:t>
      </w:r>
      <w:r w:rsidRPr="006066BF">
        <w:rPr>
          <w:rFonts w:ascii="Arial" w:hAnsi="Arial" w:cs="Arial"/>
          <w:sz w:val="22"/>
          <w:szCs w:val="22"/>
          <w:lang w:val="es-CO"/>
        </w:rPr>
        <w:t xml:space="preserve"> las finanzas de la empresa eléctrica del grupo ENEE.</w:t>
      </w:r>
    </w:p>
    <w:p w14:paraId="58C8952B" w14:textId="513C0B98" w:rsidR="0096404C" w:rsidRPr="006066BF" w:rsidRDefault="00974F0D" w:rsidP="0096404C">
      <w:pPr>
        <w:pStyle w:val="Paragraph"/>
        <w:numPr>
          <w:ilvl w:val="1"/>
          <w:numId w:val="2"/>
        </w:numPr>
        <w:autoSpaceDE w:val="0"/>
        <w:autoSpaceDN w:val="0"/>
        <w:adjustRightInd w:val="0"/>
        <w:spacing w:before="0"/>
        <w:ind w:left="720" w:hanging="720"/>
        <w:rPr>
          <w:rFonts w:ascii="Arial" w:hAnsi="Arial" w:cs="Arial"/>
          <w:sz w:val="22"/>
          <w:szCs w:val="22"/>
        </w:rPr>
      </w:pPr>
      <w:r w:rsidRPr="006066BF">
        <w:rPr>
          <w:rFonts w:ascii="Arial" w:hAnsi="Arial" w:cs="Arial"/>
          <w:sz w:val="22"/>
          <w:szCs w:val="22"/>
          <w:u w:val="single"/>
        </w:rPr>
        <w:t>SE To</w:t>
      </w:r>
      <w:r w:rsidR="0096404C" w:rsidRPr="006066BF">
        <w:rPr>
          <w:rFonts w:ascii="Arial" w:hAnsi="Arial" w:cs="Arial"/>
          <w:sz w:val="22"/>
          <w:szCs w:val="22"/>
          <w:u w:val="single"/>
        </w:rPr>
        <w:t>ncontí</w:t>
      </w:r>
      <w:r w:rsidRPr="006066BF">
        <w:rPr>
          <w:rFonts w:ascii="Arial" w:hAnsi="Arial" w:cs="Arial"/>
          <w:sz w:val="22"/>
          <w:szCs w:val="22"/>
          <w:u w:val="single"/>
        </w:rPr>
        <w:t>n</w:t>
      </w:r>
      <w:r w:rsidR="0096404C" w:rsidRPr="006066BF">
        <w:rPr>
          <w:rFonts w:ascii="Arial" w:hAnsi="Arial" w:cs="Arial"/>
          <w:sz w:val="22"/>
          <w:szCs w:val="22"/>
        </w:rPr>
        <w:t xml:space="preserve">.  En la actualidad la </w:t>
      </w:r>
      <w:r w:rsidR="0098038D" w:rsidRPr="006066BF">
        <w:rPr>
          <w:rFonts w:ascii="Arial" w:hAnsi="Arial" w:cs="Arial"/>
          <w:sz w:val="22"/>
          <w:szCs w:val="22"/>
        </w:rPr>
        <w:t>SE</w:t>
      </w:r>
      <w:r w:rsidR="0096404C" w:rsidRPr="006066BF">
        <w:rPr>
          <w:rFonts w:ascii="Arial" w:hAnsi="Arial" w:cs="Arial"/>
          <w:sz w:val="22"/>
          <w:szCs w:val="22"/>
        </w:rPr>
        <w:t xml:space="preserve"> </w:t>
      </w:r>
      <w:r w:rsidR="00F7671D" w:rsidRPr="006066BF">
        <w:rPr>
          <w:rFonts w:ascii="Arial" w:hAnsi="Arial" w:cs="Arial"/>
          <w:sz w:val="22"/>
          <w:szCs w:val="22"/>
        </w:rPr>
        <w:t>Toncontín</w:t>
      </w:r>
      <w:r w:rsidR="0096404C" w:rsidRPr="006066BF">
        <w:rPr>
          <w:rFonts w:ascii="Arial" w:hAnsi="Arial" w:cs="Arial"/>
          <w:sz w:val="22"/>
          <w:szCs w:val="22"/>
        </w:rPr>
        <w:t xml:space="preserve"> cuenta con dos transformadores de potencia; uno para distribución “T609” de 44.8 MVA 230/13.8 kV; que alimenta las zonas aledañas a esta </w:t>
      </w:r>
      <w:r w:rsidR="0098038D" w:rsidRPr="006066BF">
        <w:rPr>
          <w:rFonts w:ascii="Arial" w:hAnsi="Arial" w:cs="Arial"/>
          <w:sz w:val="22"/>
          <w:szCs w:val="22"/>
        </w:rPr>
        <w:t>SE</w:t>
      </w:r>
      <w:r w:rsidR="0096404C" w:rsidRPr="006066BF">
        <w:rPr>
          <w:rFonts w:ascii="Arial" w:hAnsi="Arial" w:cs="Arial"/>
          <w:sz w:val="22"/>
          <w:szCs w:val="22"/>
        </w:rPr>
        <w:t xml:space="preserve"> con los circuitos L-295, L-296, L-297 y L-298; el otro transformador “T610” es para </w:t>
      </w:r>
      <w:r w:rsidR="0096404C" w:rsidRPr="006066BF">
        <w:rPr>
          <w:rFonts w:ascii="Arial" w:hAnsi="Arial" w:cs="Arial"/>
          <w:sz w:val="22"/>
          <w:szCs w:val="22"/>
          <w:lang w:val="es-ES_tradnl"/>
        </w:rPr>
        <w:t>transmisión</w:t>
      </w:r>
      <w:r w:rsidR="0096404C" w:rsidRPr="006066BF">
        <w:rPr>
          <w:rFonts w:ascii="Arial" w:hAnsi="Arial" w:cs="Arial"/>
          <w:sz w:val="22"/>
          <w:szCs w:val="22"/>
        </w:rPr>
        <w:t xml:space="preserve"> de 84 MVA 230/138 kV, y alimenta a las subestaciones La Cañada “LCD” y Santa Fe “SFE” mediante los circuitos L-555 y L554 respectivamente. Ambos transformadores se sobrecargan en horas de demanda máxima. </w:t>
      </w:r>
    </w:p>
    <w:p w14:paraId="69AE8E87" w14:textId="76B04776" w:rsidR="00974F0D" w:rsidRPr="006066BF" w:rsidRDefault="0096404C" w:rsidP="0096404C">
      <w:pPr>
        <w:pStyle w:val="Paragraph"/>
        <w:numPr>
          <w:ilvl w:val="1"/>
          <w:numId w:val="2"/>
        </w:numPr>
        <w:autoSpaceDE w:val="0"/>
        <w:autoSpaceDN w:val="0"/>
        <w:adjustRightInd w:val="0"/>
        <w:spacing w:before="0"/>
        <w:ind w:left="720" w:hanging="720"/>
        <w:rPr>
          <w:rFonts w:ascii="Arial" w:hAnsi="Arial" w:cs="Arial"/>
          <w:sz w:val="22"/>
          <w:szCs w:val="22"/>
        </w:rPr>
      </w:pPr>
      <w:r w:rsidRPr="006066BF">
        <w:rPr>
          <w:rFonts w:ascii="Arial" w:hAnsi="Arial" w:cs="Arial"/>
          <w:sz w:val="22"/>
          <w:szCs w:val="22"/>
        </w:rPr>
        <w:t xml:space="preserve">Con la </w:t>
      </w:r>
      <w:r w:rsidRPr="006066BF">
        <w:rPr>
          <w:rFonts w:ascii="Arial" w:hAnsi="Arial" w:cs="Arial"/>
          <w:sz w:val="22"/>
          <w:szCs w:val="22"/>
          <w:lang w:val="es-MX"/>
        </w:rPr>
        <w:t xml:space="preserve">ampliación de la SE Toncontín Etapa I, se espera contribuir con una mejor capacidad  y disponibilidad en el sistema de transmisión, específicamente en la zona </w:t>
      </w:r>
      <w:r w:rsidR="000A33B2">
        <w:rPr>
          <w:rFonts w:ascii="Arial" w:hAnsi="Arial" w:cs="Arial"/>
          <w:sz w:val="22"/>
          <w:szCs w:val="22"/>
          <w:lang w:val="es-MX"/>
        </w:rPr>
        <w:t>c</w:t>
      </w:r>
      <w:r w:rsidRPr="006066BF">
        <w:rPr>
          <w:rFonts w:ascii="Arial" w:hAnsi="Arial" w:cs="Arial"/>
          <w:sz w:val="22"/>
          <w:szCs w:val="22"/>
          <w:lang w:val="es-MX"/>
        </w:rPr>
        <w:t>entro</w:t>
      </w:r>
      <w:r w:rsidR="000A33B2">
        <w:rPr>
          <w:rFonts w:ascii="Arial" w:hAnsi="Arial" w:cs="Arial"/>
          <w:sz w:val="22"/>
          <w:szCs w:val="22"/>
          <w:lang w:val="es-MX"/>
        </w:rPr>
        <w:t>-s</w:t>
      </w:r>
      <w:r w:rsidRPr="006066BF">
        <w:rPr>
          <w:rFonts w:ascii="Arial" w:hAnsi="Arial" w:cs="Arial"/>
          <w:sz w:val="22"/>
          <w:szCs w:val="22"/>
          <w:lang w:val="es-MX"/>
        </w:rPr>
        <w:t>ur del país, favoreciendo el desarrollo del potencial hidroeléctrico de la región de Olancho, en donde hay varios proyectos identificados, tales como Patuca 3, Patuca 2 y Patuca 2A, además de los flujos de energía eléctrica provenientes de los proyectos de energía solar y geotérmica localizados en la zona Sur del País, mismos que serán convertidos y recibidos en la SE Toncontín</w:t>
      </w:r>
    </w:p>
    <w:p w14:paraId="58C67407" w14:textId="643A3DD1" w:rsidR="00ED751C" w:rsidRPr="006066BF" w:rsidRDefault="0016408A" w:rsidP="000C0117">
      <w:pPr>
        <w:pStyle w:val="FirstHeading"/>
        <w:ind w:left="720"/>
        <w:rPr>
          <w:rFonts w:ascii="Arial" w:hAnsi="Arial" w:cs="Arial"/>
          <w:sz w:val="22"/>
          <w:szCs w:val="22"/>
        </w:rPr>
      </w:pPr>
      <w:bookmarkStart w:id="8" w:name="_Toc483312817"/>
      <w:bookmarkEnd w:id="7"/>
      <w:r w:rsidRPr="006066BF">
        <w:rPr>
          <w:rFonts w:ascii="Arial" w:hAnsi="Arial" w:cs="Arial"/>
          <w:sz w:val="22"/>
          <w:szCs w:val="22"/>
        </w:rPr>
        <w:lastRenderedPageBreak/>
        <w:t>D</w:t>
      </w:r>
      <w:r w:rsidR="00EB0154" w:rsidRPr="006066BF">
        <w:rPr>
          <w:rFonts w:ascii="Arial" w:hAnsi="Arial" w:cs="Arial"/>
          <w:sz w:val="22"/>
          <w:szCs w:val="22"/>
        </w:rPr>
        <w:t>.</w:t>
      </w:r>
      <w:r w:rsidR="000C0117" w:rsidRPr="006066BF">
        <w:rPr>
          <w:rFonts w:ascii="Arial" w:hAnsi="Arial" w:cs="Arial"/>
          <w:sz w:val="22"/>
          <w:szCs w:val="22"/>
        </w:rPr>
        <w:tab/>
      </w:r>
      <w:r w:rsidR="00ED751C" w:rsidRPr="006066BF">
        <w:rPr>
          <w:rFonts w:ascii="Arial" w:hAnsi="Arial" w:cs="Arial"/>
          <w:sz w:val="22"/>
          <w:szCs w:val="22"/>
        </w:rPr>
        <w:t xml:space="preserve">Indicadores </w:t>
      </w:r>
      <w:r w:rsidR="006800FC" w:rsidRPr="006066BF">
        <w:rPr>
          <w:rFonts w:ascii="Arial" w:hAnsi="Arial" w:cs="Arial"/>
          <w:sz w:val="22"/>
          <w:szCs w:val="22"/>
        </w:rPr>
        <w:t>Clave</w:t>
      </w:r>
      <w:r w:rsidR="003A5863" w:rsidRPr="006066BF">
        <w:rPr>
          <w:rFonts w:ascii="Arial" w:hAnsi="Arial" w:cs="Arial"/>
          <w:sz w:val="22"/>
          <w:szCs w:val="22"/>
        </w:rPr>
        <w:t xml:space="preserve"> de Resultados</w:t>
      </w:r>
      <w:bookmarkEnd w:id="8"/>
    </w:p>
    <w:p w14:paraId="2B3CC14C" w14:textId="6393408A" w:rsidR="000C0117" w:rsidRPr="006066BF" w:rsidRDefault="000C0117" w:rsidP="007D1B51">
      <w:pPr>
        <w:pStyle w:val="Paragraph"/>
        <w:numPr>
          <w:ilvl w:val="1"/>
          <w:numId w:val="2"/>
        </w:numPr>
        <w:tabs>
          <w:tab w:val="num" w:pos="720"/>
        </w:tabs>
        <w:autoSpaceDE w:val="0"/>
        <w:autoSpaceDN w:val="0"/>
        <w:adjustRightInd w:val="0"/>
        <w:spacing w:before="0"/>
        <w:ind w:left="720" w:hanging="720"/>
        <w:rPr>
          <w:rFonts w:ascii="Arial" w:hAnsi="Arial" w:cs="Arial"/>
          <w:smallCaps/>
          <w:sz w:val="22"/>
          <w:szCs w:val="22"/>
          <w:lang w:val="es-MX"/>
        </w:rPr>
      </w:pPr>
      <w:r w:rsidRPr="006066BF">
        <w:rPr>
          <w:rFonts w:ascii="Arial" w:hAnsi="Arial" w:cs="Arial"/>
          <w:sz w:val="22"/>
          <w:szCs w:val="22"/>
          <w:lang w:val="es-MX"/>
        </w:rPr>
        <w:t xml:space="preserve">El financiamiento complementario permitirá adicionar los siguientes resultados al programa 1412/OP-HO,2155/BL-HO, para reflejar los productos y resultados que se </w:t>
      </w:r>
      <w:r w:rsidRPr="006066BF">
        <w:rPr>
          <w:rFonts w:ascii="Arial" w:hAnsi="Arial" w:cs="Arial"/>
          <w:noProof/>
          <w:sz w:val="22"/>
          <w:szCs w:val="22"/>
          <w:lang w:val="es-ES_tradnl"/>
        </w:rPr>
        <w:t>financiarán</w:t>
      </w:r>
      <w:r w:rsidRPr="006066BF">
        <w:rPr>
          <w:rFonts w:ascii="Arial" w:hAnsi="Arial" w:cs="Arial"/>
          <w:sz w:val="22"/>
          <w:szCs w:val="22"/>
          <w:lang w:val="es-MX"/>
        </w:rPr>
        <w:t xml:space="preserve"> con los recursos adicionales provenientes del SREP: (i) aumento en la confiabilidad del sistema eléctrico nacional; (ii) reducción </w:t>
      </w:r>
      <w:r w:rsidR="006066BF" w:rsidRPr="006066BF">
        <w:rPr>
          <w:rFonts w:ascii="Arial" w:hAnsi="Arial" w:cs="Arial"/>
          <w:sz w:val="22"/>
          <w:szCs w:val="22"/>
          <w:lang w:val="es-MX"/>
        </w:rPr>
        <w:t>d</w:t>
      </w:r>
      <w:r w:rsidRPr="006066BF">
        <w:rPr>
          <w:rFonts w:ascii="Arial" w:hAnsi="Arial" w:cs="Arial"/>
          <w:sz w:val="22"/>
          <w:szCs w:val="22"/>
          <w:lang w:val="es-MX"/>
        </w:rPr>
        <w:t>el porcentaje promedio de carga en los Transformadores de Transmisión de la SE Progreso; y (iii) reducción del porcentaje de carga del Transformador de Transmisión de la SE Toncontín</w:t>
      </w:r>
      <w:r w:rsidRPr="006066BF">
        <w:rPr>
          <w:rFonts w:ascii="Arial" w:hAnsi="Arial" w:cs="Arial"/>
          <w:smallCaps/>
          <w:sz w:val="22"/>
          <w:szCs w:val="22"/>
          <w:lang w:val="es-MX"/>
        </w:rPr>
        <w:t>.</w:t>
      </w:r>
    </w:p>
    <w:p w14:paraId="442E32D9" w14:textId="2B591812" w:rsidR="00ED751C" w:rsidRPr="00EB0154" w:rsidRDefault="00BF6E43" w:rsidP="003A30E9">
      <w:pPr>
        <w:pStyle w:val="Chapter"/>
        <w:tabs>
          <w:tab w:val="clear" w:pos="1440"/>
          <w:tab w:val="clear" w:pos="1800"/>
          <w:tab w:val="num" w:pos="720"/>
        </w:tabs>
        <w:snapToGrid w:val="0"/>
        <w:spacing w:after="120"/>
        <w:ind w:left="0" w:firstLine="810"/>
        <w:rPr>
          <w:rFonts w:ascii="Arial" w:hAnsi="Arial" w:cs="Arial"/>
          <w:szCs w:val="22"/>
        </w:rPr>
      </w:pPr>
      <w:bookmarkStart w:id="9" w:name="_Toc483312818"/>
      <w:r>
        <w:rPr>
          <w:rFonts w:ascii="Arial" w:hAnsi="Arial" w:cs="Arial"/>
          <w:szCs w:val="22"/>
        </w:rPr>
        <w:t>E</w:t>
      </w:r>
      <w:r w:rsidR="00410F42">
        <w:rPr>
          <w:rFonts w:ascii="Arial" w:hAnsi="Arial" w:cs="Arial"/>
          <w:szCs w:val="22"/>
        </w:rPr>
        <w:t>valuación</w:t>
      </w:r>
      <w:r w:rsidR="00777476">
        <w:rPr>
          <w:rFonts w:ascii="Arial" w:hAnsi="Arial" w:cs="Arial"/>
          <w:szCs w:val="22"/>
        </w:rPr>
        <w:t xml:space="preserve"> </w:t>
      </w:r>
      <w:r w:rsidR="009D7C33">
        <w:rPr>
          <w:rFonts w:ascii="Arial" w:hAnsi="Arial" w:cs="Arial"/>
          <w:szCs w:val="22"/>
        </w:rPr>
        <w:t>Técnic</w:t>
      </w:r>
      <w:r w:rsidR="006066BF">
        <w:rPr>
          <w:rFonts w:ascii="Arial" w:hAnsi="Arial" w:cs="Arial"/>
          <w:szCs w:val="22"/>
        </w:rPr>
        <w:t>o-</w:t>
      </w:r>
      <w:r w:rsidR="007D0702">
        <w:rPr>
          <w:rFonts w:ascii="Arial" w:hAnsi="Arial" w:cs="Arial"/>
          <w:szCs w:val="22"/>
        </w:rPr>
        <w:t>Financiera</w:t>
      </w:r>
      <w:bookmarkEnd w:id="9"/>
      <w:r w:rsidR="007D0702">
        <w:rPr>
          <w:rFonts w:ascii="Arial" w:hAnsi="Arial" w:cs="Arial"/>
          <w:szCs w:val="22"/>
        </w:rPr>
        <w:t xml:space="preserve"> </w:t>
      </w:r>
    </w:p>
    <w:p w14:paraId="1574B8AD" w14:textId="4CE7533F" w:rsidR="00117770" w:rsidRPr="00117770" w:rsidRDefault="00EB0154" w:rsidP="009D3056">
      <w:pPr>
        <w:pStyle w:val="FirstHeading"/>
        <w:tabs>
          <w:tab w:val="num" w:pos="720"/>
        </w:tabs>
        <w:ind w:left="720"/>
        <w:jc w:val="both"/>
        <w:rPr>
          <w:rFonts w:ascii="Arial" w:hAnsi="Arial" w:cs="Arial"/>
          <w:b w:val="0"/>
          <w:sz w:val="22"/>
          <w:szCs w:val="22"/>
        </w:rPr>
      </w:pPr>
      <w:r w:rsidRPr="009701A1">
        <w:rPr>
          <w:rFonts w:ascii="Arial" w:hAnsi="Arial" w:cs="Arial"/>
          <w:noProof/>
          <w:sz w:val="22"/>
          <w:szCs w:val="22"/>
        </w:rPr>
        <w:fldChar w:fldCharType="begin"/>
      </w:r>
      <w:r w:rsidRPr="009701A1">
        <w:rPr>
          <w:rFonts w:ascii="Arial" w:hAnsi="Arial" w:cs="Arial"/>
          <w:noProof/>
          <w:sz w:val="22"/>
          <w:szCs w:val="22"/>
        </w:rPr>
        <w:instrText xml:space="preserve"> SEQ "</w:instrText>
      </w:r>
      <w:r w:rsidRPr="009701A1">
        <w:rPr>
          <w:rFonts w:ascii="Arial" w:hAnsi="Arial" w:cs="Arial"/>
          <w:noProof/>
          <w:sz w:val="22"/>
          <w:szCs w:val="22"/>
        </w:rPr>
        <w:fldChar w:fldCharType="begin"/>
      </w:r>
      <w:r w:rsidRPr="009701A1">
        <w:rPr>
          <w:rFonts w:ascii="Arial" w:hAnsi="Arial" w:cs="Arial"/>
          <w:noProof/>
          <w:sz w:val="22"/>
          <w:szCs w:val="22"/>
        </w:rPr>
        <w:instrText xml:space="preserve"> SECTION  \* MERGEFORMAT </w:instrText>
      </w:r>
      <w:r w:rsidRPr="009701A1">
        <w:rPr>
          <w:rFonts w:ascii="Arial" w:hAnsi="Arial" w:cs="Arial"/>
          <w:noProof/>
          <w:sz w:val="22"/>
          <w:szCs w:val="22"/>
        </w:rPr>
        <w:fldChar w:fldCharType="separate"/>
      </w:r>
      <w:r w:rsidR="005910CE" w:rsidRPr="009701A1">
        <w:rPr>
          <w:rFonts w:ascii="Arial" w:hAnsi="Arial" w:cs="Arial"/>
          <w:noProof/>
          <w:sz w:val="22"/>
          <w:szCs w:val="22"/>
        </w:rPr>
        <w:instrText>5</w:instrText>
      </w:r>
      <w:r w:rsidRPr="009701A1">
        <w:rPr>
          <w:rFonts w:ascii="Arial" w:hAnsi="Arial" w:cs="Arial"/>
          <w:noProof/>
          <w:sz w:val="22"/>
          <w:szCs w:val="22"/>
        </w:rPr>
        <w:fldChar w:fldCharType="end"/>
      </w:r>
      <w:r w:rsidRPr="009701A1">
        <w:rPr>
          <w:rFonts w:ascii="Arial" w:hAnsi="Arial" w:cs="Arial"/>
          <w:noProof/>
          <w:sz w:val="22"/>
          <w:szCs w:val="22"/>
        </w:rPr>
        <w:instrText xml:space="preserve">#"\* ALPHABETIC \* MERGEFORMAT </w:instrText>
      </w:r>
      <w:r w:rsidRPr="009701A1">
        <w:rPr>
          <w:rFonts w:ascii="Arial" w:hAnsi="Arial" w:cs="Arial"/>
          <w:noProof/>
          <w:sz w:val="22"/>
          <w:szCs w:val="22"/>
        </w:rPr>
        <w:fldChar w:fldCharType="separate"/>
      </w:r>
      <w:bookmarkStart w:id="10" w:name="_Toc483312819"/>
      <w:r w:rsidR="005910CE" w:rsidRPr="009701A1">
        <w:rPr>
          <w:rFonts w:ascii="Arial" w:hAnsi="Arial" w:cs="Arial"/>
          <w:noProof/>
          <w:sz w:val="22"/>
          <w:szCs w:val="22"/>
        </w:rPr>
        <w:t>A</w:t>
      </w:r>
      <w:r w:rsidRPr="009701A1">
        <w:rPr>
          <w:rFonts w:ascii="Arial" w:hAnsi="Arial" w:cs="Arial"/>
          <w:noProof/>
          <w:sz w:val="22"/>
          <w:szCs w:val="22"/>
        </w:rPr>
        <w:fldChar w:fldCharType="end"/>
      </w:r>
      <w:r w:rsidRPr="009701A1">
        <w:rPr>
          <w:rFonts w:ascii="Arial" w:hAnsi="Arial" w:cs="Arial"/>
          <w:noProof/>
          <w:sz w:val="22"/>
          <w:szCs w:val="22"/>
        </w:rPr>
        <w:t>.</w:t>
      </w:r>
      <w:r w:rsidRPr="009701A1">
        <w:rPr>
          <w:rFonts w:ascii="Arial" w:hAnsi="Arial" w:cs="Arial"/>
          <w:noProof/>
          <w:sz w:val="22"/>
          <w:szCs w:val="22"/>
        </w:rPr>
        <w:tab/>
      </w:r>
      <w:r w:rsidR="00777476" w:rsidRPr="009701A1">
        <w:rPr>
          <w:rFonts w:ascii="Arial" w:hAnsi="Arial" w:cs="Arial"/>
          <w:noProof/>
          <w:sz w:val="22"/>
          <w:szCs w:val="22"/>
          <w:lang w:val="es-ES_tradnl"/>
        </w:rPr>
        <w:t>Metodología</w:t>
      </w:r>
      <w:bookmarkEnd w:id="10"/>
      <w:r w:rsidR="00744E5D" w:rsidRPr="009701A1">
        <w:rPr>
          <w:rFonts w:ascii="Arial" w:hAnsi="Arial" w:cs="Arial"/>
          <w:noProof/>
          <w:sz w:val="22"/>
          <w:szCs w:val="22"/>
          <w:lang w:val="es-ES_tradnl"/>
        </w:rPr>
        <w:t xml:space="preserve">  </w:t>
      </w:r>
    </w:p>
    <w:p w14:paraId="5C68D708" w14:textId="73A9D6F0" w:rsidR="007D0702" w:rsidRPr="006066BF" w:rsidRDefault="009701A1" w:rsidP="006066BF">
      <w:pPr>
        <w:pStyle w:val="Paragraph"/>
        <w:numPr>
          <w:ilvl w:val="1"/>
          <w:numId w:val="2"/>
        </w:numPr>
        <w:tabs>
          <w:tab w:val="num" w:pos="720"/>
        </w:tabs>
        <w:autoSpaceDE w:val="0"/>
        <w:autoSpaceDN w:val="0"/>
        <w:adjustRightInd w:val="0"/>
        <w:spacing w:before="0"/>
        <w:ind w:left="720" w:hanging="720"/>
        <w:rPr>
          <w:rFonts w:ascii="Arial" w:hAnsi="Arial" w:cs="Arial"/>
          <w:sz w:val="22"/>
          <w:szCs w:val="22"/>
        </w:rPr>
      </w:pPr>
      <w:r w:rsidRPr="00117770">
        <w:rPr>
          <w:rFonts w:ascii="Arial" w:hAnsi="Arial" w:cs="Arial"/>
          <w:noProof/>
          <w:sz w:val="22"/>
          <w:szCs w:val="22"/>
          <w:lang w:val="es-ES_tradnl"/>
        </w:rPr>
        <w:t>Para seleccionar la mejor alternat</w:t>
      </w:r>
      <w:r w:rsidR="009D7C33" w:rsidRPr="00117770">
        <w:rPr>
          <w:rFonts w:ascii="Arial" w:hAnsi="Arial" w:cs="Arial"/>
          <w:noProof/>
          <w:sz w:val="22"/>
          <w:szCs w:val="22"/>
          <w:lang w:val="es-ES_tradnl"/>
        </w:rPr>
        <w:t>i</w:t>
      </w:r>
      <w:r w:rsidRPr="00117770">
        <w:rPr>
          <w:rFonts w:ascii="Arial" w:hAnsi="Arial" w:cs="Arial"/>
          <w:noProof/>
          <w:sz w:val="22"/>
          <w:szCs w:val="22"/>
          <w:lang w:val="es-ES_tradnl"/>
        </w:rPr>
        <w:t xml:space="preserve">va disponible para atender el problema identificado, la ENEE realizó un </w:t>
      </w:r>
      <w:r w:rsidRPr="00117770">
        <w:rPr>
          <w:rFonts w:ascii="Arial" w:hAnsi="Arial" w:cs="Arial"/>
          <w:sz w:val="22"/>
          <w:szCs w:val="22"/>
          <w:lang w:val="es-CO"/>
        </w:rPr>
        <w:t>análisis</w:t>
      </w:r>
      <w:r w:rsidRPr="00117770">
        <w:rPr>
          <w:rFonts w:ascii="Arial" w:hAnsi="Arial" w:cs="Arial"/>
          <w:noProof/>
          <w:sz w:val="22"/>
          <w:szCs w:val="22"/>
          <w:lang w:val="es-ES_tradnl"/>
        </w:rPr>
        <w:t xml:space="preserve"> técnico de opciones que cumplieran con los requisitos para solucionar cada uno de los dos problemas de sobrecarga</w:t>
      </w:r>
      <w:r w:rsidR="005F1932">
        <w:rPr>
          <w:rFonts w:ascii="Arial" w:hAnsi="Arial" w:cs="Arial"/>
          <w:noProof/>
          <w:sz w:val="22"/>
          <w:szCs w:val="22"/>
          <w:lang w:val="es-ES_tradnl"/>
        </w:rPr>
        <w:t xml:space="preserve"> e inestabilidad</w:t>
      </w:r>
      <w:r w:rsidR="006066BF">
        <w:rPr>
          <w:rFonts w:ascii="Arial" w:hAnsi="Arial" w:cs="Arial"/>
          <w:noProof/>
          <w:sz w:val="22"/>
          <w:szCs w:val="22"/>
          <w:lang w:val="es-ES_tradnl"/>
        </w:rPr>
        <w:t xml:space="preserve"> en las</w:t>
      </w:r>
      <w:r w:rsidRPr="00117770">
        <w:rPr>
          <w:rFonts w:ascii="Arial" w:hAnsi="Arial" w:cs="Arial"/>
          <w:noProof/>
          <w:sz w:val="22"/>
          <w:szCs w:val="22"/>
          <w:lang w:val="es-ES_tradnl"/>
        </w:rPr>
        <w:t xml:space="preserve"> SE Progreso y SE Toncontín</w:t>
      </w:r>
      <w:r w:rsidR="007D1B51">
        <w:rPr>
          <w:rFonts w:ascii="Arial" w:hAnsi="Arial" w:cs="Arial"/>
          <w:noProof/>
          <w:sz w:val="22"/>
          <w:szCs w:val="22"/>
          <w:lang w:val="es-ES_tradnl"/>
        </w:rPr>
        <w:t xml:space="preserve">, con las cosnsecuentes </w:t>
      </w:r>
      <w:r w:rsidR="007D1B51" w:rsidRPr="007D1B51">
        <w:rPr>
          <w:rFonts w:ascii="Arial" w:hAnsi="Arial" w:cs="Arial"/>
          <w:noProof/>
          <w:sz w:val="22"/>
          <w:szCs w:val="22"/>
          <w:lang w:val="es-ES_tradnl"/>
        </w:rPr>
        <w:t xml:space="preserve">pérdidas de transformación y </w:t>
      </w:r>
      <w:r w:rsidR="007D1B51">
        <w:rPr>
          <w:rFonts w:ascii="Arial" w:hAnsi="Arial" w:cs="Arial"/>
          <w:noProof/>
          <w:sz w:val="22"/>
          <w:szCs w:val="22"/>
          <w:lang w:val="es-ES_tradnl"/>
        </w:rPr>
        <w:t>de</w:t>
      </w:r>
      <w:r w:rsidR="007D1B51" w:rsidRPr="007D1B51">
        <w:rPr>
          <w:rFonts w:ascii="Arial" w:hAnsi="Arial" w:cs="Arial"/>
          <w:noProof/>
          <w:sz w:val="22"/>
          <w:szCs w:val="22"/>
          <w:lang w:val="es-ES_tradnl"/>
        </w:rPr>
        <w:t xml:space="preserve"> eficiencia de estos equipos</w:t>
      </w:r>
      <w:r w:rsidRPr="00117770">
        <w:rPr>
          <w:rFonts w:ascii="Arial" w:hAnsi="Arial" w:cs="Arial"/>
          <w:noProof/>
          <w:sz w:val="22"/>
          <w:szCs w:val="22"/>
          <w:lang w:val="es-ES_tradnl"/>
        </w:rPr>
        <w:t>. Con base</w:t>
      </w:r>
      <w:r w:rsidR="009D7C33" w:rsidRPr="00117770">
        <w:rPr>
          <w:rFonts w:ascii="Arial" w:hAnsi="Arial" w:cs="Arial"/>
          <w:noProof/>
          <w:sz w:val="22"/>
          <w:szCs w:val="22"/>
          <w:lang w:val="es-ES_tradnl"/>
        </w:rPr>
        <w:t xml:space="preserve"> en</w:t>
      </w:r>
      <w:r w:rsidRPr="00117770">
        <w:rPr>
          <w:rFonts w:ascii="Arial" w:hAnsi="Arial" w:cs="Arial"/>
          <w:noProof/>
          <w:sz w:val="22"/>
          <w:szCs w:val="22"/>
          <w:lang w:val="es-ES_tradnl"/>
        </w:rPr>
        <w:t xml:space="preserve"> las opciones identificadas, s</w:t>
      </w:r>
      <w:r w:rsidR="00744E5D" w:rsidRPr="00117770">
        <w:rPr>
          <w:rFonts w:ascii="Arial" w:hAnsi="Arial" w:cs="Arial"/>
          <w:noProof/>
          <w:sz w:val="22"/>
          <w:szCs w:val="22"/>
          <w:lang w:val="es-ES_tradnl"/>
        </w:rPr>
        <w:t xml:space="preserve">e realizó una evaluación </w:t>
      </w:r>
      <w:r w:rsidRPr="00117770">
        <w:rPr>
          <w:rFonts w:ascii="Arial" w:hAnsi="Arial" w:cs="Arial"/>
          <w:noProof/>
          <w:sz w:val="22"/>
          <w:szCs w:val="22"/>
          <w:lang w:val="es-ES_tradnl"/>
        </w:rPr>
        <w:t>técnica</w:t>
      </w:r>
      <w:r w:rsidR="009D7C33" w:rsidRPr="00117770">
        <w:rPr>
          <w:rFonts w:ascii="Arial" w:hAnsi="Arial" w:cs="Arial"/>
          <w:noProof/>
          <w:sz w:val="22"/>
          <w:szCs w:val="22"/>
          <w:lang w:val="es-ES_tradnl"/>
        </w:rPr>
        <w:t xml:space="preserve"> que analizó las complejidades y riesgos de cada posible solución</w:t>
      </w:r>
      <w:r w:rsidR="006066BF">
        <w:rPr>
          <w:rFonts w:ascii="Arial" w:hAnsi="Arial" w:cs="Arial"/>
          <w:noProof/>
          <w:sz w:val="22"/>
          <w:szCs w:val="22"/>
          <w:lang w:val="es-ES_tradnl"/>
        </w:rPr>
        <w:t xml:space="preserve"> </w:t>
      </w:r>
      <w:r w:rsidR="00CF2D36">
        <w:rPr>
          <w:rFonts w:ascii="Arial" w:hAnsi="Arial" w:cs="Arial"/>
          <w:noProof/>
          <w:sz w:val="22"/>
          <w:szCs w:val="22"/>
          <w:lang w:val="es-ES_tradnl"/>
        </w:rPr>
        <w:t xml:space="preserve">que levara a </w:t>
      </w:r>
      <w:r w:rsidR="00CF2D36" w:rsidRPr="00CF2D36">
        <w:rPr>
          <w:rFonts w:ascii="Arial" w:hAnsi="Arial" w:cs="Arial"/>
          <w:noProof/>
          <w:sz w:val="22"/>
          <w:szCs w:val="22"/>
          <w:lang w:val="es-ES_tradnl"/>
        </w:rPr>
        <w:t>crear la infraestructura necesaria para satisfacer el aumento de la demanda en la zona</w:t>
      </w:r>
      <w:r w:rsidR="00CF2D36">
        <w:rPr>
          <w:rFonts w:ascii="Arial" w:hAnsi="Arial" w:cs="Arial"/>
          <w:noProof/>
          <w:sz w:val="22"/>
          <w:szCs w:val="22"/>
          <w:lang w:val="es-ES_tradnl"/>
        </w:rPr>
        <w:t>,</w:t>
      </w:r>
      <w:r w:rsidR="00CF2D36" w:rsidRPr="00CF2D36">
        <w:rPr>
          <w:rFonts w:ascii="Arial" w:hAnsi="Arial" w:cs="Arial"/>
          <w:noProof/>
          <w:sz w:val="22"/>
          <w:szCs w:val="22"/>
          <w:lang w:val="es-ES_tradnl"/>
        </w:rPr>
        <w:t xml:space="preserve"> brindar un servicio confiable y de calidad a los usuarios; y reducir las pérdidas de transmisión en el sistema</w:t>
      </w:r>
      <w:r w:rsidR="006066BF">
        <w:rPr>
          <w:rFonts w:ascii="Arial" w:hAnsi="Arial" w:cs="Arial"/>
          <w:noProof/>
          <w:sz w:val="22"/>
          <w:szCs w:val="22"/>
          <w:lang w:val="es-ES_tradnl"/>
        </w:rPr>
        <w:t xml:space="preserve">; </w:t>
      </w:r>
      <w:r w:rsidRPr="006066BF">
        <w:rPr>
          <w:rFonts w:ascii="Arial" w:hAnsi="Arial" w:cs="Arial"/>
          <w:noProof/>
          <w:sz w:val="22"/>
          <w:szCs w:val="22"/>
          <w:lang w:val="es-ES_tradnl"/>
        </w:rPr>
        <w:t xml:space="preserve">y una evaluación </w:t>
      </w:r>
      <w:r w:rsidR="00744E5D" w:rsidRPr="006066BF">
        <w:rPr>
          <w:rFonts w:ascii="Arial" w:hAnsi="Arial" w:cs="Arial"/>
          <w:noProof/>
          <w:sz w:val="22"/>
          <w:szCs w:val="22"/>
          <w:lang w:val="es-ES_tradnl"/>
        </w:rPr>
        <w:t>fi</w:t>
      </w:r>
      <w:r w:rsidR="00320FF1" w:rsidRPr="006066BF">
        <w:rPr>
          <w:rFonts w:ascii="Arial" w:hAnsi="Arial" w:cs="Arial"/>
          <w:noProof/>
          <w:sz w:val="22"/>
          <w:szCs w:val="22"/>
          <w:lang w:val="es-ES_tradnl"/>
        </w:rPr>
        <w:t>na</w:t>
      </w:r>
      <w:r w:rsidR="00744E5D" w:rsidRPr="006066BF">
        <w:rPr>
          <w:rFonts w:ascii="Arial" w:hAnsi="Arial" w:cs="Arial"/>
          <w:noProof/>
          <w:sz w:val="22"/>
          <w:szCs w:val="22"/>
          <w:lang w:val="es-ES_tradnl"/>
        </w:rPr>
        <w:t>nciera</w:t>
      </w:r>
      <w:r w:rsidRPr="006066BF">
        <w:rPr>
          <w:rFonts w:ascii="Arial" w:hAnsi="Arial" w:cs="Arial"/>
          <w:noProof/>
          <w:sz w:val="22"/>
          <w:szCs w:val="22"/>
          <w:lang w:val="es-ES_tradnl"/>
        </w:rPr>
        <w:t>, la cual arrojó información sobe la mejor alternativa desde el punto de vista de retorno y recuperación de la inversión y de relación beneficio/costo.</w:t>
      </w:r>
      <w:r w:rsidR="00744E5D" w:rsidRPr="006066BF">
        <w:rPr>
          <w:rFonts w:ascii="Arial" w:hAnsi="Arial" w:cs="Arial"/>
          <w:noProof/>
          <w:sz w:val="22"/>
          <w:szCs w:val="22"/>
          <w:lang w:val="es-ES_tradnl"/>
        </w:rPr>
        <w:t xml:space="preserve"> </w:t>
      </w:r>
      <w:r w:rsidRPr="006066BF">
        <w:rPr>
          <w:rFonts w:ascii="Arial" w:hAnsi="Arial" w:cs="Arial"/>
          <w:noProof/>
          <w:sz w:val="22"/>
          <w:szCs w:val="22"/>
          <w:lang w:val="es-ES_tradnl"/>
        </w:rPr>
        <w:t xml:space="preserve">Con base en la alternativa seleccionada, se relizó una </w:t>
      </w:r>
      <w:r w:rsidR="00744E5D" w:rsidRPr="006066BF">
        <w:rPr>
          <w:rFonts w:ascii="Arial" w:hAnsi="Arial" w:cs="Arial"/>
          <w:noProof/>
          <w:sz w:val="22"/>
          <w:szCs w:val="22"/>
          <w:lang w:val="es-ES_tradnl"/>
        </w:rPr>
        <w:t xml:space="preserve">evaluación económica de las inversiones a realizar. </w:t>
      </w:r>
    </w:p>
    <w:p w14:paraId="3A570F0A" w14:textId="2DBCC4AB" w:rsidR="000C0117" w:rsidRPr="00754C0F" w:rsidRDefault="00EB0154" w:rsidP="00754C0F">
      <w:pPr>
        <w:pStyle w:val="FirstHeading"/>
        <w:ind w:left="720"/>
        <w:rPr>
          <w:rFonts w:ascii="Arial" w:hAnsi="Arial" w:cs="Arial"/>
          <w:sz w:val="22"/>
          <w:szCs w:val="22"/>
        </w:rPr>
      </w:pPr>
      <w:bookmarkStart w:id="11" w:name="_Toc483312820"/>
      <w:r w:rsidRPr="00754C0F">
        <w:rPr>
          <w:rFonts w:ascii="Arial" w:hAnsi="Arial" w:cs="Arial"/>
          <w:sz w:val="22"/>
          <w:szCs w:val="22"/>
        </w:rPr>
        <w:t>B.</w:t>
      </w:r>
      <w:r w:rsidRPr="00754C0F">
        <w:rPr>
          <w:rFonts w:ascii="Arial" w:hAnsi="Arial" w:cs="Arial"/>
          <w:sz w:val="22"/>
          <w:szCs w:val="22"/>
        </w:rPr>
        <w:tab/>
      </w:r>
      <w:r w:rsidR="00BF6E43" w:rsidRPr="00754C0F">
        <w:rPr>
          <w:rFonts w:ascii="Arial" w:hAnsi="Arial" w:cs="Arial"/>
          <w:sz w:val="22"/>
          <w:szCs w:val="22"/>
        </w:rPr>
        <w:t>SE Progreso</w:t>
      </w:r>
      <w:bookmarkEnd w:id="11"/>
      <w:r w:rsidR="00BF6E43" w:rsidRPr="00754C0F">
        <w:rPr>
          <w:rFonts w:ascii="Arial" w:hAnsi="Arial" w:cs="Arial"/>
          <w:sz w:val="22"/>
          <w:szCs w:val="22"/>
        </w:rPr>
        <w:t xml:space="preserve">  </w:t>
      </w:r>
    </w:p>
    <w:p w14:paraId="4900D678" w14:textId="36367E51" w:rsidR="000C0117" w:rsidRPr="000C0117" w:rsidRDefault="00BF6E43" w:rsidP="000C0117">
      <w:pPr>
        <w:pStyle w:val="Paragraph"/>
        <w:numPr>
          <w:ilvl w:val="1"/>
          <w:numId w:val="2"/>
        </w:numPr>
        <w:tabs>
          <w:tab w:val="num" w:pos="720"/>
        </w:tabs>
        <w:autoSpaceDE w:val="0"/>
        <w:autoSpaceDN w:val="0"/>
        <w:adjustRightInd w:val="0"/>
        <w:spacing w:before="0"/>
        <w:ind w:left="720" w:hanging="720"/>
        <w:rPr>
          <w:rFonts w:ascii="Arial" w:hAnsi="Arial" w:cs="Arial"/>
          <w:sz w:val="22"/>
          <w:szCs w:val="22"/>
          <w:lang w:val="es-CO"/>
        </w:rPr>
      </w:pPr>
      <w:r w:rsidRPr="000C0117">
        <w:rPr>
          <w:rFonts w:ascii="Arial" w:hAnsi="Arial" w:cs="Arial"/>
          <w:b/>
          <w:sz w:val="22"/>
          <w:szCs w:val="22"/>
        </w:rPr>
        <w:t>Alternativas de solución</w:t>
      </w:r>
      <w:r w:rsidRPr="000C0117">
        <w:rPr>
          <w:rFonts w:ascii="Arial" w:hAnsi="Arial" w:cs="Arial"/>
          <w:sz w:val="22"/>
          <w:szCs w:val="22"/>
          <w:lang w:val="es-CO"/>
        </w:rPr>
        <w:t xml:space="preserve"> </w:t>
      </w:r>
      <w:bookmarkStart w:id="12" w:name="_Hlk482547963"/>
      <w:r w:rsidR="000C0117" w:rsidRPr="000C0117">
        <w:rPr>
          <w:rFonts w:ascii="Arial" w:hAnsi="Arial" w:cs="Arial"/>
          <w:sz w:val="22"/>
          <w:szCs w:val="22"/>
          <w:lang w:val="es-CO"/>
        </w:rPr>
        <w:t xml:space="preserve">Se </w:t>
      </w:r>
      <w:r w:rsidR="000C0117" w:rsidRPr="000C0117">
        <w:rPr>
          <w:rFonts w:ascii="Arial" w:hAnsi="Arial" w:cs="Arial"/>
          <w:sz w:val="22"/>
          <w:szCs w:val="22"/>
          <w:lang w:val="es-MX"/>
        </w:rPr>
        <w:t>realizó</w:t>
      </w:r>
      <w:r w:rsidR="000C0117" w:rsidRPr="000C0117">
        <w:rPr>
          <w:rFonts w:ascii="Arial" w:hAnsi="Arial" w:cs="Arial"/>
          <w:sz w:val="22"/>
          <w:szCs w:val="22"/>
          <w:lang w:val="es-CO"/>
        </w:rPr>
        <w:t xml:space="preserve"> la evaluación técnica de las siguientes alternativas que cumplen con los criterios técnicos para solucionar el problema de insuficiente capa</w:t>
      </w:r>
      <w:r w:rsidR="00DC0A71">
        <w:rPr>
          <w:rFonts w:ascii="Arial" w:hAnsi="Arial" w:cs="Arial"/>
          <w:sz w:val="22"/>
          <w:szCs w:val="22"/>
          <w:lang w:val="es-CO"/>
        </w:rPr>
        <w:t xml:space="preserve">cidad de transmisión en la SE </w:t>
      </w:r>
      <w:r w:rsidR="000C0117" w:rsidRPr="000C0117">
        <w:rPr>
          <w:rFonts w:ascii="Arial" w:hAnsi="Arial" w:cs="Arial"/>
          <w:sz w:val="22"/>
          <w:szCs w:val="22"/>
          <w:lang w:val="es-CO"/>
        </w:rPr>
        <w:t>Progreso en el corto plazo</w:t>
      </w:r>
      <w:bookmarkEnd w:id="12"/>
      <w:r w:rsidR="000C0117" w:rsidRPr="000C0117">
        <w:rPr>
          <w:rFonts w:ascii="Arial" w:hAnsi="Arial" w:cs="Arial"/>
          <w:sz w:val="22"/>
          <w:szCs w:val="22"/>
          <w:lang w:val="es-CO"/>
        </w:rPr>
        <w:t>:</w:t>
      </w:r>
    </w:p>
    <w:p w14:paraId="40309575" w14:textId="77777777" w:rsidR="000C0117" w:rsidRPr="000C0117" w:rsidRDefault="000C0117" w:rsidP="000C0117">
      <w:pPr>
        <w:pStyle w:val="Paragraph"/>
        <w:ind w:left="720"/>
        <w:rPr>
          <w:rFonts w:ascii="Arial" w:hAnsi="Arial" w:cs="Arial"/>
          <w:sz w:val="22"/>
          <w:szCs w:val="22"/>
          <w:lang w:val="es-CO"/>
        </w:rPr>
      </w:pPr>
      <w:r w:rsidRPr="000C0117">
        <w:rPr>
          <w:rFonts w:ascii="Arial" w:hAnsi="Arial" w:cs="Arial"/>
          <w:sz w:val="22"/>
          <w:szCs w:val="22"/>
          <w:u w:val="single"/>
          <w:lang w:val="es-CO"/>
        </w:rPr>
        <w:t>Alternativa 1</w:t>
      </w:r>
      <w:r w:rsidRPr="000C0117">
        <w:rPr>
          <w:rFonts w:ascii="Arial" w:hAnsi="Arial" w:cs="Arial"/>
          <w:sz w:val="22"/>
          <w:szCs w:val="22"/>
          <w:lang w:val="es-CO"/>
        </w:rPr>
        <w:t>: Consiste en la instalación de un transformador de potencia de 150 MVA 230/138 kV en paralelo a los transformadores T603 y T604 en la SE Progreso.</w:t>
      </w:r>
    </w:p>
    <w:p w14:paraId="22E27782" w14:textId="77777777" w:rsidR="000C0117" w:rsidRPr="000C0117" w:rsidRDefault="000C0117" w:rsidP="000C0117">
      <w:pPr>
        <w:pStyle w:val="Paragraph"/>
        <w:ind w:left="720"/>
        <w:rPr>
          <w:rFonts w:ascii="Arial" w:hAnsi="Arial" w:cs="Arial"/>
          <w:sz w:val="22"/>
          <w:szCs w:val="22"/>
          <w:lang w:val="es-CO"/>
        </w:rPr>
      </w:pPr>
      <w:r w:rsidRPr="000C0117">
        <w:rPr>
          <w:rFonts w:ascii="Arial" w:hAnsi="Arial" w:cs="Arial"/>
          <w:sz w:val="22"/>
          <w:szCs w:val="22"/>
          <w:u w:val="single"/>
          <w:lang w:val="es-CO"/>
        </w:rPr>
        <w:t>Alternativa 2</w:t>
      </w:r>
      <w:r w:rsidRPr="000C0117">
        <w:rPr>
          <w:rFonts w:ascii="Arial" w:hAnsi="Arial" w:cs="Arial"/>
          <w:sz w:val="22"/>
          <w:szCs w:val="22"/>
          <w:lang w:val="es-CO"/>
        </w:rPr>
        <w:t>: Consiste en la construcción de una línea de transmisión en 230 kV entre las subestaciones Progreso-Santa Martha-San Pedro Sula Sur de aproximadamente 18 km de longitud y la instalación de un transformador de potencia de 150 MVA 230/138 kV en la SE Santa Martha. Para que este proyecto sea viable, es necesario que la SE San Pedro Sulas Sur ya cuente con el transformador 230/138 kV y la línea San Buena Ventura-San Pedro Sula Sur en 230 kV.</w:t>
      </w:r>
    </w:p>
    <w:p w14:paraId="7101E452" w14:textId="3CCB47BF" w:rsidR="00B42F48" w:rsidRPr="00CF2D36" w:rsidRDefault="00147F33" w:rsidP="00AF2DEE">
      <w:pPr>
        <w:pStyle w:val="Paragraph"/>
        <w:ind w:left="720"/>
        <w:rPr>
          <w:rFonts w:ascii="Arial" w:hAnsi="Arial" w:cs="Arial"/>
          <w:b/>
          <w:sz w:val="20"/>
          <w:lang w:val="es-CO"/>
        </w:rPr>
      </w:pPr>
      <w:r w:rsidRPr="00CF2D36">
        <w:rPr>
          <w:rFonts w:ascii="Arial" w:hAnsi="Arial" w:cs="Arial"/>
          <w:b/>
          <w:sz w:val="22"/>
          <w:szCs w:val="22"/>
          <w:lang w:val="es-CO"/>
        </w:rPr>
        <w:t>Análisis</w:t>
      </w:r>
      <w:r w:rsidRPr="00CF2D36">
        <w:rPr>
          <w:rFonts w:ascii="Arial" w:hAnsi="Arial" w:cs="Arial"/>
          <w:b/>
          <w:bCs/>
          <w:sz w:val="22"/>
          <w:szCs w:val="22"/>
          <w:lang w:val="es-CO"/>
        </w:rPr>
        <w:t xml:space="preserve"> Financiero</w:t>
      </w:r>
      <w:r w:rsidR="00BF6E43" w:rsidRPr="00CF2D36">
        <w:rPr>
          <w:rFonts w:ascii="Arial" w:hAnsi="Arial" w:cs="Arial"/>
          <w:b/>
          <w:bCs/>
          <w:sz w:val="22"/>
          <w:szCs w:val="22"/>
          <w:lang w:val="es-CO"/>
        </w:rPr>
        <w:t xml:space="preserve">.  </w:t>
      </w:r>
      <w:r w:rsidRPr="00CF2D36">
        <w:rPr>
          <w:rFonts w:ascii="Arial" w:hAnsi="Arial" w:cs="Arial"/>
          <w:sz w:val="22"/>
          <w:szCs w:val="22"/>
          <w:lang w:val="es-CO"/>
        </w:rPr>
        <w:t>A continuación, se presentan los resultados obtenidos del Análisis Financiero de las dos alternativas</w:t>
      </w:r>
      <w:r w:rsidR="00BF6E43" w:rsidRPr="00CF2D36">
        <w:rPr>
          <w:rFonts w:ascii="Arial" w:hAnsi="Arial" w:cs="Arial"/>
          <w:sz w:val="22"/>
          <w:szCs w:val="22"/>
          <w:lang w:val="es-CO"/>
        </w:rPr>
        <w:t>.</w:t>
      </w:r>
      <w:r w:rsidRPr="00CF2D36">
        <w:rPr>
          <w:rFonts w:ascii="Arial" w:hAnsi="Arial" w:cs="Arial"/>
          <w:sz w:val="22"/>
          <w:szCs w:val="22"/>
          <w:lang w:val="es-CO"/>
        </w:rPr>
        <w:t xml:space="preserve"> Para el cálculo del Valor Presente Neto (VPN)</w:t>
      </w:r>
      <w:r w:rsidR="00BF6E43" w:rsidRPr="00CF2D36">
        <w:rPr>
          <w:rFonts w:ascii="Arial" w:hAnsi="Arial" w:cs="Arial"/>
          <w:sz w:val="22"/>
          <w:szCs w:val="22"/>
          <w:lang w:val="es-CO"/>
        </w:rPr>
        <w:t xml:space="preserve"> s</w:t>
      </w:r>
      <w:r w:rsidRPr="00CF2D36">
        <w:rPr>
          <w:rFonts w:ascii="Arial" w:hAnsi="Arial" w:cs="Arial"/>
          <w:sz w:val="22"/>
          <w:szCs w:val="22"/>
          <w:lang w:val="es-CO"/>
        </w:rPr>
        <w:t>e utilizó un horizonte de 30 años, y una tasa de descuento del 12%.</w:t>
      </w:r>
      <w:r w:rsidR="00B42F48" w:rsidRPr="00CF2D36">
        <w:rPr>
          <w:rFonts w:ascii="Arial" w:hAnsi="Arial" w:cs="Arial"/>
          <w:b/>
          <w:sz w:val="20"/>
          <w:lang w:val="es-CO"/>
        </w:rPr>
        <w:br w:type="page"/>
      </w:r>
    </w:p>
    <w:p w14:paraId="75485A4B" w14:textId="2660F774" w:rsidR="00147F33" w:rsidRPr="00BF6E43" w:rsidRDefault="00147F33" w:rsidP="00BF6E43">
      <w:pPr>
        <w:pStyle w:val="Paragraph"/>
        <w:tabs>
          <w:tab w:val="num" w:pos="720"/>
        </w:tabs>
        <w:snapToGrid w:val="0"/>
        <w:spacing w:before="0" w:after="0"/>
        <w:ind w:left="720" w:hanging="720"/>
        <w:jc w:val="center"/>
        <w:rPr>
          <w:rFonts w:ascii="Arial" w:hAnsi="Arial" w:cs="Arial"/>
          <w:b/>
          <w:sz w:val="20"/>
          <w:lang w:val="es-CO"/>
        </w:rPr>
      </w:pPr>
      <w:r w:rsidRPr="00BF6E43">
        <w:rPr>
          <w:rFonts w:ascii="Arial" w:hAnsi="Arial" w:cs="Arial"/>
          <w:b/>
          <w:sz w:val="20"/>
          <w:lang w:val="es-CO"/>
        </w:rPr>
        <w:lastRenderedPageBreak/>
        <w:t xml:space="preserve">Cuadro </w:t>
      </w:r>
      <w:r w:rsidR="00892E01">
        <w:rPr>
          <w:rFonts w:ascii="Arial" w:hAnsi="Arial" w:cs="Arial"/>
          <w:b/>
          <w:sz w:val="20"/>
          <w:lang w:val="es-CO"/>
        </w:rPr>
        <w:t>II-</w:t>
      </w:r>
      <w:r w:rsidRPr="00BF6E43">
        <w:rPr>
          <w:rFonts w:ascii="Arial" w:hAnsi="Arial" w:cs="Arial"/>
          <w:b/>
          <w:sz w:val="20"/>
          <w:lang w:val="es-CO"/>
        </w:rPr>
        <w:t>1.- Resultados del análisis financiero - Alternativa 1</w:t>
      </w:r>
    </w:p>
    <w:p w14:paraId="73BCF0A5" w14:textId="56612C1B" w:rsidR="00147F33" w:rsidRPr="00147F33" w:rsidRDefault="006B7DA5" w:rsidP="006B7DA5">
      <w:pPr>
        <w:pStyle w:val="Paragraph"/>
        <w:tabs>
          <w:tab w:val="num" w:pos="720"/>
        </w:tabs>
        <w:ind w:left="720" w:hanging="1260"/>
        <w:jc w:val="right"/>
        <w:rPr>
          <w:rFonts w:ascii="Arial" w:hAnsi="Arial" w:cs="Arial"/>
          <w:b/>
          <w:sz w:val="22"/>
          <w:szCs w:val="22"/>
          <w:lang w:val="es-ES_tradnl"/>
        </w:rPr>
      </w:pPr>
      <w:r w:rsidRPr="006B7DA5">
        <w:rPr>
          <w:rFonts w:ascii="Calibri" w:hAnsi="Calibri"/>
          <w:noProof/>
          <w:sz w:val="22"/>
          <w:szCs w:val="22"/>
          <w:lang w:val="en-US"/>
        </w:rPr>
        <w:drawing>
          <wp:inline distT="0" distB="0" distL="0" distR="0" wp14:anchorId="6C9A2383" wp14:editId="4145F99C">
            <wp:extent cx="6793982" cy="2536372"/>
            <wp:effectExtent l="0" t="0" r="698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831665" cy="2550440"/>
                    </a:xfrm>
                    <a:prstGeom prst="rect">
                      <a:avLst/>
                    </a:prstGeom>
                    <a:noFill/>
                    <a:ln>
                      <a:noFill/>
                    </a:ln>
                  </pic:spPr>
                </pic:pic>
              </a:graphicData>
            </a:graphic>
          </wp:inline>
        </w:drawing>
      </w:r>
    </w:p>
    <w:p w14:paraId="3E0F43D4" w14:textId="77777777" w:rsidR="006B7DA5" w:rsidRDefault="006B7DA5" w:rsidP="00BF6E43">
      <w:pPr>
        <w:pStyle w:val="Paragraph"/>
        <w:tabs>
          <w:tab w:val="num" w:pos="720"/>
        </w:tabs>
        <w:snapToGrid w:val="0"/>
        <w:spacing w:before="0" w:after="0"/>
        <w:ind w:hanging="720"/>
        <w:jc w:val="center"/>
        <w:rPr>
          <w:rFonts w:ascii="Arial" w:hAnsi="Arial" w:cs="Arial"/>
          <w:b/>
          <w:sz w:val="20"/>
          <w:lang w:val="es-CO"/>
        </w:rPr>
      </w:pPr>
    </w:p>
    <w:p w14:paraId="68669874" w14:textId="3FBFD9B1" w:rsidR="00147F33" w:rsidRPr="00BF6E43" w:rsidRDefault="00147F33" w:rsidP="00BF6E43">
      <w:pPr>
        <w:pStyle w:val="Paragraph"/>
        <w:tabs>
          <w:tab w:val="num" w:pos="720"/>
        </w:tabs>
        <w:snapToGrid w:val="0"/>
        <w:spacing w:before="0" w:after="0"/>
        <w:ind w:hanging="720"/>
        <w:jc w:val="center"/>
        <w:rPr>
          <w:rFonts w:ascii="Arial" w:hAnsi="Arial" w:cs="Arial"/>
          <w:b/>
          <w:sz w:val="20"/>
          <w:lang w:val="es-CO"/>
        </w:rPr>
      </w:pPr>
      <w:r w:rsidRPr="00BF6E43">
        <w:rPr>
          <w:rFonts w:ascii="Arial" w:hAnsi="Arial" w:cs="Arial"/>
          <w:b/>
          <w:sz w:val="20"/>
          <w:lang w:val="es-CO"/>
        </w:rPr>
        <w:t xml:space="preserve">Cuadro </w:t>
      </w:r>
      <w:r w:rsidR="00892E01">
        <w:rPr>
          <w:rFonts w:ascii="Arial" w:hAnsi="Arial" w:cs="Arial"/>
          <w:b/>
          <w:sz w:val="20"/>
          <w:lang w:val="es-CO"/>
        </w:rPr>
        <w:t>II-</w:t>
      </w:r>
      <w:r w:rsidRPr="00BF6E43">
        <w:rPr>
          <w:rFonts w:ascii="Arial" w:hAnsi="Arial" w:cs="Arial"/>
          <w:b/>
          <w:sz w:val="20"/>
          <w:lang w:val="es-CO"/>
        </w:rPr>
        <w:t xml:space="preserve"> 2.- Resultados del análisis financiero - Alternativa 2</w:t>
      </w:r>
    </w:p>
    <w:p w14:paraId="3268DE75" w14:textId="1918D315" w:rsidR="00147F33" w:rsidRPr="00147F33" w:rsidRDefault="00147F33" w:rsidP="003624DA">
      <w:pPr>
        <w:pStyle w:val="Paragraph"/>
        <w:tabs>
          <w:tab w:val="num" w:pos="720"/>
        </w:tabs>
        <w:ind w:left="720" w:hanging="1260"/>
        <w:rPr>
          <w:rFonts w:ascii="Arial" w:hAnsi="Arial" w:cs="Arial"/>
          <w:b/>
          <w:sz w:val="22"/>
          <w:szCs w:val="22"/>
          <w:lang w:val="es-HN"/>
        </w:rPr>
      </w:pPr>
      <w:r w:rsidRPr="00147F33">
        <w:rPr>
          <w:rFonts w:ascii="Arial" w:hAnsi="Arial" w:cs="Arial"/>
          <w:b/>
          <w:noProof/>
          <w:sz w:val="22"/>
          <w:szCs w:val="22"/>
          <w:lang w:val="en-US"/>
        </w:rPr>
        <w:drawing>
          <wp:inline distT="0" distB="0" distL="0" distR="0" wp14:anchorId="3EBC8365" wp14:editId="61390D8F">
            <wp:extent cx="6591300" cy="2663920"/>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615616" cy="2673747"/>
                    </a:xfrm>
                    <a:prstGeom prst="rect">
                      <a:avLst/>
                    </a:prstGeom>
                    <a:noFill/>
                    <a:ln>
                      <a:noFill/>
                    </a:ln>
                  </pic:spPr>
                </pic:pic>
              </a:graphicData>
            </a:graphic>
          </wp:inline>
        </w:drawing>
      </w:r>
    </w:p>
    <w:p w14:paraId="16C70DDB" w14:textId="3A842417" w:rsidR="00147F33" w:rsidRDefault="00147F33" w:rsidP="002F1B70">
      <w:pPr>
        <w:pStyle w:val="Paragraph"/>
        <w:numPr>
          <w:ilvl w:val="1"/>
          <w:numId w:val="2"/>
        </w:numPr>
        <w:tabs>
          <w:tab w:val="num" w:pos="720"/>
        </w:tabs>
        <w:autoSpaceDE w:val="0"/>
        <w:autoSpaceDN w:val="0"/>
        <w:adjustRightInd w:val="0"/>
        <w:snapToGrid w:val="0"/>
        <w:ind w:left="720" w:hanging="720"/>
        <w:rPr>
          <w:rFonts w:ascii="Arial" w:hAnsi="Arial" w:cs="Arial"/>
          <w:sz w:val="22"/>
          <w:szCs w:val="22"/>
          <w:lang w:val="es-CO"/>
        </w:rPr>
      </w:pPr>
      <w:r w:rsidRPr="00BF6E43">
        <w:rPr>
          <w:rFonts w:ascii="Arial" w:hAnsi="Arial" w:cs="Arial"/>
          <w:sz w:val="22"/>
          <w:szCs w:val="22"/>
          <w:lang w:val="es-CO"/>
        </w:rPr>
        <w:t xml:space="preserve">Desde el punto de vista técnico y financiero, la mejor alternativa para solucionar el problema de insuficiente capacidad de transmisión en la SE Progreso, es la Alternativa 1 (Proyecto Ampliación de la SE Progreso).  Desde el punto de vista técnico las obras por desarrollar bajo esta alternativa, son de menor envergadura.  Desde el punto de vista financiero, se obtiene un VPN y una TIR mayor que con </w:t>
      </w:r>
      <w:bookmarkStart w:id="13" w:name="_Hlk482548797"/>
      <w:r w:rsidRPr="00BF6E43">
        <w:rPr>
          <w:rFonts w:ascii="Arial" w:hAnsi="Arial" w:cs="Arial"/>
          <w:sz w:val="22"/>
          <w:szCs w:val="22"/>
          <w:lang w:val="es-CO"/>
        </w:rPr>
        <w:t>la Alternativa 2, el tiempo de recuperación de la inversión es menor y la relación Costo/Beneficio es mayor.</w:t>
      </w:r>
    </w:p>
    <w:p w14:paraId="1B7C1209" w14:textId="17249CB0" w:rsidR="00147F33" w:rsidRPr="006B7DA5" w:rsidRDefault="00147F33" w:rsidP="00581017">
      <w:pPr>
        <w:pStyle w:val="Paragraph"/>
        <w:numPr>
          <w:ilvl w:val="1"/>
          <w:numId w:val="2"/>
        </w:numPr>
        <w:tabs>
          <w:tab w:val="num" w:pos="720"/>
        </w:tabs>
        <w:autoSpaceDE w:val="0"/>
        <w:autoSpaceDN w:val="0"/>
        <w:adjustRightInd w:val="0"/>
        <w:spacing w:before="0"/>
        <w:ind w:left="720" w:hanging="720"/>
        <w:rPr>
          <w:rFonts w:ascii="Arial" w:hAnsi="Arial" w:cs="Arial"/>
          <w:b/>
          <w:sz w:val="22"/>
          <w:szCs w:val="22"/>
          <w:lang w:val="es-CO"/>
        </w:rPr>
      </w:pPr>
      <w:r w:rsidRPr="002141EA">
        <w:rPr>
          <w:rFonts w:ascii="Arial" w:hAnsi="Arial" w:cs="Arial"/>
          <w:b/>
          <w:sz w:val="22"/>
          <w:szCs w:val="22"/>
          <w:lang w:val="es-CO"/>
        </w:rPr>
        <w:t>Costo del Proyecto y Análisis Financiero</w:t>
      </w:r>
      <w:r w:rsidR="002141EA" w:rsidRPr="002141EA">
        <w:rPr>
          <w:rFonts w:ascii="Arial" w:hAnsi="Arial" w:cs="Arial"/>
          <w:b/>
          <w:sz w:val="22"/>
          <w:szCs w:val="22"/>
          <w:lang w:val="es-CO"/>
        </w:rPr>
        <w:t xml:space="preserve">. </w:t>
      </w:r>
      <w:r w:rsidRPr="002141EA">
        <w:rPr>
          <w:rFonts w:ascii="Arial" w:hAnsi="Arial" w:cs="Arial"/>
          <w:sz w:val="22"/>
          <w:szCs w:val="22"/>
          <w:lang w:val="es-CO"/>
        </w:rPr>
        <w:t>De acuerdo con el siguiente presupuesto, realizar la ampliación de la SE Progreso, tiene un costo de US</w:t>
      </w:r>
      <w:r w:rsidR="006B7DA5">
        <w:rPr>
          <w:rFonts w:ascii="Arial" w:hAnsi="Arial" w:cs="Arial"/>
          <w:sz w:val="22"/>
          <w:szCs w:val="22"/>
          <w:lang w:val="es-CO"/>
        </w:rPr>
        <w:t>$</w:t>
      </w:r>
      <w:r w:rsidRPr="002141EA">
        <w:rPr>
          <w:rFonts w:ascii="Arial" w:hAnsi="Arial" w:cs="Arial"/>
          <w:sz w:val="22"/>
          <w:szCs w:val="22"/>
          <w:lang w:val="es-CO"/>
        </w:rPr>
        <w:t>4</w:t>
      </w:r>
      <w:r w:rsidR="009701A1">
        <w:rPr>
          <w:rFonts w:ascii="Arial" w:hAnsi="Arial" w:cs="Arial"/>
          <w:sz w:val="22"/>
          <w:szCs w:val="22"/>
          <w:lang w:val="es-CO"/>
        </w:rPr>
        <w:t>.</w:t>
      </w:r>
      <w:r w:rsidR="006B7DA5">
        <w:rPr>
          <w:rFonts w:ascii="Arial" w:hAnsi="Arial" w:cs="Arial"/>
          <w:sz w:val="22"/>
          <w:szCs w:val="22"/>
          <w:lang w:val="es-CO"/>
        </w:rPr>
        <w:t>300.000</w:t>
      </w:r>
      <w:r w:rsidRPr="002141EA">
        <w:rPr>
          <w:rFonts w:ascii="Arial" w:hAnsi="Arial" w:cs="Arial"/>
          <w:sz w:val="22"/>
          <w:szCs w:val="22"/>
          <w:lang w:val="es-CO"/>
        </w:rPr>
        <w:t xml:space="preserve"> desglosados </w:t>
      </w:r>
      <w:r w:rsidR="00AF5283">
        <w:rPr>
          <w:rFonts w:ascii="Arial" w:hAnsi="Arial" w:cs="Arial"/>
          <w:sz w:val="22"/>
          <w:szCs w:val="22"/>
          <w:lang w:val="es-CO"/>
        </w:rPr>
        <w:t>en el Cuadro II-3.</w:t>
      </w:r>
    </w:p>
    <w:p w14:paraId="729BBE10" w14:textId="77777777" w:rsidR="006B7DA5" w:rsidRPr="002F1B70" w:rsidRDefault="006B7DA5" w:rsidP="006B7DA5">
      <w:pPr>
        <w:pStyle w:val="Paragraph"/>
        <w:tabs>
          <w:tab w:val="num" w:pos="6066"/>
        </w:tabs>
        <w:autoSpaceDE w:val="0"/>
        <w:autoSpaceDN w:val="0"/>
        <w:adjustRightInd w:val="0"/>
        <w:spacing w:before="0"/>
        <w:ind w:left="720"/>
        <w:rPr>
          <w:rFonts w:ascii="Arial" w:hAnsi="Arial" w:cs="Arial"/>
          <w:b/>
          <w:sz w:val="22"/>
          <w:szCs w:val="22"/>
          <w:lang w:val="es-CO"/>
        </w:rPr>
      </w:pPr>
    </w:p>
    <w:p w14:paraId="02D1BD5A" w14:textId="77777777" w:rsidR="002F1B70" w:rsidRPr="002141EA" w:rsidRDefault="002F1B70" w:rsidP="002F1B70">
      <w:pPr>
        <w:pStyle w:val="Paragraph"/>
        <w:tabs>
          <w:tab w:val="num" w:pos="6066"/>
        </w:tabs>
        <w:autoSpaceDE w:val="0"/>
        <w:autoSpaceDN w:val="0"/>
        <w:adjustRightInd w:val="0"/>
        <w:spacing w:before="0"/>
        <w:ind w:left="720"/>
        <w:rPr>
          <w:rFonts w:ascii="Arial" w:hAnsi="Arial" w:cs="Arial"/>
          <w:b/>
          <w:sz w:val="22"/>
          <w:szCs w:val="22"/>
          <w:lang w:val="es-CO"/>
        </w:rPr>
      </w:pPr>
    </w:p>
    <w:tbl>
      <w:tblPr>
        <w:tblW w:w="8110" w:type="dxa"/>
        <w:tblInd w:w="800" w:type="dxa"/>
        <w:tblCellMar>
          <w:left w:w="70" w:type="dxa"/>
          <w:right w:w="70" w:type="dxa"/>
        </w:tblCellMar>
        <w:tblLook w:val="04A0" w:firstRow="1" w:lastRow="0" w:firstColumn="1" w:lastColumn="0" w:noHBand="0" w:noVBand="1"/>
      </w:tblPr>
      <w:tblGrid>
        <w:gridCol w:w="4600"/>
        <w:gridCol w:w="2160"/>
        <w:gridCol w:w="1350"/>
      </w:tblGrid>
      <w:tr w:rsidR="002141EA" w:rsidRPr="002141EA" w14:paraId="2333F375" w14:textId="77777777" w:rsidTr="00892E01">
        <w:trPr>
          <w:trHeight w:val="300"/>
        </w:trPr>
        <w:tc>
          <w:tcPr>
            <w:tcW w:w="8110" w:type="dxa"/>
            <w:gridSpan w:val="3"/>
            <w:tcBorders>
              <w:bottom w:val="single" w:sz="4" w:space="0" w:color="auto"/>
            </w:tcBorders>
            <w:shd w:val="clear" w:color="auto" w:fill="auto"/>
            <w:noWrap/>
          </w:tcPr>
          <w:p w14:paraId="45B74737" w14:textId="36EF156F" w:rsidR="002141EA" w:rsidRDefault="002141EA" w:rsidP="00A47957">
            <w:pPr>
              <w:pStyle w:val="Paragraph"/>
              <w:tabs>
                <w:tab w:val="num" w:pos="720"/>
              </w:tabs>
              <w:snapToGrid w:val="0"/>
              <w:spacing w:before="0" w:after="0"/>
              <w:ind w:left="720" w:hanging="720"/>
              <w:jc w:val="center"/>
              <w:rPr>
                <w:rFonts w:ascii="Arial" w:hAnsi="Arial" w:cs="Arial"/>
                <w:b/>
                <w:bCs/>
                <w:sz w:val="20"/>
                <w:lang w:val="es-HN"/>
              </w:rPr>
            </w:pPr>
            <w:r>
              <w:rPr>
                <w:rFonts w:ascii="Arial" w:hAnsi="Arial" w:cs="Arial"/>
                <w:b/>
                <w:bCs/>
                <w:sz w:val="20"/>
                <w:lang w:val="es-HN"/>
              </w:rPr>
              <w:lastRenderedPageBreak/>
              <w:t>Cuadro II-</w:t>
            </w:r>
            <w:r w:rsidR="00AF5283">
              <w:rPr>
                <w:rFonts w:ascii="Arial" w:hAnsi="Arial" w:cs="Arial"/>
                <w:b/>
                <w:bCs/>
                <w:sz w:val="20"/>
                <w:lang w:val="es-HN"/>
              </w:rPr>
              <w:t>3</w:t>
            </w:r>
            <w:r>
              <w:rPr>
                <w:rFonts w:ascii="Arial" w:hAnsi="Arial" w:cs="Arial"/>
                <w:b/>
                <w:bCs/>
                <w:sz w:val="20"/>
                <w:lang w:val="es-HN"/>
              </w:rPr>
              <w:t xml:space="preserve">.    </w:t>
            </w:r>
            <w:r w:rsidRPr="006A57DB">
              <w:rPr>
                <w:rFonts w:ascii="Arial" w:hAnsi="Arial" w:cs="Arial"/>
                <w:b/>
                <w:bCs/>
                <w:sz w:val="20"/>
                <w:lang w:val="es-HN"/>
              </w:rPr>
              <w:t xml:space="preserve">Presupuesto Ampliación SE Progreso </w:t>
            </w:r>
          </w:p>
        </w:tc>
      </w:tr>
      <w:tr w:rsidR="002141EA" w:rsidRPr="002141EA" w14:paraId="3543FDC8" w14:textId="77777777" w:rsidTr="006B7DA5">
        <w:trPr>
          <w:trHeight w:val="300"/>
        </w:trPr>
        <w:tc>
          <w:tcPr>
            <w:tcW w:w="4600" w:type="dxa"/>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7BFD24E2" w14:textId="7A5FFED2" w:rsidR="002141EA" w:rsidRPr="006B7DA5" w:rsidRDefault="002141EA" w:rsidP="00A47957">
            <w:pPr>
              <w:pStyle w:val="Paragraph"/>
              <w:tabs>
                <w:tab w:val="num" w:pos="720"/>
              </w:tabs>
              <w:snapToGrid w:val="0"/>
              <w:spacing w:before="0" w:after="0"/>
              <w:ind w:left="720" w:hanging="720"/>
              <w:jc w:val="center"/>
              <w:rPr>
                <w:rFonts w:ascii="Arial" w:hAnsi="Arial" w:cs="Arial"/>
                <w:b/>
                <w:bCs/>
                <w:sz w:val="20"/>
                <w:lang w:val="es-HN"/>
              </w:rPr>
            </w:pPr>
            <w:r w:rsidRPr="006B7DA5">
              <w:rPr>
                <w:rFonts w:ascii="Arial" w:hAnsi="Arial" w:cs="Arial"/>
                <w:b/>
                <w:bCs/>
                <w:sz w:val="20"/>
                <w:lang w:val="es-HN"/>
              </w:rPr>
              <w:t>Categoría</w:t>
            </w:r>
          </w:p>
        </w:tc>
        <w:tc>
          <w:tcPr>
            <w:tcW w:w="2160"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397CF3BA" w14:textId="77777777" w:rsidR="002141EA" w:rsidRPr="006B7DA5" w:rsidRDefault="002141EA" w:rsidP="00A47957">
            <w:pPr>
              <w:pStyle w:val="Paragraph"/>
              <w:tabs>
                <w:tab w:val="num" w:pos="720"/>
              </w:tabs>
              <w:snapToGrid w:val="0"/>
              <w:spacing w:before="0" w:after="0"/>
              <w:ind w:left="720" w:hanging="720"/>
              <w:jc w:val="center"/>
              <w:rPr>
                <w:rFonts w:ascii="Arial" w:hAnsi="Arial" w:cs="Arial"/>
                <w:b/>
                <w:bCs/>
                <w:sz w:val="20"/>
                <w:lang w:val="es-HN"/>
              </w:rPr>
            </w:pPr>
            <w:r w:rsidRPr="006B7DA5">
              <w:rPr>
                <w:rFonts w:ascii="Arial" w:hAnsi="Arial" w:cs="Arial"/>
                <w:b/>
                <w:bCs/>
                <w:sz w:val="20"/>
                <w:lang w:val="es-HN"/>
              </w:rPr>
              <w:t>US$</w:t>
            </w:r>
          </w:p>
        </w:tc>
        <w:tc>
          <w:tcPr>
            <w:tcW w:w="1350" w:type="dxa"/>
            <w:tcBorders>
              <w:top w:val="single" w:sz="4" w:space="0" w:color="auto"/>
              <w:left w:val="nil"/>
              <w:bottom w:val="single" w:sz="4" w:space="0" w:color="auto"/>
              <w:right w:val="single" w:sz="8" w:space="0" w:color="auto"/>
            </w:tcBorders>
            <w:shd w:val="clear" w:color="auto" w:fill="F2F2F2" w:themeFill="background1" w:themeFillShade="F2"/>
            <w:noWrap/>
            <w:vAlign w:val="bottom"/>
            <w:hideMark/>
          </w:tcPr>
          <w:p w14:paraId="099F09B4" w14:textId="6D0CCBE6" w:rsidR="002141EA" w:rsidRPr="006B7DA5" w:rsidRDefault="002141EA" w:rsidP="00A47957">
            <w:pPr>
              <w:pStyle w:val="Paragraph"/>
              <w:tabs>
                <w:tab w:val="num" w:pos="720"/>
              </w:tabs>
              <w:snapToGrid w:val="0"/>
              <w:spacing w:before="0" w:after="0"/>
              <w:ind w:left="720" w:hanging="720"/>
              <w:jc w:val="center"/>
              <w:rPr>
                <w:rFonts w:ascii="Arial" w:hAnsi="Arial" w:cs="Arial"/>
                <w:b/>
                <w:bCs/>
                <w:sz w:val="20"/>
                <w:lang w:val="es-HN"/>
              </w:rPr>
            </w:pPr>
            <w:r w:rsidRPr="006B7DA5">
              <w:rPr>
                <w:rFonts w:ascii="Arial" w:hAnsi="Arial" w:cs="Arial"/>
                <w:b/>
                <w:bCs/>
                <w:sz w:val="20"/>
                <w:lang w:val="es-HN"/>
              </w:rPr>
              <w:t>%</w:t>
            </w:r>
          </w:p>
        </w:tc>
      </w:tr>
      <w:tr w:rsidR="006B7DA5" w:rsidRPr="002141EA" w14:paraId="4D4975A7" w14:textId="77777777" w:rsidTr="00CA5527">
        <w:trPr>
          <w:trHeight w:val="300"/>
        </w:trPr>
        <w:tc>
          <w:tcPr>
            <w:tcW w:w="4600" w:type="dxa"/>
            <w:tcBorders>
              <w:top w:val="nil"/>
              <w:left w:val="single" w:sz="8" w:space="0" w:color="auto"/>
              <w:bottom w:val="single" w:sz="4" w:space="0" w:color="auto"/>
              <w:right w:val="single" w:sz="4" w:space="0" w:color="auto"/>
            </w:tcBorders>
            <w:shd w:val="clear" w:color="auto" w:fill="auto"/>
            <w:noWrap/>
            <w:vAlign w:val="bottom"/>
            <w:hideMark/>
          </w:tcPr>
          <w:p w14:paraId="1A1C1ECC" w14:textId="580B9930" w:rsidR="006B7DA5" w:rsidRPr="006B7DA5" w:rsidRDefault="006B7DA5" w:rsidP="006B7DA5">
            <w:pPr>
              <w:pStyle w:val="Paragraph"/>
              <w:tabs>
                <w:tab w:val="num" w:pos="720"/>
              </w:tabs>
              <w:snapToGrid w:val="0"/>
              <w:spacing w:before="0" w:after="0"/>
              <w:ind w:left="720" w:hanging="720"/>
              <w:rPr>
                <w:rFonts w:ascii="Arial" w:hAnsi="Arial" w:cs="Arial"/>
                <w:sz w:val="20"/>
                <w:lang w:val="es-HN"/>
              </w:rPr>
            </w:pPr>
            <w:r w:rsidRPr="006B7DA5">
              <w:rPr>
                <w:rFonts w:ascii="Arial" w:hAnsi="Arial" w:cs="Arial"/>
                <w:sz w:val="20"/>
                <w:lang w:val="es-HN"/>
              </w:rPr>
              <w:t>Equipamiento, Mano de Obra y Transporte</w:t>
            </w:r>
          </w:p>
        </w:tc>
        <w:tc>
          <w:tcPr>
            <w:tcW w:w="2160" w:type="dxa"/>
            <w:tcBorders>
              <w:top w:val="nil"/>
              <w:left w:val="nil"/>
              <w:bottom w:val="single" w:sz="4" w:space="0" w:color="auto"/>
              <w:right w:val="single" w:sz="4" w:space="0" w:color="auto"/>
            </w:tcBorders>
            <w:shd w:val="clear" w:color="auto" w:fill="auto"/>
            <w:noWrap/>
            <w:vAlign w:val="bottom"/>
            <w:hideMark/>
          </w:tcPr>
          <w:p w14:paraId="43D6352D" w14:textId="1246E10D" w:rsidR="006B7DA5" w:rsidRPr="006B7DA5" w:rsidRDefault="006B7DA5" w:rsidP="006B7DA5">
            <w:pPr>
              <w:pStyle w:val="Paragraph"/>
              <w:tabs>
                <w:tab w:val="num" w:pos="720"/>
              </w:tabs>
              <w:snapToGrid w:val="0"/>
              <w:spacing w:before="0" w:after="0"/>
              <w:ind w:left="720" w:hanging="720"/>
              <w:jc w:val="right"/>
              <w:rPr>
                <w:rFonts w:ascii="Arial" w:hAnsi="Arial" w:cs="Arial"/>
                <w:sz w:val="20"/>
                <w:lang w:val="es-HN"/>
              </w:rPr>
            </w:pPr>
            <w:r w:rsidRPr="006B7DA5">
              <w:rPr>
                <w:rFonts w:ascii="Arial" w:hAnsi="Arial" w:cs="Arial"/>
                <w:color w:val="000000"/>
                <w:sz w:val="20"/>
                <w:lang w:val="es-HN" w:eastAsia="es-HN"/>
              </w:rPr>
              <w:t>3,643,531.21</w:t>
            </w:r>
          </w:p>
        </w:tc>
        <w:tc>
          <w:tcPr>
            <w:tcW w:w="1350" w:type="dxa"/>
            <w:tcBorders>
              <w:top w:val="nil"/>
              <w:left w:val="nil"/>
              <w:bottom w:val="single" w:sz="4" w:space="0" w:color="auto"/>
              <w:right w:val="single" w:sz="8" w:space="0" w:color="auto"/>
            </w:tcBorders>
            <w:shd w:val="clear" w:color="auto" w:fill="auto"/>
            <w:noWrap/>
            <w:vAlign w:val="bottom"/>
            <w:hideMark/>
          </w:tcPr>
          <w:p w14:paraId="0BC2DA9D" w14:textId="518135CA" w:rsidR="006B7DA5" w:rsidRPr="006B7DA5" w:rsidRDefault="006B7DA5" w:rsidP="006B7DA5">
            <w:pPr>
              <w:pStyle w:val="Paragraph"/>
              <w:tabs>
                <w:tab w:val="num" w:pos="720"/>
              </w:tabs>
              <w:snapToGrid w:val="0"/>
              <w:spacing w:before="0" w:after="0"/>
              <w:jc w:val="center"/>
              <w:rPr>
                <w:rFonts w:ascii="Arial" w:hAnsi="Arial" w:cs="Arial"/>
                <w:sz w:val="20"/>
                <w:lang w:val="es-HN"/>
              </w:rPr>
            </w:pPr>
            <w:r w:rsidRPr="006B7DA5">
              <w:rPr>
                <w:rFonts w:ascii="Arial" w:hAnsi="Arial" w:cs="Arial"/>
                <w:sz w:val="20"/>
                <w:lang w:val="es-HN"/>
              </w:rPr>
              <w:t>85</w:t>
            </w:r>
          </w:p>
        </w:tc>
      </w:tr>
      <w:tr w:rsidR="006B7DA5" w:rsidRPr="002141EA" w14:paraId="5ACB80DE" w14:textId="77777777" w:rsidTr="00CA5527">
        <w:trPr>
          <w:trHeight w:val="300"/>
        </w:trPr>
        <w:tc>
          <w:tcPr>
            <w:tcW w:w="4600" w:type="dxa"/>
            <w:tcBorders>
              <w:top w:val="nil"/>
              <w:left w:val="single" w:sz="8" w:space="0" w:color="auto"/>
              <w:bottom w:val="single" w:sz="4" w:space="0" w:color="auto"/>
              <w:right w:val="single" w:sz="4" w:space="0" w:color="auto"/>
            </w:tcBorders>
            <w:shd w:val="clear" w:color="auto" w:fill="auto"/>
            <w:noWrap/>
            <w:vAlign w:val="bottom"/>
            <w:hideMark/>
          </w:tcPr>
          <w:p w14:paraId="4BE2ED64" w14:textId="77777777" w:rsidR="006B7DA5" w:rsidRPr="006B7DA5" w:rsidRDefault="006B7DA5" w:rsidP="006B7DA5">
            <w:pPr>
              <w:pStyle w:val="Paragraph"/>
              <w:tabs>
                <w:tab w:val="num" w:pos="720"/>
              </w:tabs>
              <w:snapToGrid w:val="0"/>
              <w:spacing w:before="0" w:after="0"/>
              <w:ind w:left="720" w:hanging="720"/>
              <w:rPr>
                <w:rFonts w:ascii="Arial" w:hAnsi="Arial" w:cs="Arial"/>
                <w:sz w:val="20"/>
                <w:lang w:val="es-HN"/>
              </w:rPr>
            </w:pPr>
            <w:r w:rsidRPr="006B7DA5">
              <w:rPr>
                <w:rFonts w:ascii="Arial" w:hAnsi="Arial" w:cs="Arial"/>
                <w:sz w:val="20"/>
                <w:lang w:val="es-HN"/>
              </w:rPr>
              <w:t>Obras Civiles</w:t>
            </w:r>
          </w:p>
        </w:tc>
        <w:tc>
          <w:tcPr>
            <w:tcW w:w="2160" w:type="dxa"/>
            <w:tcBorders>
              <w:top w:val="nil"/>
              <w:left w:val="nil"/>
              <w:bottom w:val="single" w:sz="4" w:space="0" w:color="auto"/>
              <w:right w:val="single" w:sz="4" w:space="0" w:color="auto"/>
            </w:tcBorders>
            <w:shd w:val="clear" w:color="auto" w:fill="auto"/>
            <w:noWrap/>
            <w:vAlign w:val="bottom"/>
            <w:hideMark/>
          </w:tcPr>
          <w:p w14:paraId="5BB9EAE5" w14:textId="2ACB44AD" w:rsidR="006B7DA5" w:rsidRPr="006B7DA5" w:rsidRDefault="006B7DA5" w:rsidP="006B7DA5">
            <w:pPr>
              <w:pStyle w:val="Paragraph"/>
              <w:tabs>
                <w:tab w:val="num" w:pos="720"/>
              </w:tabs>
              <w:snapToGrid w:val="0"/>
              <w:spacing w:before="0" w:after="0"/>
              <w:ind w:left="720" w:hanging="720"/>
              <w:jc w:val="right"/>
              <w:rPr>
                <w:rFonts w:ascii="Arial" w:hAnsi="Arial" w:cs="Arial"/>
                <w:sz w:val="20"/>
                <w:lang w:val="es-HN"/>
              </w:rPr>
            </w:pPr>
            <w:r w:rsidRPr="006B7DA5">
              <w:rPr>
                <w:rFonts w:ascii="Arial" w:hAnsi="Arial" w:cs="Arial"/>
                <w:color w:val="000000"/>
                <w:sz w:val="20"/>
                <w:lang w:val="es-HN" w:eastAsia="es-HN"/>
              </w:rPr>
              <w:t>592,541.19</w:t>
            </w:r>
          </w:p>
        </w:tc>
        <w:tc>
          <w:tcPr>
            <w:tcW w:w="1350" w:type="dxa"/>
            <w:tcBorders>
              <w:top w:val="nil"/>
              <w:left w:val="nil"/>
              <w:bottom w:val="single" w:sz="4" w:space="0" w:color="auto"/>
              <w:right w:val="single" w:sz="8" w:space="0" w:color="auto"/>
            </w:tcBorders>
            <w:shd w:val="clear" w:color="auto" w:fill="auto"/>
            <w:noWrap/>
            <w:vAlign w:val="bottom"/>
            <w:hideMark/>
          </w:tcPr>
          <w:p w14:paraId="06753DAB" w14:textId="5EA336B5" w:rsidR="006B7DA5" w:rsidRPr="006B7DA5" w:rsidRDefault="006B7DA5" w:rsidP="006B7DA5">
            <w:pPr>
              <w:pStyle w:val="Paragraph"/>
              <w:tabs>
                <w:tab w:val="num" w:pos="720"/>
              </w:tabs>
              <w:snapToGrid w:val="0"/>
              <w:spacing w:before="0" w:after="0"/>
              <w:ind w:left="720" w:hanging="720"/>
              <w:jc w:val="center"/>
              <w:rPr>
                <w:rFonts w:ascii="Arial" w:hAnsi="Arial" w:cs="Arial"/>
                <w:sz w:val="20"/>
                <w:lang w:val="es-HN"/>
              </w:rPr>
            </w:pPr>
            <w:r w:rsidRPr="006B7DA5">
              <w:rPr>
                <w:rFonts w:ascii="Arial" w:hAnsi="Arial" w:cs="Arial"/>
                <w:sz w:val="20"/>
                <w:lang w:val="es-HN"/>
              </w:rPr>
              <w:t>14</w:t>
            </w:r>
          </w:p>
        </w:tc>
      </w:tr>
      <w:tr w:rsidR="006B7DA5" w:rsidRPr="002141EA" w14:paraId="03019052" w14:textId="77777777" w:rsidTr="00CA5527">
        <w:trPr>
          <w:trHeight w:val="300"/>
        </w:trPr>
        <w:tc>
          <w:tcPr>
            <w:tcW w:w="4600" w:type="dxa"/>
            <w:tcBorders>
              <w:top w:val="nil"/>
              <w:left w:val="single" w:sz="8" w:space="0" w:color="auto"/>
              <w:bottom w:val="single" w:sz="4" w:space="0" w:color="auto"/>
              <w:right w:val="single" w:sz="4" w:space="0" w:color="auto"/>
            </w:tcBorders>
            <w:shd w:val="clear" w:color="auto" w:fill="auto"/>
            <w:noWrap/>
            <w:vAlign w:val="bottom"/>
            <w:hideMark/>
          </w:tcPr>
          <w:p w14:paraId="5B6AE9C5" w14:textId="45B5A1C6" w:rsidR="006B7DA5" w:rsidRPr="006B7DA5" w:rsidRDefault="006B7DA5" w:rsidP="006B7DA5">
            <w:pPr>
              <w:pStyle w:val="Paragraph"/>
              <w:tabs>
                <w:tab w:val="num" w:pos="720"/>
              </w:tabs>
              <w:snapToGrid w:val="0"/>
              <w:spacing w:before="0" w:after="0"/>
              <w:ind w:left="720" w:hanging="720"/>
              <w:rPr>
                <w:rFonts w:ascii="Arial" w:hAnsi="Arial" w:cs="Arial"/>
                <w:sz w:val="20"/>
                <w:lang w:val="es-HN"/>
              </w:rPr>
            </w:pPr>
            <w:r w:rsidRPr="006B7DA5">
              <w:rPr>
                <w:rFonts w:ascii="Arial" w:hAnsi="Arial" w:cs="Arial"/>
                <w:sz w:val="20"/>
                <w:lang w:val="es-HN"/>
              </w:rPr>
              <w:t>Repuestos</w:t>
            </w:r>
          </w:p>
        </w:tc>
        <w:tc>
          <w:tcPr>
            <w:tcW w:w="2160" w:type="dxa"/>
            <w:tcBorders>
              <w:top w:val="nil"/>
              <w:left w:val="nil"/>
              <w:bottom w:val="single" w:sz="4" w:space="0" w:color="auto"/>
              <w:right w:val="single" w:sz="4" w:space="0" w:color="auto"/>
            </w:tcBorders>
            <w:shd w:val="clear" w:color="auto" w:fill="auto"/>
            <w:noWrap/>
            <w:vAlign w:val="bottom"/>
            <w:hideMark/>
          </w:tcPr>
          <w:p w14:paraId="2F970E26" w14:textId="20BDFFFE" w:rsidR="006B7DA5" w:rsidRPr="006B7DA5" w:rsidRDefault="006B7DA5" w:rsidP="006B7DA5">
            <w:pPr>
              <w:pStyle w:val="Paragraph"/>
              <w:tabs>
                <w:tab w:val="num" w:pos="720"/>
              </w:tabs>
              <w:snapToGrid w:val="0"/>
              <w:spacing w:before="0" w:after="0"/>
              <w:ind w:left="720" w:hanging="720"/>
              <w:jc w:val="right"/>
              <w:rPr>
                <w:rFonts w:ascii="Arial" w:hAnsi="Arial" w:cs="Arial"/>
                <w:sz w:val="20"/>
                <w:lang w:val="es-HN"/>
              </w:rPr>
            </w:pPr>
            <w:r w:rsidRPr="006B7DA5">
              <w:rPr>
                <w:rFonts w:ascii="Arial" w:hAnsi="Arial" w:cs="Arial"/>
                <w:color w:val="000000"/>
                <w:sz w:val="20"/>
                <w:lang w:val="es-HN" w:eastAsia="es-HN"/>
              </w:rPr>
              <w:t>63,927.60</w:t>
            </w:r>
          </w:p>
        </w:tc>
        <w:tc>
          <w:tcPr>
            <w:tcW w:w="1350" w:type="dxa"/>
            <w:tcBorders>
              <w:top w:val="nil"/>
              <w:left w:val="nil"/>
              <w:bottom w:val="single" w:sz="4" w:space="0" w:color="auto"/>
              <w:right w:val="single" w:sz="8" w:space="0" w:color="auto"/>
            </w:tcBorders>
            <w:shd w:val="clear" w:color="auto" w:fill="auto"/>
            <w:noWrap/>
            <w:vAlign w:val="bottom"/>
            <w:hideMark/>
          </w:tcPr>
          <w:p w14:paraId="51068AA4" w14:textId="6A122EF0" w:rsidR="006B7DA5" w:rsidRPr="006B7DA5" w:rsidRDefault="006B7DA5" w:rsidP="006B7DA5">
            <w:pPr>
              <w:pStyle w:val="Paragraph"/>
              <w:tabs>
                <w:tab w:val="num" w:pos="720"/>
              </w:tabs>
              <w:snapToGrid w:val="0"/>
              <w:spacing w:before="0" w:after="0"/>
              <w:ind w:left="720" w:hanging="720"/>
              <w:jc w:val="center"/>
              <w:rPr>
                <w:rFonts w:ascii="Arial" w:hAnsi="Arial" w:cs="Arial"/>
                <w:sz w:val="20"/>
                <w:lang w:val="es-HN"/>
              </w:rPr>
            </w:pPr>
            <w:r w:rsidRPr="006B7DA5">
              <w:rPr>
                <w:rFonts w:ascii="Arial" w:hAnsi="Arial" w:cs="Arial"/>
                <w:sz w:val="20"/>
                <w:lang w:val="es-HN"/>
              </w:rPr>
              <w:t>1</w:t>
            </w:r>
          </w:p>
        </w:tc>
      </w:tr>
      <w:tr w:rsidR="006B7DA5" w:rsidRPr="002141EA" w14:paraId="14166E87" w14:textId="77777777" w:rsidTr="006B7DA5">
        <w:trPr>
          <w:trHeight w:val="197"/>
        </w:trPr>
        <w:tc>
          <w:tcPr>
            <w:tcW w:w="4600" w:type="dxa"/>
            <w:tcBorders>
              <w:top w:val="nil"/>
              <w:left w:val="single" w:sz="8" w:space="0" w:color="auto"/>
              <w:bottom w:val="single" w:sz="8" w:space="0" w:color="auto"/>
              <w:right w:val="single" w:sz="4" w:space="0" w:color="auto"/>
            </w:tcBorders>
            <w:shd w:val="clear" w:color="auto" w:fill="F2F2F2" w:themeFill="background1" w:themeFillShade="F2"/>
            <w:noWrap/>
            <w:vAlign w:val="bottom"/>
            <w:hideMark/>
          </w:tcPr>
          <w:p w14:paraId="1C121D94" w14:textId="5EC94A86" w:rsidR="006B7DA5" w:rsidRPr="006B7DA5" w:rsidRDefault="006B7DA5" w:rsidP="006B7DA5">
            <w:pPr>
              <w:pStyle w:val="Paragraph"/>
              <w:tabs>
                <w:tab w:val="num" w:pos="720"/>
              </w:tabs>
              <w:snapToGrid w:val="0"/>
              <w:spacing w:before="0" w:after="0"/>
              <w:ind w:left="720" w:hanging="720"/>
              <w:jc w:val="center"/>
              <w:rPr>
                <w:rFonts w:ascii="Arial" w:hAnsi="Arial" w:cs="Arial"/>
                <w:sz w:val="20"/>
                <w:lang w:val="es-HN"/>
              </w:rPr>
            </w:pPr>
            <w:r w:rsidRPr="006B7DA5">
              <w:rPr>
                <w:rFonts w:ascii="Arial" w:hAnsi="Arial" w:cs="Arial"/>
                <w:sz w:val="20"/>
                <w:lang w:val="es-HN"/>
              </w:rPr>
              <w:t>Total</w:t>
            </w:r>
          </w:p>
        </w:tc>
        <w:tc>
          <w:tcPr>
            <w:tcW w:w="2160" w:type="dxa"/>
            <w:tcBorders>
              <w:top w:val="nil"/>
              <w:left w:val="nil"/>
              <w:bottom w:val="single" w:sz="8" w:space="0" w:color="auto"/>
              <w:right w:val="single" w:sz="4" w:space="0" w:color="auto"/>
            </w:tcBorders>
            <w:shd w:val="clear" w:color="auto" w:fill="F2F2F2" w:themeFill="background1" w:themeFillShade="F2"/>
            <w:noWrap/>
            <w:vAlign w:val="bottom"/>
            <w:hideMark/>
          </w:tcPr>
          <w:p w14:paraId="7E057A1F" w14:textId="40DFE6B7" w:rsidR="006B7DA5" w:rsidRPr="006B7DA5" w:rsidRDefault="006B7DA5" w:rsidP="006B7DA5">
            <w:pPr>
              <w:pStyle w:val="Paragraph"/>
              <w:tabs>
                <w:tab w:val="num" w:pos="720"/>
              </w:tabs>
              <w:snapToGrid w:val="0"/>
              <w:spacing w:before="0" w:after="0"/>
              <w:ind w:left="720" w:hanging="720"/>
              <w:jc w:val="right"/>
              <w:rPr>
                <w:rFonts w:ascii="Arial" w:hAnsi="Arial" w:cs="Arial"/>
                <w:sz w:val="20"/>
                <w:lang w:val="es-HN"/>
              </w:rPr>
            </w:pPr>
            <w:r w:rsidRPr="006B7DA5">
              <w:rPr>
                <w:rFonts w:ascii="Arial" w:hAnsi="Arial" w:cs="Arial"/>
                <w:b/>
                <w:bCs/>
                <w:color w:val="000000"/>
                <w:sz w:val="20"/>
                <w:lang w:val="es-HN" w:eastAsia="es-HN"/>
              </w:rPr>
              <w:t xml:space="preserve">   4,300,000.00 </w:t>
            </w:r>
          </w:p>
        </w:tc>
        <w:tc>
          <w:tcPr>
            <w:tcW w:w="1350" w:type="dxa"/>
            <w:tcBorders>
              <w:top w:val="nil"/>
              <w:left w:val="nil"/>
              <w:bottom w:val="single" w:sz="8" w:space="0" w:color="auto"/>
              <w:right w:val="single" w:sz="8" w:space="0" w:color="auto"/>
            </w:tcBorders>
            <w:shd w:val="clear" w:color="auto" w:fill="F2F2F2" w:themeFill="background1" w:themeFillShade="F2"/>
            <w:noWrap/>
            <w:vAlign w:val="bottom"/>
            <w:hideMark/>
          </w:tcPr>
          <w:p w14:paraId="332B02C8" w14:textId="398FB10C" w:rsidR="006B7DA5" w:rsidRPr="006B7DA5" w:rsidRDefault="006B7DA5" w:rsidP="006B7DA5">
            <w:pPr>
              <w:pStyle w:val="Paragraph"/>
              <w:tabs>
                <w:tab w:val="num" w:pos="720"/>
              </w:tabs>
              <w:snapToGrid w:val="0"/>
              <w:spacing w:before="0" w:after="0"/>
              <w:ind w:left="720" w:hanging="720"/>
              <w:jc w:val="center"/>
              <w:rPr>
                <w:rFonts w:ascii="Arial" w:hAnsi="Arial" w:cs="Arial"/>
                <w:sz w:val="20"/>
                <w:lang w:val="es-HN"/>
              </w:rPr>
            </w:pPr>
            <w:r w:rsidRPr="006B7DA5">
              <w:rPr>
                <w:rFonts w:ascii="Arial" w:hAnsi="Arial" w:cs="Arial"/>
                <w:sz w:val="20"/>
                <w:lang w:val="es-HN"/>
              </w:rPr>
              <w:t>100</w:t>
            </w:r>
          </w:p>
        </w:tc>
      </w:tr>
    </w:tbl>
    <w:p w14:paraId="3B9AE98A" w14:textId="77777777" w:rsidR="00147F33" w:rsidRPr="002141EA" w:rsidRDefault="00147F33" w:rsidP="00147F33">
      <w:pPr>
        <w:pStyle w:val="Paragraph"/>
        <w:tabs>
          <w:tab w:val="num" w:pos="720"/>
        </w:tabs>
        <w:ind w:left="720" w:hanging="720"/>
        <w:rPr>
          <w:rFonts w:ascii="Arial" w:hAnsi="Arial" w:cs="Arial"/>
          <w:b/>
          <w:sz w:val="20"/>
          <w:lang w:val="es-CO"/>
        </w:rPr>
      </w:pPr>
    </w:p>
    <w:p w14:paraId="40FE2B53" w14:textId="6826E8AD" w:rsidR="00147F33" w:rsidRPr="00892E01" w:rsidRDefault="00892E01" w:rsidP="00892E01">
      <w:pPr>
        <w:pStyle w:val="Paragraph"/>
        <w:numPr>
          <w:ilvl w:val="1"/>
          <w:numId w:val="2"/>
        </w:numPr>
        <w:tabs>
          <w:tab w:val="num" w:pos="720"/>
        </w:tabs>
        <w:autoSpaceDE w:val="0"/>
        <w:autoSpaceDN w:val="0"/>
        <w:adjustRightInd w:val="0"/>
        <w:spacing w:before="0"/>
        <w:ind w:left="720" w:hanging="720"/>
        <w:rPr>
          <w:rFonts w:ascii="Arial" w:hAnsi="Arial" w:cs="Arial"/>
          <w:sz w:val="22"/>
          <w:szCs w:val="22"/>
          <w:lang w:val="es-CO"/>
        </w:rPr>
      </w:pPr>
      <w:r>
        <w:rPr>
          <w:rFonts w:ascii="Arial" w:hAnsi="Arial" w:cs="Arial"/>
          <w:sz w:val="22"/>
          <w:szCs w:val="22"/>
          <w:lang w:val="es-CO"/>
        </w:rPr>
        <w:t>Los</w:t>
      </w:r>
      <w:r w:rsidR="00147F33" w:rsidRPr="00892E01">
        <w:rPr>
          <w:rFonts w:ascii="Arial" w:hAnsi="Arial" w:cs="Arial"/>
          <w:sz w:val="22"/>
          <w:szCs w:val="22"/>
          <w:lang w:val="es-CO"/>
        </w:rPr>
        <w:t xml:space="preserve"> resultados financieros</w:t>
      </w:r>
      <w:r>
        <w:rPr>
          <w:rFonts w:ascii="Arial" w:hAnsi="Arial" w:cs="Arial"/>
          <w:sz w:val="22"/>
          <w:szCs w:val="22"/>
          <w:lang w:val="es-CO"/>
        </w:rPr>
        <w:t xml:space="preserve"> de la inversión son los presentados en el Cuadro II-1, resumidos a continuación:</w:t>
      </w:r>
    </w:p>
    <w:p w14:paraId="71D0E0F9" w14:textId="2D3A9B63" w:rsidR="00147F33" w:rsidRPr="00892E01" w:rsidRDefault="00147F33" w:rsidP="00892E01">
      <w:pPr>
        <w:pStyle w:val="Paragraph"/>
        <w:tabs>
          <w:tab w:val="num" w:pos="720"/>
        </w:tabs>
        <w:snapToGrid w:val="0"/>
        <w:spacing w:before="0" w:after="0"/>
        <w:ind w:left="1440" w:hanging="720"/>
        <w:rPr>
          <w:rFonts w:ascii="Arial" w:hAnsi="Arial" w:cs="Arial"/>
          <w:sz w:val="22"/>
          <w:szCs w:val="22"/>
          <w:lang w:val="es-CO"/>
        </w:rPr>
      </w:pPr>
      <w:bookmarkStart w:id="14" w:name="_Hlk482549110"/>
      <w:bookmarkEnd w:id="13"/>
      <w:r w:rsidRPr="00892E01">
        <w:rPr>
          <w:rFonts w:ascii="Arial" w:hAnsi="Arial" w:cs="Arial"/>
          <w:sz w:val="22"/>
          <w:szCs w:val="22"/>
          <w:lang w:val="es-CO"/>
        </w:rPr>
        <w:t>Valor Actual Neto: US</w:t>
      </w:r>
      <w:r w:rsidR="00162630" w:rsidRPr="008A6557">
        <w:rPr>
          <w:rFonts w:ascii="Arial" w:hAnsi="Arial" w:cs="Arial"/>
          <w:sz w:val="22"/>
          <w:szCs w:val="22"/>
          <w:lang w:val="es-CO"/>
        </w:rPr>
        <w:t>$</w:t>
      </w:r>
      <w:r w:rsidR="006B7DA5" w:rsidRPr="008A6557">
        <w:rPr>
          <w:rFonts w:ascii="Arial" w:hAnsi="Arial" w:cs="Arial"/>
          <w:sz w:val="22"/>
          <w:szCs w:val="22"/>
          <w:lang w:val="es-CO"/>
        </w:rPr>
        <w:t>17,040,136.90</w:t>
      </w:r>
      <w:r w:rsidR="006B7DA5" w:rsidRPr="006B7DA5">
        <w:rPr>
          <w:rFonts w:ascii="Arial" w:hAnsi="Arial" w:cs="Arial"/>
          <w:b/>
          <w:sz w:val="22"/>
          <w:szCs w:val="22"/>
          <w:lang w:val="es-CO"/>
        </w:rPr>
        <w:tab/>
      </w:r>
    </w:p>
    <w:p w14:paraId="755397C8" w14:textId="11E5D2C5" w:rsidR="00147F33" w:rsidRPr="00892E01" w:rsidRDefault="00147F33" w:rsidP="00892E01">
      <w:pPr>
        <w:pStyle w:val="Paragraph"/>
        <w:tabs>
          <w:tab w:val="num" w:pos="720"/>
        </w:tabs>
        <w:snapToGrid w:val="0"/>
        <w:spacing w:before="0" w:after="0"/>
        <w:ind w:left="1440" w:hanging="720"/>
        <w:rPr>
          <w:rFonts w:ascii="Arial" w:hAnsi="Arial" w:cs="Arial"/>
          <w:sz w:val="22"/>
          <w:szCs w:val="22"/>
          <w:lang w:val="es-CO"/>
        </w:rPr>
      </w:pPr>
      <w:r w:rsidRPr="00892E01">
        <w:rPr>
          <w:rFonts w:ascii="Arial" w:hAnsi="Arial" w:cs="Arial"/>
          <w:sz w:val="22"/>
          <w:szCs w:val="22"/>
          <w:lang w:val="es-CO"/>
        </w:rPr>
        <w:t>Tasa Interna de Retorno</w:t>
      </w:r>
      <w:r w:rsidR="008A6557">
        <w:rPr>
          <w:rFonts w:ascii="Arial" w:hAnsi="Arial" w:cs="Arial"/>
          <w:sz w:val="22"/>
          <w:szCs w:val="22"/>
          <w:lang w:val="es-CO"/>
        </w:rPr>
        <w:t xml:space="preserve"> Financiero</w:t>
      </w:r>
      <w:r w:rsidRPr="00892E01">
        <w:rPr>
          <w:rFonts w:ascii="Arial" w:hAnsi="Arial" w:cs="Arial"/>
          <w:sz w:val="22"/>
          <w:szCs w:val="22"/>
          <w:lang w:val="es-CO"/>
        </w:rPr>
        <w:t>: 4</w:t>
      </w:r>
      <w:r w:rsidR="006B7DA5">
        <w:rPr>
          <w:rFonts w:ascii="Arial" w:hAnsi="Arial" w:cs="Arial"/>
          <w:sz w:val="22"/>
          <w:szCs w:val="22"/>
          <w:lang w:val="es-CO"/>
        </w:rPr>
        <w:t>9</w:t>
      </w:r>
      <w:r w:rsidRPr="00892E01">
        <w:rPr>
          <w:rFonts w:ascii="Arial" w:hAnsi="Arial" w:cs="Arial"/>
          <w:sz w:val="22"/>
          <w:szCs w:val="22"/>
          <w:lang w:val="es-CO"/>
        </w:rPr>
        <w:t>%</w:t>
      </w:r>
    </w:p>
    <w:p w14:paraId="22F2C014" w14:textId="64CDC260" w:rsidR="00147F33" w:rsidRPr="00892E01" w:rsidRDefault="00147F33" w:rsidP="00892E01">
      <w:pPr>
        <w:pStyle w:val="Paragraph"/>
        <w:tabs>
          <w:tab w:val="num" w:pos="720"/>
        </w:tabs>
        <w:snapToGrid w:val="0"/>
        <w:spacing w:before="0" w:after="0"/>
        <w:ind w:left="1440" w:hanging="720"/>
        <w:rPr>
          <w:rFonts w:ascii="Arial" w:hAnsi="Arial" w:cs="Arial"/>
          <w:sz w:val="22"/>
          <w:szCs w:val="22"/>
          <w:lang w:val="es-CO"/>
        </w:rPr>
      </w:pPr>
      <w:r w:rsidRPr="00892E01">
        <w:rPr>
          <w:rFonts w:ascii="Arial" w:hAnsi="Arial" w:cs="Arial"/>
          <w:sz w:val="22"/>
          <w:szCs w:val="22"/>
          <w:lang w:val="es-CO"/>
        </w:rPr>
        <w:t>Horizonte de Inversión: 30 años</w:t>
      </w:r>
    </w:p>
    <w:p w14:paraId="55BF92CF" w14:textId="7B186F7E" w:rsidR="00147F33" w:rsidRDefault="00147F33" w:rsidP="00892E01">
      <w:pPr>
        <w:pStyle w:val="Paragraph"/>
        <w:tabs>
          <w:tab w:val="num" w:pos="720"/>
        </w:tabs>
        <w:snapToGrid w:val="0"/>
        <w:spacing w:before="0" w:after="0"/>
        <w:ind w:left="1440" w:hanging="720"/>
        <w:rPr>
          <w:rFonts w:ascii="Arial" w:hAnsi="Arial" w:cs="Arial"/>
          <w:sz w:val="22"/>
          <w:szCs w:val="22"/>
          <w:lang w:val="es-CO"/>
        </w:rPr>
      </w:pPr>
      <w:r w:rsidRPr="00892E01">
        <w:rPr>
          <w:rFonts w:ascii="Arial" w:hAnsi="Arial" w:cs="Arial"/>
          <w:sz w:val="22"/>
          <w:szCs w:val="22"/>
          <w:lang w:val="es-CO"/>
        </w:rPr>
        <w:t>Relación Beneficio/ Costo</w:t>
      </w:r>
      <w:r w:rsidR="00892E01" w:rsidRPr="00892E01">
        <w:rPr>
          <w:rFonts w:ascii="Arial" w:hAnsi="Arial" w:cs="Arial"/>
          <w:sz w:val="22"/>
          <w:szCs w:val="22"/>
          <w:lang w:val="es-CO"/>
        </w:rPr>
        <w:t>: 4</w:t>
      </w:r>
    </w:p>
    <w:bookmarkEnd w:id="14"/>
    <w:p w14:paraId="737A21B7" w14:textId="77777777" w:rsidR="00754C0F" w:rsidRPr="00892E01" w:rsidRDefault="00754C0F" w:rsidP="00892E01">
      <w:pPr>
        <w:pStyle w:val="Paragraph"/>
        <w:tabs>
          <w:tab w:val="num" w:pos="720"/>
        </w:tabs>
        <w:snapToGrid w:val="0"/>
        <w:spacing w:before="0" w:after="0"/>
        <w:ind w:left="1440" w:hanging="720"/>
        <w:rPr>
          <w:rFonts w:ascii="Arial" w:hAnsi="Arial" w:cs="Arial"/>
          <w:sz w:val="22"/>
          <w:szCs w:val="22"/>
          <w:lang w:val="es-CO"/>
        </w:rPr>
      </w:pPr>
    </w:p>
    <w:p w14:paraId="316FFD58" w14:textId="22B99CF9" w:rsidR="00147F33" w:rsidRPr="002F1B70" w:rsidRDefault="00754C0F" w:rsidP="00754C0F">
      <w:pPr>
        <w:pStyle w:val="Paragraph"/>
        <w:numPr>
          <w:ilvl w:val="1"/>
          <w:numId w:val="2"/>
        </w:numPr>
        <w:tabs>
          <w:tab w:val="num" w:pos="720"/>
        </w:tabs>
        <w:autoSpaceDE w:val="0"/>
        <w:autoSpaceDN w:val="0"/>
        <w:adjustRightInd w:val="0"/>
        <w:spacing w:before="0"/>
        <w:ind w:left="720" w:hanging="720"/>
        <w:rPr>
          <w:rFonts w:ascii="Arial" w:hAnsi="Arial" w:cs="Arial"/>
          <w:b/>
          <w:bCs/>
          <w:sz w:val="22"/>
          <w:szCs w:val="22"/>
          <w:lang w:val="es-CO"/>
        </w:rPr>
      </w:pPr>
      <w:r w:rsidRPr="002F1B70">
        <w:rPr>
          <w:rFonts w:ascii="Arial" w:hAnsi="Arial" w:cs="Arial"/>
          <w:b/>
          <w:sz w:val="22"/>
          <w:szCs w:val="22"/>
          <w:lang w:val="es-CO"/>
        </w:rPr>
        <w:t>Conclusiones</w:t>
      </w:r>
      <w:r w:rsidRPr="002F1B70">
        <w:rPr>
          <w:rFonts w:ascii="Arial" w:hAnsi="Arial" w:cs="Arial"/>
          <w:sz w:val="22"/>
          <w:szCs w:val="22"/>
          <w:lang w:val="es-CO"/>
        </w:rPr>
        <w:t>. Del análisis financiero de la inversi</w:t>
      </w:r>
      <w:r w:rsidR="00581017" w:rsidRPr="002F1B70">
        <w:rPr>
          <w:rFonts w:ascii="Arial" w:hAnsi="Arial" w:cs="Arial"/>
          <w:sz w:val="22"/>
          <w:szCs w:val="22"/>
          <w:lang w:val="es-CO"/>
        </w:rPr>
        <w:t>ón en SE P</w:t>
      </w:r>
      <w:r w:rsidRPr="002F1B70">
        <w:rPr>
          <w:rFonts w:ascii="Arial" w:hAnsi="Arial" w:cs="Arial"/>
          <w:sz w:val="22"/>
          <w:szCs w:val="22"/>
          <w:lang w:val="es-CO"/>
        </w:rPr>
        <w:t>rogreso se concluye</w:t>
      </w:r>
      <w:r w:rsidR="00162630">
        <w:rPr>
          <w:rFonts w:ascii="Arial" w:hAnsi="Arial" w:cs="Arial"/>
          <w:sz w:val="22"/>
          <w:szCs w:val="22"/>
          <w:lang w:val="es-CO"/>
        </w:rPr>
        <w:t xml:space="preserve"> que</w:t>
      </w:r>
      <w:r w:rsidRPr="002F1B70">
        <w:rPr>
          <w:rFonts w:ascii="Arial" w:hAnsi="Arial" w:cs="Arial"/>
          <w:sz w:val="22"/>
          <w:szCs w:val="22"/>
          <w:lang w:val="es-CO"/>
        </w:rPr>
        <w:t>:</w:t>
      </w:r>
    </w:p>
    <w:p w14:paraId="12BF0019" w14:textId="2A499B4F" w:rsidR="00147F33" w:rsidRPr="002F1B70" w:rsidRDefault="00754C0F" w:rsidP="002F1B70">
      <w:pPr>
        <w:pStyle w:val="subpar"/>
        <w:tabs>
          <w:tab w:val="clear" w:pos="2304"/>
          <w:tab w:val="num" w:pos="1440"/>
        </w:tabs>
        <w:ind w:left="1170" w:hanging="450"/>
        <w:rPr>
          <w:rFonts w:ascii="Arial" w:hAnsi="Arial" w:cs="Arial"/>
          <w:sz w:val="22"/>
          <w:szCs w:val="22"/>
          <w:lang w:val="es-CO"/>
        </w:rPr>
      </w:pPr>
      <w:r w:rsidRPr="002F1B70">
        <w:rPr>
          <w:rFonts w:ascii="Arial" w:hAnsi="Arial" w:cs="Arial"/>
          <w:sz w:val="22"/>
          <w:szCs w:val="22"/>
          <w:lang w:val="es-MX"/>
        </w:rPr>
        <w:t>El</w:t>
      </w:r>
      <w:r w:rsidR="00147F33" w:rsidRPr="002F1B70">
        <w:rPr>
          <w:rFonts w:ascii="Arial" w:hAnsi="Arial" w:cs="Arial"/>
          <w:sz w:val="22"/>
          <w:szCs w:val="22"/>
          <w:lang w:val="es-MX"/>
        </w:rPr>
        <w:t xml:space="preserve"> Proyecto “Ampliación de la SE Progreso”, es altamente beneficioso para la población objetivo, pues permitirá ampliar la capacidad de transmisión, ofreciendo una mayor cobertura eléctrica pues las condiciones del sistema serán apropiadas para ofrecer y demandar los servicios de electricidad</w:t>
      </w:r>
      <w:r w:rsidRPr="002F1B70">
        <w:rPr>
          <w:rFonts w:ascii="Arial" w:hAnsi="Arial" w:cs="Arial"/>
          <w:sz w:val="22"/>
          <w:szCs w:val="22"/>
          <w:lang w:val="es-MX"/>
        </w:rPr>
        <w:t>.</w:t>
      </w:r>
    </w:p>
    <w:p w14:paraId="1DF892DD" w14:textId="6ECC786D" w:rsidR="00147F33" w:rsidRPr="002F1B70" w:rsidRDefault="00147F33" w:rsidP="002F1B70">
      <w:pPr>
        <w:pStyle w:val="subpar"/>
        <w:tabs>
          <w:tab w:val="clear" w:pos="2304"/>
          <w:tab w:val="num" w:pos="1440"/>
        </w:tabs>
        <w:ind w:left="1170" w:hanging="450"/>
        <w:rPr>
          <w:rFonts w:ascii="Arial" w:hAnsi="Arial" w:cs="Arial"/>
          <w:sz w:val="22"/>
          <w:szCs w:val="22"/>
          <w:lang w:val="es-CO"/>
        </w:rPr>
      </w:pPr>
      <w:r w:rsidRPr="002F1B70">
        <w:rPr>
          <w:rFonts w:ascii="Arial" w:hAnsi="Arial" w:cs="Arial"/>
          <w:sz w:val="22"/>
          <w:szCs w:val="22"/>
          <w:lang w:val="es-MX"/>
        </w:rPr>
        <w:t xml:space="preserve">Desde el punto de vista de los ingresos percibidos por la energía incremental, permite al Grupo ENEE mejorar sus indicadores financieros, lo que a </w:t>
      </w:r>
      <w:r w:rsidR="00647C5C" w:rsidRPr="002F1B70">
        <w:rPr>
          <w:rFonts w:ascii="Arial" w:hAnsi="Arial" w:cs="Arial"/>
          <w:sz w:val="22"/>
          <w:szCs w:val="22"/>
          <w:lang w:val="es-MX"/>
        </w:rPr>
        <w:t>su vez</w:t>
      </w:r>
      <w:r w:rsidR="00647C5C">
        <w:rPr>
          <w:rFonts w:ascii="Arial" w:hAnsi="Arial" w:cs="Arial"/>
          <w:sz w:val="22"/>
          <w:szCs w:val="22"/>
          <w:lang w:val="es-MX"/>
        </w:rPr>
        <w:t>,</w:t>
      </w:r>
      <w:r w:rsidRPr="002F1B70">
        <w:rPr>
          <w:rFonts w:ascii="Arial" w:hAnsi="Arial" w:cs="Arial"/>
          <w:sz w:val="22"/>
          <w:szCs w:val="22"/>
          <w:lang w:val="es-MX"/>
        </w:rPr>
        <w:t xml:space="preserve"> conlleva a generar mayores recursos que permitirán ampliar las inversiones de mayor prioridad en donde se requiera.</w:t>
      </w:r>
    </w:p>
    <w:p w14:paraId="42425415" w14:textId="514DD4C6" w:rsidR="00147F33" w:rsidRPr="002F1B70" w:rsidRDefault="00147F33" w:rsidP="002F1B70">
      <w:pPr>
        <w:pStyle w:val="subpar"/>
        <w:tabs>
          <w:tab w:val="clear" w:pos="2304"/>
          <w:tab w:val="num" w:pos="1440"/>
        </w:tabs>
        <w:ind w:left="1170" w:hanging="450"/>
        <w:rPr>
          <w:rFonts w:ascii="Arial" w:hAnsi="Arial" w:cs="Arial"/>
          <w:sz w:val="22"/>
          <w:szCs w:val="22"/>
          <w:lang w:val="es-CO"/>
        </w:rPr>
      </w:pPr>
      <w:r w:rsidRPr="002F1B70">
        <w:rPr>
          <w:rFonts w:ascii="Arial" w:hAnsi="Arial" w:cs="Arial"/>
          <w:sz w:val="22"/>
          <w:szCs w:val="22"/>
          <w:lang w:val="es-CO"/>
        </w:rPr>
        <w:t>Este proyecto es además beneficioso pues toda la energía intermitente que se produce actualmente en la zona sur por los proyectos fotovoltaicos puede fluir hacia la zona Nor</w:t>
      </w:r>
      <w:r w:rsidR="00186B9E" w:rsidRPr="002F1B70">
        <w:rPr>
          <w:rFonts w:ascii="Arial" w:hAnsi="Arial" w:cs="Arial"/>
          <w:sz w:val="22"/>
          <w:szCs w:val="22"/>
          <w:lang w:val="es-CO"/>
        </w:rPr>
        <w:t>-</w:t>
      </w:r>
      <w:r w:rsidRPr="002F1B70">
        <w:rPr>
          <w:rFonts w:ascii="Arial" w:hAnsi="Arial" w:cs="Arial"/>
          <w:sz w:val="22"/>
          <w:szCs w:val="22"/>
          <w:lang w:val="es-CO"/>
        </w:rPr>
        <w:t>Atlántico y satisfacer completamente la demanda de ese mercado.</w:t>
      </w:r>
    </w:p>
    <w:p w14:paraId="78507AE4" w14:textId="5B22DF5D" w:rsidR="00E90703" w:rsidRPr="0098038D" w:rsidRDefault="00754C0F" w:rsidP="002F1B70">
      <w:pPr>
        <w:pStyle w:val="FirstHeading"/>
        <w:snapToGrid w:val="0"/>
        <w:spacing w:before="240"/>
        <w:ind w:left="720"/>
        <w:rPr>
          <w:rFonts w:ascii="Arial" w:hAnsi="Arial" w:cs="Arial"/>
          <w:sz w:val="22"/>
          <w:szCs w:val="22"/>
        </w:rPr>
      </w:pPr>
      <w:bookmarkStart w:id="15" w:name="_Toc481494024"/>
      <w:bookmarkStart w:id="16" w:name="_Toc483312821"/>
      <w:r w:rsidRPr="0098038D">
        <w:rPr>
          <w:rFonts w:ascii="Arial" w:hAnsi="Arial" w:cs="Arial"/>
          <w:sz w:val="22"/>
          <w:szCs w:val="22"/>
        </w:rPr>
        <w:t>C</w:t>
      </w:r>
      <w:r w:rsidR="00E90703" w:rsidRPr="0098038D">
        <w:rPr>
          <w:rFonts w:ascii="Arial" w:hAnsi="Arial" w:cs="Arial"/>
          <w:sz w:val="22"/>
          <w:szCs w:val="22"/>
        </w:rPr>
        <w:t>.</w:t>
      </w:r>
      <w:bookmarkEnd w:id="15"/>
      <w:r w:rsidR="00E90703" w:rsidRPr="0098038D">
        <w:rPr>
          <w:rFonts w:ascii="Arial" w:hAnsi="Arial" w:cs="Arial"/>
          <w:sz w:val="22"/>
          <w:szCs w:val="22"/>
        </w:rPr>
        <w:tab/>
      </w:r>
      <w:r w:rsidRPr="0098038D">
        <w:rPr>
          <w:rFonts w:ascii="Arial" w:hAnsi="Arial" w:cs="Arial"/>
          <w:sz w:val="22"/>
          <w:szCs w:val="22"/>
        </w:rPr>
        <w:t xml:space="preserve">SE </w:t>
      </w:r>
      <w:r w:rsidR="005E6ABC" w:rsidRPr="0098038D">
        <w:rPr>
          <w:rFonts w:ascii="Arial" w:hAnsi="Arial" w:cs="Arial"/>
          <w:sz w:val="22"/>
          <w:szCs w:val="22"/>
        </w:rPr>
        <w:t>Toncontín</w:t>
      </w:r>
      <w:bookmarkEnd w:id="16"/>
    </w:p>
    <w:p w14:paraId="63DFC8BA" w14:textId="6DA2415B" w:rsidR="005E6ABC" w:rsidRPr="0098038D" w:rsidRDefault="0098038D" w:rsidP="0098038D">
      <w:pPr>
        <w:pStyle w:val="Paragraph"/>
        <w:numPr>
          <w:ilvl w:val="1"/>
          <w:numId w:val="2"/>
        </w:numPr>
        <w:tabs>
          <w:tab w:val="num" w:pos="720"/>
        </w:tabs>
        <w:autoSpaceDE w:val="0"/>
        <w:autoSpaceDN w:val="0"/>
        <w:adjustRightInd w:val="0"/>
        <w:spacing w:before="0"/>
        <w:ind w:left="720" w:hanging="720"/>
        <w:rPr>
          <w:rFonts w:ascii="Arial" w:hAnsi="Arial" w:cs="Arial"/>
          <w:sz w:val="22"/>
          <w:szCs w:val="22"/>
        </w:rPr>
      </w:pPr>
      <w:r w:rsidRPr="0098038D">
        <w:rPr>
          <w:rFonts w:ascii="Arial" w:hAnsi="Arial" w:cs="Arial"/>
          <w:b/>
          <w:bCs/>
          <w:sz w:val="22"/>
          <w:szCs w:val="22"/>
          <w:lang w:val="es-CO"/>
        </w:rPr>
        <w:t>Alternativas</w:t>
      </w:r>
      <w:r w:rsidRPr="0098038D">
        <w:rPr>
          <w:rFonts w:ascii="Arial" w:hAnsi="Arial" w:cs="Arial"/>
          <w:b/>
          <w:sz w:val="22"/>
          <w:szCs w:val="22"/>
        </w:rPr>
        <w:t xml:space="preserve"> de solución</w:t>
      </w:r>
      <w:r w:rsidRPr="0098038D">
        <w:rPr>
          <w:rFonts w:ascii="Arial" w:hAnsi="Arial" w:cs="Arial"/>
          <w:sz w:val="22"/>
          <w:szCs w:val="22"/>
        </w:rPr>
        <w:t xml:space="preserve">. </w:t>
      </w:r>
      <w:r w:rsidRPr="0098038D">
        <w:rPr>
          <w:rFonts w:ascii="Arial" w:hAnsi="Arial" w:cs="Arial"/>
          <w:sz w:val="22"/>
          <w:szCs w:val="22"/>
          <w:lang w:val="es-CO"/>
        </w:rPr>
        <w:t xml:space="preserve">Se </w:t>
      </w:r>
      <w:r w:rsidRPr="0098038D">
        <w:rPr>
          <w:rFonts w:ascii="Arial" w:hAnsi="Arial" w:cs="Arial"/>
          <w:sz w:val="22"/>
          <w:szCs w:val="22"/>
          <w:lang w:val="es-MX"/>
        </w:rPr>
        <w:t>realizó</w:t>
      </w:r>
      <w:r w:rsidRPr="0098038D">
        <w:rPr>
          <w:rFonts w:ascii="Arial" w:hAnsi="Arial" w:cs="Arial"/>
          <w:sz w:val="22"/>
          <w:szCs w:val="22"/>
          <w:lang w:val="es-CO"/>
        </w:rPr>
        <w:t xml:space="preserve"> la evaluación técnica de las siguientes alternativas que cumplen con los criterios técnicos para solucionar el problema de insuficiente capacidad de transmisión en la SE Toncontín, en el corto plazo:</w:t>
      </w:r>
    </w:p>
    <w:p w14:paraId="0ED50468" w14:textId="60220BE6" w:rsidR="0098038D" w:rsidRPr="0098038D" w:rsidRDefault="0098038D" w:rsidP="0098038D">
      <w:pPr>
        <w:pStyle w:val="Paragraph"/>
        <w:ind w:left="720"/>
        <w:rPr>
          <w:rFonts w:ascii="Arial" w:hAnsi="Arial" w:cs="Arial"/>
          <w:sz w:val="22"/>
          <w:szCs w:val="22"/>
          <w:lang w:val="es-CO"/>
        </w:rPr>
      </w:pPr>
      <w:r w:rsidRPr="0098038D">
        <w:rPr>
          <w:rFonts w:ascii="Arial" w:hAnsi="Arial" w:cs="Arial"/>
          <w:sz w:val="22"/>
          <w:szCs w:val="22"/>
          <w:u w:val="single"/>
          <w:lang w:val="es-CO"/>
        </w:rPr>
        <w:t>Alternativa 1</w:t>
      </w:r>
      <w:r w:rsidRPr="0098038D">
        <w:rPr>
          <w:rFonts w:ascii="Arial" w:hAnsi="Arial" w:cs="Arial"/>
          <w:sz w:val="22"/>
          <w:szCs w:val="22"/>
          <w:lang w:val="es-CO"/>
        </w:rPr>
        <w:t>: Consiste en la construcción de una línea de transmisión en 230 kV entre las SE Toncontín y La Cañada de aproximadamente 6 km de longitud y la instalación de un transformador de potencia de 150 MVA 230/138 kV en la SE La Cañada.</w:t>
      </w:r>
    </w:p>
    <w:p w14:paraId="0B170DC8" w14:textId="2AD47837" w:rsidR="0098038D" w:rsidRPr="0098038D" w:rsidRDefault="0098038D" w:rsidP="0098038D">
      <w:pPr>
        <w:pStyle w:val="Paragraph"/>
        <w:ind w:left="720"/>
        <w:rPr>
          <w:rFonts w:ascii="Arial" w:hAnsi="Arial" w:cs="Arial"/>
          <w:sz w:val="22"/>
          <w:szCs w:val="22"/>
          <w:lang w:val="es-CO"/>
        </w:rPr>
      </w:pPr>
      <w:r w:rsidRPr="0098038D">
        <w:rPr>
          <w:rFonts w:ascii="Arial" w:hAnsi="Arial" w:cs="Arial"/>
          <w:sz w:val="22"/>
          <w:szCs w:val="22"/>
          <w:u w:val="single"/>
          <w:lang w:val="es-CO"/>
        </w:rPr>
        <w:t>Alternativa 2</w:t>
      </w:r>
      <w:r w:rsidRPr="0098038D">
        <w:rPr>
          <w:rFonts w:ascii="Arial" w:hAnsi="Arial" w:cs="Arial"/>
          <w:sz w:val="22"/>
          <w:szCs w:val="22"/>
          <w:lang w:val="es-CO"/>
        </w:rPr>
        <w:t xml:space="preserve">: Consiste en la construcción de una línea de transmisión en 230 kV entre las subestaciones Toncontín y Santa Fe, de aproximadamente 11 km de longitud y la instalación de un transformador de potencia de 150 MVA 230/138 kV en la </w:t>
      </w:r>
      <w:r>
        <w:rPr>
          <w:rFonts w:ascii="Arial" w:hAnsi="Arial" w:cs="Arial"/>
          <w:sz w:val="22"/>
          <w:szCs w:val="22"/>
          <w:lang w:val="es-CO"/>
        </w:rPr>
        <w:t>SE</w:t>
      </w:r>
      <w:r w:rsidRPr="0098038D">
        <w:rPr>
          <w:rFonts w:ascii="Arial" w:hAnsi="Arial" w:cs="Arial"/>
          <w:sz w:val="22"/>
          <w:szCs w:val="22"/>
          <w:lang w:val="es-CO"/>
        </w:rPr>
        <w:t xml:space="preserve"> Santa Fe.</w:t>
      </w:r>
    </w:p>
    <w:p w14:paraId="3EFFD62A" w14:textId="6B805222" w:rsidR="0098038D" w:rsidRPr="0098038D" w:rsidRDefault="0098038D" w:rsidP="0098038D">
      <w:pPr>
        <w:pStyle w:val="Paragraph"/>
        <w:ind w:left="720"/>
        <w:rPr>
          <w:rFonts w:ascii="Arial" w:hAnsi="Arial" w:cs="Arial"/>
          <w:sz w:val="22"/>
          <w:szCs w:val="22"/>
          <w:lang w:val="es-CO"/>
        </w:rPr>
      </w:pPr>
      <w:r w:rsidRPr="0098038D">
        <w:rPr>
          <w:rFonts w:ascii="Arial" w:hAnsi="Arial" w:cs="Arial"/>
          <w:sz w:val="22"/>
          <w:szCs w:val="22"/>
          <w:u w:val="single"/>
          <w:lang w:val="es-CO"/>
        </w:rPr>
        <w:lastRenderedPageBreak/>
        <w:t>Alternativa 3</w:t>
      </w:r>
      <w:r w:rsidRPr="0098038D">
        <w:rPr>
          <w:rFonts w:ascii="Arial" w:hAnsi="Arial" w:cs="Arial"/>
          <w:sz w:val="22"/>
          <w:szCs w:val="22"/>
          <w:lang w:val="es-CO"/>
        </w:rPr>
        <w:t xml:space="preserve">: Consiste en la construcción de una línea de transmisión en 230 kV entre las subestaciones Toncontín y La Cañada de aproximadamente 6 km de longitud, construcción de una línea de transmisión en 230 kV entre las </w:t>
      </w:r>
      <w:r w:rsidR="009701A1">
        <w:rPr>
          <w:rFonts w:ascii="Arial" w:hAnsi="Arial" w:cs="Arial"/>
          <w:sz w:val="22"/>
          <w:szCs w:val="22"/>
          <w:lang w:val="es-CO"/>
        </w:rPr>
        <w:t>SE</w:t>
      </w:r>
      <w:r w:rsidRPr="0098038D">
        <w:rPr>
          <w:rFonts w:ascii="Arial" w:hAnsi="Arial" w:cs="Arial"/>
          <w:sz w:val="22"/>
          <w:szCs w:val="22"/>
          <w:lang w:val="es-CO"/>
        </w:rPr>
        <w:t xml:space="preserve"> Toncontín y Santa </w:t>
      </w:r>
      <w:r w:rsidR="00931B64" w:rsidRPr="0098038D">
        <w:rPr>
          <w:rFonts w:ascii="Arial" w:hAnsi="Arial" w:cs="Arial"/>
          <w:sz w:val="22"/>
          <w:szCs w:val="22"/>
          <w:lang w:val="es-CO"/>
        </w:rPr>
        <w:t>Fe</w:t>
      </w:r>
      <w:r w:rsidR="009701A1">
        <w:rPr>
          <w:rFonts w:ascii="Arial" w:hAnsi="Arial" w:cs="Arial"/>
          <w:sz w:val="22"/>
          <w:szCs w:val="22"/>
          <w:lang w:val="es-CO"/>
        </w:rPr>
        <w:t>,</w:t>
      </w:r>
      <w:r w:rsidRPr="0098038D">
        <w:rPr>
          <w:rFonts w:ascii="Arial" w:hAnsi="Arial" w:cs="Arial"/>
          <w:sz w:val="22"/>
          <w:szCs w:val="22"/>
          <w:lang w:val="es-CO"/>
        </w:rPr>
        <w:t xml:space="preserve"> de aproximadamente 11 km de longitud, la instalación de un transformador de potencia de 150 MVA 230/138 kV en la </w:t>
      </w:r>
      <w:r>
        <w:rPr>
          <w:rFonts w:ascii="Arial" w:hAnsi="Arial" w:cs="Arial"/>
          <w:sz w:val="22"/>
          <w:szCs w:val="22"/>
          <w:lang w:val="es-CO"/>
        </w:rPr>
        <w:t>SE</w:t>
      </w:r>
      <w:r w:rsidRPr="0098038D">
        <w:rPr>
          <w:rFonts w:ascii="Arial" w:hAnsi="Arial" w:cs="Arial"/>
          <w:sz w:val="22"/>
          <w:szCs w:val="22"/>
          <w:lang w:val="es-CO"/>
        </w:rPr>
        <w:t xml:space="preserve"> La Cañada y la instalación de un transformador de potencia de 150 MVA 230/138 kV en la </w:t>
      </w:r>
      <w:r>
        <w:rPr>
          <w:rFonts w:ascii="Arial" w:hAnsi="Arial" w:cs="Arial"/>
          <w:sz w:val="22"/>
          <w:szCs w:val="22"/>
          <w:lang w:val="es-CO"/>
        </w:rPr>
        <w:t>SE</w:t>
      </w:r>
      <w:r w:rsidRPr="0098038D">
        <w:rPr>
          <w:rFonts w:ascii="Arial" w:hAnsi="Arial" w:cs="Arial"/>
          <w:sz w:val="22"/>
          <w:szCs w:val="22"/>
          <w:lang w:val="es-CO"/>
        </w:rPr>
        <w:t xml:space="preserve"> Santa Fe.</w:t>
      </w:r>
    </w:p>
    <w:p w14:paraId="4C850F0D" w14:textId="192D696A" w:rsidR="0098038D" w:rsidRPr="0098038D" w:rsidRDefault="0098038D" w:rsidP="0098038D">
      <w:pPr>
        <w:pStyle w:val="Paragraph"/>
        <w:ind w:left="720"/>
        <w:rPr>
          <w:rFonts w:ascii="Arial" w:hAnsi="Arial" w:cs="Arial"/>
          <w:sz w:val="22"/>
          <w:szCs w:val="22"/>
          <w:lang w:val="es-CO"/>
        </w:rPr>
      </w:pPr>
      <w:r w:rsidRPr="0098038D">
        <w:rPr>
          <w:rFonts w:ascii="Arial" w:hAnsi="Arial" w:cs="Arial"/>
          <w:sz w:val="22"/>
          <w:szCs w:val="22"/>
          <w:u w:val="single"/>
          <w:lang w:val="es-CO"/>
        </w:rPr>
        <w:t>Alternativa 4</w:t>
      </w:r>
      <w:r w:rsidRPr="0098038D">
        <w:rPr>
          <w:rFonts w:ascii="Arial" w:hAnsi="Arial" w:cs="Arial"/>
          <w:sz w:val="22"/>
          <w:szCs w:val="22"/>
          <w:lang w:val="es-CO"/>
        </w:rPr>
        <w:t xml:space="preserve">: Consiste en el reemplazo del actual transformador de potencia T610 de la </w:t>
      </w:r>
      <w:r>
        <w:rPr>
          <w:rFonts w:ascii="Arial" w:hAnsi="Arial" w:cs="Arial"/>
          <w:sz w:val="22"/>
          <w:szCs w:val="22"/>
          <w:lang w:val="es-CO"/>
        </w:rPr>
        <w:t>SE</w:t>
      </w:r>
      <w:r w:rsidRPr="0098038D">
        <w:rPr>
          <w:rFonts w:ascii="Arial" w:hAnsi="Arial" w:cs="Arial"/>
          <w:sz w:val="22"/>
          <w:szCs w:val="22"/>
          <w:lang w:val="es-CO"/>
        </w:rPr>
        <w:t xml:space="preserve"> Toncontín de 84 MVA 230/138 kV por uno de 150 MVA 230/138 kV. </w:t>
      </w:r>
    </w:p>
    <w:p w14:paraId="04B2345A" w14:textId="10DB4C0F" w:rsidR="0098038D" w:rsidRDefault="00AF5283" w:rsidP="00AF5283">
      <w:pPr>
        <w:pStyle w:val="Paragraph"/>
        <w:numPr>
          <w:ilvl w:val="1"/>
          <w:numId w:val="2"/>
        </w:numPr>
        <w:tabs>
          <w:tab w:val="num" w:pos="720"/>
        </w:tabs>
        <w:autoSpaceDE w:val="0"/>
        <w:autoSpaceDN w:val="0"/>
        <w:adjustRightInd w:val="0"/>
        <w:spacing w:before="0"/>
        <w:ind w:left="720" w:hanging="720"/>
        <w:rPr>
          <w:rFonts w:ascii="Arial" w:hAnsi="Arial" w:cs="Arial"/>
          <w:sz w:val="22"/>
          <w:szCs w:val="22"/>
        </w:rPr>
      </w:pPr>
      <w:r w:rsidRPr="00B96147">
        <w:rPr>
          <w:rFonts w:ascii="Arial" w:hAnsi="Arial" w:cs="Arial"/>
          <w:b/>
          <w:sz w:val="22"/>
          <w:szCs w:val="22"/>
        </w:rPr>
        <w:t xml:space="preserve">Análisis </w:t>
      </w:r>
      <w:r w:rsidRPr="00B96147">
        <w:rPr>
          <w:rFonts w:ascii="Arial" w:hAnsi="Arial" w:cs="Arial"/>
          <w:b/>
          <w:sz w:val="22"/>
          <w:szCs w:val="22"/>
          <w:lang w:val="es-CO"/>
        </w:rPr>
        <w:t>financiero</w:t>
      </w:r>
      <w:r>
        <w:rPr>
          <w:rFonts w:ascii="Arial" w:hAnsi="Arial" w:cs="Arial"/>
          <w:sz w:val="22"/>
          <w:szCs w:val="22"/>
        </w:rPr>
        <w:t xml:space="preserve">.  </w:t>
      </w:r>
      <w:r w:rsidRPr="00AF5283">
        <w:rPr>
          <w:rFonts w:ascii="Arial" w:hAnsi="Arial" w:cs="Arial"/>
          <w:sz w:val="22"/>
          <w:szCs w:val="22"/>
        </w:rPr>
        <w:t xml:space="preserve">A </w:t>
      </w:r>
      <w:r w:rsidR="00B96147" w:rsidRPr="00AF5283">
        <w:rPr>
          <w:rFonts w:ascii="Arial" w:hAnsi="Arial" w:cs="Arial"/>
          <w:sz w:val="22"/>
          <w:szCs w:val="22"/>
        </w:rPr>
        <w:t>continuación,</w:t>
      </w:r>
      <w:r w:rsidRPr="00AF5283">
        <w:rPr>
          <w:rFonts w:ascii="Arial" w:hAnsi="Arial" w:cs="Arial"/>
          <w:sz w:val="22"/>
          <w:szCs w:val="22"/>
        </w:rPr>
        <w:t xml:space="preserve"> se presentan los resultados obtenidos del Análisis Financiero. Para el cálculo del VPN se utilizó un horizonte a 30 años, y una tasa de descuento del 12 %.</w:t>
      </w:r>
    </w:p>
    <w:p w14:paraId="3F2850F4" w14:textId="23A163F3" w:rsidR="00AF5283" w:rsidRPr="00AF5283" w:rsidRDefault="00AF5283" w:rsidP="00AF5283">
      <w:pPr>
        <w:autoSpaceDE w:val="0"/>
        <w:autoSpaceDN w:val="0"/>
        <w:adjustRightInd w:val="0"/>
        <w:jc w:val="center"/>
        <w:rPr>
          <w:rFonts w:ascii="Arial" w:hAnsi="Arial" w:cs="Arial"/>
          <w:sz w:val="20"/>
          <w:lang w:val="es-CO" w:eastAsia="es-CO"/>
        </w:rPr>
      </w:pPr>
      <w:r w:rsidRPr="00AF5283">
        <w:rPr>
          <w:rFonts w:ascii="Arial" w:hAnsi="Arial" w:cs="Arial"/>
          <w:sz w:val="20"/>
          <w:lang w:val="es-CO" w:eastAsia="es-CO"/>
        </w:rPr>
        <w:t>Cuadro II-4 - Resultados del análisis financiero. Alternativa 1</w:t>
      </w:r>
    </w:p>
    <w:p w14:paraId="5C9985F0" w14:textId="4FA0785B" w:rsidR="00AF5283" w:rsidRPr="00AF5283" w:rsidRDefault="00AF5283" w:rsidP="00AF5283">
      <w:pPr>
        <w:autoSpaceDE w:val="0"/>
        <w:autoSpaceDN w:val="0"/>
        <w:adjustRightInd w:val="0"/>
        <w:spacing w:after="200" w:line="276" w:lineRule="auto"/>
        <w:ind w:hanging="540"/>
        <w:jc w:val="both"/>
        <w:rPr>
          <w:rFonts w:ascii="Calibri" w:hAnsi="Calibri" w:cs="Calibri"/>
          <w:sz w:val="22"/>
          <w:szCs w:val="22"/>
          <w:lang w:val="es-HN" w:eastAsia="es-CO"/>
        </w:rPr>
      </w:pPr>
      <w:r w:rsidRPr="00AF5283">
        <w:rPr>
          <w:rFonts w:ascii="Calibri" w:hAnsi="Calibri" w:cs="Calibri"/>
          <w:noProof/>
          <w:sz w:val="22"/>
          <w:szCs w:val="22"/>
          <w:lang w:val="en-US"/>
        </w:rPr>
        <w:drawing>
          <wp:inline distT="0" distB="0" distL="0" distR="0" wp14:anchorId="5C1C5180" wp14:editId="43505694">
            <wp:extent cx="5810250" cy="2518129"/>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857908" cy="2538784"/>
                    </a:xfrm>
                    <a:prstGeom prst="rect">
                      <a:avLst/>
                    </a:prstGeom>
                    <a:noFill/>
                    <a:ln>
                      <a:noFill/>
                    </a:ln>
                  </pic:spPr>
                </pic:pic>
              </a:graphicData>
            </a:graphic>
          </wp:inline>
        </w:drawing>
      </w:r>
    </w:p>
    <w:p w14:paraId="1671EAD1" w14:textId="77777777" w:rsidR="002809ED" w:rsidRDefault="002809ED" w:rsidP="00AF5283">
      <w:pPr>
        <w:autoSpaceDE w:val="0"/>
        <w:autoSpaceDN w:val="0"/>
        <w:adjustRightInd w:val="0"/>
        <w:jc w:val="center"/>
        <w:rPr>
          <w:rFonts w:ascii="Arial" w:hAnsi="Arial" w:cs="Arial"/>
          <w:sz w:val="20"/>
          <w:lang w:val="es-CO" w:eastAsia="es-CO"/>
        </w:rPr>
      </w:pPr>
    </w:p>
    <w:p w14:paraId="056CCB79" w14:textId="438D152B" w:rsidR="00AF5283" w:rsidRPr="00AF5283" w:rsidRDefault="00AF5283" w:rsidP="00AF5283">
      <w:pPr>
        <w:autoSpaceDE w:val="0"/>
        <w:autoSpaceDN w:val="0"/>
        <w:adjustRightInd w:val="0"/>
        <w:jc w:val="center"/>
        <w:rPr>
          <w:rFonts w:ascii="Arial" w:eastAsia="Calibri" w:hAnsi="Arial" w:cs="Arial"/>
          <w:color w:val="000000"/>
          <w:sz w:val="20"/>
          <w:lang w:val="es-HN" w:eastAsia="es-HN"/>
        </w:rPr>
      </w:pPr>
      <w:r w:rsidRPr="00AF5283">
        <w:rPr>
          <w:rFonts w:ascii="Arial" w:hAnsi="Arial" w:cs="Arial"/>
          <w:sz w:val="20"/>
          <w:lang w:val="es-CO" w:eastAsia="es-CO"/>
        </w:rPr>
        <w:t>Cuadro II-5 - Resultados del análisis financiero. Alternativa 2</w:t>
      </w:r>
    </w:p>
    <w:p w14:paraId="1130C3E6" w14:textId="4199CB60" w:rsidR="00AF5283" w:rsidRPr="00AF5283" w:rsidRDefault="00AF5283" w:rsidP="00AF5283">
      <w:pPr>
        <w:autoSpaceDE w:val="0"/>
        <w:autoSpaceDN w:val="0"/>
        <w:adjustRightInd w:val="0"/>
        <w:ind w:hanging="540"/>
        <w:rPr>
          <w:rFonts w:ascii="Arial Narrow" w:eastAsia="Calibri" w:hAnsi="Arial Narrow" w:cs="Arial Narrow"/>
          <w:color w:val="000000"/>
          <w:sz w:val="22"/>
          <w:szCs w:val="22"/>
          <w:lang w:val="es-HN" w:eastAsia="es-HN"/>
        </w:rPr>
      </w:pPr>
      <w:r w:rsidRPr="00AF5283">
        <w:rPr>
          <w:rFonts w:ascii="Arial Narrow" w:eastAsia="Calibri" w:hAnsi="Arial Narrow" w:cs="Arial Narrow"/>
          <w:noProof/>
          <w:color w:val="000000"/>
          <w:sz w:val="22"/>
          <w:szCs w:val="22"/>
          <w:lang w:val="en-US"/>
        </w:rPr>
        <w:drawing>
          <wp:inline distT="0" distB="0" distL="0" distR="0" wp14:anchorId="456F7C3B" wp14:editId="2FAC719D">
            <wp:extent cx="6600849" cy="204275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646718" cy="2056952"/>
                    </a:xfrm>
                    <a:prstGeom prst="rect">
                      <a:avLst/>
                    </a:prstGeom>
                    <a:noFill/>
                    <a:ln>
                      <a:noFill/>
                    </a:ln>
                  </pic:spPr>
                </pic:pic>
              </a:graphicData>
            </a:graphic>
          </wp:inline>
        </w:drawing>
      </w:r>
    </w:p>
    <w:p w14:paraId="18CE507F" w14:textId="77777777" w:rsidR="00B42F48" w:rsidRDefault="00B42F48" w:rsidP="00AF5283">
      <w:pPr>
        <w:autoSpaceDE w:val="0"/>
        <w:autoSpaceDN w:val="0"/>
        <w:adjustRightInd w:val="0"/>
        <w:jc w:val="center"/>
        <w:rPr>
          <w:rFonts w:ascii="Arial" w:hAnsi="Arial" w:cs="Arial"/>
          <w:sz w:val="20"/>
          <w:lang w:val="es-CO" w:eastAsia="es-CO"/>
        </w:rPr>
      </w:pPr>
    </w:p>
    <w:p w14:paraId="583C1A4B" w14:textId="77777777" w:rsidR="00723868" w:rsidRDefault="00723868" w:rsidP="00AF5283">
      <w:pPr>
        <w:autoSpaceDE w:val="0"/>
        <w:autoSpaceDN w:val="0"/>
        <w:adjustRightInd w:val="0"/>
        <w:jc w:val="center"/>
        <w:rPr>
          <w:rFonts w:ascii="Arial" w:hAnsi="Arial" w:cs="Arial"/>
          <w:sz w:val="20"/>
          <w:lang w:val="es-CO" w:eastAsia="es-CO"/>
        </w:rPr>
      </w:pPr>
    </w:p>
    <w:p w14:paraId="658DF836" w14:textId="77777777" w:rsidR="00723868" w:rsidRDefault="00723868" w:rsidP="00AF5283">
      <w:pPr>
        <w:autoSpaceDE w:val="0"/>
        <w:autoSpaceDN w:val="0"/>
        <w:adjustRightInd w:val="0"/>
        <w:jc w:val="center"/>
        <w:rPr>
          <w:rFonts w:ascii="Arial" w:hAnsi="Arial" w:cs="Arial"/>
          <w:sz w:val="20"/>
          <w:lang w:val="es-CO" w:eastAsia="es-CO"/>
        </w:rPr>
      </w:pPr>
    </w:p>
    <w:p w14:paraId="633FBD7C" w14:textId="77777777" w:rsidR="00723868" w:rsidRDefault="00723868" w:rsidP="00AF5283">
      <w:pPr>
        <w:autoSpaceDE w:val="0"/>
        <w:autoSpaceDN w:val="0"/>
        <w:adjustRightInd w:val="0"/>
        <w:jc w:val="center"/>
        <w:rPr>
          <w:rFonts w:ascii="Arial" w:hAnsi="Arial" w:cs="Arial"/>
          <w:sz w:val="20"/>
          <w:lang w:val="es-CO" w:eastAsia="es-CO"/>
        </w:rPr>
      </w:pPr>
    </w:p>
    <w:p w14:paraId="6AC4B11F" w14:textId="77777777" w:rsidR="00723868" w:rsidRDefault="00723868" w:rsidP="00AF5283">
      <w:pPr>
        <w:autoSpaceDE w:val="0"/>
        <w:autoSpaceDN w:val="0"/>
        <w:adjustRightInd w:val="0"/>
        <w:jc w:val="center"/>
        <w:rPr>
          <w:rFonts w:ascii="Arial" w:hAnsi="Arial" w:cs="Arial"/>
          <w:sz w:val="20"/>
          <w:lang w:val="es-CO" w:eastAsia="es-CO"/>
        </w:rPr>
      </w:pPr>
    </w:p>
    <w:p w14:paraId="1D129BB6" w14:textId="1E9C3C5E" w:rsidR="00AF5283" w:rsidRPr="00AF5283" w:rsidRDefault="00AF5283" w:rsidP="00AF5283">
      <w:pPr>
        <w:autoSpaceDE w:val="0"/>
        <w:autoSpaceDN w:val="0"/>
        <w:adjustRightInd w:val="0"/>
        <w:jc w:val="center"/>
        <w:rPr>
          <w:rFonts w:ascii="Arial" w:hAnsi="Arial" w:cs="Arial"/>
          <w:sz w:val="20"/>
          <w:lang w:val="es-CO" w:eastAsia="es-CO"/>
        </w:rPr>
      </w:pPr>
      <w:r w:rsidRPr="00AF5283">
        <w:rPr>
          <w:rFonts w:ascii="Arial" w:hAnsi="Arial" w:cs="Arial"/>
          <w:sz w:val="20"/>
          <w:lang w:val="es-CO" w:eastAsia="es-CO"/>
        </w:rPr>
        <w:lastRenderedPageBreak/>
        <w:t>Cuadro II-6 - Resultados del análisis financiero.  Alternativa 3</w:t>
      </w:r>
    </w:p>
    <w:p w14:paraId="5E9AB890" w14:textId="7C6B96C4" w:rsidR="00AF5283" w:rsidRPr="00AF5283" w:rsidRDefault="00AF5283" w:rsidP="00AF5283">
      <w:pPr>
        <w:keepNext/>
        <w:keepLines/>
        <w:spacing w:line="276" w:lineRule="auto"/>
        <w:ind w:hanging="900"/>
        <w:outlineLvl w:val="0"/>
        <w:rPr>
          <w:rFonts w:ascii="Arial" w:hAnsi="Arial" w:cs="Arial"/>
          <w:b/>
          <w:bCs/>
          <w:szCs w:val="24"/>
          <w:lang w:val="es-CO" w:eastAsia="es-CO"/>
        </w:rPr>
      </w:pPr>
      <w:r w:rsidRPr="00AF5283">
        <w:rPr>
          <w:rFonts w:ascii="Arial" w:hAnsi="Arial" w:cs="Arial"/>
          <w:b/>
          <w:bCs/>
          <w:noProof/>
          <w:szCs w:val="24"/>
          <w:lang w:val="en-US"/>
        </w:rPr>
        <w:drawing>
          <wp:inline distT="0" distB="0" distL="0" distR="0" wp14:anchorId="60FDD061" wp14:editId="657C834C">
            <wp:extent cx="6952022" cy="2435081"/>
            <wp:effectExtent l="0" t="0" r="127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7015409" cy="2457283"/>
                    </a:xfrm>
                    <a:prstGeom prst="rect">
                      <a:avLst/>
                    </a:prstGeom>
                    <a:noFill/>
                    <a:ln>
                      <a:noFill/>
                    </a:ln>
                  </pic:spPr>
                </pic:pic>
              </a:graphicData>
            </a:graphic>
          </wp:inline>
        </w:drawing>
      </w:r>
    </w:p>
    <w:p w14:paraId="159318F0" w14:textId="77777777" w:rsidR="00E26F9F" w:rsidRDefault="00E26F9F" w:rsidP="00AF5283">
      <w:pPr>
        <w:autoSpaceDE w:val="0"/>
        <w:autoSpaceDN w:val="0"/>
        <w:adjustRightInd w:val="0"/>
        <w:rPr>
          <w:rFonts w:ascii="Calibri" w:hAnsi="Calibri" w:cs="Calibri"/>
          <w:sz w:val="22"/>
          <w:szCs w:val="22"/>
          <w:lang w:val="es-CO" w:eastAsia="es-CO"/>
        </w:rPr>
      </w:pPr>
    </w:p>
    <w:p w14:paraId="5E6B9E9F" w14:textId="65932147" w:rsidR="00AF5283" w:rsidRPr="00AF5283" w:rsidRDefault="00AF5283" w:rsidP="00E26F9F">
      <w:pPr>
        <w:autoSpaceDE w:val="0"/>
        <w:autoSpaceDN w:val="0"/>
        <w:adjustRightInd w:val="0"/>
        <w:jc w:val="center"/>
        <w:rPr>
          <w:rFonts w:ascii="Arial Narrow" w:eastAsia="Calibri" w:hAnsi="Arial Narrow" w:cs="Arial Narrow"/>
          <w:color w:val="000000"/>
          <w:sz w:val="22"/>
          <w:szCs w:val="22"/>
          <w:lang w:val="es-HN" w:eastAsia="es-HN"/>
        </w:rPr>
      </w:pPr>
      <w:r w:rsidRPr="00AF5283">
        <w:rPr>
          <w:rFonts w:ascii="Calibri" w:hAnsi="Calibri" w:cs="Calibri"/>
          <w:sz w:val="22"/>
          <w:szCs w:val="22"/>
          <w:lang w:val="es-CO" w:eastAsia="es-CO"/>
        </w:rPr>
        <w:t xml:space="preserve">Cuadro </w:t>
      </w:r>
      <w:r w:rsidR="00E26F9F">
        <w:rPr>
          <w:rFonts w:ascii="Calibri" w:hAnsi="Calibri" w:cs="Calibri"/>
          <w:sz w:val="22"/>
          <w:szCs w:val="22"/>
          <w:lang w:val="es-CO" w:eastAsia="es-CO"/>
        </w:rPr>
        <w:t>II-7</w:t>
      </w:r>
      <w:r w:rsidRPr="00AF5283">
        <w:rPr>
          <w:rFonts w:ascii="Calibri" w:hAnsi="Calibri" w:cs="Calibri"/>
          <w:sz w:val="22"/>
          <w:szCs w:val="22"/>
          <w:lang w:val="es-CO" w:eastAsia="es-CO"/>
        </w:rPr>
        <w:t>- Resultados del análisis financiero</w:t>
      </w:r>
      <w:r w:rsidR="00E26F9F">
        <w:rPr>
          <w:rFonts w:ascii="Calibri" w:hAnsi="Calibri" w:cs="Calibri"/>
          <w:sz w:val="22"/>
          <w:szCs w:val="22"/>
          <w:lang w:val="es-CO" w:eastAsia="es-CO"/>
        </w:rPr>
        <w:t>.  A</w:t>
      </w:r>
      <w:r w:rsidRPr="00AF5283">
        <w:rPr>
          <w:rFonts w:ascii="Calibri" w:hAnsi="Calibri" w:cs="Calibri"/>
          <w:sz w:val="22"/>
          <w:szCs w:val="22"/>
          <w:lang w:val="es-CO" w:eastAsia="es-CO"/>
        </w:rPr>
        <w:t>lternativa 4</w:t>
      </w:r>
    </w:p>
    <w:p w14:paraId="618909C5" w14:textId="6CDC2B6B" w:rsidR="00AF5283" w:rsidRPr="00AF5283" w:rsidRDefault="00AF5283" w:rsidP="00AF5283">
      <w:pPr>
        <w:keepNext/>
        <w:keepLines/>
        <w:spacing w:line="276" w:lineRule="auto"/>
        <w:ind w:hanging="1170"/>
        <w:outlineLvl w:val="0"/>
        <w:rPr>
          <w:rFonts w:ascii="Arial" w:hAnsi="Arial" w:cs="Arial"/>
          <w:b/>
          <w:bCs/>
          <w:szCs w:val="24"/>
          <w:lang w:val="es-CO" w:eastAsia="es-CO"/>
        </w:rPr>
      </w:pPr>
      <w:r w:rsidRPr="00AF5283">
        <w:rPr>
          <w:rFonts w:ascii="Arial" w:hAnsi="Arial" w:cs="Arial"/>
          <w:b/>
          <w:bCs/>
          <w:noProof/>
          <w:szCs w:val="24"/>
          <w:lang w:val="en-US"/>
        </w:rPr>
        <w:drawing>
          <wp:inline distT="0" distB="0" distL="0" distR="0" wp14:anchorId="042FF721" wp14:editId="48FE338C">
            <wp:extent cx="6780392" cy="1882863"/>
            <wp:effectExtent l="0" t="0" r="1905"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846879" cy="1901326"/>
                    </a:xfrm>
                    <a:prstGeom prst="rect">
                      <a:avLst/>
                    </a:prstGeom>
                    <a:noFill/>
                    <a:ln>
                      <a:noFill/>
                    </a:ln>
                  </pic:spPr>
                </pic:pic>
              </a:graphicData>
            </a:graphic>
          </wp:inline>
        </w:drawing>
      </w:r>
    </w:p>
    <w:p w14:paraId="371CAE7E" w14:textId="77777777" w:rsidR="002A7C1E" w:rsidRDefault="002A7C1E" w:rsidP="002A7C1E">
      <w:pPr>
        <w:pStyle w:val="Paragraph"/>
        <w:tabs>
          <w:tab w:val="num" w:pos="6066"/>
        </w:tabs>
        <w:autoSpaceDE w:val="0"/>
        <w:autoSpaceDN w:val="0"/>
        <w:adjustRightInd w:val="0"/>
        <w:spacing w:before="0"/>
        <w:ind w:left="720"/>
        <w:rPr>
          <w:rFonts w:ascii="Arial" w:hAnsi="Arial" w:cs="Arial"/>
          <w:sz w:val="22"/>
          <w:szCs w:val="22"/>
          <w:lang w:val="es-CO" w:eastAsia="es-CO"/>
        </w:rPr>
      </w:pPr>
    </w:p>
    <w:p w14:paraId="2807310F" w14:textId="5475A56F" w:rsidR="002A7C1E" w:rsidRDefault="002A7C1E" w:rsidP="002A7C1E">
      <w:pPr>
        <w:pStyle w:val="Paragraph"/>
        <w:numPr>
          <w:ilvl w:val="1"/>
          <w:numId w:val="2"/>
        </w:numPr>
        <w:tabs>
          <w:tab w:val="num" w:pos="720"/>
        </w:tabs>
        <w:autoSpaceDE w:val="0"/>
        <w:autoSpaceDN w:val="0"/>
        <w:adjustRightInd w:val="0"/>
        <w:spacing w:before="0"/>
        <w:ind w:left="720" w:hanging="720"/>
        <w:rPr>
          <w:rFonts w:ascii="Arial" w:hAnsi="Arial" w:cs="Arial"/>
          <w:sz w:val="22"/>
          <w:szCs w:val="22"/>
          <w:lang w:val="es-CO" w:eastAsia="es-CO"/>
        </w:rPr>
      </w:pPr>
      <w:r w:rsidRPr="002A7C1E">
        <w:rPr>
          <w:rFonts w:ascii="Arial" w:hAnsi="Arial" w:cs="Arial"/>
          <w:sz w:val="22"/>
          <w:szCs w:val="22"/>
          <w:lang w:val="es-CO" w:eastAsia="es-CO"/>
        </w:rPr>
        <w:t>Desde el punto de vista técnico y financiero</w:t>
      </w:r>
      <w:r>
        <w:rPr>
          <w:rFonts w:ascii="Arial" w:hAnsi="Arial" w:cs="Arial"/>
          <w:sz w:val="22"/>
          <w:szCs w:val="22"/>
          <w:lang w:val="es-CO" w:eastAsia="es-CO"/>
        </w:rPr>
        <w:t>,</w:t>
      </w:r>
      <w:r w:rsidRPr="002A7C1E">
        <w:rPr>
          <w:rFonts w:ascii="Arial" w:hAnsi="Arial" w:cs="Arial"/>
          <w:sz w:val="22"/>
          <w:szCs w:val="22"/>
          <w:lang w:val="es-CO" w:eastAsia="es-CO"/>
        </w:rPr>
        <w:t xml:space="preserve"> la mejor alternativa para solucionar el problema de insuficiente capacidad de transmisión en la </w:t>
      </w:r>
      <w:r>
        <w:rPr>
          <w:rFonts w:ascii="Arial" w:hAnsi="Arial" w:cs="Arial"/>
          <w:sz w:val="22"/>
          <w:szCs w:val="22"/>
          <w:lang w:val="es-CO" w:eastAsia="es-CO"/>
        </w:rPr>
        <w:t>SE</w:t>
      </w:r>
      <w:r w:rsidR="009701A1">
        <w:rPr>
          <w:rFonts w:ascii="Arial" w:hAnsi="Arial" w:cs="Arial"/>
          <w:sz w:val="22"/>
          <w:szCs w:val="22"/>
          <w:lang w:val="es-CO" w:eastAsia="es-CO"/>
        </w:rPr>
        <w:t xml:space="preserve"> </w:t>
      </w:r>
      <w:r w:rsidRPr="002A7C1E">
        <w:rPr>
          <w:rFonts w:ascii="Arial" w:hAnsi="Arial" w:cs="Arial"/>
          <w:sz w:val="22"/>
          <w:szCs w:val="22"/>
          <w:lang w:val="es-CO" w:eastAsia="es-CO"/>
        </w:rPr>
        <w:t xml:space="preserve">Toncontín, </w:t>
      </w:r>
      <w:r>
        <w:rPr>
          <w:rFonts w:ascii="Arial" w:hAnsi="Arial" w:cs="Arial"/>
          <w:sz w:val="22"/>
          <w:szCs w:val="22"/>
          <w:lang w:val="es-CO" w:eastAsia="es-CO"/>
        </w:rPr>
        <w:t>A</w:t>
      </w:r>
      <w:r w:rsidRPr="002A7C1E">
        <w:rPr>
          <w:rFonts w:ascii="Arial" w:hAnsi="Arial" w:cs="Arial"/>
          <w:sz w:val="22"/>
          <w:szCs w:val="22"/>
          <w:lang w:val="es-CO" w:eastAsia="es-CO"/>
        </w:rPr>
        <w:t xml:space="preserve">lternativa 4 (Proyecto Ampliación de la </w:t>
      </w:r>
      <w:r>
        <w:rPr>
          <w:rFonts w:ascii="Arial" w:hAnsi="Arial" w:cs="Arial"/>
          <w:sz w:val="22"/>
          <w:szCs w:val="22"/>
          <w:lang w:val="es-CO" w:eastAsia="es-CO"/>
        </w:rPr>
        <w:t>SE</w:t>
      </w:r>
      <w:r w:rsidRPr="002A7C1E">
        <w:rPr>
          <w:rFonts w:ascii="Arial" w:hAnsi="Arial" w:cs="Arial"/>
          <w:sz w:val="22"/>
          <w:szCs w:val="22"/>
          <w:lang w:val="es-CO" w:eastAsia="es-CO"/>
        </w:rPr>
        <w:t xml:space="preserve"> Toncontín, Etapa I)</w:t>
      </w:r>
      <w:r>
        <w:rPr>
          <w:rFonts w:ascii="Arial" w:hAnsi="Arial" w:cs="Arial"/>
          <w:sz w:val="22"/>
          <w:szCs w:val="22"/>
          <w:lang w:val="es-CO" w:eastAsia="es-CO"/>
        </w:rPr>
        <w:t>.</w:t>
      </w:r>
      <w:r w:rsidRPr="002A7C1E">
        <w:rPr>
          <w:rFonts w:ascii="Arial" w:hAnsi="Arial" w:cs="Arial"/>
          <w:sz w:val="22"/>
          <w:szCs w:val="22"/>
          <w:lang w:val="es-CO" w:eastAsia="es-CO"/>
        </w:rPr>
        <w:t xml:space="preserve"> </w:t>
      </w:r>
      <w:r>
        <w:rPr>
          <w:rFonts w:ascii="Arial" w:hAnsi="Arial" w:cs="Arial"/>
          <w:sz w:val="22"/>
          <w:szCs w:val="22"/>
          <w:lang w:val="es-CO" w:eastAsia="es-CO"/>
        </w:rPr>
        <w:t>D</w:t>
      </w:r>
      <w:r w:rsidRPr="002A7C1E">
        <w:rPr>
          <w:rFonts w:ascii="Arial" w:hAnsi="Arial" w:cs="Arial"/>
          <w:sz w:val="22"/>
          <w:szCs w:val="22"/>
          <w:lang w:val="es-CO" w:eastAsia="es-CO"/>
        </w:rPr>
        <w:t>esde el punto de vista técnico</w:t>
      </w:r>
      <w:r>
        <w:rPr>
          <w:rFonts w:ascii="Arial" w:hAnsi="Arial" w:cs="Arial"/>
          <w:sz w:val="22"/>
          <w:szCs w:val="22"/>
          <w:lang w:val="es-CO" w:eastAsia="es-CO"/>
        </w:rPr>
        <w:t>,</w:t>
      </w:r>
      <w:r w:rsidRPr="002A7C1E">
        <w:rPr>
          <w:rFonts w:ascii="Arial" w:hAnsi="Arial" w:cs="Arial"/>
          <w:sz w:val="22"/>
          <w:szCs w:val="22"/>
          <w:lang w:val="es-CO" w:eastAsia="es-CO"/>
        </w:rPr>
        <w:t xml:space="preserve"> las obras por desarrollar son de menor envergadura</w:t>
      </w:r>
      <w:r>
        <w:rPr>
          <w:rFonts w:ascii="Arial" w:hAnsi="Arial" w:cs="Arial"/>
          <w:sz w:val="22"/>
          <w:szCs w:val="22"/>
          <w:lang w:val="es-CO" w:eastAsia="es-CO"/>
        </w:rPr>
        <w:t>. D</w:t>
      </w:r>
      <w:r w:rsidRPr="002A7C1E">
        <w:rPr>
          <w:rFonts w:ascii="Arial" w:hAnsi="Arial" w:cs="Arial"/>
          <w:sz w:val="22"/>
          <w:szCs w:val="22"/>
          <w:lang w:val="es-CO" w:eastAsia="es-CO"/>
        </w:rPr>
        <w:t xml:space="preserve">esde el punto de vista financiero se obtiene un VPN y una TIR mayor a las demás alternativas, siendo la </w:t>
      </w:r>
      <w:r>
        <w:rPr>
          <w:rFonts w:ascii="Arial" w:hAnsi="Arial" w:cs="Arial"/>
          <w:sz w:val="22"/>
          <w:szCs w:val="22"/>
          <w:lang w:val="es-CO" w:eastAsia="es-CO"/>
        </w:rPr>
        <w:t>recuperación de la i</w:t>
      </w:r>
      <w:r w:rsidRPr="002A7C1E">
        <w:rPr>
          <w:rFonts w:ascii="Arial" w:hAnsi="Arial" w:cs="Arial"/>
          <w:sz w:val="22"/>
          <w:szCs w:val="22"/>
          <w:lang w:val="es-CO" w:eastAsia="es-CO"/>
        </w:rPr>
        <w:t>nversión en un periodo de 4 años y la Relación Costo Beneficio mayor a 1.</w:t>
      </w:r>
    </w:p>
    <w:p w14:paraId="05470F06" w14:textId="7E3645F7" w:rsidR="00B96147" w:rsidRDefault="00B96147" w:rsidP="00723868">
      <w:pPr>
        <w:pStyle w:val="Paragraph"/>
        <w:numPr>
          <w:ilvl w:val="1"/>
          <w:numId w:val="2"/>
        </w:numPr>
        <w:tabs>
          <w:tab w:val="num" w:pos="720"/>
        </w:tabs>
        <w:autoSpaceDE w:val="0"/>
        <w:autoSpaceDN w:val="0"/>
        <w:adjustRightInd w:val="0"/>
        <w:spacing w:before="0"/>
        <w:ind w:left="720" w:hanging="720"/>
      </w:pPr>
      <w:r w:rsidRPr="00723868">
        <w:rPr>
          <w:rFonts w:ascii="Arial" w:hAnsi="Arial" w:cs="Arial"/>
          <w:b/>
          <w:sz w:val="22"/>
          <w:szCs w:val="22"/>
          <w:lang w:val="es-CO"/>
        </w:rPr>
        <w:t>Costo del Proyecto y Análisis Financiero</w:t>
      </w:r>
      <w:r w:rsidRPr="00723868">
        <w:rPr>
          <w:rFonts w:ascii="Arial" w:hAnsi="Arial" w:cs="Arial"/>
          <w:sz w:val="22"/>
          <w:szCs w:val="22"/>
          <w:lang w:val="es-CO"/>
        </w:rPr>
        <w:t xml:space="preserve">. De acuerdo con el siguiente presupuesto, realizar la </w:t>
      </w:r>
      <w:r w:rsidRPr="00723868">
        <w:rPr>
          <w:rFonts w:ascii="Arial" w:hAnsi="Arial" w:cs="Arial"/>
          <w:sz w:val="22"/>
          <w:szCs w:val="22"/>
          <w:lang w:val="es-CO" w:eastAsia="es-CO"/>
        </w:rPr>
        <w:t>ampliación</w:t>
      </w:r>
      <w:r w:rsidRPr="00723868">
        <w:rPr>
          <w:rFonts w:ascii="Arial" w:hAnsi="Arial" w:cs="Arial"/>
          <w:sz w:val="22"/>
          <w:szCs w:val="22"/>
          <w:lang w:val="es-CO"/>
        </w:rPr>
        <w:t xml:space="preserve"> de la SE To</w:t>
      </w:r>
      <w:r w:rsidR="002809ED" w:rsidRPr="00723868">
        <w:rPr>
          <w:rFonts w:ascii="Arial" w:hAnsi="Arial" w:cs="Arial"/>
          <w:sz w:val="22"/>
          <w:szCs w:val="22"/>
          <w:lang w:val="es-CO"/>
        </w:rPr>
        <w:t>n</w:t>
      </w:r>
      <w:r w:rsidRPr="00723868">
        <w:rPr>
          <w:rFonts w:ascii="Arial" w:hAnsi="Arial" w:cs="Arial"/>
          <w:sz w:val="22"/>
          <w:szCs w:val="22"/>
          <w:lang w:val="es-CO"/>
        </w:rPr>
        <w:t>contín, tiene un costo de USD 2,537,110.59, desglosados en el Cuadro II-8.</w:t>
      </w:r>
    </w:p>
    <w:tbl>
      <w:tblPr>
        <w:tblW w:w="8110" w:type="dxa"/>
        <w:tblInd w:w="800" w:type="dxa"/>
        <w:tblCellMar>
          <w:left w:w="70" w:type="dxa"/>
          <w:right w:w="70" w:type="dxa"/>
        </w:tblCellMar>
        <w:tblLook w:val="04A0" w:firstRow="1" w:lastRow="0" w:firstColumn="1" w:lastColumn="0" w:noHBand="0" w:noVBand="1"/>
      </w:tblPr>
      <w:tblGrid>
        <w:gridCol w:w="4690"/>
        <w:gridCol w:w="2430"/>
        <w:gridCol w:w="990"/>
      </w:tblGrid>
      <w:tr w:rsidR="00B96147" w:rsidRPr="002141EA" w14:paraId="3959ECDD" w14:textId="77777777" w:rsidTr="00581017">
        <w:trPr>
          <w:trHeight w:val="300"/>
        </w:trPr>
        <w:tc>
          <w:tcPr>
            <w:tcW w:w="8110" w:type="dxa"/>
            <w:gridSpan w:val="3"/>
            <w:tcBorders>
              <w:bottom w:val="single" w:sz="4" w:space="0" w:color="auto"/>
            </w:tcBorders>
            <w:shd w:val="clear" w:color="auto" w:fill="auto"/>
            <w:noWrap/>
          </w:tcPr>
          <w:p w14:paraId="338CBDCB" w14:textId="289D1FE2" w:rsidR="00B96147" w:rsidRDefault="00B96147" w:rsidP="00723868">
            <w:pPr>
              <w:pStyle w:val="Paragraph"/>
              <w:tabs>
                <w:tab w:val="num" w:pos="720"/>
              </w:tabs>
              <w:snapToGrid w:val="0"/>
              <w:spacing w:before="0" w:after="0"/>
              <w:ind w:left="720" w:hanging="720"/>
              <w:jc w:val="center"/>
              <w:rPr>
                <w:rFonts w:ascii="Arial" w:hAnsi="Arial" w:cs="Arial"/>
                <w:b/>
                <w:bCs/>
                <w:sz w:val="20"/>
                <w:lang w:val="es-HN"/>
              </w:rPr>
            </w:pPr>
            <w:r>
              <w:rPr>
                <w:rFonts w:ascii="Arial" w:hAnsi="Arial" w:cs="Arial"/>
                <w:b/>
                <w:bCs/>
                <w:sz w:val="20"/>
                <w:lang w:val="es-HN"/>
              </w:rPr>
              <w:t xml:space="preserve">Cuadro II-8.    </w:t>
            </w:r>
            <w:r w:rsidRPr="006A57DB">
              <w:rPr>
                <w:rFonts w:ascii="Arial" w:hAnsi="Arial" w:cs="Arial"/>
                <w:b/>
                <w:bCs/>
                <w:sz w:val="20"/>
                <w:lang w:val="es-HN"/>
              </w:rPr>
              <w:t xml:space="preserve">Presupuesto Ampliación SE </w:t>
            </w:r>
            <w:r>
              <w:rPr>
                <w:rFonts w:ascii="Arial" w:hAnsi="Arial" w:cs="Arial"/>
                <w:b/>
                <w:bCs/>
                <w:sz w:val="20"/>
                <w:lang w:val="es-HN"/>
              </w:rPr>
              <w:t>To</w:t>
            </w:r>
            <w:r w:rsidR="002809ED">
              <w:rPr>
                <w:rFonts w:ascii="Arial" w:hAnsi="Arial" w:cs="Arial"/>
                <w:b/>
                <w:bCs/>
                <w:sz w:val="20"/>
                <w:lang w:val="es-HN"/>
              </w:rPr>
              <w:t>n</w:t>
            </w:r>
            <w:r>
              <w:rPr>
                <w:rFonts w:ascii="Arial" w:hAnsi="Arial" w:cs="Arial"/>
                <w:b/>
                <w:bCs/>
                <w:sz w:val="20"/>
                <w:lang w:val="es-HN"/>
              </w:rPr>
              <w:t>contín</w:t>
            </w:r>
          </w:p>
        </w:tc>
      </w:tr>
      <w:tr w:rsidR="00B96147" w:rsidRPr="002141EA" w14:paraId="370B17AC" w14:textId="77777777" w:rsidTr="00D879E6">
        <w:trPr>
          <w:trHeight w:val="300"/>
        </w:trPr>
        <w:tc>
          <w:tcPr>
            <w:tcW w:w="4690"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14:paraId="49E0A523" w14:textId="77777777" w:rsidR="00B96147" w:rsidRPr="002141EA" w:rsidRDefault="00B96147" w:rsidP="00581017">
            <w:pPr>
              <w:pStyle w:val="Paragraph"/>
              <w:tabs>
                <w:tab w:val="num" w:pos="720"/>
              </w:tabs>
              <w:ind w:left="720" w:hanging="720"/>
              <w:jc w:val="center"/>
              <w:rPr>
                <w:rFonts w:ascii="Arial" w:hAnsi="Arial" w:cs="Arial"/>
                <w:b/>
                <w:bCs/>
                <w:sz w:val="20"/>
                <w:lang w:val="es-HN"/>
              </w:rPr>
            </w:pPr>
            <w:r>
              <w:rPr>
                <w:rFonts w:ascii="Arial" w:hAnsi="Arial" w:cs="Arial"/>
                <w:b/>
                <w:bCs/>
                <w:sz w:val="20"/>
                <w:lang w:val="es-HN"/>
              </w:rPr>
              <w:t>Categoría</w:t>
            </w:r>
          </w:p>
        </w:tc>
        <w:tc>
          <w:tcPr>
            <w:tcW w:w="243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4A2C1B29" w14:textId="77777777" w:rsidR="00B96147" w:rsidRPr="002141EA" w:rsidRDefault="00B96147" w:rsidP="00723868">
            <w:pPr>
              <w:pStyle w:val="Paragraph"/>
              <w:tabs>
                <w:tab w:val="num" w:pos="720"/>
              </w:tabs>
              <w:snapToGrid w:val="0"/>
              <w:spacing w:before="0" w:after="0"/>
              <w:ind w:left="720" w:hanging="720"/>
              <w:jc w:val="center"/>
              <w:rPr>
                <w:rFonts w:ascii="Arial" w:hAnsi="Arial" w:cs="Arial"/>
                <w:b/>
                <w:bCs/>
                <w:sz w:val="20"/>
                <w:lang w:val="es-HN"/>
              </w:rPr>
            </w:pPr>
            <w:r w:rsidRPr="002141EA">
              <w:rPr>
                <w:rFonts w:ascii="Arial" w:hAnsi="Arial" w:cs="Arial"/>
                <w:b/>
                <w:bCs/>
                <w:sz w:val="20"/>
                <w:lang w:val="es-HN"/>
              </w:rPr>
              <w:t>US$</w:t>
            </w:r>
          </w:p>
        </w:tc>
        <w:tc>
          <w:tcPr>
            <w:tcW w:w="990" w:type="dxa"/>
            <w:tcBorders>
              <w:top w:val="single" w:sz="4" w:space="0" w:color="auto"/>
              <w:left w:val="nil"/>
              <w:bottom w:val="single" w:sz="4" w:space="0" w:color="auto"/>
              <w:right w:val="single" w:sz="8" w:space="0" w:color="auto"/>
            </w:tcBorders>
            <w:shd w:val="clear" w:color="auto" w:fill="D9D9D9" w:themeFill="background1" w:themeFillShade="D9"/>
            <w:noWrap/>
            <w:vAlign w:val="bottom"/>
            <w:hideMark/>
          </w:tcPr>
          <w:p w14:paraId="191ADFDE" w14:textId="77777777" w:rsidR="00B96147" w:rsidRPr="002141EA" w:rsidRDefault="00B96147" w:rsidP="00723868">
            <w:pPr>
              <w:pStyle w:val="Paragraph"/>
              <w:tabs>
                <w:tab w:val="num" w:pos="720"/>
              </w:tabs>
              <w:snapToGrid w:val="0"/>
              <w:spacing w:before="0" w:after="0"/>
              <w:ind w:left="720" w:hanging="720"/>
              <w:jc w:val="center"/>
              <w:rPr>
                <w:rFonts w:ascii="Arial" w:hAnsi="Arial" w:cs="Arial"/>
                <w:b/>
                <w:bCs/>
                <w:sz w:val="20"/>
                <w:lang w:val="es-HN"/>
              </w:rPr>
            </w:pPr>
            <w:r>
              <w:rPr>
                <w:rFonts w:ascii="Arial" w:hAnsi="Arial" w:cs="Arial"/>
                <w:b/>
                <w:bCs/>
                <w:sz w:val="20"/>
                <w:lang w:val="es-HN"/>
              </w:rPr>
              <w:t>%</w:t>
            </w:r>
          </w:p>
        </w:tc>
      </w:tr>
      <w:tr w:rsidR="00B96147" w:rsidRPr="002141EA" w14:paraId="4CB5BB69" w14:textId="77777777" w:rsidTr="00D879E6">
        <w:trPr>
          <w:trHeight w:val="300"/>
        </w:trPr>
        <w:tc>
          <w:tcPr>
            <w:tcW w:w="4690" w:type="dxa"/>
            <w:tcBorders>
              <w:top w:val="nil"/>
              <w:left w:val="single" w:sz="8" w:space="0" w:color="auto"/>
              <w:bottom w:val="single" w:sz="4" w:space="0" w:color="auto"/>
              <w:right w:val="single" w:sz="4" w:space="0" w:color="auto"/>
            </w:tcBorders>
            <w:shd w:val="clear" w:color="auto" w:fill="auto"/>
            <w:noWrap/>
            <w:vAlign w:val="bottom"/>
            <w:hideMark/>
          </w:tcPr>
          <w:p w14:paraId="3F97FB06" w14:textId="3DD165B1" w:rsidR="00B96147" w:rsidRPr="00B96147" w:rsidRDefault="00CA5527" w:rsidP="00723868">
            <w:pPr>
              <w:pStyle w:val="Paragraph"/>
              <w:tabs>
                <w:tab w:val="num" w:pos="720"/>
              </w:tabs>
              <w:snapToGrid w:val="0"/>
              <w:spacing w:before="0" w:after="0"/>
              <w:ind w:left="720" w:hanging="720"/>
              <w:rPr>
                <w:rFonts w:ascii="Arial" w:hAnsi="Arial" w:cs="Arial"/>
                <w:sz w:val="20"/>
                <w:lang w:val="es-HN"/>
              </w:rPr>
            </w:pPr>
            <w:r>
              <w:rPr>
                <w:rFonts w:ascii="Arial" w:hAnsi="Arial" w:cs="Arial"/>
                <w:sz w:val="20"/>
                <w:lang w:val="es-HN"/>
              </w:rPr>
              <w:t>Equipamiento</w:t>
            </w:r>
            <w:r w:rsidR="00B96147" w:rsidRPr="00B96147">
              <w:rPr>
                <w:rFonts w:ascii="Arial" w:hAnsi="Arial" w:cs="Arial"/>
                <w:sz w:val="20"/>
                <w:lang w:val="es-HN"/>
              </w:rPr>
              <w:t xml:space="preserve">, Mano de Obra y Transporte </w:t>
            </w:r>
          </w:p>
        </w:tc>
        <w:tc>
          <w:tcPr>
            <w:tcW w:w="2430" w:type="dxa"/>
            <w:tcBorders>
              <w:top w:val="nil"/>
              <w:left w:val="nil"/>
              <w:bottom w:val="single" w:sz="4" w:space="0" w:color="auto"/>
              <w:right w:val="single" w:sz="4" w:space="0" w:color="auto"/>
            </w:tcBorders>
            <w:shd w:val="clear" w:color="auto" w:fill="auto"/>
            <w:noWrap/>
            <w:vAlign w:val="bottom"/>
            <w:hideMark/>
          </w:tcPr>
          <w:p w14:paraId="4485F157" w14:textId="28913874" w:rsidR="00B96147" w:rsidRPr="00B96147" w:rsidRDefault="00B96147" w:rsidP="00723868">
            <w:pPr>
              <w:pStyle w:val="Paragraph"/>
              <w:tabs>
                <w:tab w:val="num" w:pos="720"/>
              </w:tabs>
              <w:snapToGrid w:val="0"/>
              <w:spacing w:before="0" w:after="0"/>
              <w:ind w:left="720" w:hanging="720"/>
              <w:jc w:val="center"/>
              <w:rPr>
                <w:rFonts w:ascii="Arial" w:hAnsi="Arial" w:cs="Arial"/>
                <w:sz w:val="20"/>
                <w:lang w:val="es-HN"/>
              </w:rPr>
            </w:pPr>
            <w:r w:rsidRPr="00B96147">
              <w:rPr>
                <w:rFonts w:ascii="Arial" w:hAnsi="Arial" w:cs="Arial"/>
                <w:sz w:val="20"/>
                <w:lang w:val="es-HN"/>
              </w:rPr>
              <w:t>2,323,320.09</w:t>
            </w:r>
          </w:p>
        </w:tc>
        <w:tc>
          <w:tcPr>
            <w:tcW w:w="990" w:type="dxa"/>
            <w:tcBorders>
              <w:top w:val="nil"/>
              <w:left w:val="nil"/>
              <w:bottom w:val="single" w:sz="4" w:space="0" w:color="auto"/>
              <w:right w:val="single" w:sz="8" w:space="0" w:color="auto"/>
            </w:tcBorders>
            <w:shd w:val="clear" w:color="auto" w:fill="auto"/>
            <w:noWrap/>
            <w:vAlign w:val="bottom"/>
            <w:hideMark/>
          </w:tcPr>
          <w:p w14:paraId="6188807A" w14:textId="24BDA645" w:rsidR="00B96147" w:rsidRPr="00B96147" w:rsidRDefault="00B96147" w:rsidP="00723868">
            <w:pPr>
              <w:pStyle w:val="Paragraph"/>
              <w:tabs>
                <w:tab w:val="num" w:pos="720"/>
              </w:tabs>
              <w:snapToGrid w:val="0"/>
              <w:spacing w:before="0" w:after="0"/>
              <w:jc w:val="center"/>
              <w:rPr>
                <w:rFonts w:ascii="Arial" w:hAnsi="Arial" w:cs="Arial"/>
                <w:sz w:val="20"/>
                <w:lang w:val="es-HN"/>
              </w:rPr>
            </w:pPr>
            <w:r w:rsidRPr="00B96147">
              <w:rPr>
                <w:rFonts w:ascii="Arial" w:hAnsi="Arial" w:cs="Arial"/>
                <w:sz w:val="20"/>
                <w:lang w:val="es-HN"/>
              </w:rPr>
              <w:t>92</w:t>
            </w:r>
          </w:p>
        </w:tc>
      </w:tr>
      <w:tr w:rsidR="00B96147" w:rsidRPr="002141EA" w14:paraId="403D7444" w14:textId="77777777" w:rsidTr="00D879E6">
        <w:trPr>
          <w:trHeight w:val="300"/>
        </w:trPr>
        <w:tc>
          <w:tcPr>
            <w:tcW w:w="4690" w:type="dxa"/>
            <w:tcBorders>
              <w:top w:val="nil"/>
              <w:left w:val="single" w:sz="8" w:space="0" w:color="auto"/>
              <w:bottom w:val="single" w:sz="4" w:space="0" w:color="auto"/>
              <w:right w:val="single" w:sz="4" w:space="0" w:color="auto"/>
            </w:tcBorders>
            <w:shd w:val="clear" w:color="auto" w:fill="auto"/>
            <w:noWrap/>
            <w:vAlign w:val="bottom"/>
            <w:hideMark/>
          </w:tcPr>
          <w:p w14:paraId="72E384FB" w14:textId="77777777" w:rsidR="00B96147" w:rsidRPr="00B96147" w:rsidRDefault="00B96147" w:rsidP="00723868">
            <w:pPr>
              <w:pStyle w:val="Paragraph"/>
              <w:tabs>
                <w:tab w:val="num" w:pos="720"/>
              </w:tabs>
              <w:snapToGrid w:val="0"/>
              <w:spacing w:before="0" w:after="0"/>
              <w:ind w:left="720" w:hanging="720"/>
              <w:rPr>
                <w:rFonts w:ascii="Arial" w:hAnsi="Arial" w:cs="Arial"/>
                <w:sz w:val="20"/>
                <w:lang w:val="es-HN"/>
              </w:rPr>
            </w:pPr>
            <w:r w:rsidRPr="00B96147">
              <w:rPr>
                <w:rFonts w:ascii="Arial" w:hAnsi="Arial" w:cs="Arial"/>
                <w:sz w:val="20"/>
                <w:lang w:val="es-HN"/>
              </w:rPr>
              <w:t>Obras Civiles</w:t>
            </w:r>
          </w:p>
        </w:tc>
        <w:tc>
          <w:tcPr>
            <w:tcW w:w="2430" w:type="dxa"/>
            <w:tcBorders>
              <w:top w:val="nil"/>
              <w:left w:val="nil"/>
              <w:bottom w:val="single" w:sz="4" w:space="0" w:color="auto"/>
              <w:right w:val="single" w:sz="4" w:space="0" w:color="auto"/>
            </w:tcBorders>
            <w:shd w:val="clear" w:color="auto" w:fill="auto"/>
            <w:noWrap/>
            <w:vAlign w:val="bottom"/>
          </w:tcPr>
          <w:p w14:paraId="1D718939" w14:textId="0BF08857" w:rsidR="00B96147" w:rsidRPr="00B96147" w:rsidRDefault="00B96147" w:rsidP="00723868">
            <w:pPr>
              <w:pStyle w:val="Paragraph"/>
              <w:tabs>
                <w:tab w:val="num" w:pos="720"/>
              </w:tabs>
              <w:snapToGrid w:val="0"/>
              <w:spacing w:before="0" w:after="0"/>
              <w:ind w:left="720" w:hanging="720"/>
              <w:jc w:val="center"/>
              <w:rPr>
                <w:rFonts w:ascii="Arial" w:hAnsi="Arial" w:cs="Arial"/>
                <w:sz w:val="20"/>
                <w:lang w:val="es-HN"/>
              </w:rPr>
            </w:pPr>
            <w:r w:rsidRPr="00B96147">
              <w:rPr>
                <w:rFonts w:ascii="Arial" w:hAnsi="Arial" w:cs="Arial"/>
                <w:sz w:val="20"/>
                <w:lang w:val="es-HN"/>
              </w:rPr>
              <w:t>160,650.00</w:t>
            </w:r>
          </w:p>
        </w:tc>
        <w:tc>
          <w:tcPr>
            <w:tcW w:w="990" w:type="dxa"/>
            <w:tcBorders>
              <w:top w:val="nil"/>
              <w:left w:val="nil"/>
              <w:bottom w:val="single" w:sz="4" w:space="0" w:color="auto"/>
              <w:right w:val="single" w:sz="8" w:space="0" w:color="auto"/>
            </w:tcBorders>
            <w:shd w:val="clear" w:color="auto" w:fill="auto"/>
            <w:noWrap/>
            <w:vAlign w:val="bottom"/>
          </w:tcPr>
          <w:p w14:paraId="27AA02E3" w14:textId="03C3675F" w:rsidR="00B96147" w:rsidRPr="00B96147" w:rsidRDefault="00B96147" w:rsidP="00723868">
            <w:pPr>
              <w:pStyle w:val="Paragraph"/>
              <w:tabs>
                <w:tab w:val="num" w:pos="720"/>
              </w:tabs>
              <w:snapToGrid w:val="0"/>
              <w:spacing w:before="0" w:after="0"/>
              <w:jc w:val="center"/>
              <w:rPr>
                <w:rFonts w:ascii="Arial" w:hAnsi="Arial" w:cs="Arial"/>
                <w:sz w:val="20"/>
                <w:lang w:val="es-HN"/>
              </w:rPr>
            </w:pPr>
            <w:r w:rsidRPr="00B96147">
              <w:rPr>
                <w:rFonts w:ascii="Arial" w:hAnsi="Arial" w:cs="Arial"/>
                <w:sz w:val="20"/>
                <w:lang w:val="es-HN"/>
              </w:rPr>
              <w:t>6</w:t>
            </w:r>
          </w:p>
        </w:tc>
      </w:tr>
      <w:tr w:rsidR="00B96147" w:rsidRPr="002141EA" w14:paraId="67705FE3" w14:textId="77777777" w:rsidTr="00D879E6">
        <w:trPr>
          <w:trHeight w:val="300"/>
        </w:trPr>
        <w:tc>
          <w:tcPr>
            <w:tcW w:w="4690" w:type="dxa"/>
            <w:tcBorders>
              <w:top w:val="nil"/>
              <w:left w:val="single" w:sz="8" w:space="0" w:color="auto"/>
              <w:bottom w:val="single" w:sz="4" w:space="0" w:color="auto"/>
              <w:right w:val="single" w:sz="4" w:space="0" w:color="auto"/>
            </w:tcBorders>
            <w:shd w:val="clear" w:color="auto" w:fill="auto"/>
            <w:noWrap/>
            <w:vAlign w:val="bottom"/>
            <w:hideMark/>
          </w:tcPr>
          <w:p w14:paraId="10A21837" w14:textId="4B69B491" w:rsidR="00B96147" w:rsidRPr="00B96147" w:rsidRDefault="00B96147" w:rsidP="00723868">
            <w:pPr>
              <w:pStyle w:val="Paragraph"/>
              <w:tabs>
                <w:tab w:val="num" w:pos="720"/>
              </w:tabs>
              <w:snapToGrid w:val="0"/>
              <w:spacing w:before="0" w:after="0"/>
              <w:ind w:left="720" w:hanging="720"/>
              <w:rPr>
                <w:rFonts w:ascii="Arial" w:hAnsi="Arial" w:cs="Arial"/>
                <w:sz w:val="20"/>
                <w:lang w:val="es-HN"/>
              </w:rPr>
            </w:pPr>
            <w:r w:rsidRPr="00B96147">
              <w:rPr>
                <w:rFonts w:ascii="Arial" w:hAnsi="Arial" w:cs="Arial"/>
                <w:sz w:val="20"/>
                <w:lang w:val="es-HN"/>
              </w:rPr>
              <w:t xml:space="preserve">Repuestos </w:t>
            </w:r>
          </w:p>
        </w:tc>
        <w:tc>
          <w:tcPr>
            <w:tcW w:w="2430" w:type="dxa"/>
            <w:tcBorders>
              <w:top w:val="nil"/>
              <w:left w:val="nil"/>
              <w:bottom w:val="single" w:sz="4" w:space="0" w:color="auto"/>
              <w:right w:val="single" w:sz="4" w:space="0" w:color="auto"/>
            </w:tcBorders>
            <w:shd w:val="clear" w:color="auto" w:fill="auto"/>
            <w:noWrap/>
            <w:vAlign w:val="bottom"/>
          </w:tcPr>
          <w:p w14:paraId="3587C2B5" w14:textId="489509A4" w:rsidR="00B96147" w:rsidRPr="00B96147" w:rsidRDefault="00B96147" w:rsidP="00723868">
            <w:pPr>
              <w:pStyle w:val="Paragraph"/>
              <w:tabs>
                <w:tab w:val="num" w:pos="720"/>
              </w:tabs>
              <w:snapToGrid w:val="0"/>
              <w:spacing w:before="0" w:after="0"/>
              <w:ind w:left="720" w:hanging="720"/>
              <w:jc w:val="center"/>
              <w:rPr>
                <w:rFonts w:ascii="Arial" w:hAnsi="Arial" w:cs="Arial"/>
                <w:sz w:val="20"/>
                <w:lang w:val="es-HN"/>
              </w:rPr>
            </w:pPr>
            <w:r w:rsidRPr="00B96147">
              <w:rPr>
                <w:rFonts w:ascii="Arial" w:hAnsi="Arial" w:cs="Arial"/>
                <w:sz w:val="20"/>
                <w:lang w:val="es-HN"/>
              </w:rPr>
              <w:t>53,140.50</w:t>
            </w:r>
          </w:p>
        </w:tc>
        <w:tc>
          <w:tcPr>
            <w:tcW w:w="990" w:type="dxa"/>
            <w:tcBorders>
              <w:top w:val="nil"/>
              <w:left w:val="nil"/>
              <w:bottom w:val="single" w:sz="4" w:space="0" w:color="auto"/>
              <w:right w:val="single" w:sz="8" w:space="0" w:color="auto"/>
            </w:tcBorders>
            <w:shd w:val="clear" w:color="auto" w:fill="auto"/>
            <w:noWrap/>
            <w:vAlign w:val="bottom"/>
          </w:tcPr>
          <w:p w14:paraId="34457398" w14:textId="0F9E42CE" w:rsidR="00B96147" w:rsidRPr="00B96147" w:rsidRDefault="00B96147" w:rsidP="00723868">
            <w:pPr>
              <w:pStyle w:val="Paragraph"/>
              <w:tabs>
                <w:tab w:val="num" w:pos="720"/>
              </w:tabs>
              <w:snapToGrid w:val="0"/>
              <w:spacing w:before="0" w:after="0"/>
              <w:jc w:val="center"/>
              <w:rPr>
                <w:rFonts w:ascii="Arial" w:hAnsi="Arial" w:cs="Arial"/>
                <w:sz w:val="20"/>
                <w:lang w:val="es-HN"/>
              </w:rPr>
            </w:pPr>
            <w:r w:rsidRPr="00B96147">
              <w:rPr>
                <w:rFonts w:ascii="Arial" w:hAnsi="Arial" w:cs="Arial"/>
                <w:sz w:val="20"/>
                <w:lang w:val="es-HN"/>
              </w:rPr>
              <w:t>2</w:t>
            </w:r>
          </w:p>
        </w:tc>
      </w:tr>
      <w:tr w:rsidR="00B96147" w:rsidRPr="002141EA" w14:paraId="6BDB98B9" w14:textId="77777777" w:rsidTr="00D879E6">
        <w:trPr>
          <w:trHeight w:val="315"/>
        </w:trPr>
        <w:tc>
          <w:tcPr>
            <w:tcW w:w="4690" w:type="dxa"/>
            <w:tcBorders>
              <w:top w:val="nil"/>
              <w:left w:val="single" w:sz="8" w:space="0" w:color="auto"/>
              <w:bottom w:val="single" w:sz="8" w:space="0" w:color="auto"/>
              <w:right w:val="single" w:sz="4" w:space="0" w:color="auto"/>
            </w:tcBorders>
            <w:shd w:val="clear" w:color="auto" w:fill="D9D9D9" w:themeFill="background1" w:themeFillShade="D9"/>
            <w:noWrap/>
            <w:vAlign w:val="bottom"/>
            <w:hideMark/>
          </w:tcPr>
          <w:p w14:paraId="5D1B8737" w14:textId="77777777" w:rsidR="00B96147" w:rsidRPr="00B96147" w:rsidRDefault="00B96147" w:rsidP="00723868">
            <w:pPr>
              <w:pStyle w:val="Paragraph"/>
              <w:tabs>
                <w:tab w:val="num" w:pos="720"/>
              </w:tabs>
              <w:snapToGrid w:val="0"/>
              <w:spacing w:before="0" w:after="0"/>
              <w:ind w:left="720" w:hanging="720"/>
              <w:jc w:val="center"/>
              <w:rPr>
                <w:rFonts w:ascii="Arial" w:hAnsi="Arial" w:cs="Arial"/>
                <w:b/>
                <w:bCs/>
                <w:sz w:val="20"/>
                <w:lang w:val="es-HN"/>
              </w:rPr>
            </w:pPr>
            <w:r w:rsidRPr="00B96147">
              <w:rPr>
                <w:rFonts w:ascii="Arial" w:hAnsi="Arial" w:cs="Arial"/>
                <w:b/>
                <w:bCs/>
                <w:sz w:val="20"/>
                <w:lang w:val="es-HN"/>
              </w:rPr>
              <w:t>Total</w:t>
            </w:r>
          </w:p>
        </w:tc>
        <w:tc>
          <w:tcPr>
            <w:tcW w:w="2430" w:type="dxa"/>
            <w:tcBorders>
              <w:top w:val="nil"/>
              <w:left w:val="nil"/>
              <w:bottom w:val="single" w:sz="8" w:space="0" w:color="auto"/>
              <w:right w:val="single" w:sz="4" w:space="0" w:color="auto"/>
            </w:tcBorders>
            <w:shd w:val="clear" w:color="auto" w:fill="D9D9D9" w:themeFill="background1" w:themeFillShade="D9"/>
            <w:noWrap/>
            <w:vAlign w:val="bottom"/>
          </w:tcPr>
          <w:p w14:paraId="041F3D93" w14:textId="189FC2AE" w:rsidR="00B96147" w:rsidRPr="00B96147" w:rsidRDefault="00B96147" w:rsidP="00723868">
            <w:pPr>
              <w:pStyle w:val="Paragraph"/>
              <w:tabs>
                <w:tab w:val="num" w:pos="720"/>
              </w:tabs>
              <w:snapToGrid w:val="0"/>
              <w:spacing w:before="0" w:after="0"/>
              <w:ind w:left="720" w:hanging="720"/>
              <w:jc w:val="center"/>
              <w:rPr>
                <w:rFonts w:ascii="Arial" w:hAnsi="Arial" w:cs="Arial"/>
                <w:b/>
                <w:bCs/>
                <w:sz w:val="20"/>
                <w:lang w:val="es-HN"/>
              </w:rPr>
            </w:pPr>
            <w:r w:rsidRPr="00B96147">
              <w:rPr>
                <w:rFonts w:ascii="Arial" w:hAnsi="Arial" w:cs="Arial"/>
                <w:b/>
                <w:sz w:val="20"/>
                <w:lang w:val="es-HN"/>
              </w:rPr>
              <w:t>2,537,110.59</w:t>
            </w:r>
          </w:p>
        </w:tc>
        <w:tc>
          <w:tcPr>
            <w:tcW w:w="990" w:type="dxa"/>
            <w:tcBorders>
              <w:top w:val="nil"/>
              <w:left w:val="nil"/>
              <w:bottom w:val="single" w:sz="8" w:space="0" w:color="auto"/>
              <w:right w:val="single" w:sz="8" w:space="0" w:color="auto"/>
            </w:tcBorders>
            <w:shd w:val="clear" w:color="auto" w:fill="D9D9D9" w:themeFill="background1" w:themeFillShade="D9"/>
            <w:noWrap/>
            <w:vAlign w:val="bottom"/>
          </w:tcPr>
          <w:p w14:paraId="3D89D5CB" w14:textId="66F3A926" w:rsidR="00B96147" w:rsidRPr="00B96147" w:rsidRDefault="00B96147" w:rsidP="00723868">
            <w:pPr>
              <w:pStyle w:val="Paragraph"/>
              <w:tabs>
                <w:tab w:val="num" w:pos="720"/>
              </w:tabs>
              <w:snapToGrid w:val="0"/>
              <w:spacing w:before="0" w:after="0"/>
              <w:jc w:val="center"/>
              <w:rPr>
                <w:rFonts w:ascii="Arial" w:hAnsi="Arial" w:cs="Arial"/>
                <w:sz w:val="20"/>
                <w:lang w:val="es-HN"/>
              </w:rPr>
            </w:pPr>
            <w:r w:rsidRPr="00B96147">
              <w:rPr>
                <w:rFonts w:ascii="Arial" w:hAnsi="Arial" w:cs="Arial"/>
                <w:sz w:val="20"/>
                <w:lang w:val="es-HN"/>
              </w:rPr>
              <w:t>100</w:t>
            </w:r>
          </w:p>
        </w:tc>
      </w:tr>
    </w:tbl>
    <w:p w14:paraId="364E90F3" w14:textId="320DA8E1" w:rsidR="00B96147" w:rsidRPr="00892E01" w:rsidRDefault="00B96147" w:rsidP="00B96147">
      <w:pPr>
        <w:pStyle w:val="Paragraph"/>
        <w:numPr>
          <w:ilvl w:val="1"/>
          <w:numId w:val="2"/>
        </w:numPr>
        <w:tabs>
          <w:tab w:val="num" w:pos="720"/>
        </w:tabs>
        <w:autoSpaceDE w:val="0"/>
        <w:autoSpaceDN w:val="0"/>
        <w:adjustRightInd w:val="0"/>
        <w:spacing w:before="0"/>
        <w:ind w:left="720" w:hanging="720"/>
        <w:rPr>
          <w:rFonts w:ascii="Arial" w:hAnsi="Arial" w:cs="Arial"/>
          <w:sz w:val="22"/>
          <w:szCs w:val="22"/>
          <w:lang w:val="es-CO"/>
        </w:rPr>
      </w:pPr>
      <w:r>
        <w:rPr>
          <w:rFonts w:ascii="Arial" w:hAnsi="Arial" w:cs="Arial"/>
          <w:sz w:val="22"/>
          <w:szCs w:val="22"/>
          <w:lang w:val="es-CO"/>
        </w:rPr>
        <w:lastRenderedPageBreak/>
        <w:t>Los</w:t>
      </w:r>
      <w:r w:rsidRPr="00892E01">
        <w:rPr>
          <w:rFonts w:ascii="Arial" w:hAnsi="Arial" w:cs="Arial"/>
          <w:sz w:val="22"/>
          <w:szCs w:val="22"/>
          <w:lang w:val="es-CO"/>
        </w:rPr>
        <w:t xml:space="preserve"> resultados financieros</w:t>
      </w:r>
      <w:r>
        <w:rPr>
          <w:rFonts w:ascii="Arial" w:hAnsi="Arial" w:cs="Arial"/>
          <w:sz w:val="22"/>
          <w:szCs w:val="22"/>
          <w:lang w:val="es-CO"/>
        </w:rPr>
        <w:t xml:space="preserve"> de la inversión son los presentados en el Cuadro II-7 (</w:t>
      </w:r>
      <w:r w:rsidR="00AF2DEE">
        <w:rPr>
          <w:rFonts w:ascii="Arial" w:hAnsi="Arial" w:cs="Arial"/>
          <w:sz w:val="22"/>
          <w:szCs w:val="22"/>
          <w:lang w:val="es-CO"/>
        </w:rPr>
        <w:t>A</w:t>
      </w:r>
      <w:r>
        <w:rPr>
          <w:rFonts w:ascii="Arial" w:hAnsi="Arial" w:cs="Arial"/>
          <w:sz w:val="22"/>
          <w:szCs w:val="22"/>
          <w:lang w:val="es-CO"/>
        </w:rPr>
        <w:t>lternativa 4), resumidos a continuación:</w:t>
      </w:r>
    </w:p>
    <w:p w14:paraId="31F77967" w14:textId="16DB655F" w:rsidR="00B96147" w:rsidRPr="00892E01" w:rsidRDefault="00B96147" w:rsidP="000410E6">
      <w:pPr>
        <w:pStyle w:val="Paragraph"/>
        <w:tabs>
          <w:tab w:val="num" w:pos="720"/>
        </w:tabs>
        <w:snapToGrid w:val="0"/>
        <w:spacing w:before="0" w:after="0"/>
        <w:ind w:left="2160" w:hanging="720"/>
        <w:rPr>
          <w:rFonts w:ascii="Arial" w:hAnsi="Arial" w:cs="Arial"/>
          <w:sz w:val="22"/>
          <w:szCs w:val="22"/>
          <w:lang w:val="es-CO"/>
        </w:rPr>
      </w:pPr>
      <w:bookmarkStart w:id="17" w:name="_Hlk483309159"/>
      <w:r w:rsidRPr="00892E01">
        <w:rPr>
          <w:rFonts w:ascii="Arial" w:hAnsi="Arial" w:cs="Arial"/>
          <w:sz w:val="22"/>
          <w:szCs w:val="22"/>
          <w:lang w:val="es-CO"/>
        </w:rPr>
        <w:t>Valor Actual Neto: US</w:t>
      </w:r>
      <w:r>
        <w:rPr>
          <w:rFonts w:ascii="Arial" w:hAnsi="Arial" w:cs="Arial"/>
          <w:sz w:val="22"/>
          <w:szCs w:val="22"/>
          <w:lang w:val="es-CO"/>
        </w:rPr>
        <w:t>$</w:t>
      </w:r>
      <w:r w:rsidRPr="00892E01">
        <w:rPr>
          <w:rFonts w:ascii="Arial" w:hAnsi="Arial" w:cs="Arial"/>
          <w:sz w:val="22"/>
          <w:szCs w:val="22"/>
          <w:lang w:val="es-CO"/>
        </w:rPr>
        <w:t xml:space="preserve"> </w:t>
      </w:r>
      <w:r>
        <w:rPr>
          <w:rFonts w:ascii="Arial" w:hAnsi="Arial" w:cs="Arial"/>
          <w:sz w:val="22"/>
          <w:szCs w:val="22"/>
          <w:lang w:val="es-CO"/>
        </w:rPr>
        <w:t>6.169.089,</w:t>
      </w:r>
      <w:r w:rsidRPr="00B96147">
        <w:rPr>
          <w:rFonts w:ascii="Arial" w:hAnsi="Arial" w:cs="Arial"/>
          <w:sz w:val="22"/>
          <w:szCs w:val="22"/>
          <w:lang w:val="es-CO"/>
        </w:rPr>
        <w:t>79</w:t>
      </w:r>
      <w:r w:rsidRPr="00892E01">
        <w:rPr>
          <w:rFonts w:ascii="Arial" w:hAnsi="Arial" w:cs="Arial"/>
          <w:sz w:val="22"/>
          <w:szCs w:val="22"/>
          <w:lang w:val="es-CO"/>
        </w:rPr>
        <w:tab/>
      </w:r>
    </w:p>
    <w:p w14:paraId="7DF92CDF" w14:textId="6533BB71" w:rsidR="00B96147" w:rsidRPr="00892E01" w:rsidRDefault="00B96147" w:rsidP="000410E6">
      <w:pPr>
        <w:pStyle w:val="Paragraph"/>
        <w:tabs>
          <w:tab w:val="num" w:pos="720"/>
        </w:tabs>
        <w:snapToGrid w:val="0"/>
        <w:spacing w:before="0" w:after="0"/>
        <w:ind w:left="2160" w:hanging="720"/>
        <w:rPr>
          <w:rFonts w:ascii="Arial" w:hAnsi="Arial" w:cs="Arial"/>
          <w:sz w:val="22"/>
          <w:szCs w:val="22"/>
          <w:lang w:val="es-CO"/>
        </w:rPr>
      </w:pPr>
      <w:r w:rsidRPr="00892E01">
        <w:rPr>
          <w:rFonts w:ascii="Arial" w:hAnsi="Arial" w:cs="Arial"/>
          <w:sz w:val="22"/>
          <w:szCs w:val="22"/>
          <w:lang w:val="es-CO"/>
        </w:rPr>
        <w:t xml:space="preserve">Tasa Interna de Retorno: </w:t>
      </w:r>
      <w:r>
        <w:rPr>
          <w:rFonts w:ascii="Arial" w:hAnsi="Arial" w:cs="Arial"/>
          <w:sz w:val="22"/>
          <w:szCs w:val="22"/>
          <w:lang w:val="es-CO"/>
        </w:rPr>
        <w:t>35</w:t>
      </w:r>
      <w:r w:rsidRPr="00892E01">
        <w:rPr>
          <w:rFonts w:ascii="Arial" w:hAnsi="Arial" w:cs="Arial"/>
          <w:sz w:val="22"/>
          <w:szCs w:val="22"/>
          <w:lang w:val="es-CO"/>
        </w:rPr>
        <w:t>%</w:t>
      </w:r>
    </w:p>
    <w:bookmarkEnd w:id="17"/>
    <w:p w14:paraId="5B3B70A7" w14:textId="77777777" w:rsidR="00B96147" w:rsidRPr="00581017" w:rsidRDefault="00B96147" w:rsidP="000410E6">
      <w:pPr>
        <w:pStyle w:val="Paragraph"/>
        <w:tabs>
          <w:tab w:val="num" w:pos="720"/>
        </w:tabs>
        <w:snapToGrid w:val="0"/>
        <w:spacing w:before="0" w:after="0"/>
        <w:ind w:left="2160" w:hanging="720"/>
        <w:rPr>
          <w:rFonts w:ascii="Arial" w:hAnsi="Arial" w:cs="Arial"/>
          <w:sz w:val="22"/>
          <w:szCs w:val="22"/>
          <w:lang w:val="es-CO"/>
        </w:rPr>
      </w:pPr>
      <w:r w:rsidRPr="00581017">
        <w:rPr>
          <w:rFonts w:ascii="Arial" w:hAnsi="Arial" w:cs="Arial"/>
          <w:sz w:val="22"/>
          <w:szCs w:val="22"/>
          <w:lang w:val="es-CO"/>
        </w:rPr>
        <w:t>Horizonte de Inversión: 30 años</w:t>
      </w:r>
    </w:p>
    <w:p w14:paraId="125DAA6F" w14:textId="7161AD77" w:rsidR="00B96147" w:rsidRPr="00581017" w:rsidRDefault="00B96147" w:rsidP="000410E6">
      <w:pPr>
        <w:pStyle w:val="Paragraph"/>
        <w:tabs>
          <w:tab w:val="num" w:pos="720"/>
        </w:tabs>
        <w:snapToGrid w:val="0"/>
        <w:spacing w:before="0" w:after="0"/>
        <w:ind w:left="2160" w:hanging="720"/>
        <w:rPr>
          <w:rFonts w:ascii="Arial" w:hAnsi="Arial" w:cs="Arial"/>
          <w:sz w:val="22"/>
          <w:szCs w:val="22"/>
          <w:lang w:val="es-CO"/>
        </w:rPr>
      </w:pPr>
      <w:r w:rsidRPr="00581017">
        <w:rPr>
          <w:rFonts w:ascii="Arial" w:hAnsi="Arial" w:cs="Arial"/>
          <w:sz w:val="22"/>
          <w:szCs w:val="22"/>
          <w:lang w:val="es-CO"/>
        </w:rPr>
        <w:t>Relación Beneficio/ Costo: 3,1</w:t>
      </w:r>
    </w:p>
    <w:p w14:paraId="4B48A571" w14:textId="77777777" w:rsidR="00581017" w:rsidRPr="00581017" w:rsidRDefault="00581017" w:rsidP="00B96147">
      <w:pPr>
        <w:pStyle w:val="Paragraph"/>
        <w:tabs>
          <w:tab w:val="num" w:pos="720"/>
        </w:tabs>
        <w:snapToGrid w:val="0"/>
        <w:spacing w:before="0" w:after="0"/>
        <w:ind w:left="1440" w:hanging="720"/>
        <w:rPr>
          <w:rFonts w:ascii="Arial" w:hAnsi="Arial" w:cs="Arial"/>
          <w:sz w:val="22"/>
          <w:szCs w:val="22"/>
          <w:lang w:val="es-CO"/>
        </w:rPr>
      </w:pPr>
    </w:p>
    <w:p w14:paraId="1695E120" w14:textId="6652FEDA" w:rsidR="00754C0F" w:rsidRPr="002F1B70" w:rsidRDefault="00581017" w:rsidP="00581017">
      <w:pPr>
        <w:pStyle w:val="Paragraph"/>
        <w:numPr>
          <w:ilvl w:val="1"/>
          <w:numId w:val="2"/>
        </w:numPr>
        <w:tabs>
          <w:tab w:val="num" w:pos="720"/>
        </w:tabs>
        <w:autoSpaceDE w:val="0"/>
        <w:autoSpaceDN w:val="0"/>
        <w:adjustRightInd w:val="0"/>
        <w:spacing w:before="0"/>
        <w:ind w:left="720" w:hanging="720"/>
        <w:rPr>
          <w:rFonts w:ascii="Arial" w:hAnsi="Arial" w:cs="Arial"/>
          <w:sz w:val="22"/>
          <w:szCs w:val="22"/>
        </w:rPr>
      </w:pPr>
      <w:r w:rsidRPr="00780176">
        <w:rPr>
          <w:rFonts w:ascii="Arial" w:hAnsi="Arial" w:cs="Arial"/>
          <w:b/>
          <w:sz w:val="22"/>
          <w:szCs w:val="22"/>
        </w:rPr>
        <w:t>Conclusiones</w:t>
      </w:r>
      <w:r w:rsidRPr="00780176">
        <w:rPr>
          <w:rFonts w:ascii="Arial" w:hAnsi="Arial" w:cs="Arial"/>
          <w:sz w:val="22"/>
          <w:szCs w:val="22"/>
        </w:rPr>
        <w:t xml:space="preserve">. </w:t>
      </w:r>
      <w:r w:rsidRPr="00780176">
        <w:rPr>
          <w:rFonts w:ascii="Arial" w:hAnsi="Arial" w:cs="Arial"/>
          <w:sz w:val="22"/>
          <w:szCs w:val="22"/>
          <w:lang w:val="es-CO"/>
        </w:rPr>
        <w:t xml:space="preserve">Del análisis financiero de la inversión en SE Toncontín, se </w:t>
      </w:r>
      <w:r w:rsidRPr="002F1B70">
        <w:rPr>
          <w:rFonts w:ascii="Arial" w:hAnsi="Arial" w:cs="Arial"/>
          <w:sz w:val="22"/>
          <w:szCs w:val="22"/>
          <w:lang w:val="es-CO"/>
        </w:rPr>
        <w:t>concluye</w:t>
      </w:r>
      <w:r w:rsidR="00EE7C0F">
        <w:rPr>
          <w:rFonts w:ascii="Arial" w:hAnsi="Arial" w:cs="Arial"/>
          <w:sz w:val="22"/>
          <w:szCs w:val="22"/>
          <w:lang w:val="es-CO"/>
        </w:rPr>
        <w:t xml:space="preserve"> que</w:t>
      </w:r>
      <w:r w:rsidRPr="002F1B70">
        <w:rPr>
          <w:rFonts w:ascii="Arial" w:hAnsi="Arial" w:cs="Arial"/>
          <w:sz w:val="22"/>
          <w:szCs w:val="22"/>
          <w:lang w:val="es-CO"/>
        </w:rPr>
        <w:t>:</w:t>
      </w:r>
    </w:p>
    <w:p w14:paraId="3BF8E066" w14:textId="75E19E78" w:rsidR="00581017" w:rsidRPr="002F1B70" w:rsidRDefault="009038E8" w:rsidP="002F1B70">
      <w:pPr>
        <w:pStyle w:val="subpar"/>
        <w:tabs>
          <w:tab w:val="clear" w:pos="2304"/>
          <w:tab w:val="num" w:pos="1170"/>
        </w:tabs>
        <w:ind w:left="1170" w:hanging="450"/>
        <w:rPr>
          <w:rFonts w:ascii="Arial" w:hAnsi="Arial" w:cs="Arial"/>
          <w:sz w:val="22"/>
          <w:szCs w:val="22"/>
          <w:lang w:val="es-CO"/>
        </w:rPr>
      </w:pPr>
      <w:r>
        <w:rPr>
          <w:rFonts w:ascii="Arial" w:hAnsi="Arial" w:cs="Arial"/>
          <w:bCs/>
          <w:sz w:val="22"/>
          <w:szCs w:val="22"/>
          <w:lang w:val="es-ES"/>
        </w:rPr>
        <w:t>E</w:t>
      </w:r>
      <w:r w:rsidRPr="009038E8">
        <w:rPr>
          <w:rFonts w:ascii="Arial" w:hAnsi="Arial" w:cs="Arial"/>
          <w:bCs/>
          <w:sz w:val="22"/>
          <w:szCs w:val="22"/>
          <w:lang w:val="es-ES"/>
        </w:rPr>
        <w:t xml:space="preserve">l proyecto es rentable desde el punto de vista </w:t>
      </w:r>
      <w:r w:rsidR="00AF2DEE">
        <w:rPr>
          <w:rFonts w:ascii="Arial" w:hAnsi="Arial" w:cs="Arial"/>
          <w:bCs/>
          <w:sz w:val="22"/>
          <w:szCs w:val="22"/>
          <w:lang w:val="es-ES"/>
        </w:rPr>
        <w:t>financiero</w:t>
      </w:r>
      <w:r>
        <w:rPr>
          <w:rFonts w:ascii="Arial" w:hAnsi="Arial" w:cs="Arial"/>
          <w:bCs/>
          <w:sz w:val="22"/>
          <w:szCs w:val="22"/>
          <w:lang w:val="es-ES"/>
        </w:rPr>
        <w:t>.</w:t>
      </w:r>
      <w:r w:rsidRPr="009038E8">
        <w:rPr>
          <w:rFonts w:ascii="Arial" w:hAnsi="Arial" w:cs="Arial"/>
          <w:bCs/>
          <w:sz w:val="22"/>
          <w:szCs w:val="22"/>
          <w:lang w:val="es-ES"/>
        </w:rPr>
        <w:t xml:space="preserve"> </w:t>
      </w:r>
      <w:r w:rsidR="00780176" w:rsidRPr="002F1B70">
        <w:rPr>
          <w:rFonts w:ascii="Arial" w:hAnsi="Arial" w:cs="Arial"/>
          <w:bCs/>
          <w:sz w:val="22"/>
          <w:szCs w:val="22"/>
          <w:lang w:val="es-ES"/>
        </w:rPr>
        <w:t xml:space="preserve">La </w:t>
      </w:r>
      <w:r w:rsidR="00780176" w:rsidRPr="002F1B70">
        <w:rPr>
          <w:rFonts w:ascii="Arial" w:hAnsi="Arial" w:cs="Arial"/>
          <w:bCs/>
          <w:sz w:val="22"/>
          <w:szCs w:val="22"/>
        </w:rPr>
        <w:t>ampliación</w:t>
      </w:r>
      <w:r w:rsidR="00581017" w:rsidRPr="002F1B70">
        <w:rPr>
          <w:rFonts w:ascii="Arial" w:hAnsi="Arial" w:cs="Arial"/>
          <w:bCs/>
          <w:sz w:val="22"/>
          <w:szCs w:val="22"/>
        </w:rPr>
        <w:t xml:space="preserve"> de la </w:t>
      </w:r>
      <w:r w:rsidR="00780176" w:rsidRPr="002F1B70">
        <w:rPr>
          <w:rFonts w:ascii="Arial" w:hAnsi="Arial" w:cs="Arial"/>
          <w:bCs/>
          <w:sz w:val="22"/>
          <w:szCs w:val="22"/>
        </w:rPr>
        <w:t>SE</w:t>
      </w:r>
      <w:r w:rsidR="00581017" w:rsidRPr="002F1B70">
        <w:rPr>
          <w:rFonts w:ascii="Arial" w:hAnsi="Arial" w:cs="Arial"/>
          <w:bCs/>
          <w:sz w:val="22"/>
          <w:szCs w:val="22"/>
        </w:rPr>
        <w:t xml:space="preserve"> Toncontín Etapa I es </w:t>
      </w:r>
      <w:r w:rsidR="00D174EE">
        <w:rPr>
          <w:rFonts w:ascii="Arial" w:hAnsi="Arial" w:cs="Arial"/>
          <w:bCs/>
          <w:sz w:val="22"/>
          <w:szCs w:val="22"/>
        </w:rPr>
        <w:t>financieramente viable, operativamente sostenible</w:t>
      </w:r>
      <w:r w:rsidR="00D174EE" w:rsidRPr="00D174EE">
        <w:rPr>
          <w:rFonts w:ascii="Trebuchet MS" w:eastAsiaTheme="minorHAnsi" w:hAnsi="Trebuchet MS" w:cstheme="minorBidi"/>
          <w:sz w:val="22"/>
          <w:szCs w:val="22"/>
          <w:lang w:val="es-ES"/>
        </w:rPr>
        <w:t xml:space="preserve"> </w:t>
      </w:r>
      <w:r w:rsidR="00D174EE">
        <w:rPr>
          <w:rFonts w:ascii="Trebuchet MS" w:eastAsiaTheme="minorHAnsi" w:hAnsi="Trebuchet MS" w:cstheme="minorBidi"/>
          <w:sz w:val="22"/>
          <w:szCs w:val="22"/>
          <w:lang w:val="es-ES"/>
        </w:rPr>
        <w:t>(</w:t>
      </w:r>
      <w:r w:rsidR="00D174EE" w:rsidRPr="00D174EE">
        <w:rPr>
          <w:rFonts w:ascii="Arial" w:hAnsi="Arial" w:cs="Arial"/>
          <w:bCs/>
          <w:sz w:val="22"/>
          <w:szCs w:val="22"/>
          <w:lang w:val="es-ES"/>
        </w:rPr>
        <w:t xml:space="preserve">el valor presente de los ingresos operativos netos </w:t>
      </w:r>
      <w:r w:rsidR="00D174EE">
        <w:rPr>
          <w:rFonts w:ascii="Arial" w:hAnsi="Arial" w:cs="Arial"/>
          <w:bCs/>
          <w:sz w:val="22"/>
          <w:szCs w:val="22"/>
          <w:lang w:val="es-ES"/>
        </w:rPr>
        <w:t>es</w:t>
      </w:r>
      <w:r w:rsidR="00D174EE" w:rsidRPr="00D174EE">
        <w:rPr>
          <w:rFonts w:ascii="Arial" w:hAnsi="Arial" w:cs="Arial"/>
          <w:bCs/>
          <w:sz w:val="22"/>
          <w:szCs w:val="22"/>
          <w:lang w:val="es-ES"/>
        </w:rPr>
        <w:t xml:space="preserve"> positivo</w:t>
      </w:r>
      <w:r w:rsidR="00D174EE">
        <w:rPr>
          <w:rFonts w:ascii="Arial" w:hAnsi="Arial" w:cs="Arial"/>
          <w:bCs/>
          <w:sz w:val="22"/>
          <w:szCs w:val="22"/>
          <w:lang w:val="es-ES"/>
        </w:rPr>
        <w:t>)</w:t>
      </w:r>
      <w:r w:rsidR="00D174EE">
        <w:rPr>
          <w:rFonts w:ascii="Arial" w:hAnsi="Arial" w:cs="Arial"/>
          <w:bCs/>
          <w:sz w:val="22"/>
          <w:szCs w:val="22"/>
        </w:rPr>
        <w:t xml:space="preserve"> y</w:t>
      </w:r>
      <w:r w:rsidR="00581017" w:rsidRPr="002F1B70">
        <w:rPr>
          <w:rFonts w:ascii="Arial" w:hAnsi="Arial" w:cs="Arial"/>
          <w:bCs/>
          <w:sz w:val="22"/>
          <w:szCs w:val="22"/>
        </w:rPr>
        <w:t xml:space="preserve"> beneficios</w:t>
      </w:r>
      <w:r w:rsidR="00780176" w:rsidRPr="002F1B70">
        <w:rPr>
          <w:rFonts w:ascii="Arial" w:hAnsi="Arial" w:cs="Arial"/>
          <w:bCs/>
          <w:sz w:val="22"/>
          <w:szCs w:val="22"/>
        </w:rPr>
        <w:t>a</w:t>
      </w:r>
      <w:r w:rsidR="00581017" w:rsidRPr="002F1B70">
        <w:rPr>
          <w:rFonts w:ascii="Arial" w:hAnsi="Arial" w:cs="Arial"/>
          <w:bCs/>
          <w:sz w:val="22"/>
          <w:szCs w:val="22"/>
        </w:rPr>
        <w:t xml:space="preserve"> para la población </w:t>
      </w:r>
      <w:r w:rsidR="00581017" w:rsidRPr="002F1B70">
        <w:rPr>
          <w:rFonts w:ascii="Arial" w:hAnsi="Arial" w:cs="Arial"/>
          <w:sz w:val="22"/>
          <w:szCs w:val="22"/>
          <w:lang w:val="es-CO"/>
        </w:rPr>
        <w:t xml:space="preserve">objetivo, </w:t>
      </w:r>
      <w:r w:rsidR="00D174EE">
        <w:rPr>
          <w:rFonts w:ascii="Arial" w:hAnsi="Arial" w:cs="Arial"/>
          <w:sz w:val="22"/>
          <w:szCs w:val="22"/>
          <w:lang w:val="es-CO"/>
        </w:rPr>
        <w:t>al permitir</w:t>
      </w:r>
      <w:r w:rsidR="00581017" w:rsidRPr="002F1B70">
        <w:rPr>
          <w:rFonts w:ascii="Arial" w:hAnsi="Arial" w:cs="Arial"/>
          <w:sz w:val="22"/>
          <w:szCs w:val="22"/>
          <w:lang w:val="es-CO"/>
        </w:rPr>
        <w:t xml:space="preserve"> ampl</w:t>
      </w:r>
      <w:r w:rsidR="00D174EE">
        <w:rPr>
          <w:rFonts w:ascii="Arial" w:hAnsi="Arial" w:cs="Arial"/>
          <w:sz w:val="22"/>
          <w:szCs w:val="22"/>
          <w:lang w:val="es-CO"/>
        </w:rPr>
        <w:t>iar la capacidad de transmisión</w:t>
      </w:r>
      <w:r w:rsidR="00581017" w:rsidRPr="002F1B70">
        <w:rPr>
          <w:rFonts w:ascii="Arial" w:hAnsi="Arial" w:cs="Arial"/>
          <w:sz w:val="22"/>
          <w:szCs w:val="22"/>
          <w:lang w:val="es-CO"/>
        </w:rPr>
        <w:t xml:space="preserve"> </w:t>
      </w:r>
      <w:r w:rsidR="00186B9E" w:rsidRPr="002F1B70">
        <w:rPr>
          <w:rFonts w:ascii="Arial" w:hAnsi="Arial" w:cs="Arial"/>
          <w:sz w:val="22"/>
          <w:szCs w:val="22"/>
          <w:lang w:val="es-CO"/>
        </w:rPr>
        <w:t xml:space="preserve">ofreciendo </w:t>
      </w:r>
      <w:r w:rsidR="00581017" w:rsidRPr="002F1B70">
        <w:rPr>
          <w:rFonts w:ascii="Arial" w:hAnsi="Arial" w:cs="Arial"/>
          <w:sz w:val="22"/>
          <w:szCs w:val="22"/>
          <w:lang w:val="es-CO"/>
        </w:rPr>
        <w:t>mayor cobertura eléctrica</w:t>
      </w:r>
      <w:r w:rsidR="00780176" w:rsidRPr="002F1B70">
        <w:rPr>
          <w:rFonts w:ascii="Arial" w:hAnsi="Arial" w:cs="Arial"/>
          <w:sz w:val="22"/>
          <w:szCs w:val="22"/>
          <w:lang w:val="es-CO"/>
        </w:rPr>
        <w:t>,</w:t>
      </w:r>
      <w:r w:rsidR="00581017" w:rsidRPr="002F1B70">
        <w:rPr>
          <w:rFonts w:ascii="Arial" w:hAnsi="Arial" w:cs="Arial"/>
          <w:sz w:val="22"/>
          <w:szCs w:val="22"/>
          <w:lang w:val="es-CO"/>
        </w:rPr>
        <w:t xml:space="preserve"> pues las condiciones del sistema serán apropiadas para ofrecer y demandar los servicios de electricidad</w:t>
      </w:r>
      <w:r w:rsidR="00780176" w:rsidRPr="002F1B70">
        <w:rPr>
          <w:rFonts w:ascii="Arial" w:hAnsi="Arial" w:cs="Arial"/>
          <w:sz w:val="22"/>
          <w:szCs w:val="22"/>
          <w:lang w:val="es-CO"/>
        </w:rPr>
        <w:t>.</w:t>
      </w:r>
    </w:p>
    <w:p w14:paraId="13CE4D4A" w14:textId="77FDEA87" w:rsidR="00581017" w:rsidRPr="002F1B70" w:rsidRDefault="00581017" w:rsidP="002F1B70">
      <w:pPr>
        <w:pStyle w:val="subpar"/>
        <w:tabs>
          <w:tab w:val="clear" w:pos="2304"/>
          <w:tab w:val="num" w:pos="1170"/>
        </w:tabs>
        <w:ind w:left="1170" w:hanging="450"/>
        <w:rPr>
          <w:rFonts w:ascii="Arial" w:hAnsi="Arial" w:cs="Arial"/>
          <w:sz w:val="22"/>
          <w:szCs w:val="22"/>
          <w:lang w:val="es-CO"/>
        </w:rPr>
      </w:pPr>
      <w:r w:rsidRPr="002F1B70">
        <w:rPr>
          <w:rFonts w:ascii="Arial" w:hAnsi="Arial" w:cs="Arial"/>
          <w:sz w:val="22"/>
          <w:szCs w:val="22"/>
          <w:lang w:val="es-CO"/>
        </w:rPr>
        <w:t xml:space="preserve">Desde el punto de vista de los ingresos percibidos por la energía incremental, </w:t>
      </w:r>
      <w:r w:rsidR="00AF2DEE">
        <w:rPr>
          <w:rFonts w:ascii="Arial" w:hAnsi="Arial" w:cs="Arial"/>
          <w:sz w:val="22"/>
          <w:szCs w:val="22"/>
          <w:lang w:val="es-CO"/>
        </w:rPr>
        <w:t xml:space="preserve">el proyecto </w:t>
      </w:r>
      <w:r w:rsidRPr="002F1B70">
        <w:rPr>
          <w:rFonts w:ascii="Arial" w:hAnsi="Arial" w:cs="Arial"/>
          <w:sz w:val="22"/>
          <w:szCs w:val="22"/>
          <w:lang w:val="es-CO"/>
        </w:rPr>
        <w:t xml:space="preserve">permite a </w:t>
      </w:r>
      <w:r w:rsidR="00780176" w:rsidRPr="002F1B70">
        <w:rPr>
          <w:rFonts w:ascii="Arial" w:hAnsi="Arial" w:cs="Arial"/>
          <w:sz w:val="22"/>
          <w:szCs w:val="22"/>
          <w:lang w:val="es-CO"/>
        </w:rPr>
        <w:t>la ENEE</w:t>
      </w:r>
      <w:r w:rsidRPr="002F1B70">
        <w:rPr>
          <w:rFonts w:ascii="Arial" w:hAnsi="Arial" w:cs="Arial"/>
          <w:sz w:val="22"/>
          <w:szCs w:val="22"/>
          <w:lang w:val="es-CO"/>
        </w:rPr>
        <w:t xml:space="preserve"> mejorar sus indicadores financieros, lo que a </w:t>
      </w:r>
      <w:r w:rsidR="00186B9E" w:rsidRPr="002F1B70">
        <w:rPr>
          <w:rFonts w:ascii="Arial" w:hAnsi="Arial" w:cs="Arial"/>
          <w:sz w:val="22"/>
          <w:szCs w:val="22"/>
          <w:lang w:val="es-CO"/>
        </w:rPr>
        <w:t>su vez</w:t>
      </w:r>
      <w:r w:rsidRPr="002F1B70">
        <w:rPr>
          <w:rFonts w:ascii="Arial" w:hAnsi="Arial" w:cs="Arial"/>
          <w:sz w:val="22"/>
          <w:szCs w:val="22"/>
          <w:lang w:val="es-CO"/>
        </w:rPr>
        <w:t xml:space="preserve"> conlleva a generar mayores recursos que permitirán ampliar las inversiones de mayor prioridad en donde se requiera.</w:t>
      </w:r>
    </w:p>
    <w:p w14:paraId="1AC707F1" w14:textId="3D9636E8" w:rsidR="00581017" w:rsidRPr="00780176" w:rsidRDefault="00581017" w:rsidP="002F1B70">
      <w:pPr>
        <w:pStyle w:val="subpar"/>
        <w:tabs>
          <w:tab w:val="clear" w:pos="2304"/>
          <w:tab w:val="num" w:pos="1170"/>
        </w:tabs>
        <w:ind w:left="1170" w:hanging="450"/>
      </w:pPr>
      <w:r w:rsidRPr="002F1B70">
        <w:rPr>
          <w:rFonts w:ascii="Arial" w:hAnsi="Arial" w:cs="Arial"/>
          <w:sz w:val="22"/>
          <w:szCs w:val="22"/>
          <w:lang w:val="es-CO"/>
        </w:rPr>
        <w:t xml:space="preserve">Este proyecto </w:t>
      </w:r>
      <w:r w:rsidR="00AF2DEE">
        <w:rPr>
          <w:rFonts w:ascii="Arial" w:hAnsi="Arial" w:cs="Arial"/>
          <w:sz w:val="22"/>
          <w:szCs w:val="22"/>
          <w:lang w:val="es-CO"/>
        </w:rPr>
        <w:t>ofrece beneficio adicional,</w:t>
      </w:r>
      <w:r w:rsidRPr="002F1B70">
        <w:rPr>
          <w:rFonts w:ascii="Arial" w:hAnsi="Arial" w:cs="Arial"/>
          <w:sz w:val="22"/>
          <w:szCs w:val="22"/>
          <w:lang w:val="es-CO"/>
        </w:rPr>
        <w:t xml:space="preserve"> pues </w:t>
      </w:r>
      <w:r w:rsidR="00780176" w:rsidRPr="002F1B70">
        <w:rPr>
          <w:rFonts w:ascii="Arial" w:hAnsi="Arial" w:cs="Arial"/>
          <w:sz w:val="22"/>
          <w:szCs w:val="22"/>
          <w:lang w:val="es-CO"/>
        </w:rPr>
        <w:t xml:space="preserve">permitirá que </w:t>
      </w:r>
      <w:r w:rsidRPr="002F1B70">
        <w:rPr>
          <w:rFonts w:ascii="Arial" w:hAnsi="Arial" w:cs="Arial"/>
          <w:sz w:val="22"/>
          <w:szCs w:val="22"/>
          <w:lang w:val="es-CO"/>
        </w:rPr>
        <w:t>toda la energía intermitente que se produce actualmente en la zona sur por los proyectos fotovoltaicos fluir hacia las zonas en donde se necesite y</w:t>
      </w:r>
      <w:r w:rsidR="00780176" w:rsidRPr="002F1B70">
        <w:rPr>
          <w:rFonts w:ascii="Arial" w:hAnsi="Arial" w:cs="Arial"/>
          <w:sz w:val="22"/>
          <w:szCs w:val="22"/>
          <w:lang w:val="es-CO"/>
        </w:rPr>
        <w:t xml:space="preserve"> </w:t>
      </w:r>
      <w:r w:rsidRPr="002F1B70">
        <w:rPr>
          <w:rFonts w:ascii="Arial" w:hAnsi="Arial" w:cs="Arial"/>
          <w:sz w:val="22"/>
          <w:szCs w:val="22"/>
          <w:lang w:val="es-CO"/>
        </w:rPr>
        <w:t>satisfacer completamente la demanda de ese mercado</w:t>
      </w:r>
      <w:r w:rsidR="00780176" w:rsidRPr="00780176">
        <w:rPr>
          <w:lang w:val="es-CO"/>
        </w:rPr>
        <w:t>.</w:t>
      </w:r>
    </w:p>
    <w:p w14:paraId="3168C7C2" w14:textId="3474AF30" w:rsidR="00B62CE0" w:rsidRDefault="00117770" w:rsidP="00895E1F">
      <w:pPr>
        <w:pStyle w:val="Chapter"/>
        <w:tabs>
          <w:tab w:val="clear" w:pos="1440"/>
          <w:tab w:val="clear" w:pos="1800"/>
          <w:tab w:val="num" w:pos="720"/>
        </w:tabs>
        <w:snapToGrid w:val="0"/>
        <w:spacing w:after="120"/>
        <w:ind w:left="0" w:firstLine="0"/>
        <w:rPr>
          <w:rFonts w:ascii="Arial" w:hAnsi="Arial" w:cs="Arial"/>
          <w:szCs w:val="22"/>
        </w:rPr>
      </w:pPr>
      <w:bookmarkStart w:id="18" w:name="_Toc483312822"/>
      <w:r>
        <w:rPr>
          <w:rFonts w:ascii="Arial" w:hAnsi="Arial" w:cs="Arial"/>
          <w:szCs w:val="22"/>
        </w:rPr>
        <w:t>Evaluación Económica</w:t>
      </w:r>
      <w:bookmarkEnd w:id="18"/>
    </w:p>
    <w:p w14:paraId="2398E8A2" w14:textId="47375A39" w:rsidR="00117770" w:rsidRPr="00117770" w:rsidRDefault="00117770" w:rsidP="00364CD1">
      <w:pPr>
        <w:pStyle w:val="FirstHeading"/>
        <w:snapToGrid w:val="0"/>
        <w:ind w:left="720"/>
        <w:rPr>
          <w:rFonts w:ascii="Arial" w:hAnsi="Arial" w:cs="Arial"/>
          <w:sz w:val="22"/>
          <w:szCs w:val="22"/>
        </w:rPr>
      </w:pPr>
      <w:bookmarkStart w:id="19" w:name="_Toc483312823"/>
      <w:r w:rsidRPr="00117770">
        <w:rPr>
          <w:rFonts w:ascii="Arial" w:hAnsi="Arial" w:cs="Arial"/>
          <w:sz w:val="22"/>
          <w:szCs w:val="22"/>
        </w:rPr>
        <w:t>A.</w:t>
      </w:r>
      <w:r w:rsidRPr="00117770">
        <w:rPr>
          <w:rFonts w:ascii="Arial" w:hAnsi="Arial" w:cs="Arial"/>
          <w:sz w:val="22"/>
          <w:szCs w:val="22"/>
        </w:rPr>
        <w:tab/>
        <w:t>Metodología</w:t>
      </w:r>
      <w:bookmarkEnd w:id="19"/>
    </w:p>
    <w:p w14:paraId="1F5E1FF9" w14:textId="45CA705B" w:rsidR="00423597" w:rsidRPr="00423597" w:rsidRDefault="00D174EE" w:rsidP="00117770">
      <w:pPr>
        <w:pStyle w:val="Paragraph"/>
        <w:numPr>
          <w:ilvl w:val="1"/>
          <w:numId w:val="2"/>
        </w:numPr>
        <w:tabs>
          <w:tab w:val="num" w:pos="720"/>
        </w:tabs>
        <w:autoSpaceDE w:val="0"/>
        <w:autoSpaceDN w:val="0"/>
        <w:adjustRightInd w:val="0"/>
        <w:spacing w:before="0"/>
        <w:ind w:left="720" w:hanging="720"/>
        <w:rPr>
          <w:rFonts w:ascii="Arial" w:hAnsi="Arial" w:cs="Arial"/>
          <w:sz w:val="22"/>
          <w:szCs w:val="22"/>
        </w:rPr>
      </w:pPr>
      <w:r>
        <w:rPr>
          <w:rFonts w:ascii="Arial" w:hAnsi="Arial" w:cs="Arial"/>
          <w:sz w:val="22"/>
          <w:szCs w:val="22"/>
        </w:rPr>
        <w:t xml:space="preserve">Los proyectos de ampliación </w:t>
      </w:r>
      <w:r w:rsidRPr="00D174EE">
        <w:rPr>
          <w:rFonts w:ascii="Arial" w:hAnsi="Arial" w:cs="Arial"/>
          <w:sz w:val="22"/>
          <w:szCs w:val="22"/>
          <w:lang w:val="es-ES_tradnl"/>
        </w:rPr>
        <w:t xml:space="preserve">de la capacidad de </w:t>
      </w:r>
      <w:r>
        <w:rPr>
          <w:rFonts w:ascii="Arial" w:hAnsi="Arial" w:cs="Arial"/>
          <w:sz w:val="22"/>
          <w:szCs w:val="22"/>
        </w:rPr>
        <w:t xml:space="preserve">las SE Progreso y </w:t>
      </w:r>
      <w:r w:rsidR="00974204">
        <w:rPr>
          <w:rFonts w:ascii="Arial" w:hAnsi="Arial" w:cs="Arial"/>
          <w:sz w:val="22"/>
          <w:szCs w:val="22"/>
        </w:rPr>
        <w:t xml:space="preserve">SE </w:t>
      </w:r>
      <w:r>
        <w:rPr>
          <w:rFonts w:ascii="Arial" w:hAnsi="Arial" w:cs="Arial"/>
          <w:sz w:val="22"/>
          <w:szCs w:val="22"/>
        </w:rPr>
        <w:t xml:space="preserve">Toncontín </w:t>
      </w:r>
      <w:r w:rsidRPr="00D174EE">
        <w:rPr>
          <w:rFonts w:ascii="Arial" w:hAnsi="Arial" w:cs="Arial"/>
          <w:sz w:val="22"/>
          <w:szCs w:val="22"/>
          <w:lang w:val="es-ES_tradnl"/>
        </w:rPr>
        <w:t>mediante el reemplazo de transformadores</w:t>
      </w:r>
      <w:r>
        <w:rPr>
          <w:rFonts w:ascii="Arial" w:hAnsi="Arial" w:cs="Arial"/>
          <w:sz w:val="22"/>
          <w:szCs w:val="22"/>
          <w:lang w:val="es-ES_tradnl"/>
        </w:rPr>
        <w:t xml:space="preserve">, </w:t>
      </w:r>
      <w:r w:rsidRPr="00D174EE">
        <w:rPr>
          <w:rFonts w:ascii="Arial" w:hAnsi="Arial" w:cs="Arial"/>
          <w:sz w:val="22"/>
          <w:szCs w:val="22"/>
          <w:lang w:val="es-ES_tradnl"/>
        </w:rPr>
        <w:t>tiene como objetivo satisfacer la demanda actual y potencial de electricidad de forma confiable</w:t>
      </w:r>
      <w:r>
        <w:rPr>
          <w:rFonts w:ascii="Arial" w:hAnsi="Arial" w:cs="Arial"/>
          <w:sz w:val="22"/>
          <w:szCs w:val="22"/>
          <w:lang w:val="es-ES_tradnl"/>
        </w:rPr>
        <w:t xml:space="preserve">. </w:t>
      </w:r>
      <w:r w:rsidR="00C50C15">
        <w:rPr>
          <w:rFonts w:ascii="Arial" w:hAnsi="Arial" w:cs="Arial"/>
          <w:sz w:val="22"/>
          <w:szCs w:val="22"/>
          <w:lang w:val="es-ES_tradnl"/>
        </w:rPr>
        <w:t xml:space="preserve">Mediante la </w:t>
      </w:r>
      <w:r w:rsidR="00AA27C3">
        <w:rPr>
          <w:rFonts w:ascii="Arial" w:hAnsi="Arial" w:cs="Arial"/>
          <w:sz w:val="22"/>
          <w:szCs w:val="22"/>
          <w:lang w:val="es-ES_tradnl"/>
        </w:rPr>
        <w:t>inversión</w:t>
      </w:r>
      <w:r w:rsidR="00974204">
        <w:rPr>
          <w:rFonts w:ascii="Arial" w:hAnsi="Arial" w:cs="Arial"/>
          <w:sz w:val="22"/>
          <w:szCs w:val="22"/>
          <w:lang w:val="es-ES_tradnl"/>
        </w:rPr>
        <w:t xml:space="preserve"> propuesta</w:t>
      </w:r>
      <w:r w:rsidR="00AA27C3">
        <w:rPr>
          <w:rFonts w:ascii="Arial" w:hAnsi="Arial" w:cs="Arial"/>
          <w:sz w:val="22"/>
          <w:szCs w:val="22"/>
          <w:lang w:val="es-ES_tradnl"/>
        </w:rPr>
        <w:t xml:space="preserve"> se eliminan los problemas en los trasformadores </w:t>
      </w:r>
      <w:r w:rsidR="00FF25EA">
        <w:rPr>
          <w:rFonts w:ascii="Arial" w:hAnsi="Arial" w:cs="Arial"/>
          <w:sz w:val="22"/>
          <w:szCs w:val="22"/>
          <w:lang w:val="es-ES_tradnl"/>
        </w:rPr>
        <w:t>que actualmente</w:t>
      </w:r>
      <w:r w:rsidR="00FF25EA" w:rsidRPr="00D174EE">
        <w:rPr>
          <w:rFonts w:ascii="Arial" w:hAnsi="Arial" w:cs="Arial"/>
          <w:sz w:val="22"/>
          <w:szCs w:val="22"/>
          <w:lang w:val="es-ES_tradnl"/>
        </w:rPr>
        <w:t xml:space="preserve"> presentan riesgo</w:t>
      </w:r>
      <w:r w:rsidR="00FF25EA">
        <w:rPr>
          <w:rFonts w:ascii="Arial" w:hAnsi="Arial" w:cs="Arial"/>
          <w:sz w:val="22"/>
          <w:szCs w:val="22"/>
          <w:lang w:val="es-ES_tradnl"/>
        </w:rPr>
        <w:t>s de sobrecarga e inestabilidad</w:t>
      </w:r>
      <w:r w:rsidR="00FF25EA" w:rsidRPr="00D174EE">
        <w:rPr>
          <w:rFonts w:ascii="Arial" w:hAnsi="Arial" w:cs="Arial"/>
          <w:sz w:val="22"/>
          <w:szCs w:val="22"/>
          <w:lang w:val="es-ES_tradnl"/>
        </w:rPr>
        <w:t xml:space="preserve"> </w:t>
      </w:r>
      <w:r w:rsidR="00AA27C3">
        <w:rPr>
          <w:rFonts w:ascii="Arial" w:hAnsi="Arial" w:cs="Arial"/>
          <w:sz w:val="22"/>
          <w:szCs w:val="22"/>
          <w:lang w:val="es-ES_tradnl"/>
        </w:rPr>
        <w:t xml:space="preserve">que impiden el despacho </w:t>
      </w:r>
      <w:r w:rsidR="00FF25EA">
        <w:rPr>
          <w:rFonts w:ascii="Arial" w:hAnsi="Arial" w:cs="Arial"/>
          <w:sz w:val="22"/>
          <w:szCs w:val="22"/>
          <w:lang w:val="es-ES_tradnl"/>
        </w:rPr>
        <w:t>óptimo de carga</w:t>
      </w:r>
      <w:r w:rsidR="00790AFA">
        <w:rPr>
          <w:rFonts w:ascii="Arial" w:hAnsi="Arial" w:cs="Arial"/>
          <w:sz w:val="22"/>
          <w:szCs w:val="22"/>
          <w:lang w:val="es-ES_tradnl"/>
        </w:rPr>
        <w:t xml:space="preserve"> y el suministro confiable</w:t>
      </w:r>
      <w:r w:rsidR="00AA27C3">
        <w:rPr>
          <w:rFonts w:ascii="Arial" w:hAnsi="Arial" w:cs="Arial"/>
          <w:sz w:val="22"/>
          <w:szCs w:val="22"/>
          <w:lang w:val="es-ES_tradnl"/>
        </w:rPr>
        <w:t>.</w:t>
      </w:r>
      <w:r w:rsidR="00752B75">
        <w:rPr>
          <w:rFonts w:ascii="Arial" w:hAnsi="Arial" w:cs="Arial"/>
          <w:sz w:val="22"/>
          <w:szCs w:val="22"/>
          <w:lang w:val="es-ES_tradnl"/>
        </w:rPr>
        <w:t xml:space="preserve"> </w:t>
      </w:r>
    </w:p>
    <w:p w14:paraId="318D1D84" w14:textId="063D732A" w:rsidR="00117770" w:rsidRPr="009F2CD2" w:rsidRDefault="00117770" w:rsidP="00117770">
      <w:pPr>
        <w:pStyle w:val="Paragraph"/>
        <w:numPr>
          <w:ilvl w:val="1"/>
          <w:numId w:val="2"/>
        </w:numPr>
        <w:tabs>
          <w:tab w:val="num" w:pos="720"/>
        </w:tabs>
        <w:autoSpaceDE w:val="0"/>
        <w:autoSpaceDN w:val="0"/>
        <w:adjustRightInd w:val="0"/>
        <w:spacing w:before="0"/>
        <w:ind w:left="720" w:hanging="720"/>
        <w:rPr>
          <w:rFonts w:ascii="Arial" w:hAnsi="Arial" w:cs="Arial"/>
          <w:sz w:val="22"/>
          <w:szCs w:val="22"/>
        </w:rPr>
      </w:pPr>
      <w:r w:rsidRPr="00117770">
        <w:rPr>
          <w:rFonts w:ascii="Arial" w:hAnsi="Arial" w:cs="Arial"/>
          <w:sz w:val="22"/>
          <w:szCs w:val="22"/>
          <w:lang w:val="es-CO"/>
        </w:rPr>
        <w:t>Se</w:t>
      </w:r>
      <w:r w:rsidRPr="00117770">
        <w:rPr>
          <w:rFonts w:ascii="Arial" w:hAnsi="Arial" w:cs="Arial"/>
          <w:sz w:val="22"/>
          <w:szCs w:val="22"/>
        </w:rPr>
        <w:t xml:space="preserve"> realizó un análisis c</w:t>
      </w:r>
      <w:r w:rsidR="00423597">
        <w:rPr>
          <w:rFonts w:ascii="Arial" w:hAnsi="Arial" w:cs="Arial"/>
          <w:sz w:val="22"/>
          <w:szCs w:val="22"/>
        </w:rPr>
        <w:t>osto-</w:t>
      </w:r>
      <w:r w:rsidRPr="00117770">
        <w:rPr>
          <w:rFonts w:ascii="Arial" w:hAnsi="Arial" w:cs="Arial"/>
          <w:sz w:val="22"/>
          <w:szCs w:val="22"/>
        </w:rPr>
        <w:t>beneficio</w:t>
      </w:r>
      <w:r w:rsidR="00CF2D36">
        <w:rPr>
          <w:rFonts w:ascii="Arial" w:hAnsi="Arial" w:cs="Arial"/>
          <w:sz w:val="22"/>
          <w:szCs w:val="22"/>
        </w:rPr>
        <w:t xml:space="preserve"> identificando los beneficios obtenidos p</w:t>
      </w:r>
      <w:r w:rsidR="004F6BBD">
        <w:rPr>
          <w:rFonts w:ascii="Arial" w:hAnsi="Arial" w:cs="Arial"/>
          <w:sz w:val="22"/>
          <w:szCs w:val="22"/>
        </w:rPr>
        <w:t>or l</w:t>
      </w:r>
      <w:r w:rsidR="00CF2D36">
        <w:rPr>
          <w:rFonts w:ascii="Arial" w:hAnsi="Arial" w:cs="Arial"/>
          <w:sz w:val="22"/>
          <w:szCs w:val="22"/>
        </w:rPr>
        <w:t>a realización del proyecto</w:t>
      </w:r>
      <w:r w:rsidR="00974204">
        <w:rPr>
          <w:rFonts w:ascii="Arial" w:hAnsi="Arial" w:cs="Arial"/>
          <w:sz w:val="22"/>
          <w:szCs w:val="22"/>
        </w:rPr>
        <w:t>,</w:t>
      </w:r>
      <w:r w:rsidR="00CF2D36">
        <w:rPr>
          <w:rFonts w:ascii="Arial" w:hAnsi="Arial" w:cs="Arial"/>
          <w:sz w:val="22"/>
          <w:szCs w:val="22"/>
        </w:rPr>
        <w:t xml:space="preserve"> </w:t>
      </w:r>
      <w:r w:rsidR="004F6BBD">
        <w:rPr>
          <w:rFonts w:ascii="Arial" w:hAnsi="Arial" w:cs="Arial"/>
          <w:sz w:val="22"/>
          <w:szCs w:val="22"/>
        </w:rPr>
        <w:t xml:space="preserve">en términos de </w:t>
      </w:r>
      <w:r w:rsidR="004F6BBD" w:rsidRPr="004F6BBD">
        <w:rPr>
          <w:rFonts w:ascii="Arial" w:hAnsi="Arial" w:cs="Arial"/>
          <w:sz w:val="22"/>
          <w:szCs w:val="22"/>
          <w:lang w:val="es-ES_tradnl"/>
        </w:rPr>
        <w:t xml:space="preserve">reducción de energía no suministrada, valuada al costo </w:t>
      </w:r>
      <w:r w:rsidR="001E450B" w:rsidRPr="004F6BBD">
        <w:rPr>
          <w:rFonts w:ascii="Arial" w:hAnsi="Arial" w:cs="Arial"/>
          <w:sz w:val="22"/>
          <w:szCs w:val="22"/>
          <w:lang w:val="es-ES_tradnl"/>
        </w:rPr>
        <w:t xml:space="preserve">neto </w:t>
      </w:r>
      <w:r w:rsidR="004F6BBD" w:rsidRPr="004F6BBD">
        <w:rPr>
          <w:rFonts w:ascii="Arial" w:hAnsi="Arial" w:cs="Arial"/>
          <w:sz w:val="22"/>
          <w:szCs w:val="22"/>
          <w:lang w:val="es-ES_tradnl"/>
        </w:rPr>
        <w:t>de falla</w:t>
      </w:r>
      <w:r w:rsidR="004F6BBD">
        <w:rPr>
          <w:rFonts w:ascii="Arial" w:hAnsi="Arial" w:cs="Arial"/>
          <w:sz w:val="22"/>
          <w:szCs w:val="22"/>
          <w:lang w:val="es-ES_tradnl"/>
        </w:rPr>
        <w:t>. L</w:t>
      </w:r>
      <w:r w:rsidR="004F6BBD" w:rsidRPr="004F6BBD">
        <w:rPr>
          <w:rFonts w:ascii="Arial" w:hAnsi="Arial" w:cs="Arial"/>
          <w:sz w:val="22"/>
          <w:szCs w:val="22"/>
          <w:lang w:val="es-ES_tradnl"/>
        </w:rPr>
        <w:t xml:space="preserve">os costos económicos están dados por la inversión y </w:t>
      </w:r>
      <w:r w:rsidR="00696A94" w:rsidRPr="00696A94">
        <w:rPr>
          <w:rFonts w:ascii="Arial" w:hAnsi="Arial" w:cs="Arial"/>
          <w:sz w:val="22"/>
          <w:szCs w:val="22"/>
          <w:lang w:val="es-ES_tradnl"/>
        </w:rPr>
        <w:t xml:space="preserve">la diferencia </w:t>
      </w:r>
      <w:r w:rsidR="00696A94">
        <w:rPr>
          <w:rFonts w:ascii="Arial" w:hAnsi="Arial" w:cs="Arial"/>
          <w:sz w:val="22"/>
          <w:szCs w:val="22"/>
          <w:lang w:val="es-ES_tradnl"/>
        </w:rPr>
        <w:t xml:space="preserve">en </w:t>
      </w:r>
      <w:r w:rsidR="004F6BBD" w:rsidRPr="004F6BBD">
        <w:rPr>
          <w:rFonts w:ascii="Arial" w:hAnsi="Arial" w:cs="Arial"/>
          <w:sz w:val="22"/>
          <w:szCs w:val="22"/>
          <w:lang w:val="es-ES_tradnl"/>
        </w:rPr>
        <w:t xml:space="preserve">el costo de operación y mantenimiento </w:t>
      </w:r>
      <w:r w:rsidR="004F6BBD">
        <w:rPr>
          <w:rFonts w:ascii="Arial" w:hAnsi="Arial" w:cs="Arial"/>
          <w:sz w:val="22"/>
          <w:szCs w:val="22"/>
          <w:lang w:val="es-ES_tradnl"/>
        </w:rPr>
        <w:t>res</w:t>
      </w:r>
      <w:r w:rsidR="000A33B2">
        <w:rPr>
          <w:rFonts w:ascii="Arial" w:hAnsi="Arial" w:cs="Arial"/>
          <w:sz w:val="22"/>
          <w:szCs w:val="22"/>
          <w:lang w:val="es-ES_tradnl"/>
        </w:rPr>
        <w:t>pectivos</w:t>
      </w:r>
      <w:r w:rsidR="001E450B">
        <w:rPr>
          <w:rFonts w:ascii="Arial" w:hAnsi="Arial" w:cs="Arial"/>
          <w:sz w:val="22"/>
          <w:szCs w:val="22"/>
          <w:lang w:val="es-ES_tradnl"/>
        </w:rPr>
        <w:t>;</w:t>
      </w:r>
      <w:r w:rsidR="004F6BBD" w:rsidRPr="004F6BBD">
        <w:rPr>
          <w:rFonts w:ascii="Arial" w:hAnsi="Arial" w:cs="Arial"/>
          <w:sz w:val="22"/>
          <w:szCs w:val="22"/>
          <w:lang w:val="es-ES_tradnl"/>
        </w:rPr>
        <w:t xml:space="preserve"> </w:t>
      </w:r>
      <w:r w:rsidR="004F6BBD">
        <w:rPr>
          <w:rFonts w:ascii="Arial" w:hAnsi="Arial" w:cs="Arial"/>
          <w:sz w:val="22"/>
          <w:szCs w:val="22"/>
          <w:lang w:val="es-ES_tradnl"/>
        </w:rPr>
        <w:t xml:space="preserve">y </w:t>
      </w:r>
      <w:r w:rsidR="00172D26">
        <w:rPr>
          <w:rFonts w:ascii="Arial" w:hAnsi="Arial" w:cs="Arial"/>
          <w:sz w:val="22"/>
          <w:szCs w:val="22"/>
          <w:lang w:val="es-ES_tradnl"/>
        </w:rPr>
        <w:t>menores pérdidas por a</w:t>
      </w:r>
      <w:r w:rsidR="00F7365F">
        <w:rPr>
          <w:rFonts w:ascii="Arial" w:hAnsi="Arial" w:cs="Arial"/>
          <w:sz w:val="22"/>
          <w:szCs w:val="22"/>
          <w:lang w:val="es-ES_tradnl"/>
        </w:rPr>
        <w:t>umento en la estabilidad y reducción de sobrecargas.</w:t>
      </w:r>
      <w:r w:rsidR="000A33B2" w:rsidRPr="000A33B2">
        <w:rPr>
          <w:rFonts w:ascii="Arial" w:hAnsi="Arial" w:cs="Arial"/>
          <w:sz w:val="22"/>
          <w:szCs w:val="22"/>
          <w:lang w:val="es-ES_tradnl"/>
        </w:rPr>
        <w:t xml:space="preserve"> </w:t>
      </w:r>
      <w:r w:rsidR="000A33B2">
        <w:rPr>
          <w:rFonts w:ascii="Arial" w:hAnsi="Arial" w:cs="Arial"/>
          <w:sz w:val="22"/>
          <w:szCs w:val="22"/>
          <w:lang w:val="es-ES_tradnl"/>
        </w:rPr>
        <w:t>Las mejoras adicionalmente, permiten regular el voltaje en el litoral Atlántico, al contar con mayor flexibilidad en los transformadores.</w:t>
      </w:r>
    </w:p>
    <w:p w14:paraId="04813B08" w14:textId="607354E5" w:rsidR="009F2CD2" w:rsidRPr="009F2CD2" w:rsidRDefault="009F2CD2" w:rsidP="00117770">
      <w:pPr>
        <w:pStyle w:val="Paragraph"/>
        <w:numPr>
          <w:ilvl w:val="1"/>
          <w:numId w:val="2"/>
        </w:numPr>
        <w:tabs>
          <w:tab w:val="num" w:pos="720"/>
        </w:tabs>
        <w:autoSpaceDE w:val="0"/>
        <w:autoSpaceDN w:val="0"/>
        <w:adjustRightInd w:val="0"/>
        <w:spacing w:before="0"/>
        <w:ind w:left="720" w:hanging="720"/>
        <w:rPr>
          <w:rFonts w:ascii="Arial" w:hAnsi="Arial" w:cs="Arial"/>
          <w:sz w:val="22"/>
          <w:szCs w:val="22"/>
        </w:rPr>
      </w:pPr>
      <w:r w:rsidRPr="009F2CD2">
        <w:rPr>
          <w:rFonts w:ascii="Arial" w:hAnsi="Arial" w:cs="Arial"/>
          <w:b/>
          <w:sz w:val="22"/>
          <w:szCs w:val="22"/>
          <w:lang w:val="es-ES_tradnl"/>
        </w:rPr>
        <w:t>Estimación de beneficios</w:t>
      </w:r>
      <w:r>
        <w:rPr>
          <w:rFonts w:ascii="Arial" w:hAnsi="Arial" w:cs="Arial"/>
          <w:sz w:val="22"/>
          <w:szCs w:val="22"/>
          <w:lang w:val="es-ES_tradnl"/>
        </w:rPr>
        <w:t xml:space="preserve">. </w:t>
      </w:r>
      <w:r w:rsidRPr="009F2CD2">
        <w:rPr>
          <w:rFonts w:ascii="Arial" w:hAnsi="Arial" w:cs="Arial"/>
          <w:sz w:val="22"/>
          <w:szCs w:val="22"/>
          <w:lang w:val="es-US"/>
        </w:rPr>
        <w:t xml:space="preserve">Los beneficios evaluados para </w:t>
      </w:r>
      <w:r>
        <w:rPr>
          <w:rFonts w:ascii="Arial" w:hAnsi="Arial" w:cs="Arial"/>
          <w:sz w:val="22"/>
          <w:szCs w:val="22"/>
          <w:lang w:val="es-US"/>
        </w:rPr>
        <w:t>los dos proyectos</w:t>
      </w:r>
      <w:r w:rsidRPr="009F2CD2">
        <w:rPr>
          <w:rFonts w:ascii="Arial" w:hAnsi="Arial" w:cs="Arial"/>
          <w:sz w:val="22"/>
          <w:szCs w:val="22"/>
          <w:lang w:val="es-US"/>
        </w:rPr>
        <w:t xml:space="preserve"> consisten en </w:t>
      </w:r>
      <w:r w:rsidR="00E65A9E">
        <w:rPr>
          <w:rFonts w:ascii="Arial" w:hAnsi="Arial" w:cs="Arial"/>
          <w:sz w:val="22"/>
          <w:szCs w:val="22"/>
          <w:lang w:val="es-US"/>
        </w:rPr>
        <w:t>la valorización de</w:t>
      </w:r>
      <w:r w:rsidR="00FF25EA">
        <w:rPr>
          <w:rFonts w:ascii="Arial" w:hAnsi="Arial" w:cs="Arial"/>
          <w:sz w:val="22"/>
          <w:szCs w:val="22"/>
          <w:lang w:val="es-US"/>
        </w:rPr>
        <w:t xml:space="preserve">l </w:t>
      </w:r>
      <w:r w:rsidR="00FF25EA" w:rsidRPr="003E0C10">
        <w:rPr>
          <w:rFonts w:ascii="Arial" w:hAnsi="Arial" w:cs="Arial"/>
          <w:sz w:val="22"/>
          <w:szCs w:val="22"/>
          <w:lang w:val="es-US"/>
        </w:rPr>
        <w:t>efecto</w:t>
      </w:r>
      <w:r w:rsidR="006C44BD" w:rsidRPr="003E0C10">
        <w:rPr>
          <w:rFonts w:ascii="Arial" w:hAnsi="Arial" w:cs="Arial"/>
          <w:sz w:val="22"/>
          <w:szCs w:val="22"/>
          <w:lang w:val="es-US"/>
        </w:rPr>
        <w:t xml:space="preserve"> económico resultante de</w:t>
      </w:r>
      <w:r w:rsidR="00E65A9E" w:rsidRPr="003E0C10">
        <w:rPr>
          <w:rFonts w:ascii="Arial" w:hAnsi="Arial" w:cs="Arial"/>
          <w:sz w:val="22"/>
          <w:szCs w:val="22"/>
          <w:lang w:val="es-US"/>
        </w:rPr>
        <w:t xml:space="preserve"> la </w:t>
      </w:r>
      <w:r w:rsidRPr="003E0C10">
        <w:rPr>
          <w:rFonts w:ascii="Arial" w:hAnsi="Arial" w:cs="Arial"/>
          <w:sz w:val="22"/>
          <w:szCs w:val="22"/>
          <w:lang w:val="es-US"/>
        </w:rPr>
        <w:t xml:space="preserve">mejora </w:t>
      </w:r>
      <w:r w:rsidR="00FF25EA" w:rsidRPr="003E0C10">
        <w:rPr>
          <w:rFonts w:ascii="Arial" w:hAnsi="Arial" w:cs="Arial"/>
          <w:sz w:val="22"/>
          <w:szCs w:val="22"/>
          <w:lang w:val="es-US"/>
        </w:rPr>
        <w:t>en</w:t>
      </w:r>
      <w:r w:rsidRPr="003E0C10">
        <w:rPr>
          <w:rFonts w:ascii="Arial" w:hAnsi="Arial" w:cs="Arial"/>
          <w:sz w:val="22"/>
          <w:szCs w:val="22"/>
          <w:lang w:val="es-US"/>
        </w:rPr>
        <w:t xml:space="preserve"> confiabilidad del servicio en su área de influencia</w:t>
      </w:r>
      <w:r w:rsidR="00623EE5" w:rsidRPr="003E0C10">
        <w:rPr>
          <w:rFonts w:ascii="Arial" w:hAnsi="Arial" w:cs="Arial"/>
          <w:sz w:val="22"/>
          <w:szCs w:val="22"/>
          <w:lang w:val="es-US"/>
        </w:rPr>
        <w:t>.</w:t>
      </w:r>
      <w:r w:rsidR="006C44BD" w:rsidRPr="003E0C10">
        <w:rPr>
          <w:rFonts w:ascii="Arial" w:hAnsi="Arial" w:cs="Arial"/>
          <w:sz w:val="22"/>
          <w:szCs w:val="22"/>
          <w:lang w:val="es-ES_tradnl"/>
        </w:rPr>
        <w:t xml:space="preserve"> </w:t>
      </w:r>
      <w:r w:rsidR="003E0C10" w:rsidRPr="003E0C10">
        <w:rPr>
          <w:rFonts w:ascii="Arial" w:hAnsi="Arial" w:cs="Arial"/>
          <w:sz w:val="22"/>
          <w:szCs w:val="22"/>
          <w:lang w:val="es-ES_tradnl"/>
        </w:rPr>
        <w:t>La reducción de fallas del suministro como resultado de las ampliaciones financiadas</w:t>
      </w:r>
      <w:r w:rsidR="003E0C10">
        <w:rPr>
          <w:rFonts w:ascii="Arial" w:hAnsi="Arial" w:cs="Arial"/>
          <w:sz w:val="22"/>
          <w:szCs w:val="22"/>
          <w:lang w:val="es-ES_tradnl"/>
        </w:rPr>
        <w:t>,</w:t>
      </w:r>
      <w:r w:rsidR="003E0C10" w:rsidRPr="003E0C10">
        <w:rPr>
          <w:rFonts w:ascii="Arial" w:hAnsi="Arial" w:cs="Arial"/>
          <w:sz w:val="22"/>
          <w:szCs w:val="22"/>
          <w:lang w:val="es-ES_tradnl"/>
        </w:rPr>
        <w:t xml:space="preserve"> representa un beneficio al usuario</w:t>
      </w:r>
      <w:r w:rsidR="003E0C10">
        <w:rPr>
          <w:rFonts w:ascii="Arial" w:hAnsi="Arial" w:cs="Arial"/>
          <w:sz w:val="22"/>
          <w:szCs w:val="22"/>
          <w:lang w:val="es-ES_tradnl"/>
        </w:rPr>
        <w:t xml:space="preserve"> por tener acceso al servicio.</w:t>
      </w:r>
      <w:r w:rsidR="003E0C10">
        <w:rPr>
          <w:rFonts w:ascii="Arial" w:hAnsi="Arial" w:cs="Arial"/>
          <w:sz w:val="18"/>
          <w:szCs w:val="18"/>
          <w:lang w:val="es-ES_tradnl"/>
        </w:rPr>
        <w:t xml:space="preserve"> </w:t>
      </w:r>
      <w:r w:rsidR="006C44BD" w:rsidRPr="006C44BD">
        <w:rPr>
          <w:rFonts w:ascii="Arial" w:hAnsi="Arial" w:cs="Arial"/>
          <w:sz w:val="22"/>
          <w:szCs w:val="22"/>
          <w:lang w:val="es-ES_tradnl"/>
        </w:rPr>
        <w:t xml:space="preserve">El costo de racionamiento de </w:t>
      </w:r>
      <w:r w:rsidR="006C44BD" w:rsidRPr="006C44BD">
        <w:rPr>
          <w:rFonts w:ascii="Arial" w:hAnsi="Arial" w:cs="Arial"/>
          <w:sz w:val="22"/>
          <w:szCs w:val="22"/>
          <w:lang w:val="es-ES_tradnl"/>
        </w:rPr>
        <w:lastRenderedPageBreak/>
        <w:t>energía, también llamado "costo de falla", es el costo por kilowatt-hora pagado (o beneficio económico perdido), en promedio, por los usuarios cuando la energía no está disponible y tiene que ser generada con unidades de emergencia o no se consume, lo que representa costos económicos para los usuarios finales. Para la reducción de los consumos de electricidad una definición alternativa es el precio al que los usuarios estarían dispuestos a pagar por la energía no disponible.</w:t>
      </w:r>
    </w:p>
    <w:p w14:paraId="0653078B" w14:textId="15FEDB7A" w:rsidR="000D6C38" w:rsidRDefault="00974204" w:rsidP="008F6B43">
      <w:pPr>
        <w:pStyle w:val="Paragraph"/>
        <w:numPr>
          <w:ilvl w:val="1"/>
          <w:numId w:val="2"/>
        </w:numPr>
        <w:tabs>
          <w:tab w:val="num" w:pos="720"/>
        </w:tabs>
        <w:autoSpaceDE w:val="0"/>
        <w:autoSpaceDN w:val="0"/>
        <w:adjustRightInd w:val="0"/>
        <w:spacing w:before="0"/>
        <w:ind w:left="720" w:hanging="720"/>
        <w:rPr>
          <w:rFonts w:ascii="Arial" w:hAnsi="Arial" w:cs="Arial"/>
          <w:sz w:val="22"/>
          <w:szCs w:val="22"/>
          <w:lang w:val="es-US" w:eastAsia="es-CO"/>
        </w:rPr>
      </w:pPr>
      <w:r w:rsidRPr="00974204">
        <w:rPr>
          <w:rFonts w:ascii="Arial" w:hAnsi="Arial" w:cs="Arial"/>
          <w:sz w:val="22"/>
          <w:szCs w:val="22"/>
          <w:lang w:val="es-US"/>
        </w:rPr>
        <w:t>Los b</w:t>
      </w:r>
      <w:r w:rsidR="009F2CD2" w:rsidRPr="00974204">
        <w:rPr>
          <w:rFonts w:ascii="Arial" w:hAnsi="Arial" w:cs="Arial"/>
          <w:sz w:val="22"/>
          <w:szCs w:val="22"/>
          <w:lang w:val="es-US"/>
        </w:rPr>
        <w:t>eneficios por mejora en confiabilidad</w:t>
      </w:r>
      <w:r w:rsidR="009F2CD2" w:rsidRPr="00974204">
        <w:rPr>
          <w:rFonts w:ascii="Arial" w:hAnsi="Arial" w:cs="Arial"/>
          <w:sz w:val="22"/>
          <w:szCs w:val="22"/>
          <w:lang w:val="es-US" w:eastAsia="es-CO"/>
        </w:rPr>
        <w:t xml:space="preserve"> se estimar</w:t>
      </w:r>
      <w:r w:rsidR="009F2CD2" w:rsidRPr="00115608">
        <w:rPr>
          <w:rFonts w:ascii="Arial" w:hAnsi="Arial" w:cs="Arial"/>
          <w:sz w:val="22"/>
          <w:szCs w:val="22"/>
          <w:lang w:val="es-US" w:eastAsia="es-CO"/>
        </w:rPr>
        <w:t>on valorando la energía asociada a la reducción de fallas</w:t>
      </w:r>
      <w:r w:rsidR="00AB79F8" w:rsidRPr="00115608">
        <w:rPr>
          <w:rFonts w:ascii="Arial" w:hAnsi="Arial" w:cs="Arial"/>
          <w:sz w:val="22"/>
          <w:szCs w:val="22"/>
          <w:lang w:val="es-US" w:eastAsia="es-CO"/>
        </w:rPr>
        <w:t>,</w:t>
      </w:r>
      <w:r w:rsidR="009F2CD2" w:rsidRPr="00115608">
        <w:rPr>
          <w:rFonts w:ascii="Arial" w:hAnsi="Arial" w:cs="Arial"/>
          <w:sz w:val="22"/>
          <w:szCs w:val="22"/>
          <w:lang w:val="es-US" w:eastAsia="es-CO"/>
        </w:rPr>
        <w:t xml:space="preserve"> a un costo de déficit estimado de </w:t>
      </w:r>
      <w:r w:rsidR="009F2CD2" w:rsidRPr="006C44BD">
        <w:rPr>
          <w:rFonts w:ascii="Arial" w:hAnsi="Arial" w:cs="Arial"/>
          <w:sz w:val="22"/>
          <w:szCs w:val="22"/>
          <w:lang w:val="es-US" w:eastAsia="es-CO"/>
        </w:rPr>
        <w:t>US$</w:t>
      </w:r>
      <w:r w:rsidR="006C44BD" w:rsidRPr="006C44BD">
        <w:rPr>
          <w:rFonts w:ascii="Arial" w:hAnsi="Arial" w:cs="Arial"/>
          <w:sz w:val="22"/>
          <w:szCs w:val="22"/>
          <w:lang w:val="es-US" w:eastAsia="es-CO"/>
        </w:rPr>
        <w:t>1</w:t>
      </w:r>
      <w:r w:rsidR="005024DF">
        <w:rPr>
          <w:rFonts w:ascii="Arial" w:hAnsi="Arial" w:cs="Arial"/>
          <w:sz w:val="22"/>
          <w:szCs w:val="22"/>
          <w:lang w:val="es-US" w:eastAsia="es-CO"/>
        </w:rPr>
        <w:t>4</w:t>
      </w:r>
      <w:r w:rsidR="006C44BD" w:rsidRPr="006C44BD">
        <w:rPr>
          <w:rFonts w:ascii="Arial" w:hAnsi="Arial" w:cs="Arial"/>
          <w:sz w:val="22"/>
          <w:szCs w:val="22"/>
          <w:lang w:val="es-US" w:eastAsia="es-CO"/>
        </w:rPr>
        <w:t>0</w:t>
      </w:r>
      <w:r w:rsidR="009F2CD2" w:rsidRPr="006C44BD">
        <w:rPr>
          <w:rFonts w:ascii="Arial" w:hAnsi="Arial" w:cs="Arial"/>
          <w:sz w:val="22"/>
          <w:szCs w:val="22"/>
          <w:lang w:val="es-US" w:eastAsia="es-CO"/>
        </w:rPr>
        <w:t>/</w:t>
      </w:r>
      <w:r w:rsidR="00115608" w:rsidRPr="00115608">
        <w:rPr>
          <w:rFonts w:ascii="Arial" w:hAnsi="Arial" w:cs="Arial"/>
          <w:lang w:val="es-US" w:eastAsia="es-CO"/>
        </w:rPr>
        <w:t xml:space="preserve"> </w:t>
      </w:r>
      <w:r w:rsidR="00115608" w:rsidRPr="002B57B9">
        <w:rPr>
          <w:rFonts w:ascii="Arial" w:hAnsi="Arial" w:cs="Arial"/>
          <w:lang w:val="es-US" w:eastAsia="es-CO"/>
        </w:rPr>
        <w:t>MWh</w:t>
      </w:r>
      <w:r w:rsidR="00115608" w:rsidRPr="00611D1C">
        <w:rPr>
          <w:rStyle w:val="FootnoteReference"/>
          <w:rFonts w:ascii="Arial" w:hAnsi="Arial" w:cs="Arial"/>
          <w:lang w:eastAsia="es-CO"/>
        </w:rPr>
        <w:footnoteReference w:id="3"/>
      </w:r>
      <w:r w:rsidR="00FF25EA">
        <w:rPr>
          <w:rFonts w:ascii="Arial" w:hAnsi="Arial" w:cs="Arial"/>
          <w:sz w:val="22"/>
          <w:szCs w:val="22"/>
          <w:lang w:val="es-US" w:eastAsia="es-CO"/>
        </w:rPr>
        <w:t xml:space="preserve">. </w:t>
      </w:r>
      <w:r w:rsidR="00790AFA">
        <w:rPr>
          <w:rFonts w:ascii="Arial" w:hAnsi="Arial" w:cs="Arial"/>
          <w:sz w:val="22"/>
          <w:szCs w:val="22"/>
          <w:lang w:val="es-US" w:eastAsia="es-CO"/>
        </w:rPr>
        <w:t xml:space="preserve"> </w:t>
      </w:r>
      <w:r w:rsidR="00FF25EA">
        <w:rPr>
          <w:rFonts w:ascii="Arial" w:hAnsi="Arial" w:cs="Arial"/>
          <w:sz w:val="22"/>
          <w:szCs w:val="22"/>
          <w:lang w:val="es-US" w:eastAsia="es-CO"/>
        </w:rPr>
        <w:t>L</w:t>
      </w:r>
      <w:r w:rsidR="009F2CD2" w:rsidRPr="00115608">
        <w:rPr>
          <w:rFonts w:ascii="Arial" w:hAnsi="Arial" w:cs="Arial"/>
          <w:sz w:val="22"/>
          <w:szCs w:val="22"/>
          <w:lang w:val="es-US" w:eastAsia="es-CO"/>
        </w:rPr>
        <w:t xml:space="preserve">a </w:t>
      </w:r>
      <w:r w:rsidR="009F2CD2" w:rsidRPr="00115608">
        <w:rPr>
          <w:rFonts w:ascii="Arial" w:hAnsi="Arial" w:cs="Arial"/>
          <w:sz w:val="22"/>
          <w:szCs w:val="22"/>
          <w:lang w:val="es-ES_tradnl"/>
        </w:rPr>
        <w:t>reducción</w:t>
      </w:r>
      <w:r w:rsidR="009F2CD2" w:rsidRPr="00115608">
        <w:rPr>
          <w:rFonts w:ascii="Arial" w:hAnsi="Arial" w:cs="Arial"/>
          <w:sz w:val="22"/>
          <w:szCs w:val="22"/>
          <w:lang w:val="es-US" w:eastAsia="es-CO"/>
        </w:rPr>
        <w:t xml:space="preserve"> de energía de falla se estimó con base en un pronóstico de redu</w:t>
      </w:r>
      <w:r w:rsidR="000410E6">
        <w:rPr>
          <w:rFonts w:ascii="Arial" w:hAnsi="Arial" w:cs="Arial"/>
          <w:sz w:val="22"/>
          <w:szCs w:val="22"/>
          <w:lang w:val="es-US" w:eastAsia="es-CO"/>
        </w:rPr>
        <w:t>cción de</w:t>
      </w:r>
      <w:r w:rsidR="009F2CD2" w:rsidRPr="00115608">
        <w:rPr>
          <w:rFonts w:ascii="Arial" w:hAnsi="Arial" w:cs="Arial"/>
          <w:sz w:val="22"/>
          <w:szCs w:val="22"/>
          <w:lang w:val="es-US" w:eastAsia="es-CO"/>
        </w:rPr>
        <w:t xml:space="preserve"> ocurrencia de racionamientos en la demanda actual</w:t>
      </w:r>
      <w:r w:rsidR="00790AFA">
        <w:rPr>
          <w:rFonts w:ascii="Arial" w:hAnsi="Arial" w:cs="Arial"/>
          <w:sz w:val="22"/>
          <w:szCs w:val="22"/>
          <w:lang w:val="es-US" w:eastAsia="es-CO"/>
        </w:rPr>
        <w:t xml:space="preserve"> </w:t>
      </w:r>
      <w:r w:rsidR="009F2CD2" w:rsidRPr="00115608">
        <w:rPr>
          <w:rFonts w:ascii="Arial" w:hAnsi="Arial" w:cs="Arial"/>
          <w:sz w:val="22"/>
          <w:szCs w:val="22"/>
          <w:lang w:val="es-US" w:eastAsia="es-CO"/>
        </w:rPr>
        <w:t xml:space="preserve">en el área de influencia </w:t>
      </w:r>
      <w:r w:rsidR="00AB79F8" w:rsidRPr="00115608">
        <w:rPr>
          <w:rFonts w:ascii="Arial" w:hAnsi="Arial" w:cs="Arial"/>
          <w:sz w:val="22"/>
          <w:szCs w:val="22"/>
          <w:lang w:val="es-US" w:eastAsia="es-CO"/>
        </w:rPr>
        <w:t>de cada p</w:t>
      </w:r>
      <w:r w:rsidR="009F2CD2" w:rsidRPr="00115608">
        <w:rPr>
          <w:rFonts w:ascii="Arial" w:hAnsi="Arial" w:cs="Arial"/>
          <w:sz w:val="22"/>
          <w:szCs w:val="22"/>
          <w:lang w:val="es-US" w:eastAsia="es-CO"/>
        </w:rPr>
        <w:t>royecto</w:t>
      </w:r>
      <w:r w:rsidR="00AB79F8" w:rsidRPr="00115608">
        <w:rPr>
          <w:rFonts w:ascii="Arial" w:hAnsi="Arial" w:cs="Arial"/>
          <w:sz w:val="22"/>
          <w:szCs w:val="22"/>
          <w:lang w:val="es-US" w:eastAsia="es-CO"/>
        </w:rPr>
        <w:t>,</w:t>
      </w:r>
      <w:r w:rsidR="00FA0F62">
        <w:rPr>
          <w:rFonts w:ascii="Arial" w:hAnsi="Arial" w:cs="Arial"/>
          <w:sz w:val="22"/>
          <w:szCs w:val="22"/>
          <w:lang w:val="es-US" w:eastAsia="es-CO"/>
        </w:rPr>
        <w:t xml:space="preserve"> de 186</w:t>
      </w:r>
      <w:r w:rsidR="009F2CD2" w:rsidRPr="00115608">
        <w:rPr>
          <w:rFonts w:ascii="Arial" w:hAnsi="Arial" w:cs="Arial"/>
          <w:sz w:val="22"/>
          <w:szCs w:val="22"/>
          <w:lang w:val="es-US" w:eastAsia="es-CO"/>
        </w:rPr>
        <w:t xml:space="preserve"> </w:t>
      </w:r>
      <w:r w:rsidR="00AB79F8" w:rsidRPr="00115608">
        <w:rPr>
          <w:rFonts w:ascii="Arial" w:hAnsi="Arial" w:cs="Arial"/>
          <w:sz w:val="22"/>
          <w:szCs w:val="22"/>
          <w:lang w:val="es-US" w:eastAsia="es-CO"/>
        </w:rPr>
        <w:t>h</w:t>
      </w:r>
      <w:r w:rsidR="009F2CD2" w:rsidRPr="00115608">
        <w:rPr>
          <w:rFonts w:ascii="Arial" w:hAnsi="Arial" w:cs="Arial"/>
          <w:sz w:val="22"/>
          <w:szCs w:val="22"/>
          <w:lang w:val="es-US" w:eastAsia="es-CO"/>
        </w:rPr>
        <w:t>oras/año</w:t>
      </w:r>
      <w:r w:rsidR="00FA0F62">
        <w:rPr>
          <w:rFonts w:ascii="Arial" w:hAnsi="Arial" w:cs="Arial"/>
          <w:sz w:val="22"/>
          <w:szCs w:val="22"/>
          <w:lang w:val="es-US" w:eastAsia="es-CO"/>
        </w:rPr>
        <w:t>,</w:t>
      </w:r>
      <w:r w:rsidR="009F2CD2" w:rsidRPr="00115608">
        <w:rPr>
          <w:rFonts w:ascii="Arial" w:hAnsi="Arial" w:cs="Arial"/>
          <w:sz w:val="22"/>
          <w:szCs w:val="22"/>
          <w:lang w:val="es-US" w:eastAsia="es-CO"/>
        </w:rPr>
        <w:t xml:space="preserve"> al promedio nacional de </w:t>
      </w:r>
      <w:r w:rsidR="00790AFA">
        <w:rPr>
          <w:rFonts w:ascii="Arial" w:hAnsi="Arial" w:cs="Arial"/>
          <w:sz w:val="22"/>
          <w:szCs w:val="22"/>
          <w:lang w:val="es-US" w:eastAsia="es-CO"/>
        </w:rPr>
        <w:t xml:space="preserve">fallas de </w:t>
      </w:r>
      <w:r w:rsidR="009F2CD2" w:rsidRPr="00115608">
        <w:rPr>
          <w:rFonts w:ascii="Arial" w:hAnsi="Arial" w:cs="Arial"/>
          <w:sz w:val="22"/>
          <w:szCs w:val="22"/>
          <w:lang w:val="es-US" w:eastAsia="es-CO"/>
        </w:rPr>
        <w:t>32</w:t>
      </w:r>
      <w:r w:rsidR="00FA0F62">
        <w:rPr>
          <w:rFonts w:ascii="Arial" w:hAnsi="Arial" w:cs="Arial"/>
          <w:sz w:val="22"/>
          <w:szCs w:val="22"/>
          <w:lang w:val="es-US" w:eastAsia="es-CO"/>
        </w:rPr>
        <w:t>,</w:t>
      </w:r>
      <w:r w:rsidR="009F2CD2" w:rsidRPr="00115608">
        <w:rPr>
          <w:rFonts w:ascii="Arial" w:hAnsi="Arial" w:cs="Arial"/>
          <w:sz w:val="22"/>
          <w:szCs w:val="22"/>
          <w:lang w:val="es-US" w:eastAsia="es-CO"/>
        </w:rPr>
        <w:t>5 horas/año, o sea una reducción promedio de 186</w:t>
      </w:r>
      <w:r w:rsidR="00FA0F62">
        <w:rPr>
          <w:rFonts w:ascii="Arial" w:hAnsi="Arial" w:cs="Arial"/>
          <w:sz w:val="22"/>
          <w:szCs w:val="22"/>
          <w:lang w:val="es-US" w:eastAsia="es-CO"/>
        </w:rPr>
        <w:t>,0 – 32,</w:t>
      </w:r>
      <w:r w:rsidR="009F2CD2" w:rsidRPr="00115608">
        <w:rPr>
          <w:rFonts w:ascii="Arial" w:hAnsi="Arial" w:cs="Arial"/>
          <w:sz w:val="22"/>
          <w:szCs w:val="22"/>
          <w:lang w:val="es-US" w:eastAsia="es-CO"/>
        </w:rPr>
        <w:t>5 = 1</w:t>
      </w:r>
      <w:r w:rsidR="00140188">
        <w:rPr>
          <w:rFonts w:ascii="Arial" w:hAnsi="Arial" w:cs="Arial"/>
          <w:sz w:val="22"/>
          <w:szCs w:val="22"/>
          <w:lang w:val="es-US" w:eastAsia="es-CO"/>
        </w:rPr>
        <w:t>5</w:t>
      </w:r>
      <w:r w:rsidR="009F2CD2" w:rsidRPr="00115608">
        <w:rPr>
          <w:rFonts w:ascii="Arial" w:hAnsi="Arial" w:cs="Arial"/>
          <w:sz w:val="22"/>
          <w:szCs w:val="22"/>
          <w:lang w:val="es-US" w:eastAsia="es-CO"/>
        </w:rPr>
        <w:t>3</w:t>
      </w:r>
      <w:r w:rsidR="00FA0F62">
        <w:rPr>
          <w:rFonts w:ascii="Arial" w:hAnsi="Arial" w:cs="Arial"/>
          <w:sz w:val="22"/>
          <w:szCs w:val="22"/>
          <w:lang w:val="es-US" w:eastAsia="es-CO"/>
        </w:rPr>
        <w:t>,</w:t>
      </w:r>
      <w:r w:rsidR="009F2CD2" w:rsidRPr="00115608">
        <w:rPr>
          <w:rFonts w:ascii="Arial" w:hAnsi="Arial" w:cs="Arial"/>
          <w:sz w:val="22"/>
          <w:szCs w:val="22"/>
          <w:lang w:val="es-US" w:eastAsia="es-CO"/>
        </w:rPr>
        <w:t xml:space="preserve">5 horas/año. </w:t>
      </w:r>
      <w:r w:rsidR="005127BC">
        <w:rPr>
          <w:rFonts w:ascii="Arial" w:hAnsi="Arial" w:cs="Arial"/>
          <w:sz w:val="22"/>
          <w:szCs w:val="22"/>
          <w:lang w:val="es-US" w:eastAsia="es-CO"/>
        </w:rPr>
        <w:t xml:space="preserve">Con el promedio de demanda </w:t>
      </w:r>
      <w:r w:rsidR="00FA0F62">
        <w:rPr>
          <w:rFonts w:ascii="Arial" w:hAnsi="Arial" w:cs="Arial"/>
          <w:sz w:val="22"/>
          <w:szCs w:val="22"/>
          <w:lang w:val="es-US" w:eastAsia="es-CO"/>
        </w:rPr>
        <w:t>a satisfacer resultante</w:t>
      </w:r>
      <w:r w:rsidR="001F1D05">
        <w:rPr>
          <w:rFonts w:ascii="Arial" w:hAnsi="Arial" w:cs="Arial"/>
          <w:sz w:val="22"/>
          <w:szCs w:val="22"/>
          <w:lang w:val="es-US" w:eastAsia="es-CO"/>
        </w:rPr>
        <w:t xml:space="preserve"> de la inversión en aumento en capacidad </w:t>
      </w:r>
      <w:r w:rsidR="005127BC">
        <w:rPr>
          <w:rFonts w:ascii="Arial" w:hAnsi="Arial" w:cs="Arial"/>
          <w:sz w:val="22"/>
          <w:szCs w:val="22"/>
          <w:lang w:val="es-US" w:eastAsia="es-CO"/>
        </w:rPr>
        <w:t>en MW</w:t>
      </w:r>
      <w:r w:rsidR="001F1D05">
        <w:rPr>
          <w:rFonts w:ascii="Arial" w:hAnsi="Arial" w:cs="Arial"/>
          <w:sz w:val="22"/>
          <w:szCs w:val="22"/>
          <w:lang w:val="es-US" w:eastAsia="es-CO"/>
        </w:rPr>
        <w:t>, traducido en confiabilidad en h</w:t>
      </w:r>
      <w:r w:rsidR="000410E6">
        <w:rPr>
          <w:rFonts w:ascii="Arial" w:hAnsi="Arial" w:cs="Arial"/>
          <w:sz w:val="22"/>
          <w:szCs w:val="22"/>
          <w:lang w:val="es-US" w:eastAsia="es-CO"/>
        </w:rPr>
        <w:t>ora</w:t>
      </w:r>
      <w:r w:rsidR="001F1D05">
        <w:rPr>
          <w:rFonts w:ascii="Arial" w:hAnsi="Arial" w:cs="Arial"/>
          <w:sz w:val="22"/>
          <w:szCs w:val="22"/>
          <w:lang w:val="es-US" w:eastAsia="es-CO"/>
        </w:rPr>
        <w:t>s</w:t>
      </w:r>
      <w:r w:rsidR="000410E6">
        <w:rPr>
          <w:rFonts w:ascii="Arial" w:hAnsi="Arial" w:cs="Arial"/>
          <w:sz w:val="22"/>
          <w:szCs w:val="22"/>
          <w:lang w:val="es-US" w:eastAsia="es-CO"/>
        </w:rPr>
        <w:t>,</w:t>
      </w:r>
      <w:r w:rsidR="005127BC">
        <w:rPr>
          <w:rFonts w:ascii="Arial" w:hAnsi="Arial" w:cs="Arial"/>
          <w:sz w:val="22"/>
          <w:szCs w:val="22"/>
          <w:lang w:val="es-US" w:eastAsia="es-CO"/>
        </w:rPr>
        <w:t xml:space="preserve"> se obtiene el beneficio por confiabilidad del año. </w:t>
      </w:r>
      <w:r w:rsidR="001F1D05">
        <w:rPr>
          <w:rFonts w:ascii="Arial" w:hAnsi="Arial" w:cs="Arial"/>
          <w:sz w:val="22"/>
          <w:szCs w:val="22"/>
          <w:lang w:val="es-US" w:eastAsia="es-CO"/>
        </w:rPr>
        <w:t xml:space="preserve"> La capacidad adicional </w:t>
      </w:r>
      <w:r w:rsidR="00865FFF">
        <w:rPr>
          <w:rFonts w:ascii="Arial" w:hAnsi="Arial" w:cs="Arial"/>
          <w:sz w:val="22"/>
          <w:szCs w:val="22"/>
          <w:lang w:val="es-US" w:eastAsia="es-CO"/>
        </w:rPr>
        <w:t xml:space="preserve">total </w:t>
      </w:r>
      <w:r w:rsidR="001F1D05">
        <w:rPr>
          <w:rFonts w:ascii="Arial" w:hAnsi="Arial" w:cs="Arial"/>
          <w:sz w:val="22"/>
          <w:szCs w:val="22"/>
          <w:lang w:val="es-US" w:eastAsia="es-CO"/>
        </w:rPr>
        <w:t xml:space="preserve">esperada </w:t>
      </w:r>
      <w:r w:rsidR="00D6297A">
        <w:rPr>
          <w:rFonts w:ascii="Arial" w:hAnsi="Arial" w:cs="Arial"/>
          <w:sz w:val="22"/>
          <w:szCs w:val="22"/>
          <w:lang w:val="es-US" w:eastAsia="es-CO"/>
        </w:rPr>
        <w:t xml:space="preserve">por la inversión </w:t>
      </w:r>
      <w:r w:rsidR="001F1D05">
        <w:rPr>
          <w:rFonts w:ascii="Arial" w:hAnsi="Arial" w:cs="Arial"/>
          <w:sz w:val="22"/>
          <w:szCs w:val="22"/>
          <w:lang w:val="es-US" w:eastAsia="es-CO"/>
        </w:rPr>
        <w:t>en la SE Progreso es de 150MW y en la SE Toncontín es de 75MW.</w:t>
      </w:r>
      <w:r w:rsidR="00865FFF">
        <w:rPr>
          <w:rFonts w:ascii="Arial" w:hAnsi="Arial" w:cs="Arial"/>
          <w:sz w:val="22"/>
          <w:szCs w:val="22"/>
          <w:lang w:val="es-US" w:eastAsia="es-CO"/>
        </w:rPr>
        <w:t xml:space="preserve"> Dado el porcentaje promedio de carga</w:t>
      </w:r>
      <w:r w:rsidR="00412E1B">
        <w:rPr>
          <w:rFonts w:ascii="Arial" w:hAnsi="Arial" w:cs="Arial"/>
          <w:sz w:val="22"/>
          <w:szCs w:val="22"/>
          <w:lang w:val="es-US" w:eastAsia="es-CO"/>
        </w:rPr>
        <w:t xml:space="preserve"> esperado</w:t>
      </w:r>
      <w:r w:rsidR="00865FFF">
        <w:rPr>
          <w:rFonts w:ascii="Arial" w:hAnsi="Arial" w:cs="Arial"/>
          <w:sz w:val="22"/>
          <w:szCs w:val="22"/>
          <w:lang w:val="es-US" w:eastAsia="es-CO"/>
        </w:rPr>
        <w:t xml:space="preserve"> en los transformadores de transmisión de la SE Progreso de 76,63%, se estima un incremento</w:t>
      </w:r>
      <w:r w:rsidR="00865FFF" w:rsidRPr="00865FFF">
        <w:rPr>
          <w:rFonts w:ascii="Arial" w:hAnsi="Arial" w:cs="Arial"/>
          <w:sz w:val="22"/>
          <w:szCs w:val="22"/>
          <w:lang w:val="es-US" w:eastAsia="es-CO"/>
        </w:rPr>
        <w:t xml:space="preserve"> </w:t>
      </w:r>
      <w:r w:rsidR="00865FFF">
        <w:rPr>
          <w:rFonts w:ascii="Arial" w:hAnsi="Arial" w:cs="Arial"/>
          <w:sz w:val="22"/>
          <w:szCs w:val="22"/>
          <w:lang w:val="es-US" w:eastAsia="es-CO"/>
        </w:rPr>
        <w:t xml:space="preserve">en </w:t>
      </w:r>
      <w:r w:rsidR="00412E1B">
        <w:rPr>
          <w:rFonts w:ascii="Arial" w:hAnsi="Arial" w:cs="Arial"/>
          <w:sz w:val="22"/>
          <w:szCs w:val="22"/>
          <w:lang w:val="es-US" w:eastAsia="es-CO"/>
        </w:rPr>
        <w:t>la potencia</w:t>
      </w:r>
      <w:r w:rsidR="00865FFF">
        <w:rPr>
          <w:rFonts w:ascii="Arial" w:hAnsi="Arial" w:cs="Arial"/>
          <w:sz w:val="22"/>
          <w:szCs w:val="22"/>
          <w:lang w:val="es-US" w:eastAsia="es-CO"/>
        </w:rPr>
        <w:t xml:space="preserve"> de 4</w:t>
      </w:r>
      <w:r w:rsidR="00412E1B">
        <w:rPr>
          <w:rFonts w:ascii="Arial" w:hAnsi="Arial" w:cs="Arial"/>
          <w:sz w:val="22"/>
          <w:szCs w:val="22"/>
          <w:lang w:val="es-US" w:eastAsia="es-CO"/>
        </w:rPr>
        <w:t>8</w:t>
      </w:r>
      <w:r w:rsidR="00865FFF">
        <w:rPr>
          <w:rFonts w:ascii="Arial" w:hAnsi="Arial" w:cs="Arial"/>
          <w:sz w:val="22"/>
          <w:szCs w:val="22"/>
          <w:lang w:val="es-US" w:eastAsia="es-CO"/>
        </w:rPr>
        <w:t>MW.</w:t>
      </w:r>
      <w:r w:rsidR="00F220E7">
        <w:rPr>
          <w:rFonts w:ascii="Arial" w:hAnsi="Arial" w:cs="Arial"/>
          <w:sz w:val="22"/>
          <w:szCs w:val="22"/>
          <w:lang w:val="es-US" w:eastAsia="es-CO"/>
        </w:rPr>
        <w:t xml:space="preserve"> Para la SE Toncontín, dado el </w:t>
      </w:r>
      <w:r w:rsidR="00F220E7" w:rsidRPr="00F220E7">
        <w:rPr>
          <w:rFonts w:ascii="Arial" w:hAnsi="Arial" w:cs="Arial"/>
          <w:sz w:val="22"/>
          <w:szCs w:val="22"/>
          <w:lang w:val="es-US" w:eastAsia="es-CO"/>
        </w:rPr>
        <w:t>porcentaje promedio de carga en los transformadores de transmisión</w:t>
      </w:r>
      <w:r w:rsidR="00790AFA">
        <w:rPr>
          <w:rFonts w:ascii="Arial" w:hAnsi="Arial" w:cs="Arial"/>
          <w:sz w:val="22"/>
          <w:szCs w:val="22"/>
          <w:lang w:val="es-US" w:eastAsia="es-CO"/>
        </w:rPr>
        <w:t xml:space="preserve"> de 56%</w:t>
      </w:r>
      <w:r w:rsidR="00F220E7">
        <w:rPr>
          <w:rFonts w:ascii="Arial" w:hAnsi="Arial" w:cs="Arial"/>
          <w:sz w:val="22"/>
          <w:szCs w:val="22"/>
          <w:lang w:val="es-US" w:eastAsia="es-CO"/>
        </w:rPr>
        <w:t xml:space="preserve">, </w:t>
      </w:r>
      <w:r w:rsidR="00F220E7" w:rsidRPr="00F220E7">
        <w:rPr>
          <w:rFonts w:ascii="Arial" w:hAnsi="Arial" w:cs="Arial"/>
          <w:sz w:val="22"/>
          <w:szCs w:val="22"/>
          <w:lang w:val="es-US" w:eastAsia="es-CO"/>
        </w:rPr>
        <w:t xml:space="preserve">se estima un incremento en la </w:t>
      </w:r>
      <w:r w:rsidR="00412E1B">
        <w:rPr>
          <w:rFonts w:ascii="Arial" w:hAnsi="Arial" w:cs="Arial"/>
          <w:sz w:val="22"/>
          <w:szCs w:val="22"/>
          <w:lang w:val="es-US" w:eastAsia="es-CO"/>
        </w:rPr>
        <w:t xml:space="preserve">potencia </w:t>
      </w:r>
      <w:r w:rsidR="00F220E7" w:rsidRPr="00F220E7">
        <w:rPr>
          <w:rFonts w:ascii="Arial" w:hAnsi="Arial" w:cs="Arial"/>
          <w:sz w:val="22"/>
          <w:szCs w:val="22"/>
          <w:lang w:val="es-US" w:eastAsia="es-CO"/>
        </w:rPr>
        <w:t xml:space="preserve">de </w:t>
      </w:r>
      <w:r w:rsidR="00412E1B">
        <w:rPr>
          <w:rFonts w:ascii="Arial" w:hAnsi="Arial" w:cs="Arial"/>
          <w:sz w:val="22"/>
          <w:szCs w:val="22"/>
          <w:lang w:val="es-US" w:eastAsia="es-CO"/>
        </w:rPr>
        <w:t>9</w:t>
      </w:r>
      <w:r w:rsidR="00F220E7" w:rsidRPr="00F220E7">
        <w:rPr>
          <w:rFonts w:ascii="Arial" w:hAnsi="Arial" w:cs="Arial"/>
          <w:sz w:val="22"/>
          <w:szCs w:val="22"/>
          <w:lang w:val="es-US" w:eastAsia="es-CO"/>
        </w:rPr>
        <w:t>MW</w:t>
      </w:r>
      <w:r w:rsidR="00212851">
        <w:rPr>
          <w:rFonts w:ascii="Arial" w:hAnsi="Arial" w:cs="Arial"/>
          <w:sz w:val="22"/>
          <w:szCs w:val="22"/>
          <w:lang w:val="es-US" w:eastAsia="es-CO"/>
        </w:rPr>
        <w:t>.</w:t>
      </w:r>
    </w:p>
    <w:p w14:paraId="0EE69969" w14:textId="503FFDD3" w:rsidR="00212851" w:rsidRPr="008F6B43" w:rsidRDefault="008F6B43" w:rsidP="008F6B43">
      <w:pPr>
        <w:pStyle w:val="Paragraph"/>
        <w:numPr>
          <w:ilvl w:val="1"/>
          <w:numId w:val="2"/>
        </w:numPr>
        <w:tabs>
          <w:tab w:val="num" w:pos="720"/>
        </w:tabs>
        <w:autoSpaceDE w:val="0"/>
        <w:autoSpaceDN w:val="0"/>
        <w:adjustRightInd w:val="0"/>
        <w:spacing w:before="0"/>
        <w:ind w:left="720" w:hanging="720"/>
        <w:rPr>
          <w:rFonts w:ascii="Arial" w:hAnsi="Arial" w:cs="Arial"/>
          <w:sz w:val="22"/>
          <w:szCs w:val="22"/>
          <w:lang w:val="es-US" w:eastAsia="es-CO"/>
        </w:rPr>
      </w:pPr>
      <w:bookmarkStart w:id="21" w:name="_Hlk483224889"/>
      <w:r>
        <w:rPr>
          <w:rFonts w:ascii="Arial" w:hAnsi="Arial" w:cs="Arial"/>
          <w:sz w:val="22"/>
          <w:szCs w:val="22"/>
          <w:lang w:val="es-US" w:eastAsia="es-CO"/>
        </w:rPr>
        <w:t>El análisis reconoce que el proyecto</w:t>
      </w:r>
      <w:r w:rsidR="00F31F1F">
        <w:rPr>
          <w:rFonts w:ascii="Arial" w:hAnsi="Arial" w:cs="Arial"/>
          <w:sz w:val="22"/>
          <w:szCs w:val="22"/>
          <w:lang w:val="es-US" w:eastAsia="es-CO"/>
        </w:rPr>
        <w:t xml:space="preserve"> de la SE Progreso</w:t>
      </w:r>
      <w:r w:rsidR="00790AFA">
        <w:rPr>
          <w:rFonts w:ascii="Arial" w:hAnsi="Arial" w:cs="Arial"/>
          <w:sz w:val="22"/>
          <w:szCs w:val="22"/>
          <w:lang w:val="es-US" w:eastAsia="es-CO"/>
        </w:rPr>
        <w:t>,</w:t>
      </w:r>
      <w:r>
        <w:rPr>
          <w:rFonts w:ascii="Arial" w:hAnsi="Arial" w:cs="Arial"/>
          <w:sz w:val="22"/>
          <w:szCs w:val="22"/>
          <w:lang w:val="es-US" w:eastAsia="es-CO"/>
        </w:rPr>
        <w:t xml:space="preserve"> genera un </w:t>
      </w:r>
      <w:r w:rsidR="000D6C38">
        <w:rPr>
          <w:rFonts w:ascii="Arial" w:hAnsi="Arial" w:cs="Arial"/>
          <w:sz w:val="22"/>
          <w:szCs w:val="22"/>
          <w:lang w:val="es-US" w:eastAsia="es-CO"/>
        </w:rPr>
        <w:t>beneficio</w:t>
      </w:r>
      <w:r>
        <w:rPr>
          <w:rFonts w:ascii="Arial" w:hAnsi="Arial" w:cs="Arial"/>
          <w:sz w:val="22"/>
          <w:szCs w:val="22"/>
          <w:lang w:val="es-US" w:eastAsia="es-CO"/>
        </w:rPr>
        <w:t xml:space="preserve"> adicional </w:t>
      </w:r>
      <w:r w:rsidR="00C35B6C">
        <w:rPr>
          <w:rFonts w:ascii="Arial" w:hAnsi="Arial" w:cs="Arial"/>
          <w:sz w:val="22"/>
          <w:szCs w:val="22"/>
          <w:lang w:val="es-US" w:eastAsia="es-CO"/>
        </w:rPr>
        <w:t xml:space="preserve">al </w:t>
      </w:r>
      <w:r w:rsidR="00F31F1F">
        <w:rPr>
          <w:rFonts w:ascii="Arial" w:hAnsi="Arial" w:cs="Arial"/>
          <w:sz w:val="22"/>
          <w:szCs w:val="22"/>
          <w:lang w:val="es-US" w:eastAsia="es-CO"/>
        </w:rPr>
        <w:t>hacer posible</w:t>
      </w:r>
      <w:r w:rsidR="00C35B6C">
        <w:rPr>
          <w:rFonts w:ascii="Arial" w:hAnsi="Arial" w:cs="Arial"/>
          <w:sz w:val="22"/>
          <w:szCs w:val="22"/>
          <w:lang w:val="es-US" w:eastAsia="es-CO"/>
        </w:rPr>
        <w:t xml:space="preserve"> un mayor volumen de intercambios a través del </w:t>
      </w:r>
      <w:r w:rsidR="009A316E">
        <w:rPr>
          <w:rFonts w:ascii="Arial" w:hAnsi="Arial" w:cs="Arial"/>
          <w:sz w:val="22"/>
          <w:szCs w:val="22"/>
          <w:lang w:val="es-US" w:eastAsia="es-CO"/>
        </w:rPr>
        <w:t>M</w:t>
      </w:r>
      <w:r w:rsidR="00C35B6C">
        <w:rPr>
          <w:rFonts w:ascii="Arial" w:hAnsi="Arial" w:cs="Arial"/>
          <w:sz w:val="22"/>
          <w:szCs w:val="22"/>
          <w:lang w:val="es-US" w:eastAsia="es-CO"/>
        </w:rPr>
        <w:t xml:space="preserve">ercado Eléctrico </w:t>
      </w:r>
      <w:r w:rsidR="009A316E">
        <w:rPr>
          <w:rFonts w:ascii="Arial" w:hAnsi="Arial" w:cs="Arial"/>
          <w:sz w:val="22"/>
          <w:szCs w:val="22"/>
          <w:lang w:val="es-US" w:eastAsia="es-CO"/>
        </w:rPr>
        <w:t>R</w:t>
      </w:r>
      <w:r w:rsidR="00C35B6C">
        <w:rPr>
          <w:rFonts w:ascii="Arial" w:hAnsi="Arial" w:cs="Arial"/>
          <w:sz w:val="22"/>
          <w:szCs w:val="22"/>
          <w:lang w:val="es-US" w:eastAsia="es-CO"/>
        </w:rPr>
        <w:t>egional</w:t>
      </w:r>
      <w:r w:rsidR="009A316E">
        <w:rPr>
          <w:rFonts w:ascii="Arial" w:hAnsi="Arial" w:cs="Arial"/>
          <w:sz w:val="22"/>
          <w:szCs w:val="22"/>
          <w:lang w:val="es-US" w:eastAsia="es-CO"/>
        </w:rPr>
        <w:t xml:space="preserve"> (MER)</w:t>
      </w:r>
      <w:r w:rsidR="00C35B6C">
        <w:rPr>
          <w:rFonts w:ascii="Arial" w:hAnsi="Arial" w:cs="Arial"/>
          <w:sz w:val="22"/>
          <w:szCs w:val="22"/>
          <w:lang w:val="es-US" w:eastAsia="es-CO"/>
        </w:rPr>
        <w:t xml:space="preserve">. </w:t>
      </w:r>
      <w:r w:rsidR="00F31F1F">
        <w:rPr>
          <w:rFonts w:ascii="Arial" w:hAnsi="Arial" w:cs="Arial"/>
          <w:sz w:val="22"/>
          <w:szCs w:val="22"/>
          <w:lang w:val="es-US" w:eastAsia="es-CO"/>
        </w:rPr>
        <w:t>Este beneficio</w:t>
      </w:r>
      <w:r w:rsidR="00A33FD6">
        <w:rPr>
          <w:rFonts w:ascii="Arial" w:hAnsi="Arial" w:cs="Arial"/>
          <w:sz w:val="22"/>
          <w:szCs w:val="22"/>
          <w:lang w:val="es-US" w:eastAsia="es-CO"/>
        </w:rPr>
        <w:t xml:space="preserve"> representaría mejores precios al mercado </w:t>
      </w:r>
      <w:r w:rsidR="00AA48A2">
        <w:rPr>
          <w:rFonts w:ascii="Arial" w:hAnsi="Arial" w:cs="Arial"/>
          <w:sz w:val="22"/>
          <w:szCs w:val="22"/>
          <w:lang w:val="es-US" w:eastAsia="es-CO"/>
        </w:rPr>
        <w:t xml:space="preserve">hondureño y eventual oportunidad de vender excedentes al MER. </w:t>
      </w:r>
      <w:r w:rsidR="00790AFA">
        <w:rPr>
          <w:rFonts w:ascii="Arial" w:hAnsi="Arial" w:cs="Arial"/>
          <w:sz w:val="22"/>
          <w:szCs w:val="22"/>
          <w:lang w:val="es-US" w:eastAsia="es-CO"/>
        </w:rPr>
        <w:t>E</w:t>
      </w:r>
      <w:r w:rsidR="00641B95">
        <w:rPr>
          <w:rFonts w:ascii="Arial" w:hAnsi="Arial" w:cs="Arial"/>
          <w:sz w:val="22"/>
          <w:szCs w:val="22"/>
          <w:lang w:val="es-US" w:eastAsia="es-CO"/>
        </w:rPr>
        <w:t>l beneficio no</w:t>
      </w:r>
      <w:r w:rsidR="00F31F1F">
        <w:rPr>
          <w:rFonts w:ascii="Arial" w:hAnsi="Arial" w:cs="Arial"/>
          <w:sz w:val="22"/>
          <w:szCs w:val="22"/>
          <w:lang w:val="es-US" w:eastAsia="es-CO"/>
        </w:rPr>
        <w:t xml:space="preserve"> se cuantifica</w:t>
      </w:r>
      <w:r w:rsidR="00CA28B7">
        <w:rPr>
          <w:rFonts w:ascii="Arial" w:hAnsi="Arial" w:cs="Arial"/>
          <w:sz w:val="22"/>
          <w:szCs w:val="22"/>
          <w:lang w:val="es-US" w:eastAsia="es-CO"/>
        </w:rPr>
        <w:t xml:space="preserve"> en el análisis</w:t>
      </w:r>
      <w:r w:rsidR="00641B95">
        <w:rPr>
          <w:rFonts w:ascii="Arial" w:hAnsi="Arial" w:cs="Arial"/>
          <w:sz w:val="22"/>
          <w:szCs w:val="22"/>
          <w:lang w:val="es-US" w:eastAsia="es-CO"/>
        </w:rPr>
        <w:t>,</w:t>
      </w:r>
      <w:r w:rsidR="00CA28B7">
        <w:rPr>
          <w:rFonts w:ascii="Arial" w:hAnsi="Arial" w:cs="Arial"/>
          <w:sz w:val="22"/>
          <w:szCs w:val="22"/>
          <w:lang w:val="es-US" w:eastAsia="es-CO"/>
        </w:rPr>
        <w:t xml:space="preserve"> al tener</w:t>
      </w:r>
      <w:r w:rsidR="00790AFA">
        <w:rPr>
          <w:rFonts w:ascii="Arial" w:hAnsi="Arial" w:cs="Arial"/>
          <w:sz w:val="22"/>
          <w:szCs w:val="22"/>
          <w:lang w:val="es-US" w:eastAsia="es-CO"/>
        </w:rPr>
        <w:t xml:space="preserve"> éste</w:t>
      </w:r>
      <w:r w:rsidR="00CA28B7">
        <w:rPr>
          <w:rFonts w:ascii="Arial" w:hAnsi="Arial" w:cs="Arial"/>
          <w:sz w:val="22"/>
          <w:szCs w:val="22"/>
          <w:lang w:val="es-US" w:eastAsia="es-CO"/>
        </w:rPr>
        <w:t xml:space="preserve"> un valor muy variable</w:t>
      </w:r>
      <w:r w:rsidR="009A316E">
        <w:rPr>
          <w:rFonts w:ascii="Arial" w:hAnsi="Arial" w:cs="Arial"/>
          <w:sz w:val="22"/>
          <w:szCs w:val="22"/>
          <w:lang w:val="es-US" w:eastAsia="es-CO"/>
        </w:rPr>
        <w:t xml:space="preserve">, dependiendo de los cargos por generación de cada país del </w:t>
      </w:r>
      <w:r w:rsidR="008854A9">
        <w:rPr>
          <w:rFonts w:ascii="Arial" w:hAnsi="Arial" w:cs="Arial"/>
          <w:sz w:val="22"/>
          <w:szCs w:val="22"/>
          <w:lang w:val="es-US" w:eastAsia="es-CO"/>
        </w:rPr>
        <w:t>MER realizados en el mercado de oportunidad</w:t>
      </w:r>
      <w:r w:rsidR="004A3FB9">
        <w:rPr>
          <w:rFonts w:ascii="Arial" w:hAnsi="Arial" w:cs="Arial"/>
          <w:sz w:val="22"/>
          <w:szCs w:val="22"/>
          <w:lang w:val="es-US" w:eastAsia="es-CO"/>
        </w:rPr>
        <w:t>; y de los cargos por transmisión que se determinan en subasta</w:t>
      </w:r>
      <w:bookmarkEnd w:id="21"/>
      <w:r w:rsidR="004A3FB9">
        <w:rPr>
          <w:rFonts w:ascii="Arial" w:hAnsi="Arial" w:cs="Arial"/>
          <w:sz w:val="22"/>
          <w:szCs w:val="22"/>
          <w:lang w:val="es-US" w:eastAsia="es-CO"/>
        </w:rPr>
        <w:t xml:space="preserve">. </w:t>
      </w:r>
    </w:p>
    <w:p w14:paraId="48CD48A4" w14:textId="0DED0661" w:rsidR="00FA4708" w:rsidRPr="00FA4708" w:rsidRDefault="002C7BD5" w:rsidP="00FA4708">
      <w:pPr>
        <w:pStyle w:val="Paragraph"/>
        <w:numPr>
          <w:ilvl w:val="1"/>
          <w:numId w:val="2"/>
        </w:numPr>
        <w:tabs>
          <w:tab w:val="num" w:pos="720"/>
        </w:tabs>
        <w:autoSpaceDE w:val="0"/>
        <w:autoSpaceDN w:val="0"/>
        <w:adjustRightInd w:val="0"/>
        <w:ind w:left="720" w:hanging="720"/>
        <w:rPr>
          <w:rFonts w:ascii="Arial" w:hAnsi="Arial" w:cs="Arial"/>
          <w:sz w:val="22"/>
          <w:szCs w:val="22"/>
          <w:lang w:val="es-US" w:eastAsia="es-CO"/>
        </w:rPr>
      </w:pPr>
      <w:r w:rsidRPr="002C7BD5">
        <w:rPr>
          <w:rFonts w:ascii="Arial" w:hAnsi="Arial" w:cs="Arial"/>
          <w:b/>
          <w:sz w:val="22"/>
          <w:szCs w:val="22"/>
          <w:lang w:val="es-US"/>
        </w:rPr>
        <w:t>Estimación de l</w:t>
      </w:r>
      <w:r>
        <w:rPr>
          <w:rFonts w:ascii="Arial" w:hAnsi="Arial" w:cs="Arial"/>
          <w:b/>
          <w:sz w:val="22"/>
          <w:szCs w:val="22"/>
          <w:lang w:val="es-US"/>
        </w:rPr>
        <w:t>os</w:t>
      </w:r>
      <w:r w:rsidRPr="002C7BD5">
        <w:rPr>
          <w:rFonts w:ascii="Arial" w:hAnsi="Arial" w:cs="Arial"/>
          <w:b/>
          <w:sz w:val="22"/>
          <w:szCs w:val="22"/>
          <w:lang w:val="es-US"/>
        </w:rPr>
        <w:t xml:space="preserve"> costos</w:t>
      </w:r>
      <w:r w:rsidRPr="002C7BD5">
        <w:rPr>
          <w:rFonts w:ascii="Arial" w:hAnsi="Arial" w:cs="Arial"/>
          <w:sz w:val="22"/>
          <w:szCs w:val="22"/>
          <w:lang w:val="es-US" w:eastAsia="es-CO"/>
        </w:rPr>
        <w:t>.</w:t>
      </w:r>
      <w:r>
        <w:rPr>
          <w:rFonts w:ascii="Arial" w:hAnsi="Arial" w:cs="Arial"/>
          <w:sz w:val="22"/>
          <w:szCs w:val="22"/>
          <w:lang w:val="es-US" w:eastAsia="es-CO"/>
        </w:rPr>
        <w:t xml:space="preserve"> </w:t>
      </w:r>
      <w:r w:rsidR="00AE51FB">
        <w:rPr>
          <w:rFonts w:ascii="Arial" w:hAnsi="Arial" w:cs="Arial"/>
          <w:sz w:val="22"/>
          <w:szCs w:val="22"/>
          <w:lang w:val="es-US" w:eastAsia="es-CO"/>
        </w:rPr>
        <w:t>Se considera el</w:t>
      </w:r>
      <w:r w:rsidR="00FA4708" w:rsidRPr="00FA4708">
        <w:rPr>
          <w:rFonts w:ascii="Arial" w:hAnsi="Arial" w:cs="Arial"/>
          <w:sz w:val="22"/>
          <w:szCs w:val="22"/>
          <w:lang w:val="es-US" w:eastAsia="es-CO"/>
        </w:rPr>
        <w:t xml:space="preserve"> costo de inversión en </w:t>
      </w:r>
      <w:r w:rsidR="00FA4708">
        <w:rPr>
          <w:rFonts w:ascii="Arial" w:hAnsi="Arial" w:cs="Arial"/>
          <w:sz w:val="22"/>
          <w:szCs w:val="22"/>
          <w:lang w:val="es-US" w:eastAsia="es-CO"/>
        </w:rPr>
        <w:t>cada</w:t>
      </w:r>
      <w:r w:rsidR="00FA4708" w:rsidRPr="00FA4708">
        <w:rPr>
          <w:rFonts w:ascii="Arial" w:hAnsi="Arial" w:cs="Arial"/>
          <w:sz w:val="22"/>
          <w:szCs w:val="22"/>
          <w:lang w:val="es-US" w:eastAsia="es-CO"/>
        </w:rPr>
        <w:t xml:space="preserve"> proyecto</w:t>
      </w:r>
      <w:r w:rsidR="00D6297A">
        <w:rPr>
          <w:rFonts w:ascii="Arial" w:hAnsi="Arial" w:cs="Arial"/>
          <w:sz w:val="22"/>
          <w:szCs w:val="22"/>
          <w:lang w:val="es-US" w:eastAsia="es-CO"/>
        </w:rPr>
        <w:t>;</w:t>
      </w:r>
      <w:r w:rsidR="00FA4708" w:rsidRPr="00FA4708">
        <w:rPr>
          <w:rFonts w:ascii="Arial" w:hAnsi="Arial" w:cs="Arial"/>
          <w:sz w:val="22"/>
          <w:szCs w:val="22"/>
          <w:lang w:val="es-US" w:eastAsia="es-CO"/>
        </w:rPr>
        <w:t xml:space="preserve"> y sus costos </w:t>
      </w:r>
      <w:r w:rsidR="00AE51FB">
        <w:rPr>
          <w:rFonts w:ascii="Arial" w:hAnsi="Arial" w:cs="Arial"/>
          <w:sz w:val="22"/>
          <w:szCs w:val="22"/>
          <w:lang w:val="es-US" w:eastAsia="es-CO"/>
        </w:rPr>
        <w:t xml:space="preserve">adicionales </w:t>
      </w:r>
      <w:r w:rsidR="00FA4708" w:rsidRPr="00FA4708">
        <w:rPr>
          <w:rFonts w:ascii="Arial" w:hAnsi="Arial" w:cs="Arial"/>
          <w:sz w:val="22"/>
          <w:szCs w:val="22"/>
          <w:lang w:val="es-US" w:eastAsia="es-CO"/>
        </w:rPr>
        <w:t>anuales de Operación y Mantenimiento</w:t>
      </w:r>
      <w:r w:rsidR="00AE51FB">
        <w:rPr>
          <w:rFonts w:ascii="Arial" w:hAnsi="Arial" w:cs="Arial"/>
          <w:sz w:val="22"/>
          <w:szCs w:val="22"/>
          <w:lang w:val="es-US" w:eastAsia="es-CO"/>
        </w:rPr>
        <w:t>,</w:t>
      </w:r>
      <w:r w:rsidR="00FA4708" w:rsidRPr="00FA4708">
        <w:rPr>
          <w:rFonts w:ascii="Arial" w:hAnsi="Arial" w:cs="Arial"/>
          <w:sz w:val="22"/>
          <w:szCs w:val="22"/>
          <w:lang w:val="es-US" w:eastAsia="es-CO"/>
        </w:rPr>
        <w:t xml:space="preserve"> </w:t>
      </w:r>
      <w:r w:rsidR="00276B07">
        <w:rPr>
          <w:rFonts w:ascii="Arial" w:hAnsi="Arial" w:cs="Arial"/>
          <w:sz w:val="22"/>
          <w:szCs w:val="22"/>
          <w:lang w:val="es-US" w:eastAsia="es-CO"/>
        </w:rPr>
        <w:t xml:space="preserve">estimados por la </w:t>
      </w:r>
      <w:r w:rsidR="00FA4708" w:rsidRPr="00FA4708">
        <w:rPr>
          <w:rFonts w:ascii="Arial" w:hAnsi="Arial" w:cs="Arial"/>
          <w:sz w:val="22"/>
          <w:szCs w:val="22"/>
          <w:lang w:val="es-US" w:eastAsia="es-CO"/>
        </w:rPr>
        <w:t>ENEE en 3% del costo de inversión.</w:t>
      </w:r>
    </w:p>
    <w:p w14:paraId="031C0EA7" w14:textId="339D61B1" w:rsidR="002C7BD5" w:rsidRDefault="009D629C" w:rsidP="009F2CD2">
      <w:pPr>
        <w:pStyle w:val="Paragraph"/>
        <w:numPr>
          <w:ilvl w:val="1"/>
          <w:numId w:val="2"/>
        </w:numPr>
        <w:tabs>
          <w:tab w:val="num" w:pos="720"/>
        </w:tabs>
        <w:autoSpaceDE w:val="0"/>
        <w:autoSpaceDN w:val="0"/>
        <w:adjustRightInd w:val="0"/>
        <w:spacing w:before="0"/>
        <w:ind w:left="720" w:hanging="720"/>
        <w:rPr>
          <w:rFonts w:ascii="Arial" w:hAnsi="Arial" w:cs="Arial"/>
          <w:sz w:val="22"/>
          <w:szCs w:val="22"/>
          <w:lang w:val="es-US" w:eastAsia="es-CO"/>
        </w:rPr>
      </w:pPr>
      <w:r w:rsidRPr="009D629C">
        <w:rPr>
          <w:rFonts w:ascii="Arial" w:hAnsi="Arial" w:cs="Arial"/>
          <w:b/>
          <w:sz w:val="22"/>
          <w:szCs w:val="22"/>
          <w:lang w:val="es-US"/>
        </w:rPr>
        <w:t>Flujos netos</w:t>
      </w:r>
      <w:r>
        <w:rPr>
          <w:rFonts w:ascii="Arial" w:hAnsi="Arial" w:cs="Arial"/>
          <w:sz w:val="22"/>
          <w:szCs w:val="22"/>
          <w:lang w:val="es-US"/>
        </w:rPr>
        <w:t xml:space="preserve">. </w:t>
      </w:r>
      <w:r w:rsidR="002C7BD5" w:rsidRPr="002C7BD5">
        <w:rPr>
          <w:rFonts w:ascii="Arial" w:hAnsi="Arial" w:cs="Arial"/>
          <w:sz w:val="22"/>
          <w:szCs w:val="22"/>
          <w:lang w:val="es-US"/>
        </w:rPr>
        <w:t xml:space="preserve">Con base en los costos y beneficios identificados, se calculó la tasa </w:t>
      </w:r>
      <w:r w:rsidR="00D6297A">
        <w:rPr>
          <w:rFonts w:ascii="Arial" w:hAnsi="Arial" w:cs="Arial"/>
          <w:sz w:val="22"/>
          <w:szCs w:val="22"/>
          <w:lang w:val="es-US"/>
        </w:rPr>
        <w:t xml:space="preserve">interna de retorno económico </w:t>
      </w:r>
      <w:r w:rsidR="002C7BD5" w:rsidRPr="002C7BD5">
        <w:rPr>
          <w:rFonts w:ascii="Arial" w:hAnsi="Arial" w:cs="Arial"/>
          <w:sz w:val="22"/>
          <w:szCs w:val="22"/>
          <w:lang w:val="es-US"/>
        </w:rPr>
        <w:t>(TIR</w:t>
      </w:r>
      <w:r w:rsidR="00066DC2">
        <w:rPr>
          <w:rFonts w:ascii="Arial" w:hAnsi="Arial" w:cs="Arial"/>
          <w:sz w:val="22"/>
          <w:szCs w:val="22"/>
          <w:lang w:val="es-US"/>
        </w:rPr>
        <w:t>E</w:t>
      </w:r>
      <w:r w:rsidR="002C7BD5" w:rsidRPr="002C7BD5">
        <w:rPr>
          <w:rFonts w:ascii="Arial" w:hAnsi="Arial" w:cs="Arial"/>
          <w:sz w:val="22"/>
          <w:szCs w:val="22"/>
          <w:lang w:val="es-US"/>
        </w:rPr>
        <w:t xml:space="preserve">) del proyecto. </w:t>
      </w:r>
      <w:r w:rsidR="00066DC2">
        <w:rPr>
          <w:rFonts w:ascii="Arial" w:hAnsi="Arial" w:cs="Arial"/>
          <w:sz w:val="22"/>
          <w:szCs w:val="22"/>
          <w:lang w:val="es-US"/>
        </w:rPr>
        <w:t>Los</w:t>
      </w:r>
      <w:r w:rsidR="002C7BD5" w:rsidRPr="002C7BD5">
        <w:rPr>
          <w:rFonts w:ascii="Arial" w:hAnsi="Arial" w:cs="Arial"/>
          <w:sz w:val="22"/>
          <w:szCs w:val="22"/>
          <w:lang w:val="es-US"/>
        </w:rPr>
        <w:t xml:space="preserve"> costos y beneficios identificados</w:t>
      </w:r>
      <w:r w:rsidR="00D6297A">
        <w:rPr>
          <w:rFonts w:ascii="Arial" w:hAnsi="Arial" w:cs="Arial"/>
          <w:sz w:val="22"/>
          <w:szCs w:val="22"/>
          <w:lang w:val="es-US"/>
        </w:rPr>
        <w:t xml:space="preserve"> </w:t>
      </w:r>
      <w:r w:rsidR="002C7BD5" w:rsidRPr="002C7BD5">
        <w:rPr>
          <w:rFonts w:ascii="Arial" w:hAnsi="Arial" w:cs="Arial"/>
          <w:sz w:val="22"/>
          <w:szCs w:val="22"/>
          <w:lang w:val="es-US"/>
        </w:rPr>
        <w:t xml:space="preserve">se utilizaron para calcular el valor presente de los beneficios </w:t>
      </w:r>
      <w:r w:rsidR="00066DC2">
        <w:rPr>
          <w:rFonts w:ascii="Arial" w:hAnsi="Arial" w:cs="Arial"/>
          <w:sz w:val="22"/>
          <w:szCs w:val="22"/>
          <w:lang w:val="es-US"/>
        </w:rPr>
        <w:t xml:space="preserve">económicos </w:t>
      </w:r>
      <w:r w:rsidR="002C7BD5" w:rsidRPr="002C7BD5">
        <w:rPr>
          <w:rFonts w:ascii="Arial" w:hAnsi="Arial" w:cs="Arial"/>
          <w:sz w:val="22"/>
          <w:szCs w:val="22"/>
          <w:lang w:val="es-US"/>
        </w:rPr>
        <w:t xml:space="preserve">netos </w:t>
      </w:r>
      <w:r w:rsidR="006066BF" w:rsidRPr="002C7BD5">
        <w:rPr>
          <w:rFonts w:ascii="Arial" w:hAnsi="Arial" w:cs="Arial"/>
          <w:sz w:val="22"/>
          <w:szCs w:val="22"/>
          <w:lang w:val="es-US"/>
        </w:rPr>
        <w:t>de los proyectos</w:t>
      </w:r>
      <w:r w:rsidR="002C7BD5" w:rsidRPr="002C7BD5">
        <w:rPr>
          <w:rFonts w:ascii="Arial" w:hAnsi="Arial" w:cs="Arial"/>
          <w:sz w:val="22"/>
          <w:szCs w:val="22"/>
          <w:lang w:val="es-US"/>
        </w:rPr>
        <w:t xml:space="preserve"> (VP</w:t>
      </w:r>
      <w:r w:rsidR="00D6297A">
        <w:rPr>
          <w:rFonts w:ascii="Arial" w:hAnsi="Arial" w:cs="Arial"/>
          <w:sz w:val="22"/>
          <w:szCs w:val="22"/>
          <w:lang w:val="es-US"/>
        </w:rPr>
        <w:t>NE</w:t>
      </w:r>
      <w:r w:rsidR="002C7BD5" w:rsidRPr="002C7BD5">
        <w:rPr>
          <w:rFonts w:ascii="Arial" w:hAnsi="Arial" w:cs="Arial"/>
          <w:sz w:val="22"/>
          <w:szCs w:val="22"/>
          <w:lang w:val="es-US"/>
        </w:rPr>
        <w:t>), utilizando una tasa de descuento de referencia del 12%</w:t>
      </w:r>
      <w:r w:rsidR="00895E1F">
        <w:rPr>
          <w:rFonts w:ascii="Arial" w:hAnsi="Arial" w:cs="Arial"/>
          <w:sz w:val="22"/>
          <w:szCs w:val="22"/>
          <w:lang w:val="es-US"/>
        </w:rPr>
        <w:t xml:space="preserve">, con un horizonte de </w:t>
      </w:r>
      <w:r w:rsidR="007D1447">
        <w:rPr>
          <w:rFonts w:ascii="Arial" w:hAnsi="Arial" w:cs="Arial"/>
          <w:sz w:val="22"/>
          <w:szCs w:val="22"/>
          <w:lang w:val="es-US"/>
        </w:rPr>
        <w:t>2</w:t>
      </w:r>
      <w:r w:rsidR="00895E1F">
        <w:rPr>
          <w:rFonts w:ascii="Arial" w:hAnsi="Arial" w:cs="Arial"/>
          <w:sz w:val="22"/>
          <w:szCs w:val="22"/>
          <w:lang w:val="es-US"/>
        </w:rPr>
        <w:t>0 años</w:t>
      </w:r>
      <w:r>
        <w:rPr>
          <w:rFonts w:ascii="Arial" w:hAnsi="Arial" w:cs="Arial"/>
          <w:sz w:val="22"/>
          <w:szCs w:val="22"/>
          <w:lang w:val="es-US"/>
        </w:rPr>
        <w:t>.</w:t>
      </w:r>
    </w:p>
    <w:p w14:paraId="37B998DF" w14:textId="2F730D69" w:rsidR="006C44BD" w:rsidRDefault="006C44BD" w:rsidP="006C44BD">
      <w:pPr>
        <w:pStyle w:val="Chapter"/>
        <w:numPr>
          <w:ilvl w:val="0"/>
          <w:numId w:val="0"/>
        </w:numPr>
        <w:ind w:left="1440"/>
        <w:jc w:val="left"/>
        <w:rPr>
          <w:lang w:eastAsia="es-CO"/>
        </w:rPr>
      </w:pPr>
    </w:p>
    <w:p w14:paraId="6BD6519B" w14:textId="6017A19E" w:rsidR="006C44BD" w:rsidRDefault="006C44BD" w:rsidP="006C44BD">
      <w:pPr>
        <w:rPr>
          <w:lang w:val="es-ES" w:eastAsia="es-CO"/>
        </w:rPr>
      </w:pPr>
    </w:p>
    <w:p w14:paraId="05A009C9" w14:textId="1F10D677" w:rsidR="006C44BD" w:rsidRDefault="006C44BD" w:rsidP="006C44BD">
      <w:pPr>
        <w:rPr>
          <w:lang w:val="es-ES" w:eastAsia="es-CO"/>
        </w:rPr>
      </w:pPr>
    </w:p>
    <w:p w14:paraId="08196D0C" w14:textId="6A15E3F7" w:rsidR="00117770" w:rsidRDefault="00117770" w:rsidP="006C44BD">
      <w:pPr>
        <w:pStyle w:val="FirstHeading"/>
        <w:snapToGrid w:val="0"/>
        <w:spacing w:before="0" w:after="0"/>
        <w:ind w:left="720"/>
        <w:rPr>
          <w:rFonts w:ascii="Arial" w:hAnsi="Arial" w:cs="Arial"/>
          <w:sz w:val="22"/>
          <w:szCs w:val="22"/>
        </w:rPr>
      </w:pPr>
      <w:bookmarkStart w:id="22" w:name="_Toc483312824"/>
      <w:r w:rsidRPr="00115608">
        <w:rPr>
          <w:rFonts w:ascii="Arial" w:hAnsi="Arial" w:cs="Arial"/>
          <w:sz w:val="22"/>
          <w:szCs w:val="22"/>
        </w:rPr>
        <w:lastRenderedPageBreak/>
        <w:t>B.</w:t>
      </w:r>
      <w:r w:rsidRPr="00115608">
        <w:rPr>
          <w:rFonts w:ascii="Arial" w:hAnsi="Arial" w:cs="Arial"/>
          <w:sz w:val="22"/>
          <w:szCs w:val="22"/>
        </w:rPr>
        <w:tab/>
        <w:t>SE Progreso</w:t>
      </w:r>
      <w:bookmarkEnd w:id="22"/>
      <w:r w:rsidR="007703AD">
        <w:rPr>
          <w:rFonts w:ascii="Arial" w:hAnsi="Arial" w:cs="Arial"/>
          <w:sz w:val="22"/>
          <w:szCs w:val="22"/>
        </w:rPr>
        <w:t xml:space="preserve"> </w:t>
      </w:r>
    </w:p>
    <w:tbl>
      <w:tblPr>
        <w:tblStyle w:val="TableGrid"/>
        <w:tblW w:w="8372" w:type="dxa"/>
        <w:jc w:val="center"/>
        <w:tblLook w:val="04A0" w:firstRow="1" w:lastRow="0" w:firstColumn="1" w:lastColumn="0" w:noHBand="0" w:noVBand="1"/>
      </w:tblPr>
      <w:tblGrid>
        <w:gridCol w:w="1415"/>
        <w:gridCol w:w="727"/>
        <w:gridCol w:w="617"/>
        <w:gridCol w:w="617"/>
        <w:gridCol w:w="617"/>
        <w:gridCol w:w="617"/>
        <w:gridCol w:w="617"/>
        <w:gridCol w:w="617"/>
        <w:gridCol w:w="617"/>
        <w:gridCol w:w="617"/>
        <w:gridCol w:w="617"/>
        <w:gridCol w:w="677"/>
      </w:tblGrid>
      <w:tr w:rsidR="009D3056" w:rsidRPr="009029CD" w14:paraId="3E668F87" w14:textId="09BDF5AA" w:rsidTr="00EA5FBC">
        <w:trPr>
          <w:jc w:val="center"/>
        </w:trPr>
        <w:tc>
          <w:tcPr>
            <w:tcW w:w="1415" w:type="dxa"/>
            <w:shd w:val="clear" w:color="auto" w:fill="D9D9D9" w:themeFill="background1" w:themeFillShade="D9"/>
            <w:vAlign w:val="center"/>
          </w:tcPr>
          <w:p w14:paraId="3527B53E" w14:textId="70D2F0AD" w:rsidR="006D409C" w:rsidRPr="009029CD" w:rsidRDefault="00EA5FBC" w:rsidP="006D409C">
            <w:pPr>
              <w:rPr>
                <w:rFonts w:ascii="Arial" w:hAnsi="Arial" w:cs="Arial"/>
                <w:b/>
                <w:sz w:val="18"/>
                <w:szCs w:val="18"/>
              </w:rPr>
            </w:pPr>
            <w:bookmarkStart w:id="23" w:name="_Hlk482576664"/>
            <w:r w:rsidRPr="00EA5FBC">
              <w:rPr>
                <w:rFonts w:ascii="Arial" w:hAnsi="Arial" w:cs="Arial"/>
                <w:b/>
                <w:sz w:val="18"/>
                <w:szCs w:val="18"/>
              </w:rPr>
              <w:t>US$ millones</w:t>
            </w:r>
          </w:p>
        </w:tc>
        <w:tc>
          <w:tcPr>
            <w:tcW w:w="727" w:type="dxa"/>
            <w:shd w:val="clear" w:color="auto" w:fill="D9D9D9" w:themeFill="background1" w:themeFillShade="D9"/>
          </w:tcPr>
          <w:p w14:paraId="4F60CEA9" w14:textId="5E3F2C35" w:rsidR="006D409C" w:rsidRPr="006D409C" w:rsidRDefault="006D409C" w:rsidP="006D409C">
            <w:pPr>
              <w:rPr>
                <w:rFonts w:ascii="Arial" w:hAnsi="Arial" w:cs="Arial"/>
                <w:sz w:val="18"/>
                <w:szCs w:val="18"/>
                <w:lang w:val="es-ES"/>
              </w:rPr>
            </w:pPr>
            <w:r w:rsidRPr="006D409C">
              <w:rPr>
                <w:rFonts w:ascii="Arial" w:hAnsi="Arial" w:cs="Arial"/>
                <w:sz w:val="18"/>
                <w:szCs w:val="18"/>
              </w:rPr>
              <w:t>2017</w:t>
            </w:r>
          </w:p>
        </w:tc>
        <w:tc>
          <w:tcPr>
            <w:tcW w:w="617" w:type="dxa"/>
            <w:shd w:val="clear" w:color="auto" w:fill="D9D9D9" w:themeFill="background1" w:themeFillShade="D9"/>
          </w:tcPr>
          <w:p w14:paraId="4FE4F9A4" w14:textId="388FE8A9" w:rsidR="006D409C" w:rsidRPr="006D409C" w:rsidRDefault="006D409C" w:rsidP="006D409C">
            <w:pPr>
              <w:rPr>
                <w:rFonts w:ascii="Arial" w:hAnsi="Arial" w:cs="Arial"/>
                <w:sz w:val="18"/>
                <w:szCs w:val="18"/>
                <w:lang w:val="es-ES"/>
              </w:rPr>
            </w:pPr>
            <w:r w:rsidRPr="006D409C">
              <w:rPr>
                <w:rFonts w:ascii="Arial" w:hAnsi="Arial" w:cs="Arial"/>
                <w:sz w:val="18"/>
                <w:szCs w:val="18"/>
              </w:rPr>
              <w:t>2018</w:t>
            </w:r>
          </w:p>
        </w:tc>
        <w:tc>
          <w:tcPr>
            <w:tcW w:w="617" w:type="dxa"/>
            <w:shd w:val="clear" w:color="auto" w:fill="D9D9D9" w:themeFill="background1" w:themeFillShade="D9"/>
          </w:tcPr>
          <w:p w14:paraId="1E49F706" w14:textId="03DD7B75" w:rsidR="006D409C" w:rsidRPr="006D409C" w:rsidRDefault="006D409C" w:rsidP="006D409C">
            <w:pPr>
              <w:rPr>
                <w:rFonts w:ascii="Arial" w:hAnsi="Arial" w:cs="Arial"/>
                <w:sz w:val="18"/>
                <w:szCs w:val="18"/>
                <w:lang w:val="es-ES"/>
              </w:rPr>
            </w:pPr>
            <w:r w:rsidRPr="006D409C">
              <w:rPr>
                <w:rFonts w:ascii="Arial" w:hAnsi="Arial" w:cs="Arial"/>
                <w:sz w:val="18"/>
                <w:szCs w:val="18"/>
              </w:rPr>
              <w:t>2019</w:t>
            </w:r>
          </w:p>
        </w:tc>
        <w:tc>
          <w:tcPr>
            <w:tcW w:w="617" w:type="dxa"/>
            <w:shd w:val="clear" w:color="auto" w:fill="D9D9D9" w:themeFill="background1" w:themeFillShade="D9"/>
          </w:tcPr>
          <w:p w14:paraId="169670FB" w14:textId="62D5E5BC" w:rsidR="006D409C" w:rsidRPr="006D409C" w:rsidRDefault="006D409C" w:rsidP="006D409C">
            <w:pPr>
              <w:rPr>
                <w:rFonts w:ascii="Arial" w:hAnsi="Arial" w:cs="Arial"/>
                <w:sz w:val="18"/>
                <w:szCs w:val="18"/>
                <w:lang w:val="es-ES"/>
              </w:rPr>
            </w:pPr>
            <w:r w:rsidRPr="006D409C">
              <w:rPr>
                <w:rFonts w:ascii="Arial" w:hAnsi="Arial" w:cs="Arial"/>
                <w:sz w:val="18"/>
                <w:szCs w:val="18"/>
              </w:rPr>
              <w:t>2020</w:t>
            </w:r>
          </w:p>
        </w:tc>
        <w:tc>
          <w:tcPr>
            <w:tcW w:w="617" w:type="dxa"/>
            <w:shd w:val="clear" w:color="auto" w:fill="D9D9D9" w:themeFill="background1" w:themeFillShade="D9"/>
          </w:tcPr>
          <w:p w14:paraId="247911D2" w14:textId="42DB39E9" w:rsidR="006D409C" w:rsidRPr="006D409C" w:rsidRDefault="006D409C" w:rsidP="006D409C">
            <w:pPr>
              <w:rPr>
                <w:rFonts w:ascii="Arial" w:hAnsi="Arial" w:cs="Arial"/>
                <w:sz w:val="18"/>
                <w:szCs w:val="18"/>
                <w:lang w:val="es-ES"/>
              </w:rPr>
            </w:pPr>
            <w:r w:rsidRPr="006D409C">
              <w:rPr>
                <w:rFonts w:ascii="Arial" w:hAnsi="Arial" w:cs="Arial"/>
                <w:sz w:val="18"/>
                <w:szCs w:val="18"/>
              </w:rPr>
              <w:t>2021</w:t>
            </w:r>
          </w:p>
        </w:tc>
        <w:tc>
          <w:tcPr>
            <w:tcW w:w="617" w:type="dxa"/>
            <w:shd w:val="clear" w:color="auto" w:fill="D9D9D9" w:themeFill="background1" w:themeFillShade="D9"/>
          </w:tcPr>
          <w:p w14:paraId="53AD6773" w14:textId="6F496699" w:rsidR="006D409C" w:rsidRPr="006D409C" w:rsidRDefault="006D409C" w:rsidP="006D409C">
            <w:pPr>
              <w:rPr>
                <w:rFonts w:ascii="Arial" w:hAnsi="Arial" w:cs="Arial"/>
                <w:sz w:val="18"/>
                <w:szCs w:val="18"/>
                <w:lang w:val="es-ES"/>
              </w:rPr>
            </w:pPr>
            <w:r w:rsidRPr="006D409C">
              <w:rPr>
                <w:rFonts w:ascii="Arial" w:hAnsi="Arial" w:cs="Arial"/>
                <w:sz w:val="18"/>
                <w:szCs w:val="18"/>
              </w:rPr>
              <w:t>2022</w:t>
            </w:r>
          </w:p>
        </w:tc>
        <w:tc>
          <w:tcPr>
            <w:tcW w:w="617" w:type="dxa"/>
            <w:shd w:val="clear" w:color="auto" w:fill="D9D9D9" w:themeFill="background1" w:themeFillShade="D9"/>
          </w:tcPr>
          <w:p w14:paraId="593B93BC" w14:textId="6DF1FC4E" w:rsidR="006D409C" w:rsidRPr="006D409C" w:rsidRDefault="006D409C" w:rsidP="006D409C">
            <w:pPr>
              <w:rPr>
                <w:rFonts w:ascii="Arial" w:hAnsi="Arial" w:cs="Arial"/>
                <w:sz w:val="18"/>
                <w:szCs w:val="18"/>
                <w:lang w:val="es-ES"/>
              </w:rPr>
            </w:pPr>
            <w:r w:rsidRPr="006D409C">
              <w:rPr>
                <w:rFonts w:ascii="Arial" w:hAnsi="Arial" w:cs="Arial"/>
                <w:sz w:val="18"/>
                <w:szCs w:val="18"/>
              </w:rPr>
              <w:t>2023</w:t>
            </w:r>
          </w:p>
        </w:tc>
        <w:tc>
          <w:tcPr>
            <w:tcW w:w="617" w:type="dxa"/>
            <w:shd w:val="clear" w:color="auto" w:fill="D9D9D9" w:themeFill="background1" w:themeFillShade="D9"/>
          </w:tcPr>
          <w:p w14:paraId="57863FB1" w14:textId="77693EEF" w:rsidR="006D409C" w:rsidRPr="006D409C" w:rsidRDefault="006D409C" w:rsidP="006D409C">
            <w:pPr>
              <w:rPr>
                <w:rFonts w:ascii="Arial" w:hAnsi="Arial" w:cs="Arial"/>
                <w:sz w:val="18"/>
                <w:szCs w:val="18"/>
                <w:lang w:val="es-ES"/>
              </w:rPr>
            </w:pPr>
            <w:r w:rsidRPr="006D409C">
              <w:rPr>
                <w:rFonts w:ascii="Arial" w:hAnsi="Arial" w:cs="Arial"/>
                <w:sz w:val="18"/>
                <w:szCs w:val="18"/>
              </w:rPr>
              <w:t>2024</w:t>
            </w:r>
          </w:p>
        </w:tc>
        <w:tc>
          <w:tcPr>
            <w:tcW w:w="617" w:type="dxa"/>
            <w:shd w:val="clear" w:color="auto" w:fill="D9D9D9" w:themeFill="background1" w:themeFillShade="D9"/>
          </w:tcPr>
          <w:p w14:paraId="54464756" w14:textId="1BA047BE" w:rsidR="006D409C" w:rsidRPr="006D409C" w:rsidRDefault="006D409C" w:rsidP="006D409C">
            <w:pPr>
              <w:rPr>
                <w:rFonts w:ascii="Arial" w:hAnsi="Arial" w:cs="Arial"/>
                <w:sz w:val="18"/>
                <w:szCs w:val="18"/>
                <w:lang w:val="es-ES"/>
              </w:rPr>
            </w:pPr>
            <w:r w:rsidRPr="006D409C">
              <w:rPr>
                <w:rFonts w:ascii="Arial" w:hAnsi="Arial" w:cs="Arial"/>
                <w:sz w:val="18"/>
                <w:szCs w:val="18"/>
              </w:rPr>
              <w:t>2025</w:t>
            </w:r>
          </w:p>
        </w:tc>
        <w:tc>
          <w:tcPr>
            <w:tcW w:w="617" w:type="dxa"/>
            <w:shd w:val="clear" w:color="auto" w:fill="D9D9D9" w:themeFill="background1" w:themeFillShade="D9"/>
          </w:tcPr>
          <w:p w14:paraId="272B8682" w14:textId="620CBF53" w:rsidR="006D409C" w:rsidRPr="006D409C" w:rsidRDefault="006D409C" w:rsidP="006D409C">
            <w:pPr>
              <w:rPr>
                <w:rFonts w:ascii="Arial" w:hAnsi="Arial" w:cs="Arial"/>
                <w:sz w:val="18"/>
                <w:szCs w:val="18"/>
                <w:lang w:val="es-ES"/>
              </w:rPr>
            </w:pPr>
            <w:r>
              <w:rPr>
                <w:rFonts w:ascii="Arial" w:hAnsi="Arial" w:cs="Arial"/>
                <w:sz w:val="18"/>
                <w:szCs w:val="18"/>
              </w:rPr>
              <w:t>2026</w:t>
            </w:r>
          </w:p>
        </w:tc>
        <w:tc>
          <w:tcPr>
            <w:tcW w:w="677" w:type="dxa"/>
            <w:shd w:val="clear" w:color="auto" w:fill="D9D9D9" w:themeFill="background1" w:themeFillShade="D9"/>
          </w:tcPr>
          <w:p w14:paraId="4BD40204" w14:textId="529CA6AA" w:rsidR="006D409C" w:rsidRPr="006D409C" w:rsidRDefault="006D409C" w:rsidP="006D409C">
            <w:pPr>
              <w:rPr>
                <w:rFonts w:ascii="Arial" w:hAnsi="Arial" w:cs="Arial"/>
                <w:sz w:val="18"/>
                <w:szCs w:val="18"/>
                <w:lang w:val="es-ES"/>
              </w:rPr>
            </w:pPr>
            <w:r>
              <w:rPr>
                <w:rFonts w:ascii="Arial" w:hAnsi="Arial" w:cs="Arial"/>
                <w:sz w:val="18"/>
                <w:szCs w:val="18"/>
              </w:rPr>
              <w:t>2027</w:t>
            </w:r>
            <w:r w:rsidR="00F509DB">
              <w:rPr>
                <w:rFonts w:ascii="Arial" w:hAnsi="Arial" w:cs="Arial"/>
                <w:sz w:val="18"/>
                <w:szCs w:val="18"/>
              </w:rPr>
              <w:t>-20</w:t>
            </w:r>
            <w:r w:rsidR="00D6297A">
              <w:rPr>
                <w:rFonts w:ascii="Arial" w:hAnsi="Arial" w:cs="Arial"/>
                <w:sz w:val="18"/>
                <w:szCs w:val="18"/>
              </w:rPr>
              <w:t>3</w:t>
            </w:r>
            <w:r w:rsidR="00F509DB">
              <w:rPr>
                <w:rFonts w:ascii="Arial" w:hAnsi="Arial" w:cs="Arial"/>
                <w:sz w:val="18"/>
                <w:szCs w:val="18"/>
              </w:rPr>
              <w:t>6</w:t>
            </w:r>
          </w:p>
        </w:tc>
      </w:tr>
      <w:tr w:rsidR="009D3056" w:rsidRPr="009029CD" w14:paraId="525F549B" w14:textId="77777777" w:rsidTr="00215105">
        <w:trPr>
          <w:jc w:val="center"/>
        </w:trPr>
        <w:tc>
          <w:tcPr>
            <w:tcW w:w="1415" w:type="dxa"/>
          </w:tcPr>
          <w:p w14:paraId="1EACA2B5" w14:textId="493F9D6F" w:rsidR="009D3056" w:rsidRPr="009D3056" w:rsidRDefault="009D3056" w:rsidP="009D3056">
            <w:pPr>
              <w:ind w:left="-20"/>
              <w:rPr>
                <w:rFonts w:ascii="Arial" w:hAnsi="Arial" w:cs="Arial"/>
                <w:b/>
                <w:sz w:val="18"/>
                <w:szCs w:val="18"/>
              </w:rPr>
            </w:pPr>
            <w:r w:rsidRPr="009D3056">
              <w:rPr>
                <w:rFonts w:ascii="Arial" w:hAnsi="Arial" w:cs="Arial"/>
                <w:b/>
                <w:sz w:val="18"/>
                <w:szCs w:val="18"/>
              </w:rPr>
              <w:t>COSTOS</w:t>
            </w:r>
          </w:p>
        </w:tc>
        <w:tc>
          <w:tcPr>
            <w:tcW w:w="727" w:type="dxa"/>
          </w:tcPr>
          <w:p w14:paraId="5FEABCAA" w14:textId="77777777" w:rsidR="009D3056" w:rsidRPr="006D409C" w:rsidRDefault="009D3056" w:rsidP="00C72D1A">
            <w:pPr>
              <w:rPr>
                <w:rFonts w:ascii="Arial" w:hAnsi="Arial" w:cs="Arial"/>
                <w:sz w:val="18"/>
                <w:szCs w:val="18"/>
              </w:rPr>
            </w:pPr>
          </w:p>
        </w:tc>
        <w:tc>
          <w:tcPr>
            <w:tcW w:w="617" w:type="dxa"/>
          </w:tcPr>
          <w:p w14:paraId="4B54A777" w14:textId="77777777" w:rsidR="009D3056" w:rsidRPr="006D409C" w:rsidRDefault="009D3056" w:rsidP="00C72D1A">
            <w:pPr>
              <w:rPr>
                <w:rFonts w:ascii="Arial" w:hAnsi="Arial" w:cs="Arial"/>
                <w:sz w:val="18"/>
                <w:szCs w:val="18"/>
                <w:lang w:val="es-ES"/>
              </w:rPr>
            </w:pPr>
          </w:p>
        </w:tc>
        <w:tc>
          <w:tcPr>
            <w:tcW w:w="617" w:type="dxa"/>
          </w:tcPr>
          <w:p w14:paraId="09A954AE" w14:textId="77777777" w:rsidR="009D3056" w:rsidRPr="006D409C" w:rsidRDefault="009D3056" w:rsidP="00C72D1A">
            <w:pPr>
              <w:rPr>
                <w:rFonts w:ascii="Arial" w:hAnsi="Arial" w:cs="Arial"/>
                <w:sz w:val="18"/>
                <w:szCs w:val="18"/>
                <w:lang w:val="es-ES"/>
              </w:rPr>
            </w:pPr>
          </w:p>
        </w:tc>
        <w:tc>
          <w:tcPr>
            <w:tcW w:w="617" w:type="dxa"/>
          </w:tcPr>
          <w:p w14:paraId="40223F86" w14:textId="77777777" w:rsidR="009D3056" w:rsidRPr="006D409C" w:rsidRDefault="009D3056" w:rsidP="00C72D1A">
            <w:pPr>
              <w:rPr>
                <w:rFonts w:ascii="Arial" w:hAnsi="Arial" w:cs="Arial"/>
                <w:sz w:val="18"/>
                <w:szCs w:val="18"/>
                <w:lang w:val="es-ES"/>
              </w:rPr>
            </w:pPr>
          </w:p>
        </w:tc>
        <w:tc>
          <w:tcPr>
            <w:tcW w:w="617" w:type="dxa"/>
          </w:tcPr>
          <w:p w14:paraId="7CEBC6E0" w14:textId="77777777" w:rsidR="009D3056" w:rsidRPr="006D409C" w:rsidRDefault="009D3056" w:rsidP="00C72D1A">
            <w:pPr>
              <w:rPr>
                <w:rFonts w:ascii="Arial" w:hAnsi="Arial" w:cs="Arial"/>
                <w:sz w:val="18"/>
                <w:szCs w:val="18"/>
                <w:lang w:val="es-ES"/>
              </w:rPr>
            </w:pPr>
          </w:p>
        </w:tc>
        <w:tc>
          <w:tcPr>
            <w:tcW w:w="617" w:type="dxa"/>
          </w:tcPr>
          <w:p w14:paraId="7C397F59" w14:textId="77777777" w:rsidR="009D3056" w:rsidRPr="006D409C" w:rsidRDefault="009D3056" w:rsidP="00C72D1A">
            <w:pPr>
              <w:rPr>
                <w:rFonts w:ascii="Arial" w:hAnsi="Arial" w:cs="Arial"/>
                <w:sz w:val="18"/>
                <w:szCs w:val="18"/>
                <w:lang w:val="es-ES"/>
              </w:rPr>
            </w:pPr>
          </w:p>
        </w:tc>
        <w:tc>
          <w:tcPr>
            <w:tcW w:w="617" w:type="dxa"/>
          </w:tcPr>
          <w:p w14:paraId="44D782D3" w14:textId="77777777" w:rsidR="009D3056" w:rsidRPr="006D409C" w:rsidRDefault="009D3056" w:rsidP="00C72D1A">
            <w:pPr>
              <w:rPr>
                <w:rFonts w:ascii="Arial" w:hAnsi="Arial" w:cs="Arial"/>
                <w:sz w:val="18"/>
                <w:szCs w:val="18"/>
                <w:lang w:val="es-ES"/>
              </w:rPr>
            </w:pPr>
          </w:p>
        </w:tc>
        <w:tc>
          <w:tcPr>
            <w:tcW w:w="617" w:type="dxa"/>
          </w:tcPr>
          <w:p w14:paraId="1AC2BE7C" w14:textId="77777777" w:rsidR="009D3056" w:rsidRPr="006D409C" w:rsidRDefault="009D3056" w:rsidP="00C72D1A">
            <w:pPr>
              <w:rPr>
                <w:rFonts w:ascii="Arial" w:hAnsi="Arial" w:cs="Arial"/>
                <w:sz w:val="18"/>
                <w:szCs w:val="18"/>
                <w:lang w:val="es-ES"/>
              </w:rPr>
            </w:pPr>
          </w:p>
        </w:tc>
        <w:tc>
          <w:tcPr>
            <w:tcW w:w="617" w:type="dxa"/>
          </w:tcPr>
          <w:p w14:paraId="3C1248C1" w14:textId="77777777" w:rsidR="009D3056" w:rsidRPr="006D409C" w:rsidRDefault="009D3056" w:rsidP="00C72D1A">
            <w:pPr>
              <w:rPr>
                <w:rFonts w:ascii="Arial" w:hAnsi="Arial" w:cs="Arial"/>
                <w:sz w:val="18"/>
                <w:szCs w:val="18"/>
                <w:lang w:val="es-ES"/>
              </w:rPr>
            </w:pPr>
          </w:p>
        </w:tc>
        <w:tc>
          <w:tcPr>
            <w:tcW w:w="617" w:type="dxa"/>
          </w:tcPr>
          <w:p w14:paraId="247DE650" w14:textId="77777777" w:rsidR="009D3056" w:rsidRPr="006D409C" w:rsidRDefault="009D3056" w:rsidP="00C72D1A">
            <w:pPr>
              <w:rPr>
                <w:rFonts w:ascii="Arial" w:hAnsi="Arial" w:cs="Arial"/>
                <w:sz w:val="18"/>
                <w:szCs w:val="18"/>
                <w:lang w:val="es-ES"/>
              </w:rPr>
            </w:pPr>
          </w:p>
        </w:tc>
        <w:tc>
          <w:tcPr>
            <w:tcW w:w="677" w:type="dxa"/>
          </w:tcPr>
          <w:p w14:paraId="0CF94882" w14:textId="77777777" w:rsidR="009D3056" w:rsidRPr="006D409C" w:rsidRDefault="009D3056" w:rsidP="00C72D1A">
            <w:pPr>
              <w:rPr>
                <w:rFonts w:ascii="Arial" w:hAnsi="Arial" w:cs="Arial"/>
                <w:sz w:val="18"/>
                <w:szCs w:val="18"/>
                <w:lang w:val="es-ES"/>
              </w:rPr>
            </w:pPr>
          </w:p>
        </w:tc>
      </w:tr>
      <w:tr w:rsidR="009D3056" w:rsidRPr="009029CD" w14:paraId="59599098" w14:textId="1F5E36A9" w:rsidTr="00215105">
        <w:trPr>
          <w:jc w:val="center"/>
        </w:trPr>
        <w:tc>
          <w:tcPr>
            <w:tcW w:w="1415" w:type="dxa"/>
          </w:tcPr>
          <w:p w14:paraId="4DEDD886" w14:textId="2FE5B8A6" w:rsidR="009029CD" w:rsidRPr="009D3056" w:rsidRDefault="009029CD" w:rsidP="009D3056">
            <w:pPr>
              <w:ind w:left="-20"/>
              <w:rPr>
                <w:rFonts w:ascii="Arial" w:hAnsi="Arial" w:cs="Arial"/>
                <w:sz w:val="18"/>
                <w:szCs w:val="18"/>
                <w:lang w:val="es-ES"/>
              </w:rPr>
            </w:pPr>
            <w:r w:rsidRPr="009D3056">
              <w:rPr>
                <w:rFonts w:ascii="Arial" w:hAnsi="Arial" w:cs="Arial"/>
                <w:sz w:val="18"/>
                <w:szCs w:val="18"/>
              </w:rPr>
              <w:t>Inversión</w:t>
            </w:r>
          </w:p>
        </w:tc>
        <w:tc>
          <w:tcPr>
            <w:tcW w:w="727" w:type="dxa"/>
          </w:tcPr>
          <w:p w14:paraId="38986FF6" w14:textId="72B10526" w:rsidR="009029CD" w:rsidRPr="006D409C" w:rsidRDefault="009D3056" w:rsidP="00C72D1A">
            <w:pPr>
              <w:rPr>
                <w:rFonts w:ascii="Arial" w:hAnsi="Arial" w:cs="Arial"/>
                <w:sz w:val="18"/>
                <w:szCs w:val="18"/>
                <w:lang w:val="es-ES"/>
              </w:rPr>
            </w:pPr>
            <w:r>
              <w:rPr>
                <w:rFonts w:ascii="Arial" w:hAnsi="Arial" w:cs="Arial"/>
                <w:sz w:val="18"/>
                <w:szCs w:val="18"/>
              </w:rPr>
              <w:t>4,3</w:t>
            </w:r>
            <w:r w:rsidR="006C44BD">
              <w:rPr>
                <w:rFonts w:ascii="Arial" w:hAnsi="Arial" w:cs="Arial"/>
                <w:sz w:val="18"/>
                <w:szCs w:val="18"/>
              </w:rPr>
              <w:t>0</w:t>
            </w:r>
          </w:p>
        </w:tc>
        <w:tc>
          <w:tcPr>
            <w:tcW w:w="617" w:type="dxa"/>
          </w:tcPr>
          <w:p w14:paraId="4B0BFDB1" w14:textId="77777777" w:rsidR="009029CD" w:rsidRPr="006D409C" w:rsidRDefault="009029CD" w:rsidP="00C72D1A">
            <w:pPr>
              <w:rPr>
                <w:rFonts w:ascii="Arial" w:hAnsi="Arial" w:cs="Arial"/>
                <w:sz w:val="18"/>
                <w:szCs w:val="18"/>
                <w:lang w:val="es-ES"/>
              </w:rPr>
            </w:pPr>
          </w:p>
        </w:tc>
        <w:tc>
          <w:tcPr>
            <w:tcW w:w="617" w:type="dxa"/>
          </w:tcPr>
          <w:p w14:paraId="26105A86" w14:textId="77777777" w:rsidR="009029CD" w:rsidRPr="006D409C" w:rsidRDefault="009029CD" w:rsidP="00C72D1A">
            <w:pPr>
              <w:rPr>
                <w:rFonts w:ascii="Arial" w:hAnsi="Arial" w:cs="Arial"/>
                <w:sz w:val="18"/>
                <w:szCs w:val="18"/>
                <w:lang w:val="es-ES"/>
              </w:rPr>
            </w:pPr>
          </w:p>
        </w:tc>
        <w:tc>
          <w:tcPr>
            <w:tcW w:w="617" w:type="dxa"/>
          </w:tcPr>
          <w:p w14:paraId="5C6D9DBF" w14:textId="77777777" w:rsidR="009029CD" w:rsidRPr="006D409C" w:rsidRDefault="009029CD" w:rsidP="00C72D1A">
            <w:pPr>
              <w:rPr>
                <w:rFonts w:ascii="Arial" w:hAnsi="Arial" w:cs="Arial"/>
                <w:sz w:val="18"/>
                <w:szCs w:val="18"/>
                <w:lang w:val="es-ES"/>
              </w:rPr>
            </w:pPr>
          </w:p>
        </w:tc>
        <w:tc>
          <w:tcPr>
            <w:tcW w:w="617" w:type="dxa"/>
          </w:tcPr>
          <w:p w14:paraId="744984C5" w14:textId="77777777" w:rsidR="009029CD" w:rsidRPr="006D409C" w:rsidRDefault="009029CD" w:rsidP="00C72D1A">
            <w:pPr>
              <w:rPr>
                <w:rFonts w:ascii="Arial" w:hAnsi="Arial" w:cs="Arial"/>
                <w:sz w:val="18"/>
                <w:szCs w:val="18"/>
                <w:lang w:val="es-ES"/>
              </w:rPr>
            </w:pPr>
          </w:p>
        </w:tc>
        <w:tc>
          <w:tcPr>
            <w:tcW w:w="617" w:type="dxa"/>
          </w:tcPr>
          <w:p w14:paraId="43777858" w14:textId="77777777" w:rsidR="009029CD" w:rsidRPr="006D409C" w:rsidRDefault="009029CD" w:rsidP="00C72D1A">
            <w:pPr>
              <w:rPr>
                <w:rFonts w:ascii="Arial" w:hAnsi="Arial" w:cs="Arial"/>
                <w:sz w:val="18"/>
                <w:szCs w:val="18"/>
                <w:lang w:val="es-ES"/>
              </w:rPr>
            </w:pPr>
          </w:p>
        </w:tc>
        <w:tc>
          <w:tcPr>
            <w:tcW w:w="617" w:type="dxa"/>
          </w:tcPr>
          <w:p w14:paraId="49C896C3" w14:textId="77777777" w:rsidR="009029CD" w:rsidRPr="006D409C" w:rsidRDefault="009029CD" w:rsidP="00C72D1A">
            <w:pPr>
              <w:rPr>
                <w:rFonts w:ascii="Arial" w:hAnsi="Arial" w:cs="Arial"/>
                <w:sz w:val="18"/>
                <w:szCs w:val="18"/>
                <w:lang w:val="es-ES"/>
              </w:rPr>
            </w:pPr>
          </w:p>
        </w:tc>
        <w:tc>
          <w:tcPr>
            <w:tcW w:w="617" w:type="dxa"/>
          </w:tcPr>
          <w:p w14:paraId="7C63B7C0" w14:textId="77777777" w:rsidR="009029CD" w:rsidRPr="006D409C" w:rsidRDefault="009029CD" w:rsidP="00C72D1A">
            <w:pPr>
              <w:rPr>
                <w:rFonts w:ascii="Arial" w:hAnsi="Arial" w:cs="Arial"/>
                <w:sz w:val="18"/>
                <w:szCs w:val="18"/>
                <w:lang w:val="es-ES"/>
              </w:rPr>
            </w:pPr>
          </w:p>
        </w:tc>
        <w:tc>
          <w:tcPr>
            <w:tcW w:w="617" w:type="dxa"/>
          </w:tcPr>
          <w:p w14:paraId="188D3019" w14:textId="77777777" w:rsidR="009029CD" w:rsidRPr="006D409C" w:rsidRDefault="009029CD" w:rsidP="00C72D1A">
            <w:pPr>
              <w:rPr>
                <w:rFonts w:ascii="Arial" w:hAnsi="Arial" w:cs="Arial"/>
                <w:sz w:val="18"/>
                <w:szCs w:val="18"/>
                <w:lang w:val="es-ES"/>
              </w:rPr>
            </w:pPr>
          </w:p>
        </w:tc>
        <w:tc>
          <w:tcPr>
            <w:tcW w:w="617" w:type="dxa"/>
          </w:tcPr>
          <w:p w14:paraId="7B7ADF8F" w14:textId="77777777" w:rsidR="009029CD" w:rsidRPr="006D409C" w:rsidRDefault="009029CD" w:rsidP="00C72D1A">
            <w:pPr>
              <w:rPr>
                <w:rFonts w:ascii="Arial" w:hAnsi="Arial" w:cs="Arial"/>
                <w:sz w:val="18"/>
                <w:szCs w:val="18"/>
                <w:lang w:val="es-ES"/>
              </w:rPr>
            </w:pPr>
          </w:p>
        </w:tc>
        <w:tc>
          <w:tcPr>
            <w:tcW w:w="677" w:type="dxa"/>
          </w:tcPr>
          <w:p w14:paraId="33DF5ECC" w14:textId="77777777" w:rsidR="009029CD" w:rsidRPr="006D409C" w:rsidRDefault="009029CD" w:rsidP="00C72D1A">
            <w:pPr>
              <w:rPr>
                <w:rFonts w:ascii="Arial" w:hAnsi="Arial" w:cs="Arial"/>
                <w:sz w:val="18"/>
                <w:szCs w:val="18"/>
                <w:lang w:val="es-ES"/>
              </w:rPr>
            </w:pPr>
          </w:p>
        </w:tc>
      </w:tr>
      <w:tr w:rsidR="00941E2F" w:rsidRPr="009029CD" w14:paraId="03980108" w14:textId="15039DE1" w:rsidTr="00215105">
        <w:trPr>
          <w:jc w:val="center"/>
        </w:trPr>
        <w:tc>
          <w:tcPr>
            <w:tcW w:w="1415" w:type="dxa"/>
          </w:tcPr>
          <w:p w14:paraId="1FDBB0D7" w14:textId="6B6FD628" w:rsidR="00941E2F" w:rsidRPr="006D409C" w:rsidRDefault="00941E2F" w:rsidP="00941E2F">
            <w:pPr>
              <w:ind w:left="-20"/>
              <w:rPr>
                <w:rFonts w:ascii="Arial" w:hAnsi="Arial" w:cs="Arial"/>
                <w:sz w:val="18"/>
                <w:szCs w:val="18"/>
                <w:lang w:val="es-ES"/>
              </w:rPr>
            </w:pPr>
            <w:bookmarkStart w:id="24" w:name="_Hlk483305722"/>
            <w:r w:rsidRPr="006D409C">
              <w:rPr>
                <w:rFonts w:ascii="Arial" w:hAnsi="Arial" w:cs="Arial"/>
                <w:sz w:val="18"/>
                <w:szCs w:val="18"/>
                <w:lang w:val="es-ES"/>
              </w:rPr>
              <w:t>O&amp;M</w:t>
            </w:r>
          </w:p>
        </w:tc>
        <w:tc>
          <w:tcPr>
            <w:tcW w:w="727" w:type="dxa"/>
          </w:tcPr>
          <w:p w14:paraId="4A1BFAC0" w14:textId="6BA70F3E" w:rsidR="00941E2F" w:rsidRPr="006D409C" w:rsidRDefault="00941E2F" w:rsidP="00941E2F">
            <w:pPr>
              <w:rPr>
                <w:rFonts w:ascii="Arial" w:hAnsi="Arial" w:cs="Arial"/>
                <w:sz w:val="18"/>
                <w:szCs w:val="18"/>
                <w:lang w:val="es-ES"/>
              </w:rPr>
            </w:pPr>
          </w:p>
        </w:tc>
        <w:tc>
          <w:tcPr>
            <w:tcW w:w="617" w:type="dxa"/>
          </w:tcPr>
          <w:p w14:paraId="2E6F7F01" w14:textId="0D3E5C44" w:rsidR="00941E2F" w:rsidRPr="005579E5" w:rsidRDefault="00941E2F" w:rsidP="00941E2F">
            <w:pPr>
              <w:rPr>
                <w:rFonts w:ascii="Arial" w:hAnsi="Arial" w:cs="Arial"/>
                <w:sz w:val="18"/>
                <w:szCs w:val="18"/>
                <w:lang w:val="es-ES"/>
              </w:rPr>
            </w:pPr>
            <w:r w:rsidRPr="005579E5">
              <w:rPr>
                <w:rFonts w:ascii="Arial" w:hAnsi="Arial" w:cs="Arial"/>
                <w:sz w:val="18"/>
                <w:szCs w:val="18"/>
                <w:lang w:val="es-ES"/>
              </w:rPr>
              <w:t>0,13</w:t>
            </w:r>
          </w:p>
        </w:tc>
        <w:tc>
          <w:tcPr>
            <w:tcW w:w="617" w:type="dxa"/>
          </w:tcPr>
          <w:p w14:paraId="06680862" w14:textId="2EE35F6C" w:rsidR="00941E2F" w:rsidRPr="005579E5" w:rsidRDefault="00941E2F" w:rsidP="00941E2F">
            <w:pPr>
              <w:rPr>
                <w:rFonts w:ascii="Arial" w:hAnsi="Arial" w:cs="Arial"/>
                <w:sz w:val="18"/>
                <w:szCs w:val="18"/>
                <w:lang w:val="es-ES"/>
              </w:rPr>
            </w:pPr>
            <w:r w:rsidRPr="005579E5">
              <w:rPr>
                <w:rFonts w:ascii="Arial" w:hAnsi="Arial" w:cs="Arial"/>
                <w:sz w:val="18"/>
                <w:szCs w:val="18"/>
              </w:rPr>
              <w:t>0,13</w:t>
            </w:r>
          </w:p>
        </w:tc>
        <w:tc>
          <w:tcPr>
            <w:tcW w:w="617" w:type="dxa"/>
          </w:tcPr>
          <w:p w14:paraId="601641DC" w14:textId="32F5B388" w:rsidR="00941E2F" w:rsidRPr="005579E5" w:rsidRDefault="00941E2F" w:rsidP="00941E2F">
            <w:pPr>
              <w:rPr>
                <w:rFonts w:ascii="Arial" w:hAnsi="Arial" w:cs="Arial"/>
                <w:sz w:val="18"/>
                <w:szCs w:val="18"/>
                <w:lang w:val="es-ES"/>
              </w:rPr>
            </w:pPr>
            <w:r w:rsidRPr="005579E5">
              <w:rPr>
                <w:rFonts w:ascii="Arial" w:hAnsi="Arial" w:cs="Arial"/>
                <w:sz w:val="18"/>
                <w:szCs w:val="18"/>
              </w:rPr>
              <w:t>0,13</w:t>
            </w:r>
          </w:p>
        </w:tc>
        <w:tc>
          <w:tcPr>
            <w:tcW w:w="617" w:type="dxa"/>
          </w:tcPr>
          <w:p w14:paraId="50E97FD8" w14:textId="6FAFDFF4" w:rsidR="00941E2F" w:rsidRPr="005579E5" w:rsidRDefault="00941E2F" w:rsidP="00941E2F">
            <w:pPr>
              <w:rPr>
                <w:rFonts w:ascii="Arial" w:hAnsi="Arial" w:cs="Arial"/>
                <w:sz w:val="18"/>
                <w:szCs w:val="18"/>
                <w:lang w:val="es-ES"/>
              </w:rPr>
            </w:pPr>
            <w:r w:rsidRPr="005579E5">
              <w:rPr>
                <w:rFonts w:ascii="Arial" w:hAnsi="Arial" w:cs="Arial"/>
                <w:sz w:val="18"/>
                <w:szCs w:val="18"/>
              </w:rPr>
              <w:t>0,13</w:t>
            </w:r>
          </w:p>
        </w:tc>
        <w:tc>
          <w:tcPr>
            <w:tcW w:w="617" w:type="dxa"/>
          </w:tcPr>
          <w:p w14:paraId="28DA6307" w14:textId="6FBB1E44" w:rsidR="00941E2F" w:rsidRPr="005579E5" w:rsidRDefault="00941E2F" w:rsidP="00941E2F">
            <w:pPr>
              <w:rPr>
                <w:rFonts w:ascii="Arial" w:hAnsi="Arial" w:cs="Arial"/>
                <w:sz w:val="18"/>
                <w:szCs w:val="18"/>
                <w:lang w:val="es-ES"/>
              </w:rPr>
            </w:pPr>
            <w:r w:rsidRPr="005579E5">
              <w:rPr>
                <w:rFonts w:ascii="Arial" w:hAnsi="Arial" w:cs="Arial"/>
                <w:sz w:val="18"/>
                <w:szCs w:val="18"/>
              </w:rPr>
              <w:t>0,13</w:t>
            </w:r>
          </w:p>
        </w:tc>
        <w:tc>
          <w:tcPr>
            <w:tcW w:w="617" w:type="dxa"/>
          </w:tcPr>
          <w:p w14:paraId="2008F2F3" w14:textId="3400B338" w:rsidR="00941E2F" w:rsidRPr="005579E5" w:rsidRDefault="00941E2F" w:rsidP="00941E2F">
            <w:pPr>
              <w:rPr>
                <w:rFonts w:ascii="Arial" w:hAnsi="Arial" w:cs="Arial"/>
                <w:sz w:val="18"/>
                <w:szCs w:val="18"/>
                <w:lang w:val="es-ES"/>
              </w:rPr>
            </w:pPr>
            <w:r w:rsidRPr="005579E5">
              <w:rPr>
                <w:rFonts w:ascii="Arial" w:hAnsi="Arial" w:cs="Arial"/>
                <w:sz w:val="18"/>
                <w:szCs w:val="18"/>
              </w:rPr>
              <w:t>0,13</w:t>
            </w:r>
          </w:p>
        </w:tc>
        <w:tc>
          <w:tcPr>
            <w:tcW w:w="617" w:type="dxa"/>
          </w:tcPr>
          <w:p w14:paraId="46CC9063" w14:textId="06E5C173" w:rsidR="00941E2F" w:rsidRPr="005579E5" w:rsidRDefault="00941E2F" w:rsidP="00941E2F">
            <w:pPr>
              <w:rPr>
                <w:rFonts w:ascii="Arial" w:hAnsi="Arial" w:cs="Arial"/>
                <w:sz w:val="18"/>
                <w:szCs w:val="18"/>
                <w:lang w:val="es-ES"/>
              </w:rPr>
            </w:pPr>
            <w:r w:rsidRPr="005579E5">
              <w:rPr>
                <w:rFonts w:ascii="Arial" w:hAnsi="Arial" w:cs="Arial"/>
                <w:sz w:val="18"/>
                <w:szCs w:val="18"/>
              </w:rPr>
              <w:t>0,13</w:t>
            </w:r>
          </w:p>
        </w:tc>
        <w:tc>
          <w:tcPr>
            <w:tcW w:w="617" w:type="dxa"/>
          </w:tcPr>
          <w:p w14:paraId="30CC0307" w14:textId="67B93523" w:rsidR="00941E2F" w:rsidRPr="005579E5" w:rsidRDefault="00941E2F" w:rsidP="00941E2F">
            <w:pPr>
              <w:rPr>
                <w:rFonts w:ascii="Arial" w:hAnsi="Arial" w:cs="Arial"/>
                <w:sz w:val="18"/>
                <w:szCs w:val="18"/>
                <w:lang w:val="es-ES"/>
              </w:rPr>
            </w:pPr>
            <w:r w:rsidRPr="005579E5">
              <w:rPr>
                <w:rFonts w:ascii="Arial" w:hAnsi="Arial" w:cs="Arial"/>
                <w:sz w:val="18"/>
                <w:szCs w:val="18"/>
              </w:rPr>
              <w:t>0,13</w:t>
            </w:r>
          </w:p>
        </w:tc>
        <w:tc>
          <w:tcPr>
            <w:tcW w:w="617" w:type="dxa"/>
          </w:tcPr>
          <w:p w14:paraId="1D9CEDF3" w14:textId="3642A167" w:rsidR="00941E2F" w:rsidRPr="005579E5" w:rsidRDefault="00941E2F" w:rsidP="00941E2F">
            <w:pPr>
              <w:rPr>
                <w:rFonts w:ascii="Arial" w:hAnsi="Arial" w:cs="Arial"/>
                <w:sz w:val="18"/>
                <w:szCs w:val="18"/>
                <w:lang w:val="es-ES"/>
              </w:rPr>
            </w:pPr>
            <w:r w:rsidRPr="005579E5">
              <w:rPr>
                <w:rFonts w:ascii="Arial" w:hAnsi="Arial" w:cs="Arial"/>
                <w:sz w:val="18"/>
                <w:szCs w:val="18"/>
              </w:rPr>
              <w:t>0,13</w:t>
            </w:r>
          </w:p>
        </w:tc>
        <w:tc>
          <w:tcPr>
            <w:tcW w:w="677" w:type="dxa"/>
          </w:tcPr>
          <w:p w14:paraId="286144EB" w14:textId="5F0E7F61" w:rsidR="00941E2F" w:rsidRPr="005579E5" w:rsidRDefault="00941E2F" w:rsidP="00941E2F">
            <w:pPr>
              <w:rPr>
                <w:rFonts w:ascii="Arial" w:hAnsi="Arial" w:cs="Arial"/>
                <w:sz w:val="18"/>
                <w:szCs w:val="18"/>
                <w:lang w:val="es-ES"/>
              </w:rPr>
            </w:pPr>
            <w:r w:rsidRPr="005579E5">
              <w:rPr>
                <w:rFonts w:ascii="Arial" w:hAnsi="Arial" w:cs="Arial"/>
                <w:sz w:val="18"/>
                <w:szCs w:val="18"/>
              </w:rPr>
              <w:t>0,13</w:t>
            </w:r>
          </w:p>
        </w:tc>
      </w:tr>
      <w:bookmarkEnd w:id="24"/>
      <w:tr w:rsidR="006C44BD" w:rsidRPr="009029CD" w14:paraId="0AE4C7B7" w14:textId="369DA358" w:rsidTr="00215105">
        <w:trPr>
          <w:jc w:val="center"/>
        </w:trPr>
        <w:tc>
          <w:tcPr>
            <w:tcW w:w="1415" w:type="dxa"/>
          </w:tcPr>
          <w:p w14:paraId="796C4A33" w14:textId="7BE20374" w:rsidR="006C44BD" w:rsidRPr="006D409C" w:rsidRDefault="006C44BD" w:rsidP="006C44BD">
            <w:pPr>
              <w:rPr>
                <w:rFonts w:ascii="Arial" w:hAnsi="Arial" w:cs="Arial"/>
                <w:sz w:val="18"/>
                <w:szCs w:val="18"/>
                <w:lang w:val="es-ES"/>
              </w:rPr>
            </w:pPr>
            <w:r>
              <w:rPr>
                <w:rFonts w:ascii="Arial" w:hAnsi="Arial" w:cs="Arial"/>
                <w:sz w:val="18"/>
                <w:szCs w:val="18"/>
                <w:lang w:val="es-ES"/>
              </w:rPr>
              <w:t>Total Costos</w:t>
            </w:r>
          </w:p>
        </w:tc>
        <w:tc>
          <w:tcPr>
            <w:tcW w:w="727" w:type="dxa"/>
          </w:tcPr>
          <w:p w14:paraId="4A676C81" w14:textId="5F9E1D9D" w:rsidR="006C44BD" w:rsidRPr="006D409C" w:rsidRDefault="006C44BD" w:rsidP="006C44BD">
            <w:pPr>
              <w:rPr>
                <w:rFonts w:ascii="Arial" w:hAnsi="Arial" w:cs="Arial"/>
                <w:sz w:val="18"/>
                <w:szCs w:val="18"/>
                <w:lang w:val="es-ES"/>
              </w:rPr>
            </w:pPr>
            <w:r>
              <w:rPr>
                <w:rFonts w:ascii="Arial" w:hAnsi="Arial" w:cs="Arial"/>
                <w:sz w:val="18"/>
                <w:szCs w:val="18"/>
                <w:lang w:val="es-ES"/>
              </w:rPr>
              <w:t>4,30</w:t>
            </w:r>
          </w:p>
        </w:tc>
        <w:tc>
          <w:tcPr>
            <w:tcW w:w="617" w:type="dxa"/>
          </w:tcPr>
          <w:p w14:paraId="7CBA72F1" w14:textId="0AF3C12D" w:rsidR="006C44BD" w:rsidRPr="005579E5" w:rsidRDefault="006C44BD" w:rsidP="006C44BD">
            <w:pPr>
              <w:rPr>
                <w:rFonts w:ascii="Arial" w:hAnsi="Arial" w:cs="Arial"/>
                <w:sz w:val="18"/>
                <w:szCs w:val="18"/>
                <w:lang w:val="es-ES"/>
              </w:rPr>
            </w:pPr>
            <w:r w:rsidRPr="005579E5">
              <w:rPr>
                <w:rFonts w:ascii="Arial" w:hAnsi="Arial" w:cs="Arial"/>
                <w:sz w:val="18"/>
                <w:szCs w:val="18"/>
                <w:lang w:val="es-ES"/>
              </w:rPr>
              <w:t>0,13</w:t>
            </w:r>
          </w:p>
        </w:tc>
        <w:tc>
          <w:tcPr>
            <w:tcW w:w="617" w:type="dxa"/>
          </w:tcPr>
          <w:p w14:paraId="17D87ED7" w14:textId="44468EE6" w:rsidR="006C44BD" w:rsidRPr="005579E5" w:rsidRDefault="006C44BD" w:rsidP="006C44BD">
            <w:pPr>
              <w:rPr>
                <w:rFonts w:ascii="Arial" w:hAnsi="Arial" w:cs="Arial"/>
                <w:sz w:val="18"/>
                <w:szCs w:val="18"/>
                <w:lang w:val="es-ES"/>
              </w:rPr>
            </w:pPr>
            <w:r w:rsidRPr="005579E5">
              <w:rPr>
                <w:rFonts w:ascii="Arial" w:hAnsi="Arial" w:cs="Arial"/>
                <w:sz w:val="18"/>
                <w:szCs w:val="18"/>
              </w:rPr>
              <w:t>0,13</w:t>
            </w:r>
          </w:p>
        </w:tc>
        <w:tc>
          <w:tcPr>
            <w:tcW w:w="617" w:type="dxa"/>
          </w:tcPr>
          <w:p w14:paraId="6786B82C" w14:textId="61E4E631" w:rsidR="006C44BD" w:rsidRPr="005579E5" w:rsidRDefault="006C44BD" w:rsidP="006C44BD">
            <w:pPr>
              <w:rPr>
                <w:rFonts w:ascii="Arial" w:hAnsi="Arial" w:cs="Arial"/>
                <w:sz w:val="18"/>
                <w:szCs w:val="18"/>
                <w:lang w:val="es-ES"/>
              </w:rPr>
            </w:pPr>
            <w:r w:rsidRPr="005579E5">
              <w:rPr>
                <w:rFonts w:ascii="Arial" w:hAnsi="Arial" w:cs="Arial"/>
                <w:sz w:val="18"/>
                <w:szCs w:val="18"/>
              </w:rPr>
              <w:t>0,13</w:t>
            </w:r>
          </w:p>
        </w:tc>
        <w:tc>
          <w:tcPr>
            <w:tcW w:w="617" w:type="dxa"/>
          </w:tcPr>
          <w:p w14:paraId="3654676C" w14:textId="255FE16F" w:rsidR="006C44BD" w:rsidRPr="005579E5" w:rsidRDefault="006C44BD" w:rsidP="006C44BD">
            <w:pPr>
              <w:rPr>
                <w:rFonts w:ascii="Arial" w:hAnsi="Arial" w:cs="Arial"/>
                <w:sz w:val="18"/>
                <w:szCs w:val="18"/>
                <w:lang w:val="es-ES"/>
              </w:rPr>
            </w:pPr>
            <w:r w:rsidRPr="005579E5">
              <w:rPr>
                <w:rFonts w:ascii="Arial" w:hAnsi="Arial" w:cs="Arial"/>
                <w:sz w:val="18"/>
                <w:szCs w:val="18"/>
              </w:rPr>
              <w:t>0,13</w:t>
            </w:r>
          </w:p>
        </w:tc>
        <w:tc>
          <w:tcPr>
            <w:tcW w:w="617" w:type="dxa"/>
          </w:tcPr>
          <w:p w14:paraId="5F10623D" w14:textId="6A582DEC" w:rsidR="006C44BD" w:rsidRPr="005579E5" w:rsidRDefault="006C44BD" w:rsidP="006C44BD">
            <w:pPr>
              <w:rPr>
                <w:rFonts w:ascii="Arial" w:hAnsi="Arial" w:cs="Arial"/>
                <w:sz w:val="18"/>
                <w:szCs w:val="18"/>
                <w:lang w:val="es-ES"/>
              </w:rPr>
            </w:pPr>
            <w:r w:rsidRPr="005579E5">
              <w:rPr>
                <w:rFonts w:ascii="Arial" w:hAnsi="Arial" w:cs="Arial"/>
                <w:sz w:val="18"/>
                <w:szCs w:val="18"/>
              </w:rPr>
              <w:t>0,13</w:t>
            </w:r>
          </w:p>
        </w:tc>
        <w:tc>
          <w:tcPr>
            <w:tcW w:w="617" w:type="dxa"/>
          </w:tcPr>
          <w:p w14:paraId="15C00BA2" w14:textId="53E6A554" w:rsidR="006C44BD" w:rsidRPr="005579E5" w:rsidRDefault="006C44BD" w:rsidP="006C44BD">
            <w:pPr>
              <w:rPr>
                <w:rFonts w:ascii="Arial" w:hAnsi="Arial" w:cs="Arial"/>
                <w:sz w:val="18"/>
                <w:szCs w:val="18"/>
                <w:lang w:val="es-ES"/>
              </w:rPr>
            </w:pPr>
            <w:r w:rsidRPr="005579E5">
              <w:rPr>
                <w:rFonts w:ascii="Arial" w:hAnsi="Arial" w:cs="Arial"/>
                <w:sz w:val="18"/>
                <w:szCs w:val="18"/>
              </w:rPr>
              <w:t>0,13</w:t>
            </w:r>
          </w:p>
        </w:tc>
        <w:tc>
          <w:tcPr>
            <w:tcW w:w="617" w:type="dxa"/>
          </w:tcPr>
          <w:p w14:paraId="589034BE" w14:textId="52616540" w:rsidR="006C44BD" w:rsidRPr="005579E5" w:rsidRDefault="006C44BD" w:rsidP="006C44BD">
            <w:pPr>
              <w:rPr>
                <w:rFonts w:ascii="Arial" w:hAnsi="Arial" w:cs="Arial"/>
                <w:sz w:val="18"/>
                <w:szCs w:val="18"/>
                <w:lang w:val="es-ES"/>
              </w:rPr>
            </w:pPr>
            <w:r w:rsidRPr="005579E5">
              <w:rPr>
                <w:rFonts w:ascii="Arial" w:hAnsi="Arial" w:cs="Arial"/>
                <w:sz w:val="18"/>
                <w:szCs w:val="18"/>
              </w:rPr>
              <w:t>0,13</w:t>
            </w:r>
          </w:p>
        </w:tc>
        <w:tc>
          <w:tcPr>
            <w:tcW w:w="617" w:type="dxa"/>
          </w:tcPr>
          <w:p w14:paraId="2F444BB2" w14:textId="7D762B01" w:rsidR="006C44BD" w:rsidRPr="005579E5" w:rsidRDefault="006C44BD" w:rsidP="006C44BD">
            <w:pPr>
              <w:rPr>
                <w:rFonts w:ascii="Arial" w:hAnsi="Arial" w:cs="Arial"/>
                <w:sz w:val="18"/>
                <w:szCs w:val="18"/>
                <w:lang w:val="es-ES"/>
              </w:rPr>
            </w:pPr>
            <w:r w:rsidRPr="005579E5">
              <w:rPr>
                <w:rFonts w:ascii="Arial" w:hAnsi="Arial" w:cs="Arial"/>
                <w:sz w:val="18"/>
                <w:szCs w:val="18"/>
              </w:rPr>
              <w:t>0,13</w:t>
            </w:r>
          </w:p>
        </w:tc>
        <w:tc>
          <w:tcPr>
            <w:tcW w:w="617" w:type="dxa"/>
          </w:tcPr>
          <w:p w14:paraId="6A18AA01" w14:textId="395CAEA3" w:rsidR="006C44BD" w:rsidRPr="005579E5" w:rsidRDefault="006C44BD" w:rsidP="006C44BD">
            <w:pPr>
              <w:rPr>
                <w:rFonts w:ascii="Arial" w:hAnsi="Arial" w:cs="Arial"/>
                <w:sz w:val="18"/>
                <w:szCs w:val="18"/>
                <w:lang w:val="es-ES"/>
              </w:rPr>
            </w:pPr>
            <w:r w:rsidRPr="005579E5">
              <w:rPr>
                <w:rFonts w:ascii="Arial" w:hAnsi="Arial" w:cs="Arial"/>
                <w:sz w:val="18"/>
                <w:szCs w:val="18"/>
              </w:rPr>
              <w:t>0,13</w:t>
            </w:r>
          </w:p>
        </w:tc>
        <w:tc>
          <w:tcPr>
            <w:tcW w:w="677" w:type="dxa"/>
          </w:tcPr>
          <w:p w14:paraId="4F3EC6FF" w14:textId="33A484FF" w:rsidR="006C44BD" w:rsidRPr="005579E5" w:rsidRDefault="006C44BD" w:rsidP="006C44BD">
            <w:pPr>
              <w:rPr>
                <w:rFonts w:ascii="Arial" w:hAnsi="Arial" w:cs="Arial"/>
                <w:sz w:val="18"/>
                <w:szCs w:val="18"/>
                <w:lang w:val="es-ES"/>
              </w:rPr>
            </w:pPr>
            <w:r w:rsidRPr="005579E5">
              <w:rPr>
                <w:rFonts w:ascii="Arial" w:hAnsi="Arial" w:cs="Arial"/>
                <w:sz w:val="18"/>
                <w:szCs w:val="18"/>
              </w:rPr>
              <w:t>0,13</w:t>
            </w:r>
          </w:p>
        </w:tc>
      </w:tr>
      <w:tr w:rsidR="00941E2F" w:rsidRPr="009029CD" w14:paraId="65E78341" w14:textId="36650E49" w:rsidTr="00215105">
        <w:trPr>
          <w:jc w:val="center"/>
        </w:trPr>
        <w:tc>
          <w:tcPr>
            <w:tcW w:w="1415" w:type="dxa"/>
            <w:tcBorders>
              <w:bottom w:val="single" w:sz="4" w:space="0" w:color="auto"/>
            </w:tcBorders>
          </w:tcPr>
          <w:p w14:paraId="05CE7D64" w14:textId="7992E9AD" w:rsidR="00941E2F" w:rsidRPr="006D409C" w:rsidRDefault="00941E2F" w:rsidP="00941E2F">
            <w:pPr>
              <w:rPr>
                <w:rFonts w:ascii="Arial" w:hAnsi="Arial" w:cs="Arial"/>
                <w:sz w:val="18"/>
                <w:szCs w:val="18"/>
                <w:lang w:val="es-ES"/>
              </w:rPr>
            </w:pPr>
          </w:p>
        </w:tc>
        <w:tc>
          <w:tcPr>
            <w:tcW w:w="727" w:type="dxa"/>
          </w:tcPr>
          <w:p w14:paraId="5DAD2ADC" w14:textId="77777777" w:rsidR="00941E2F" w:rsidRPr="006D409C" w:rsidRDefault="00941E2F" w:rsidP="00941E2F">
            <w:pPr>
              <w:rPr>
                <w:rFonts w:ascii="Arial" w:hAnsi="Arial" w:cs="Arial"/>
                <w:sz w:val="18"/>
                <w:szCs w:val="18"/>
                <w:lang w:val="es-ES"/>
              </w:rPr>
            </w:pPr>
          </w:p>
        </w:tc>
        <w:tc>
          <w:tcPr>
            <w:tcW w:w="617" w:type="dxa"/>
          </w:tcPr>
          <w:p w14:paraId="57522957" w14:textId="77777777" w:rsidR="00941E2F" w:rsidRPr="005579E5" w:rsidRDefault="00941E2F" w:rsidP="00941E2F">
            <w:pPr>
              <w:rPr>
                <w:rFonts w:ascii="Arial" w:hAnsi="Arial" w:cs="Arial"/>
                <w:sz w:val="18"/>
                <w:szCs w:val="18"/>
                <w:lang w:val="es-ES"/>
              </w:rPr>
            </w:pPr>
          </w:p>
        </w:tc>
        <w:tc>
          <w:tcPr>
            <w:tcW w:w="617" w:type="dxa"/>
          </w:tcPr>
          <w:p w14:paraId="0608CC45" w14:textId="77777777" w:rsidR="00941E2F" w:rsidRPr="005579E5" w:rsidRDefault="00941E2F" w:rsidP="00941E2F">
            <w:pPr>
              <w:rPr>
                <w:rFonts w:ascii="Arial" w:hAnsi="Arial" w:cs="Arial"/>
                <w:sz w:val="18"/>
                <w:szCs w:val="18"/>
                <w:lang w:val="es-ES"/>
              </w:rPr>
            </w:pPr>
          </w:p>
        </w:tc>
        <w:tc>
          <w:tcPr>
            <w:tcW w:w="617" w:type="dxa"/>
          </w:tcPr>
          <w:p w14:paraId="1A91287E" w14:textId="77777777" w:rsidR="00941E2F" w:rsidRPr="005579E5" w:rsidRDefault="00941E2F" w:rsidP="00941E2F">
            <w:pPr>
              <w:rPr>
                <w:rFonts w:ascii="Arial" w:hAnsi="Arial" w:cs="Arial"/>
                <w:sz w:val="18"/>
                <w:szCs w:val="18"/>
                <w:lang w:val="es-ES"/>
              </w:rPr>
            </w:pPr>
          </w:p>
        </w:tc>
        <w:tc>
          <w:tcPr>
            <w:tcW w:w="617" w:type="dxa"/>
          </w:tcPr>
          <w:p w14:paraId="4DCB30CE" w14:textId="77777777" w:rsidR="00941E2F" w:rsidRPr="005579E5" w:rsidRDefault="00941E2F" w:rsidP="00941E2F">
            <w:pPr>
              <w:rPr>
                <w:rFonts w:ascii="Arial" w:hAnsi="Arial" w:cs="Arial"/>
                <w:sz w:val="18"/>
                <w:szCs w:val="18"/>
                <w:lang w:val="es-ES"/>
              </w:rPr>
            </w:pPr>
          </w:p>
        </w:tc>
        <w:tc>
          <w:tcPr>
            <w:tcW w:w="617" w:type="dxa"/>
          </w:tcPr>
          <w:p w14:paraId="071C302C" w14:textId="77777777" w:rsidR="00941E2F" w:rsidRPr="005579E5" w:rsidRDefault="00941E2F" w:rsidP="00941E2F">
            <w:pPr>
              <w:rPr>
                <w:rFonts w:ascii="Arial" w:hAnsi="Arial" w:cs="Arial"/>
                <w:sz w:val="18"/>
                <w:szCs w:val="18"/>
                <w:lang w:val="es-ES"/>
              </w:rPr>
            </w:pPr>
          </w:p>
        </w:tc>
        <w:tc>
          <w:tcPr>
            <w:tcW w:w="617" w:type="dxa"/>
          </w:tcPr>
          <w:p w14:paraId="079145EA" w14:textId="77777777" w:rsidR="00941E2F" w:rsidRPr="005579E5" w:rsidRDefault="00941E2F" w:rsidP="00941E2F">
            <w:pPr>
              <w:rPr>
                <w:rFonts w:ascii="Arial" w:hAnsi="Arial" w:cs="Arial"/>
                <w:sz w:val="18"/>
                <w:szCs w:val="18"/>
                <w:lang w:val="es-ES"/>
              </w:rPr>
            </w:pPr>
          </w:p>
        </w:tc>
        <w:tc>
          <w:tcPr>
            <w:tcW w:w="617" w:type="dxa"/>
          </w:tcPr>
          <w:p w14:paraId="5DE1E4B4" w14:textId="77777777" w:rsidR="00941E2F" w:rsidRPr="005579E5" w:rsidRDefault="00941E2F" w:rsidP="00941E2F">
            <w:pPr>
              <w:rPr>
                <w:rFonts w:ascii="Arial" w:hAnsi="Arial" w:cs="Arial"/>
                <w:sz w:val="18"/>
                <w:szCs w:val="18"/>
                <w:lang w:val="es-ES"/>
              </w:rPr>
            </w:pPr>
          </w:p>
        </w:tc>
        <w:tc>
          <w:tcPr>
            <w:tcW w:w="617" w:type="dxa"/>
          </w:tcPr>
          <w:p w14:paraId="3E0FB398" w14:textId="77777777" w:rsidR="00941E2F" w:rsidRPr="005579E5" w:rsidRDefault="00941E2F" w:rsidP="00941E2F">
            <w:pPr>
              <w:rPr>
                <w:rFonts w:ascii="Arial" w:hAnsi="Arial" w:cs="Arial"/>
                <w:sz w:val="18"/>
                <w:szCs w:val="18"/>
                <w:lang w:val="es-ES"/>
              </w:rPr>
            </w:pPr>
          </w:p>
        </w:tc>
        <w:tc>
          <w:tcPr>
            <w:tcW w:w="617" w:type="dxa"/>
          </w:tcPr>
          <w:p w14:paraId="7B699EC3" w14:textId="77777777" w:rsidR="00941E2F" w:rsidRPr="005579E5" w:rsidRDefault="00941E2F" w:rsidP="00941E2F">
            <w:pPr>
              <w:rPr>
                <w:rFonts w:ascii="Arial" w:hAnsi="Arial" w:cs="Arial"/>
                <w:sz w:val="18"/>
                <w:szCs w:val="18"/>
                <w:lang w:val="es-ES"/>
              </w:rPr>
            </w:pPr>
          </w:p>
        </w:tc>
        <w:tc>
          <w:tcPr>
            <w:tcW w:w="677" w:type="dxa"/>
          </w:tcPr>
          <w:p w14:paraId="1DFCA929" w14:textId="77777777" w:rsidR="00941E2F" w:rsidRPr="005579E5" w:rsidRDefault="00941E2F" w:rsidP="00941E2F">
            <w:pPr>
              <w:rPr>
                <w:rFonts w:ascii="Arial" w:hAnsi="Arial" w:cs="Arial"/>
                <w:sz w:val="18"/>
                <w:szCs w:val="18"/>
                <w:lang w:val="es-ES"/>
              </w:rPr>
            </w:pPr>
          </w:p>
        </w:tc>
      </w:tr>
      <w:tr w:rsidR="00941E2F" w:rsidRPr="009029CD" w14:paraId="5E6728CB" w14:textId="77777777" w:rsidTr="00215105">
        <w:trPr>
          <w:jc w:val="center"/>
        </w:trPr>
        <w:tc>
          <w:tcPr>
            <w:tcW w:w="1415" w:type="dxa"/>
          </w:tcPr>
          <w:p w14:paraId="62050F7C" w14:textId="12864107" w:rsidR="00941E2F" w:rsidRPr="009D3056" w:rsidRDefault="00941E2F" w:rsidP="00941E2F">
            <w:pPr>
              <w:ind w:left="-20"/>
              <w:rPr>
                <w:rFonts w:ascii="Arial" w:hAnsi="Arial" w:cs="Arial"/>
                <w:b/>
                <w:sz w:val="18"/>
                <w:szCs w:val="18"/>
              </w:rPr>
            </w:pPr>
            <w:r w:rsidRPr="009D3056">
              <w:rPr>
                <w:rFonts w:ascii="Arial" w:hAnsi="Arial" w:cs="Arial"/>
                <w:b/>
                <w:sz w:val="18"/>
                <w:szCs w:val="18"/>
              </w:rPr>
              <w:t>BENEFICIOS</w:t>
            </w:r>
          </w:p>
        </w:tc>
        <w:tc>
          <w:tcPr>
            <w:tcW w:w="727" w:type="dxa"/>
          </w:tcPr>
          <w:p w14:paraId="772FF91C" w14:textId="77777777" w:rsidR="00941E2F" w:rsidRPr="006D409C" w:rsidRDefault="00941E2F" w:rsidP="00941E2F">
            <w:pPr>
              <w:rPr>
                <w:rFonts w:ascii="Arial" w:hAnsi="Arial" w:cs="Arial"/>
                <w:sz w:val="18"/>
                <w:szCs w:val="18"/>
                <w:lang w:val="es-ES"/>
              </w:rPr>
            </w:pPr>
          </w:p>
        </w:tc>
        <w:tc>
          <w:tcPr>
            <w:tcW w:w="617" w:type="dxa"/>
          </w:tcPr>
          <w:p w14:paraId="0674AB0D" w14:textId="77777777" w:rsidR="00941E2F" w:rsidRPr="005579E5" w:rsidRDefault="00941E2F" w:rsidP="00941E2F">
            <w:pPr>
              <w:rPr>
                <w:rFonts w:ascii="Arial" w:hAnsi="Arial" w:cs="Arial"/>
                <w:sz w:val="18"/>
                <w:szCs w:val="18"/>
                <w:lang w:val="es-ES"/>
              </w:rPr>
            </w:pPr>
          </w:p>
        </w:tc>
        <w:tc>
          <w:tcPr>
            <w:tcW w:w="617" w:type="dxa"/>
          </w:tcPr>
          <w:p w14:paraId="44D2B936" w14:textId="77777777" w:rsidR="00941E2F" w:rsidRPr="005579E5" w:rsidRDefault="00941E2F" w:rsidP="00941E2F">
            <w:pPr>
              <w:rPr>
                <w:rFonts w:ascii="Arial" w:hAnsi="Arial" w:cs="Arial"/>
                <w:sz w:val="18"/>
                <w:szCs w:val="18"/>
                <w:lang w:val="es-ES"/>
              </w:rPr>
            </w:pPr>
          </w:p>
        </w:tc>
        <w:tc>
          <w:tcPr>
            <w:tcW w:w="617" w:type="dxa"/>
          </w:tcPr>
          <w:p w14:paraId="63181BE4" w14:textId="77777777" w:rsidR="00941E2F" w:rsidRPr="005579E5" w:rsidRDefault="00941E2F" w:rsidP="00941E2F">
            <w:pPr>
              <w:rPr>
                <w:rFonts w:ascii="Arial" w:hAnsi="Arial" w:cs="Arial"/>
                <w:sz w:val="18"/>
                <w:szCs w:val="18"/>
                <w:lang w:val="es-ES"/>
              </w:rPr>
            </w:pPr>
          </w:p>
        </w:tc>
        <w:tc>
          <w:tcPr>
            <w:tcW w:w="617" w:type="dxa"/>
          </w:tcPr>
          <w:p w14:paraId="2EF2DA69" w14:textId="77777777" w:rsidR="00941E2F" w:rsidRPr="005579E5" w:rsidRDefault="00941E2F" w:rsidP="00941E2F">
            <w:pPr>
              <w:rPr>
                <w:rFonts w:ascii="Arial" w:hAnsi="Arial" w:cs="Arial"/>
                <w:sz w:val="18"/>
                <w:szCs w:val="18"/>
                <w:lang w:val="es-ES"/>
              </w:rPr>
            </w:pPr>
          </w:p>
        </w:tc>
        <w:tc>
          <w:tcPr>
            <w:tcW w:w="617" w:type="dxa"/>
          </w:tcPr>
          <w:p w14:paraId="35B1CD28" w14:textId="77777777" w:rsidR="00941E2F" w:rsidRPr="005579E5" w:rsidRDefault="00941E2F" w:rsidP="00941E2F">
            <w:pPr>
              <w:rPr>
                <w:rFonts w:ascii="Arial" w:hAnsi="Arial" w:cs="Arial"/>
                <w:sz w:val="18"/>
                <w:szCs w:val="18"/>
                <w:lang w:val="es-ES"/>
              </w:rPr>
            </w:pPr>
          </w:p>
        </w:tc>
        <w:tc>
          <w:tcPr>
            <w:tcW w:w="617" w:type="dxa"/>
          </w:tcPr>
          <w:p w14:paraId="0118374D" w14:textId="77777777" w:rsidR="00941E2F" w:rsidRPr="005579E5" w:rsidRDefault="00941E2F" w:rsidP="00941E2F">
            <w:pPr>
              <w:rPr>
                <w:rFonts w:ascii="Arial" w:hAnsi="Arial" w:cs="Arial"/>
                <w:sz w:val="18"/>
                <w:szCs w:val="18"/>
                <w:lang w:val="es-ES"/>
              </w:rPr>
            </w:pPr>
          </w:p>
        </w:tc>
        <w:tc>
          <w:tcPr>
            <w:tcW w:w="617" w:type="dxa"/>
          </w:tcPr>
          <w:p w14:paraId="190E2831" w14:textId="77777777" w:rsidR="00941E2F" w:rsidRPr="005579E5" w:rsidRDefault="00941E2F" w:rsidP="00941E2F">
            <w:pPr>
              <w:rPr>
                <w:rFonts w:ascii="Arial" w:hAnsi="Arial" w:cs="Arial"/>
                <w:sz w:val="18"/>
                <w:szCs w:val="18"/>
                <w:lang w:val="es-ES"/>
              </w:rPr>
            </w:pPr>
          </w:p>
        </w:tc>
        <w:tc>
          <w:tcPr>
            <w:tcW w:w="617" w:type="dxa"/>
          </w:tcPr>
          <w:p w14:paraId="4F28A183" w14:textId="77777777" w:rsidR="00941E2F" w:rsidRPr="005579E5" w:rsidRDefault="00941E2F" w:rsidP="00941E2F">
            <w:pPr>
              <w:rPr>
                <w:rFonts w:ascii="Arial" w:hAnsi="Arial" w:cs="Arial"/>
                <w:sz w:val="18"/>
                <w:szCs w:val="18"/>
                <w:lang w:val="es-ES"/>
              </w:rPr>
            </w:pPr>
          </w:p>
        </w:tc>
        <w:tc>
          <w:tcPr>
            <w:tcW w:w="617" w:type="dxa"/>
          </w:tcPr>
          <w:p w14:paraId="64C90F64" w14:textId="77777777" w:rsidR="00941E2F" w:rsidRPr="005579E5" w:rsidRDefault="00941E2F" w:rsidP="00941E2F">
            <w:pPr>
              <w:rPr>
                <w:rFonts w:ascii="Arial" w:hAnsi="Arial" w:cs="Arial"/>
                <w:sz w:val="18"/>
                <w:szCs w:val="18"/>
                <w:lang w:val="es-ES"/>
              </w:rPr>
            </w:pPr>
          </w:p>
        </w:tc>
        <w:tc>
          <w:tcPr>
            <w:tcW w:w="677" w:type="dxa"/>
          </w:tcPr>
          <w:p w14:paraId="10606DF6" w14:textId="77777777" w:rsidR="00941E2F" w:rsidRPr="005579E5" w:rsidRDefault="00941E2F" w:rsidP="00941E2F">
            <w:pPr>
              <w:rPr>
                <w:rFonts w:ascii="Arial" w:hAnsi="Arial" w:cs="Arial"/>
                <w:sz w:val="18"/>
                <w:szCs w:val="18"/>
                <w:lang w:val="es-ES"/>
              </w:rPr>
            </w:pPr>
          </w:p>
        </w:tc>
      </w:tr>
      <w:tr w:rsidR="00412E1B" w:rsidRPr="009029CD" w14:paraId="4FD061B6" w14:textId="20448421" w:rsidTr="00215105">
        <w:trPr>
          <w:jc w:val="center"/>
        </w:trPr>
        <w:tc>
          <w:tcPr>
            <w:tcW w:w="1415" w:type="dxa"/>
          </w:tcPr>
          <w:p w14:paraId="373CCDAF" w14:textId="0DB1180B" w:rsidR="00412E1B" w:rsidRPr="009D3056" w:rsidRDefault="00412E1B" w:rsidP="00412E1B">
            <w:pPr>
              <w:ind w:left="-20"/>
              <w:rPr>
                <w:rFonts w:ascii="Arial" w:hAnsi="Arial" w:cs="Arial"/>
                <w:sz w:val="18"/>
                <w:szCs w:val="18"/>
              </w:rPr>
            </w:pPr>
            <w:r w:rsidRPr="006D409C">
              <w:rPr>
                <w:rFonts w:ascii="Arial" w:hAnsi="Arial" w:cs="Arial"/>
                <w:sz w:val="18"/>
                <w:szCs w:val="18"/>
              </w:rPr>
              <w:t>Mejora confiabilidad</w:t>
            </w:r>
          </w:p>
        </w:tc>
        <w:tc>
          <w:tcPr>
            <w:tcW w:w="727" w:type="dxa"/>
          </w:tcPr>
          <w:p w14:paraId="32AB71E4" w14:textId="77777777" w:rsidR="00412E1B" w:rsidRPr="006D409C" w:rsidRDefault="00412E1B" w:rsidP="00412E1B">
            <w:pPr>
              <w:rPr>
                <w:rFonts w:ascii="Arial" w:hAnsi="Arial" w:cs="Arial"/>
                <w:sz w:val="18"/>
                <w:szCs w:val="18"/>
                <w:lang w:val="es-ES"/>
              </w:rPr>
            </w:pPr>
          </w:p>
        </w:tc>
        <w:tc>
          <w:tcPr>
            <w:tcW w:w="617" w:type="dxa"/>
          </w:tcPr>
          <w:p w14:paraId="763CFDF5" w14:textId="6F8EB2E9" w:rsidR="00412E1B" w:rsidRPr="005579E5" w:rsidRDefault="00412E1B" w:rsidP="00412E1B">
            <w:pPr>
              <w:rPr>
                <w:rFonts w:ascii="Arial" w:hAnsi="Arial" w:cs="Arial"/>
                <w:sz w:val="18"/>
                <w:szCs w:val="18"/>
                <w:lang w:val="es-ES"/>
              </w:rPr>
            </w:pPr>
            <w:r>
              <w:rPr>
                <w:rFonts w:ascii="Arial" w:hAnsi="Arial" w:cs="Arial"/>
                <w:sz w:val="18"/>
                <w:szCs w:val="18"/>
              </w:rPr>
              <w:t>2,46</w:t>
            </w:r>
          </w:p>
        </w:tc>
        <w:tc>
          <w:tcPr>
            <w:tcW w:w="617" w:type="dxa"/>
          </w:tcPr>
          <w:p w14:paraId="1CE7A0CF" w14:textId="6202963A" w:rsidR="00412E1B" w:rsidRPr="005579E5" w:rsidRDefault="00412E1B" w:rsidP="00412E1B">
            <w:pPr>
              <w:rPr>
                <w:rFonts w:ascii="Arial" w:hAnsi="Arial" w:cs="Arial"/>
                <w:sz w:val="18"/>
                <w:szCs w:val="18"/>
                <w:lang w:val="es-ES"/>
              </w:rPr>
            </w:pPr>
            <w:r w:rsidRPr="005579E5">
              <w:rPr>
                <w:rFonts w:ascii="Arial" w:hAnsi="Arial" w:cs="Arial"/>
                <w:sz w:val="18"/>
                <w:szCs w:val="18"/>
              </w:rPr>
              <w:t>3,</w:t>
            </w:r>
            <w:r>
              <w:rPr>
                <w:rFonts w:ascii="Arial" w:hAnsi="Arial" w:cs="Arial"/>
                <w:sz w:val="18"/>
                <w:szCs w:val="18"/>
              </w:rPr>
              <w:t>69</w:t>
            </w:r>
          </w:p>
        </w:tc>
        <w:tc>
          <w:tcPr>
            <w:tcW w:w="617" w:type="dxa"/>
          </w:tcPr>
          <w:p w14:paraId="7D10E1F6" w14:textId="33C01D98" w:rsidR="00412E1B" w:rsidRPr="005579E5" w:rsidRDefault="00412E1B" w:rsidP="00412E1B">
            <w:pPr>
              <w:rPr>
                <w:rFonts w:ascii="Arial" w:hAnsi="Arial" w:cs="Arial"/>
                <w:sz w:val="18"/>
                <w:szCs w:val="18"/>
                <w:lang w:val="es-ES"/>
              </w:rPr>
            </w:pPr>
            <w:r w:rsidRPr="005579E5">
              <w:rPr>
                <w:rFonts w:ascii="Arial" w:hAnsi="Arial" w:cs="Arial"/>
                <w:sz w:val="18"/>
                <w:szCs w:val="18"/>
              </w:rPr>
              <w:t>3,</w:t>
            </w:r>
            <w:r>
              <w:rPr>
                <w:rFonts w:ascii="Arial" w:hAnsi="Arial" w:cs="Arial"/>
                <w:sz w:val="18"/>
                <w:szCs w:val="18"/>
              </w:rPr>
              <w:t>69</w:t>
            </w:r>
          </w:p>
        </w:tc>
        <w:tc>
          <w:tcPr>
            <w:tcW w:w="617" w:type="dxa"/>
          </w:tcPr>
          <w:p w14:paraId="0BB9A67D" w14:textId="5AFE14EE" w:rsidR="00412E1B" w:rsidRPr="005579E5" w:rsidRDefault="00412E1B" w:rsidP="00412E1B">
            <w:pPr>
              <w:rPr>
                <w:rFonts w:ascii="Arial" w:hAnsi="Arial" w:cs="Arial"/>
                <w:sz w:val="18"/>
                <w:szCs w:val="18"/>
                <w:lang w:val="es-ES"/>
              </w:rPr>
            </w:pPr>
            <w:r w:rsidRPr="005579E5">
              <w:rPr>
                <w:rFonts w:ascii="Arial" w:hAnsi="Arial" w:cs="Arial"/>
                <w:sz w:val="18"/>
                <w:szCs w:val="18"/>
              </w:rPr>
              <w:t>3,</w:t>
            </w:r>
            <w:r>
              <w:rPr>
                <w:rFonts w:ascii="Arial" w:hAnsi="Arial" w:cs="Arial"/>
                <w:sz w:val="18"/>
                <w:szCs w:val="18"/>
              </w:rPr>
              <w:t>69</w:t>
            </w:r>
          </w:p>
        </w:tc>
        <w:tc>
          <w:tcPr>
            <w:tcW w:w="617" w:type="dxa"/>
          </w:tcPr>
          <w:p w14:paraId="6C34B04C" w14:textId="2466630E" w:rsidR="00412E1B" w:rsidRPr="005579E5" w:rsidRDefault="00412E1B" w:rsidP="00412E1B">
            <w:pPr>
              <w:rPr>
                <w:rFonts w:ascii="Arial" w:hAnsi="Arial" w:cs="Arial"/>
                <w:sz w:val="18"/>
                <w:szCs w:val="18"/>
                <w:lang w:val="es-ES"/>
              </w:rPr>
            </w:pPr>
            <w:r w:rsidRPr="005579E5">
              <w:rPr>
                <w:rFonts w:ascii="Arial" w:hAnsi="Arial" w:cs="Arial"/>
                <w:sz w:val="18"/>
                <w:szCs w:val="18"/>
              </w:rPr>
              <w:t>3,</w:t>
            </w:r>
            <w:r>
              <w:rPr>
                <w:rFonts w:ascii="Arial" w:hAnsi="Arial" w:cs="Arial"/>
                <w:sz w:val="18"/>
                <w:szCs w:val="18"/>
              </w:rPr>
              <w:t>69</w:t>
            </w:r>
          </w:p>
        </w:tc>
        <w:tc>
          <w:tcPr>
            <w:tcW w:w="617" w:type="dxa"/>
          </w:tcPr>
          <w:p w14:paraId="671D82ED" w14:textId="2F8C4034" w:rsidR="00412E1B" w:rsidRPr="005579E5" w:rsidRDefault="00412E1B" w:rsidP="00412E1B">
            <w:pPr>
              <w:rPr>
                <w:rFonts w:ascii="Arial" w:hAnsi="Arial" w:cs="Arial"/>
                <w:sz w:val="18"/>
                <w:szCs w:val="18"/>
                <w:lang w:val="es-ES"/>
              </w:rPr>
            </w:pPr>
            <w:r w:rsidRPr="005579E5">
              <w:rPr>
                <w:rFonts w:ascii="Arial" w:hAnsi="Arial" w:cs="Arial"/>
                <w:sz w:val="18"/>
                <w:szCs w:val="18"/>
              </w:rPr>
              <w:t>3,</w:t>
            </w:r>
            <w:r>
              <w:rPr>
                <w:rFonts w:ascii="Arial" w:hAnsi="Arial" w:cs="Arial"/>
                <w:sz w:val="18"/>
                <w:szCs w:val="18"/>
              </w:rPr>
              <w:t>69</w:t>
            </w:r>
          </w:p>
        </w:tc>
        <w:tc>
          <w:tcPr>
            <w:tcW w:w="617" w:type="dxa"/>
          </w:tcPr>
          <w:p w14:paraId="7F8DA825" w14:textId="1F7ECCB7" w:rsidR="00412E1B" w:rsidRPr="005579E5" w:rsidRDefault="00412E1B" w:rsidP="00412E1B">
            <w:pPr>
              <w:rPr>
                <w:rFonts w:ascii="Arial" w:hAnsi="Arial" w:cs="Arial"/>
                <w:sz w:val="18"/>
                <w:szCs w:val="18"/>
                <w:lang w:val="es-ES"/>
              </w:rPr>
            </w:pPr>
            <w:r w:rsidRPr="005579E5">
              <w:rPr>
                <w:rFonts w:ascii="Arial" w:hAnsi="Arial" w:cs="Arial"/>
                <w:sz w:val="18"/>
                <w:szCs w:val="18"/>
              </w:rPr>
              <w:t>3,</w:t>
            </w:r>
            <w:r>
              <w:rPr>
                <w:rFonts w:ascii="Arial" w:hAnsi="Arial" w:cs="Arial"/>
                <w:sz w:val="18"/>
                <w:szCs w:val="18"/>
              </w:rPr>
              <w:t>69</w:t>
            </w:r>
          </w:p>
        </w:tc>
        <w:tc>
          <w:tcPr>
            <w:tcW w:w="617" w:type="dxa"/>
          </w:tcPr>
          <w:p w14:paraId="7878A28D" w14:textId="7B579757" w:rsidR="00412E1B" w:rsidRPr="005579E5" w:rsidRDefault="00412E1B" w:rsidP="00412E1B">
            <w:pPr>
              <w:rPr>
                <w:rFonts w:ascii="Arial" w:hAnsi="Arial" w:cs="Arial"/>
                <w:sz w:val="18"/>
                <w:szCs w:val="18"/>
                <w:lang w:val="es-ES"/>
              </w:rPr>
            </w:pPr>
            <w:r w:rsidRPr="005579E5">
              <w:rPr>
                <w:rFonts w:ascii="Arial" w:hAnsi="Arial" w:cs="Arial"/>
                <w:sz w:val="18"/>
                <w:szCs w:val="18"/>
              </w:rPr>
              <w:t>3,</w:t>
            </w:r>
            <w:r>
              <w:rPr>
                <w:rFonts w:ascii="Arial" w:hAnsi="Arial" w:cs="Arial"/>
                <w:sz w:val="18"/>
                <w:szCs w:val="18"/>
              </w:rPr>
              <w:t>69</w:t>
            </w:r>
          </w:p>
        </w:tc>
        <w:tc>
          <w:tcPr>
            <w:tcW w:w="617" w:type="dxa"/>
          </w:tcPr>
          <w:p w14:paraId="4700F907" w14:textId="7CFB2226" w:rsidR="00412E1B" w:rsidRPr="005579E5" w:rsidRDefault="00412E1B" w:rsidP="00412E1B">
            <w:pPr>
              <w:rPr>
                <w:rFonts w:ascii="Arial" w:hAnsi="Arial" w:cs="Arial"/>
                <w:sz w:val="18"/>
                <w:szCs w:val="18"/>
                <w:lang w:val="es-ES"/>
              </w:rPr>
            </w:pPr>
            <w:r w:rsidRPr="005579E5">
              <w:rPr>
                <w:rFonts w:ascii="Arial" w:hAnsi="Arial" w:cs="Arial"/>
                <w:sz w:val="18"/>
                <w:szCs w:val="18"/>
              </w:rPr>
              <w:t>3,</w:t>
            </w:r>
            <w:r>
              <w:rPr>
                <w:rFonts w:ascii="Arial" w:hAnsi="Arial" w:cs="Arial"/>
                <w:sz w:val="18"/>
                <w:szCs w:val="18"/>
              </w:rPr>
              <w:t>69</w:t>
            </w:r>
          </w:p>
        </w:tc>
        <w:tc>
          <w:tcPr>
            <w:tcW w:w="677" w:type="dxa"/>
          </w:tcPr>
          <w:p w14:paraId="0B5E5A7D" w14:textId="1DC52379" w:rsidR="00412E1B" w:rsidRPr="005579E5" w:rsidRDefault="00412E1B" w:rsidP="00412E1B">
            <w:pPr>
              <w:rPr>
                <w:rFonts w:ascii="Arial" w:hAnsi="Arial" w:cs="Arial"/>
                <w:sz w:val="18"/>
                <w:szCs w:val="18"/>
                <w:lang w:val="es-ES"/>
              </w:rPr>
            </w:pPr>
            <w:r w:rsidRPr="005579E5">
              <w:rPr>
                <w:rFonts w:ascii="Arial" w:hAnsi="Arial" w:cs="Arial"/>
                <w:sz w:val="18"/>
                <w:szCs w:val="18"/>
              </w:rPr>
              <w:t>3,</w:t>
            </w:r>
            <w:r>
              <w:rPr>
                <w:rFonts w:ascii="Arial" w:hAnsi="Arial" w:cs="Arial"/>
                <w:sz w:val="18"/>
                <w:szCs w:val="18"/>
              </w:rPr>
              <w:t>69</w:t>
            </w:r>
          </w:p>
        </w:tc>
      </w:tr>
      <w:tr w:rsidR="00941E2F" w:rsidRPr="009029CD" w14:paraId="6E81389F" w14:textId="77777777" w:rsidTr="00215105">
        <w:trPr>
          <w:jc w:val="center"/>
        </w:trPr>
        <w:tc>
          <w:tcPr>
            <w:tcW w:w="1415" w:type="dxa"/>
          </w:tcPr>
          <w:p w14:paraId="1B237C6C" w14:textId="77777777" w:rsidR="00941E2F" w:rsidRPr="009D3056" w:rsidRDefault="00941E2F" w:rsidP="00941E2F">
            <w:pPr>
              <w:rPr>
                <w:rFonts w:ascii="Arial" w:hAnsi="Arial" w:cs="Arial"/>
                <w:sz w:val="18"/>
                <w:szCs w:val="18"/>
                <w:lang w:val="es-ES"/>
              </w:rPr>
            </w:pPr>
          </w:p>
        </w:tc>
        <w:tc>
          <w:tcPr>
            <w:tcW w:w="727" w:type="dxa"/>
          </w:tcPr>
          <w:p w14:paraId="3B690CAF" w14:textId="77777777" w:rsidR="00941E2F" w:rsidRPr="006D409C" w:rsidRDefault="00941E2F" w:rsidP="00941E2F">
            <w:pPr>
              <w:rPr>
                <w:rFonts w:ascii="Arial" w:hAnsi="Arial" w:cs="Arial"/>
                <w:sz w:val="18"/>
                <w:szCs w:val="18"/>
                <w:lang w:val="es-ES"/>
              </w:rPr>
            </w:pPr>
          </w:p>
        </w:tc>
        <w:tc>
          <w:tcPr>
            <w:tcW w:w="617" w:type="dxa"/>
          </w:tcPr>
          <w:p w14:paraId="48185A0F" w14:textId="77777777" w:rsidR="00941E2F" w:rsidRPr="005579E5" w:rsidRDefault="00941E2F" w:rsidP="00941E2F">
            <w:pPr>
              <w:rPr>
                <w:rFonts w:ascii="Arial" w:hAnsi="Arial" w:cs="Arial"/>
                <w:sz w:val="18"/>
                <w:szCs w:val="18"/>
                <w:lang w:val="es-ES"/>
              </w:rPr>
            </w:pPr>
          </w:p>
        </w:tc>
        <w:tc>
          <w:tcPr>
            <w:tcW w:w="617" w:type="dxa"/>
          </w:tcPr>
          <w:p w14:paraId="6943CC09" w14:textId="77777777" w:rsidR="00941E2F" w:rsidRPr="005579E5" w:rsidRDefault="00941E2F" w:rsidP="00941E2F">
            <w:pPr>
              <w:rPr>
                <w:rFonts w:ascii="Arial" w:hAnsi="Arial" w:cs="Arial"/>
                <w:sz w:val="18"/>
                <w:szCs w:val="18"/>
                <w:lang w:val="es-ES"/>
              </w:rPr>
            </w:pPr>
          </w:p>
        </w:tc>
        <w:tc>
          <w:tcPr>
            <w:tcW w:w="617" w:type="dxa"/>
          </w:tcPr>
          <w:p w14:paraId="68F76642" w14:textId="77777777" w:rsidR="00941E2F" w:rsidRPr="005579E5" w:rsidRDefault="00941E2F" w:rsidP="00941E2F">
            <w:pPr>
              <w:rPr>
                <w:rFonts w:ascii="Arial" w:hAnsi="Arial" w:cs="Arial"/>
                <w:sz w:val="18"/>
                <w:szCs w:val="18"/>
                <w:lang w:val="es-ES"/>
              </w:rPr>
            </w:pPr>
          </w:p>
        </w:tc>
        <w:tc>
          <w:tcPr>
            <w:tcW w:w="617" w:type="dxa"/>
          </w:tcPr>
          <w:p w14:paraId="761AEEE1" w14:textId="77777777" w:rsidR="00941E2F" w:rsidRPr="005579E5" w:rsidRDefault="00941E2F" w:rsidP="00941E2F">
            <w:pPr>
              <w:rPr>
                <w:rFonts w:ascii="Arial" w:hAnsi="Arial" w:cs="Arial"/>
                <w:sz w:val="18"/>
                <w:szCs w:val="18"/>
                <w:lang w:val="es-ES"/>
              </w:rPr>
            </w:pPr>
          </w:p>
        </w:tc>
        <w:tc>
          <w:tcPr>
            <w:tcW w:w="617" w:type="dxa"/>
          </w:tcPr>
          <w:p w14:paraId="024B2614" w14:textId="77777777" w:rsidR="00941E2F" w:rsidRPr="005579E5" w:rsidRDefault="00941E2F" w:rsidP="00941E2F">
            <w:pPr>
              <w:rPr>
                <w:rFonts w:ascii="Arial" w:hAnsi="Arial" w:cs="Arial"/>
                <w:sz w:val="18"/>
                <w:szCs w:val="18"/>
                <w:lang w:val="es-ES"/>
              </w:rPr>
            </w:pPr>
          </w:p>
        </w:tc>
        <w:tc>
          <w:tcPr>
            <w:tcW w:w="617" w:type="dxa"/>
          </w:tcPr>
          <w:p w14:paraId="180075F4" w14:textId="77777777" w:rsidR="00941E2F" w:rsidRPr="005579E5" w:rsidRDefault="00941E2F" w:rsidP="00941E2F">
            <w:pPr>
              <w:rPr>
                <w:rFonts w:ascii="Arial" w:hAnsi="Arial" w:cs="Arial"/>
                <w:sz w:val="18"/>
                <w:szCs w:val="18"/>
                <w:lang w:val="es-ES"/>
              </w:rPr>
            </w:pPr>
          </w:p>
        </w:tc>
        <w:tc>
          <w:tcPr>
            <w:tcW w:w="617" w:type="dxa"/>
          </w:tcPr>
          <w:p w14:paraId="64B9DD52" w14:textId="77777777" w:rsidR="00941E2F" w:rsidRPr="005579E5" w:rsidRDefault="00941E2F" w:rsidP="00941E2F">
            <w:pPr>
              <w:rPr>
                <w:rFonts w:ascii="Arial" w:hAnsi="Arial" w:cs="Arial"/>
                <w:sz w:val="18"/>
                <w:szCs w:val="18"/>
                <w:lang w:val="es-ES"/>
              </w:rPr>
            </w:pPr>
          </w:p>
        </w:tc>
        <w:tc>
          <w:tcPr>
            <w:tcW w:w="617" w:type="dxa"/>
          </w:tcPr>
          <w:p w14:paraId="496C6ECD" w14:textId="77777777" w:rsidR="00941E2F" w:rsidRPr="005579E5" w:rsidRDefault="00941E2F" w:rsidP="00941E2F">
            <w:pPr>
              <w:rPr>
                <w:rFonts w:ascii="Arial" w:hAnsi="Arial" w:cs="Arial"/>
                <w:sz w:val="18"/>
                <w:szCs w:val="18"/>
                <w:lang w:val="es-ES"/>
              </w:rPr>
            </w:pPr>
          </w:p>
        </w:tc>
        <w:tc>
          <w:tcPr>
            <w:tcW w:w="617" w:type="dxa"/>
          </w:tcPr>
          <w:p w14:paraId="5FE38A68" w14:textId="77777777" w:rsidR="00941E2F" w:rsidRPr="005579E5" w:rsidRDefault="00941E2F" w:rsidP="00941E2F">
            <w:pPr>
              <w:rPr>
                <w:rFonts w:ascii="Arial" w:hAnsi="Arial" w:cs="Arial"/>
                <w:sz w:val="18"/>
                <w:szCs w:val="18"/>
                <w:lang w:val="es-ES"/>
              </w:rPr>
            </w:pPr>
          </w:p>
        </w:tc>
        <w:tc>
          <w:tcPr>
            <w:tcW w:w="677" w:type="dxa"/>
          </w:tcPr>
          <w:p w14:paraId="3741B31D" w14:textId="77777777" w:rsidR="00941E2F" w:rsidRPr="005579E5" w:rsidRDefault="00941E2F" w:rsidP="00941E2F">
            <w:pPr>
              <w:rPr>
                <w:rFonts w:ascii="Arial" w:hAnsi="Arial" w:cs="Arial"/>
                <w:sz w:val="18"/>
                <w:szCs w:val="18"/>
                <w:lang w:val="es-ES"/>
              </w:rPr>
            </w:pPr>
          </w:p>
        </w:tc>
      </w:tr>
      <w:tr w:rsidR="00412E1B" w:rsidRPr="009029CD" w14:paraId="64BAD2C7" w14:textId="77777777" w:rsidTr="00215105">
        <w:trPr>
          <w:jc w:val="center"/>
        </w:trPr>
        <w:tc>
          <w:tcPr>
            <w:tcW w:w="1415" w:type="dxa"/>
          </w:tcPr>
          <w:p w14:paraId="6E662AD6" w14:textId="622E21FA" w:rsidR="00412E1B" w:rsidRPr="0035348B" w:rsidRDefault="00412E1B" w:rsidP="00412E1B">
            <w:pPr>
              <w:rPr>
                <w:rFonts w:ascii="Arial" w:hAnsi="Arial" w:cs="Arial"/>
                <w:b/>
                <w:sz w:val="18"/>
                <w:szCs w:val="18"/>
                <w:lang w:val="es-ES"/>
              </w:rPr>
            </w:pPr>
            <w:r w:rsidRPr="0035348B">
              <w:rPr>
                <w:rFonts w:ascii="Arial" w:hAnsi="Arial" w:cs="Arial"/>
                <w:b/>
                <w:sz w:val="18"/>
                <w:szCs w:val="18"/>
              </w:rPr>
              <w:t>Ingreso neto</w:t>
            </w:r>
          </w:p>
        </w:tc>
        <w:tc>
          <w:tcPr>
            <w:tcW w:w="727" w:type="dxa"/>
          </w:tcPr>
          <w:p w14:paraId="60865657" w14:textId="065D78F0" w:rsidR="00412E1B" w:rsidRPr="006D409C" w:rsidRDefault="00412E1B" w:rsidP="00412E1B">
            <w:pPr>
              <w:rPr>
                <w:rFonts w:ascii="Arial" w:hAnsi="Arial" w:cs="Arial"/>
                <w:sz w:val="18"/>
                <w:szCs w:val="18"/>
                <w:lang w:val="es-ES"/>
              </w:rPr>
            </w:pPr>
            <w:r>
              <w:rPr>
                <w:rFonts w:ascii="Arial" w:hAnsi="Arial" w:cs="Arial"/>
                <w:sz w:val="18"/>
                <w:szCs w:val="18"/>
                <w:lang w:val="es-ES"/>
              </w:rPr>
              <w:t>-4,30</w:t>
            </w:r>
          </w:p>
        </w:tc>
        <w:tc>
          <w:tcPr>
            <w:tcW w:w="617" w:type="dxa"/>
          </w:tcPr>
          <w:p w14:paraId="1CAB3886" w14:textId="5EDB8276" w:rsidR="00412E1B" w:rsidRPr="005579E5" w:rsidRDefault="00412E1B" w:rsidP="00412E1B">
            <w:pPr>
              <w:rPr>
                <w:rFonts w:ascii="Arial" w:hAnsi="Arial" w:cs="Arial"/>
                <w:sz w:val="18"/>
                <w:szCs w:val="18"/>
                <w:lang w:val="es-ES"/>
              </w:rPr>
            </w:pPr>
            <w:r>
              <w:rPr>
                <w:rFonts w:ascii="Arial" w:hAnsi="Arial" w:cs="Arial"/>
                <w:sz w:val="18"/>
                <w:szCs w:val="18"/>
              </w:rPr>
              <w:t>2,33</w:t>
            </w:r>
          </w:p>
        </w:tc>
        <w:tc>
          <w:tcPr>
            <w:tcW w:w="617" w:type="dxa"/>
          </w:tcPr>
          <w:p w14:paraId="6FA43C40" w14:textId="728318F1" w:rsidR="00412E1B" w:rsidRPr="005579E5" w:rsidRDefault="00412E1B" w:rsidP="00412E1B">
            <w:pPr>
              <w:rPr>
                <w:rFonts w:ascii="Arial" w:hAnsi="Arial" w:cs="Arial"/>
                <w:sz w:val="18"/>
                <w:szCs w:val="18"/>
                <w:lang w:val="es-ES"/>
              </w:rPr>
            </w:pPr>
            <w:r>
              <w:rPr>
                <w:rFonts w:ascii="Arial" w:hAnsi="Arial" w:cs="Arial"/>
                <w:sz w:val="18"/>
                <w:szCs w:val="18"/>
              </w:rPr>
              <w:t>3,56</w:t>
            </w:r>
          </w:p>
        </w:tc>
        <w:tc>
          <w:tcPr>
            <w:tcW w:w="617" w:type="dxa"/>
          </w:tcPr>
          <w:p w14:paraId="0AA85FB6" w14:textId="568278D7" w:rsidR="00412E1B" w:rsidRPr="005579E5" w:rsidRDefault="00412E1B" w:rsidP="00412E1B">
            <w:pPr>
              <w:rPr>
                <w:rFonts w:ascii="Arial" w:hAnsi="Arial" w:cs="Arial"/>
                <w:sz w:val="18"/>
                <w:szCs w:val="18"/>
                <w:lang w:val="es-ES"/>
              </w:rPr>
            </w:pPr>
            <w:r>
              <w:rPr>
                <w:rFonts w:ascii="Arial" w:hAnsi="Arial" w:cs="Arial"/>
                <w:sz w:val="18"/>
                <w:szCs w:val="18"/>
              </w:rPr>
              <w:t>3,56</w:t>
            </w:r>
          </w:p>
        </w:tc>
        <w:tc>
          <w:tcPr>
            <w:tcW w:w="617" w:type="dxa"/>
          </w:tcPr>
          <w:p w14:paraId="786C715A" w14:textId="75ADB196" w:rsidR="00412E1B" w:rsidRPr="005579E5" w:rsidRDefault="00412E1B" w:rsidP="00412E1B">
            <w:pPr>
              <w:rPr>
                <w:rFonts w:ascii="Arial" w:hAnsi="Arial" w:cs="Arial"/>
                <w:sz w:val="18"/>
                <w:szCs w:val="18"/>
                <w:lang w:val="es-ES"/>
              </w:rPr>
            </w:pPr>
            <w:r>
              <w:rPr>
                <w:rFonts w:ascii="Arial" w:hAnsi="Arial" w:cs="Arial"/>
                <w:sz w:val="18"/>
                <w:szCs w:val="18"/>
              </w:rPr>
              <w:t>3,56</w:t>
            </w:r>
          </w:p>
        </w:tc>
        <w:tc>
          <w:tcPr>
            <w:tcW w:w="617" w:type="dxa"/>
          </w:tcPr>
          <w:p w14:paraId="73457849" w14:textId="6AD4EDC0" w:rsidR="00412E1B" w:rsidRPr="005579E5" w:rsidRDefault="00412E1B" w:rsidP="00412E1B">
            <w:pPr>
              <w:rPr>
                <w:rFonts w:ascii="Arial" w:hAnsi="Arial" w:cs="Arial"/>
                <w:sz w:val="18"/>
                <w:szCs w:val="18"/>
                <w:lang w:val="es-ES"/>
              </w:rPr>
            </w:pPr>
            <w:r>
              <w:rPr>
                <w:rFonts w:ascii="Arial" w:hAnsi="Arial" w:cs="Arial"/>
                <w:sz w:val="18"/>
                <w:szCs w:val="18"/>
              </w:rPr>
              <w:t>3,56</w:t>
            </w:r>
          </w:p>
        </w:tc>
        <w:tc>
          <w:tcPr>
            <w:tcW w:w="617" w:type="dxa"/>
          </w:tcPr>
          <w:p w14:paraId="4B248C9E" w14:textId="132AAF52" w:rsidR="00412E1B" w:rsidRPr="005579E5" w:rsidRDefault="00412E1B" w:rsidP="00412E1B">
            <w:pPr>
              <w:rPr>
                <w:rFonts w:ascii="Arial" w:hAnsi="Arial" w:cs="Arial"/>
                <w:sz w:val="18"/>
                <w:szCs w:val="18"/>
                <w:lang w:val="es-ES"/>
              </w:rPr>
            </w:pPr>
            <w:r>
              <w:rPr>
                <w:rFonts w:ascii="Arial" w:hAnsi="Arial" w:cs="Arial"/>
                <w:sz w:val="18"/>
                <w:szCs w:val="18"/>
              </w:rPr>
              <w:t>3,56</w:t>
            </w:r>
          </w:p>
        </w:tc>
        <w:tc>
          <w:tcPr>
            <w:tcW w:w="617" w:type="dxa"/>
          </w:tcPr>
          <w:p w14:paraId="54336C3A" w14:textId="49B16F66" w:rsidR="00412E1B" w:rsidRPr="005579E5" w:rsidRDefault="00412E1B" w:rsidP="00412E1B">
            <w:pPr>
              <w:rPr>
                <w:rFonts w:ascii="Arial" w:hAnsi="Arial" w:cs="Arial"/>
                <w:sz w:val="18"/>
                <w:szCs w:val="18"/>
                <w:lang w:val="es-ES"/>
              </w:rPr>
            </w:pPr>
            <w:r>
              <w:rPr>
                <w:rFonts w:ascii="Arial" w:hAnsi="Arial" w:cs="Arial"/>
                <w:sz w:val="18"/>
                <w:szCs w:val="18"/>
              </w:rPr>
              <w:t>3,56</w:t>
            </w:r>
          </w:p>
        </w:tc>
        <w:tc>
          <w:tcPr>
            <w:tcW w:w="617" w:type="dxa"/>
          </w:tcPr>
          <w:p w14:paraId="53CBDD50" w14:textId="50B06197" w:rsidR="00412E1B" w:rsidRPr="005579E5" w:rsidRDefault="00412E1B" w:rsidP="00412E1B">
            <w:pPr>
              <w:rPr>
                <w:rFonts w:ascii="Arial" w:hAnsi="Arial" w:cs="Arial"/>
                <w:sz w:val="18"/>
                <w:szCs w:val="18"/>
                <w:lang w:val="es-ES"/>
              </w:rPr>
            </w:pPr>
            <w:r>
              <w:rPr>
                <w:rFonts w:ascii="Arial" w:hAnsi="Arial" w:cs="Arial"/>
                <w:sz w:val="18"/>
                <w:szCs w:val="18"/>
              </w:rPr>
              <w:t>3,56</w:t>
            </w:r>
          </w:p>
        </w:tc>
        <w:tc>
          <w:tcPr>
            <w:tcW w:w="617" w:type="dxa"/>
          </w:tcPr>
          <w:p w14:paraId="4EF623A6" w14:textId="2F3F76CF" w:rsidR="00412E1B" w:rsidRPr="005579E5" w:rsidRDefault="00412E1B" w:rsidP="00412E1B">
            <w:pPr>
              <w:rPr>
                <w:rFonts w:ascii="Arial" w:hAnsi="Arial" w:cs="Arial"/>
                <w:sz w:val="18"/>
                <w:szCs w:val="18"/>
                <w:lang w:val="es-ES"/>
              </w:rPr>
            </w:pPr>
            <w:r>
              <w:rPr>
                <w:rFonts w:ascii="Arial" w:hAnsi="Arial" w:cs="Arial"/>
                <w:sz w:val="18"/>
                <w:szCs w:val="18"/>
              </w:rPr>
              <w:t>3,56</w:t>
            </w:r>
          </w:p>
        </w:tc>
        <w:tc>
          <w:tcPr>
            <w:tcW w:w="677" w:type="dxa"/>
          </w:tcPr>
          <w:p w14:paraId="53C26C1F" w14:textId="760D8836" w:rsidR="00412E1B" w:rsidRPr="005579E5" w:rsidRDefault="00412E1B" w:rsidP="00412E1B">
            <w:pPr>
              <w:rPr>
                <w:rFonts w:ascii="Arial" w:hAnsi="Arial" w:cs="Arial"/>
                <w:sz w:val="18"/>
                <w:szCs w:val="18"/>
                <w:lang w:val="es-ES"/>
              </w:rPr>
            </w:pPr>
            <w:r>
              <w:rPr>
                <w:rFonts w:ascii="Arial" w:hAnsi="Arial" w:cs="Arial"/>
                <w:sz w:val="18"/>
                <w:szCs w:val="18"/>
              </w:rPr>
              <w:t>3,56</w:t>
            </w:r>
          </w:p>
        </w:tc>
      </w:tr>
      <w:tr w:rsidR="00941E2F" w:rsidRPr="009029CD" w14:paraId="1A2D8799" w14:textId="77777777" w:rsidTr="00215105">
        <w:trPr>
          <w:jc w:val="center"/>
        </w:trPr>
        <w:tc>
          <w:tcPr>
            <w:tcW w:w="1415" w:type="dxa"/>
          </w:tcPr>
          <w:p w14:paraId="6E34FD3F" w14:textId="77777777" w:rsidR="00941E2F" w:rsidRPr="009D3056" w:rsidRDefault="00941E2F" w:rsidP="00941E2F">
            <w:pPr>
              <w:rPr>
                <w:rFonts w:ascii="Arial" w:hAnsi="Arial" w:cs="Arial"/>
                <w:sz w:val="18"/>
                <w:szCs w:val="18"/>
                <w:lang w:val="es-ES"/>
              </w:rPr>
            </w:pPr>
          </w:p>
        </w:tc>
        <w:tc>
          <w:tcPr>
            <w:tcW w:w="727" w:type="dxa"/>
          </w:tcPr>
          <w:p w14:paraId="01E45BBE" w14:textId="77777777" w:rsidR="00941E2F" w:rsidRPr="006D409C" w:rsidRDefault="00941E2F" w:rsidP="00941E2F">
            <w:pPr>
              <w:rPr>
                <w:rFonts w:ascii="Arial" w:hAnsi="Arial" w:cs="Arial"/>
                <w:sz w:val="18"/>
                <w:szCs w:val="18"/>
                <w:lang w:val="es-ES"/>
              </w:rPr>
            </w:pPr>
          </w:p>
        </w:tc>
        <w:tc>
          <w:tcPr>
            <w:tcW w:w="617" w:type="dxa"/>
          </w:tcPr>
          <w:p w14:paraId="30A03342" w14:textId="77777777" w:rsidR="00941E2F" w:rsidRPr="005579E5" w:rsidRDefault="00941E2F" w:rsidP="00941E2F">
            <w:pPr>
              <w:rPr>
                <w:rFonts w:ascii="Arial" w:hAnsi="Arial" w:cs="Arial"/>
                <w:sz w:val="18"/>
                <w:szCs w:val="18"/>
                <w:lang w:val="es-ES"/>
              </w:rPr>
            </w:pPr>
          </w:p>
        </w:tc>
        <w:tc>
          <w:tcPr>
            <w:tcW w:w="617" w:type="dxa"/>
          </w:tcPr>
          <w:p w14:paraId="0CDB3D67" w14:textId="77777777" w:rsidR="00941E2F" w:rsidRPr="005579E5" w:rsidRDefault="00941E2F" w:rsidP="00941E2F">
            <w:pPr>
              <w:rPr>
                <w:rFonts w:ascii="Arial" w:hAnsi="Arial" w:cs="Arial"/>
                <w:sz w:val="18"/>
                <w:szCs w:val="18"/>
                <w:lang w:val="es-ES"/>
              </w:rPr>
            </w:pPr>
          </w:p>
        </w:tc>
        <w:tc>
          <w:tcPr>
            <w:tcW w:w="617" w:type="dxa"/>
          </w:tcPr>
          <w:p w14:paraId="51CF5B67" w14:textId="77777777" w:rsidR="00941E2F" w:rsidRPr="005579E5" w:rsidRDefault="00941E2F" w:rsidP="00941E2F">
            <w:pPr>
              <w:rPr>
                <w:rFonts w:ascii="Arial" w:hAnsi="Arial" w:cs="Arial"/>
                <w:sz w:val="18"/>
                <w:szCs w:val="18"/>
                <w:lang w:val="es-ES"/>
              </w:rPr>
            </w:pPr>
          </w:p>
        </w:tc>
        <w:tc>
          <w:tcPr>
            <w:tcW w:w="617" w:type="dxa"/>
          </w:tcPr>
          <w:p w14:paraId="1AF26718" w14:textId="77777777" w:rsidR="00941E2F" w:rsidRPr="005579E5" w:rsidRDefault="00941E2F" w:rsidP="00941E2F">
            <w:pPr>
              <w:rPr>
                <w:rFonts w:ascii="Arial" w:hAnsi="Arial" w:cs="Arial"/>
                <w:sz w:val="18"/>
                <w:szCs w:val="18"/>
                <w:lang w:val="es-ES"/>
              </w:rPr>
            </w:pPr>
          </w:p>
        </w:tc>
        <w:tc>
          <w:tcPr>
            <w:tcW w:w="617" w:type="dxa"/>
          </w:tcPr>
          <w:p w14:paraId="6069D40A" w14:textId="77777777" w:rsidR="00941E2F" w:rsidRPr="005579E5" w:rsidRDefault="00941E2F" w:rsidP="00941E2F">
            <w:pPr>
              <w:rPr>
                <w:rFonts w:ascii="Arial" w:hAnsi="Arial" w:cs="Arial"/>
                <w:sz w:val="18"/>
                <w:szCs w:val="18"/>
                <w:lang w:val="es-ES"/>
              </w:rPr>
            </w:pPr>
          </w:p>
        </w:tc>
        <w:tc>
          <w:tcPr>
            <w:tcW w:w="617" w:type="dxa"/>
          </w:tcPr>
          <w:p w14:paraId="56F8790B" w14:textId="77777777" w:rsidR="00941E2F" w:rsidRPr="005579E5" w:rsidRDefault="00941E2F" w:rsidP="00941E2F">
            <w:pPr>
              <w:rPr>
                <w:rFonts w:ascii="Arial" w:hAnsi="Arial" w:cs="Arial"/>
                <w:sz w:val="18"/>
                <w:szCs w:val="18"/>
                <w:lang w:val="es-ES"/>
              </w:rPr>
            </w:pPr>
          </w:p>
        </w:tc>
        <w:tc>
          <w:tcPr>
            <w:tcW w:w="617" w:type="dxa"/>
          </w:tcPr>
          <w:p w14:paraId="15488D0A" w14:textId="77777777" w:rsidR="00941E2F" w:rsidRPr="005579E5" w:rsidRDefault="00941E2F" w:rsidP="00941E2F">
            <w:pPr>
              <w:rPr>
                <w:rFonts w:ascii="Arial" w:hAnsi="Arial" w:cs="Arial"/>
                <w:sz w:val="18"/>
                <w:szCs w:val="18"/>
                <w:lang w:val="es-ES"/>
              </w:rPr>
            </w:pPr>
          </w:p>
        </w:tc>
        <w:tc>
          <w:tcPr>
            <w:tcW w:w="617" w:type="dxa"/>
          </w:tcPr>
          <w:p w14:paraId="1B577DA5" w14:textId="77777777" w:rsidR="00941E2F" w:rsidRPr="005579E5" w:rsidRDefault="00941E2F" w:rsidP="00941E2F">
            <w:pPr>
              <w:rPr>
                <w:rFonts w:ascii="Arial" w:hAnsi="Arial" w:cs="Arial"/>
                <w:sz w:val="18"/>
                <w:szCs w:val="18"/>
                <w:lang w:val="es-ES"/>
              </w:rPr>
            </w:pPr>
          </w:p>
        </w:tc>
        <w:tc>
          <w:tcPr>
            <w:tcW w:w="617" w:type="dxa"/>
          </w:tcPr>
          <w:p w14:paraId="067BE196" w14:textId="77777777" w:rsidR="00941E2F" w:rsidRPr="005579E5" w:rsidRDefault="00941E2F" w:rsidP="00941E2F">
            <w:pPr>
              <w:rPr>
                <w:rFonts w:ascii="Arial" w:hAnsi="Arial" w:cs="Arial"/>
                <w:sz w:val="18"/>
                <w:szCs w:val="18"/>
                <w:lang w:val="es-ES"/>
              </w:rPr>
            </w:pPr>
          </w:p>
        </w:tc>
        <w:tc>
          <w:tcPr>
            <w:tcW w:w="677" w:type="dxa"/>
          </w:tcPr>
          <w:p w14:paraId="5989E546" w14:textId="77777777" w:rsidR="00941E2F" w:rsidRPr="005579E5" w:rsidRDefault="00941E2F" w:rsidP="00941E2F">
            <w:pPr>
              <w:rPr>
                <w:rFonts w:ascii="Arial" w:hAnsi="Arial" w:cs="Arial"/>
                <w:sz w:val="18"/>
                <w:szCs w:val="18"/>
                <w:lang w:val="es-ES"/>
              </w:rPr>
            </w:pPr>
          </w:p>
        </w:tc>
      </w:tr>
      <w:tr w:rsidR="00941E2F" w:rsidRPr="009029CD" w14:paraId="34D17B18" w14:textId="77777777" w:rsidTr="00215105">
        <w:trPr>
          <w:jc w:val="center"/>
        </w:trPr>
        <w:tc>
          <w:tcPr>
            <w:tcW w:w="1415" w:type="dxa"/>
            <w:tcBorders>
              <w:bottom w:val="single" w:sz="4" w:space="0" w:color="auto"/>
            </w:tcBorders>
          </w:tcPr>
          <w:p w14:paraId="5FB7B1E7" w14:textId="3FFBB337" w:rsidR="00941E2F" w:rsidRPr="009D3056" w:rsidRDefault="00941E2F" w:rsidP="00941E2F">
            <w:pPr>
              <w:rPr>
                <w:rFonts w:ascii="Arial" w:hAnsi="Arial" w:cs="Arial"/>
                <w:sz w:val="18"/>
                <w:szCs w:val="18"/>
                <w:lang w:val="es-ES"/>
              </w:rPr>
            </w:pPr>
            <w:r w:rsidRPr="009D3056">
              <w:rPr>
                <w:rFonts w:ascii="Arial" w:hAnsi="Arial" w:cs="Arial"/>
                <w:sz w:val="18"/>
                <w:szCs w:val="18"/>
              </w:rPr>
              <w:t>VPNE (12%)</w:t>
            </w:r>
          </w:p>
        </w:tc>
        <w:tc>
          <w:tcPr>
            <w:tcW w:w="727" w:type="dxa"/>
          </w:tcPr>
          <w:p w14:paraId="2530C309" w14:textId="2D0FEC16" w:rsidR="00941E2F" w:rsidRPr="006D409C" w:rsidRDefault="005579E5" w:rsidP="00941E2F">
            <w:pPr>
              <w:rPr>
                <w:rFonts w:ascii="Arial" w:hAnsi="Arial" w:cs="Arial"/>
                <w:sz w:val="18"/>
                <w:szCs w:val="18"/>
                <w:lang w:val="es-ES"/>
              </w:rPr>
            </w:pPr>
            <w:r>
              <w:rPr>
                <w:rFonts w:ascii="Arial" w:hAnsi="Arial" w:cs="Arial"/>
                <w:sz w:val="18"/>
                <w:szCs w:val="18"/>
                <w:lang w:val="es-ES"/>
              </w:rPr>
              <w:t>$</w:t>
            </w:r>
            <w:r w:rsidR="00412E1B">
              <w:rPr>
                <w:rFonts w:ascii="Arial" w:hAnsi="Arial" w:cs="Arial"/>
                <w:sz w:val="18"/>
                <w:szCs w:val="18"/>
                <w:lang w:val="es-ES"/>
              </w:rPr>
              <w:t>18,6</w:t>
            </w:r>
          </w:p>
        </w:tc>
        <w:tc>
          <w:tcPr>
            <w:tcW w:w="617" w:type="dxa"/>
          </w:tcPr>
          <w:p w14:paraId="5AB6FB1F" w14:textId="77777777" w:rsidR="00941E2F" w:rsidRPr="005579E5" w:rsidRDefault="00941E2F" w:rsidP="00941E2F">
            <w:pPr>
              <w:rPr>
                <w:rFonts w:ascii="Arial" w:hAnsi="Arial" w:cs="Arial"/>
                <w:sz w:val="18"/>
                <w:szCs w:val="18"/>
                <w:lang w:val="es-ES"/>
              </w:rPr>
            </w:pPr>
          </w:p>
        </w:tc>
        <w:tc>
          <w:tcPr>
            <w:tcW w:w="617" w:type="dxa"/>
          </w:tcPr>
          <w:p w14:paraId="38CCBFB6" w14:textId="77777777" w:rsidR="00941E2F" w:rsidRPr="005579E5" w:rsidRDefault="00941E2F" w:rsidP="00941E2F">
            <w:pPr>
              <w:rPr>
                <w:rFonts w:ascii="Arial" w:hAnsi="Arial" w:cs="Arial"/>
                <w:sz w:val="18"/>
                <w:szCs w:val="18"/>
                <w:lang w:val="es-ES"/>
              </w:rPr>
            </w:pPr>
          </w:p>
        </w:tc>
        <w:tc>
          <w:tcPr>
            <w:tcW w:w="617" w:type="dxa"/>
          </w:tcPr>
          <w:p w14:paraId="21E36EBA" w14:textId="77777777" w:rsidR="00941E2F" w:rsidRPr="005579E5" w:rsidRDefault="00941E2F" w:rsidP="00941E2F">
            <w:pPr>
              <w:rPr>
                <w:rFonts w:ascii="Arial" w:hAnsi="Arial" w:cs="Arial"/>
                <w:sz w:val="18"/>
                <w:szCs w:val="18"/>
                <w:lang w:val="es-ES"/>
              </w:rPr>
            </w:pPr>
          </w:p>
        </w:tc>
        <w:tc>
          <w:tcPr>
            <w:tcW w:w="617" w:type="dxa"/>
          </w:tcPr>
          <w:p w14:paraId="2D1BA598" w14:textId="77777777" w:rsidR="00941E2F" w:rsidRPr="005579E5" w:rsidRDefault="00941E2F" w:rsidP="00941E2F">
            <w:pPr>
              <w:rPr>
                <w:rFonts w:ascii="Arial" w:hAnsi="Arial" w:cs="Arial"/>
                <w:sz w:val="18"/>
                <w:szCs w:val="18"/>
                <w:lang w:val="es-ES"/>
              </w:rPr>
            </w:pPr>
          </w:p>
        </w:tc>
        <w:tc>
          <w:tcPr>
            <w:tcW w:w="617" w:type="dxa"/>
          </w:tcPr>
          <w:p w14:paraId="18AC91C3" w14:textId="77777777" w:rsidR="00941E2F" w:rsidRPr="005579E5" w:rsidRDefault="00941E2F" w:rsidP="00941E2F">
            <w:pPr>
              <w:rPr>
                <w:rFonts w:ascii="Arial" w:hAnsi="Arial" w:cs="Arial"/>
                <w:sz w:val="18"/>
                <w:szCs w:val="18"/>
                <w:lang w:val="es-ES"/>
              </w:rPr>
            </w:pPr>
          </w:p>
        </w:tc>
        <w:tc>
          <w:tcPr>
            <w:tcW w:w="617" w:type="dxa"/>
          </w:tcPr>
          <w:p w14:paraId="2F609BA4" w14:textId="77777777" w:rsidR="00941E2F" w:rsidRPr="005579E5" w:rsidRDefault="00941E2F" w:rsidP="00941E2F">
            <w:pPr>
              <w:rPr>
                <w:rFonts w:ascii="Arial" w:hAnsi="Arial" w:cs="Arial"/>
                <w:sz w:val="18"/>
                <w:szCs w:val="18"/>
                <w:lang w:val="es-ES"/>
              </w:rPr>
            </w:pPr>
          </w:p>
        </w:tc>
        <w:tc>
          <w:tcPr>
            <w:tcW w:w="617" w:type="dxa"/>
          </w:tcPr>
          <w:p w14:paraId="283FA617" w14:textId="77777777" w:rsidR="00941E2F" w:rsidRPr="005579E5" w:rsidRDefault="00941E2F" w:rsidP="00941E2F">
            <w:pPr>
              <w:rPr>
                <w:rFonts w:ascii="Arial" w:hAnsi="Arial" w:cs="Arial"/>
                <w:sz w:val="18"/>
                <w:szCs w:val="18"/>
                <w:lang w:val="es-ES"/>
              </w:rPr>
            </w:pPr>
          </w:p>
        </w:tc>
        <w:tc>
          <w:tcPr>
            <w:tcW w:w="617" w:type="dxa"/>
          </w:tcPr>
          <w:p w14:paraId="2CD38D15" w14:textId="77777777" w:rsidR="00941E2F" w:rsidRPr="005579E5" w:rsidRDefault="00941E2F" w:rsidP="00941E2F">
            <w:pPr>
              <w:rPr>
                <w:rFonts w:ascii="Arial" w:hAnsi="Arial" w:cs="Arial"/>
                <w:sz w:val="18"/>
                <w:szCs w:val="18"/>
                <w:lang w:val="es-ES"/>
              </w:rPr>
            </w:pPr>
          </w:p>
        </w:tc>
        <w:tc>
          <w:tcPr>
            <w:tcW w:w="617" w:type="dxa"/>
          </w:tcPr>
          <w:p w14:paraId="4AD83878" w14:textId="77777777" w:rsidR="00941E2F" w:rsidRPr="005579E5" w:rsidRDefault="00941E2F" w:rsidP="00941E2F">
            <w:pPr>
              <w:rPr>
                <w:rFonts w:ascii="Arial" w:hAnsi="Arial" w:cs="Arial"/>
                <w:sz w:val="18"/>
                <w:szCs w:val="18"/>
                <w:lang w:val="es-ES"/>
              </w:rPr>
            </w:pPr>
          </w:p>
        </w:tc>
        <w:tc>
          <w:tcPr>
            <w:tcW w:w="677" w:type="dxa"/>
          </w:tcPr>
          <w:p w14:paraId="63FB2544" w14:textId="77777777" w:rsidR="00941E2F" w:rsidRPr="005579E5" w:rsidRDefault="00941E2F" w:rsidP="00941E2F">
            <w:pPr>
              <w:rPr>
                <w:rFonts w:ascii="Arial" w:hAnsi="Arial" w:cs="Arial"/>
                <w:sz w:val="18"/>
                <w:szCs w:val="18"/>
                <w:lang w:val="es-ES"/>
              </w:rPr>
            </w:pPr>
          </w:p>
        </w:tc>
      </w:tr>
      <w:tr w:rsidR="00941E2F" w:rsidRPr="009029CD" w14:paraId="5609CC7A" w14:textId="77777777" w:rsidTr="00215105">
        <w:trPr>
          <w:trHeight w:val="53"/>
          <w:jc w:val="center"/>
        </w:trPr>
        <w:tc>
          <w:tcPr>
            <w:tcW w:w="1415" w:type="dxa"/>
            <w:tcBorders>
              <w:bottom w:val="single" w:sz="4" w:space="0" w:color="auto"/>
            </w:tcBorders>
          </w:tcPr>
          <w:p w14:paraId="4AE9FF7B" w14:textId="319BDC15" w:rsidR="00941E2F" w:rsidRPr="009D3056" w:rsidRDefault="00941E2F" w:rsidP="00941E2F">
            <w:pPr>
              <w:rPr>
                <w:rFonts w:ascii="Arial" w:hAnsi="Arial" w:cs="Arial"/>
                <w:sz w:val="18"/>
                <w:szCs w:val="18"/>
                <w:lang w:val="es-ES"/>
              </w:rPr>
            </w:pPr>
            <w:r w:rsidRPr="009D3056">
              <w:rPr>
                <w:rFonts w:ascii="Arial" w:hAnsi="Arial" w:cs="Arial"/>
                <w:sz w:val="18"/>
                <w:szCs w:val="18"/>
              </w:rPr>
              <w:t>TIRE</w:t>
            </w:r>
            <w:r w:rsidR="005579E5">
              <w:rPr>
                <w:rFonts w:ascii="Arial" w:hAnsi="Arial" w:cs="Arial"/>
                <w:sz w:val="18"/>
                <w:szCs w:val="18"/>
              </w:rPr>
              <w:t xml:space="preserve"> </w:t>
            </w:r>
          </w:p>
        </w:tc>
        <w:tc>
          <w:tcPr>
            <w:tcW w:w="727" w:type="dxa"/>
          </w:tcPr>
          <w:p w14:paraId="0DFAE562" w14:textId="1076456B" w:rsidR="00941E2F" w:rsidRPr="006D409C" w:rsidRDefault="00FF0DB6" w:rsidP="00941E2F">
            <w:pPr>
              <w:rPr>
                <w:rFonts w:ascii="Arial" w:hAnsi="Arial" w:cs="Arial"/>
                <w:sz w:val="18"/>
                <w:szCs w:val="18"/>
                <w:lang w:val="es-ES"/>
              </w:rPr>
            </w:pPr>
            <w:r>
              <w:rPr>
                <w:rFonts w:ascii="Arial" w:hAnsi="Arial" w:cs="Arial"/>
                <w:sz w:val="18"/>
                <w:szCs w:val="18"/>
                <w:lang w:val="es-ES"/>
              </w:rPr>
              <w:t>70,4</w:t>
            </w:r>
            <w:r w:rsidR="005579E5">
              <w:rPr>
                <w:rFonts w:ascii="Arial" w:hAnsi="Arial" w:cs="Arial"/>
                <w:sz w:val="18"/>
                <w:szCs w:val="18"/>
                <w:lang w:val="es-ES"/>
              </w:rPr>
              <w:t>%</w:t>
            </w:r>
          </w:p>
        </w:tc>
        <w:tc>
          <w:tcPr>
            <w:tcW w:w="617" w:type="dxa"/>
          </w:tcPr>
          <w:p w14:paraId="6D3E8FF4" w14:textId="77777777" w:rsidR="00941E2F" w:rsidRPr="005579E5" w:rsidRDefault="00941E2F" w:rsidP="00941E2F">
            <w:pPr>
              <w:rPr>
                <w:rFonts w:ascii="Arial" w:hAnsi="Arial" w:cs="Arial"/>
                <w:sz w:val="18"/>
                <w:szCs w:val="18"/>
                <w:lang w:val="es-ES"/>
              </w:rPr>
            </w:pPr>
          </w:p>
        </w:tc>
        <w:tc>
          <w:tcPr>
            <w:tcW w:w="617" w:type="dxa"/>
          </w:tcPr>
          <w:p w14:paraId="14257C0E" w14:textId="77777777" w:rsidR="00941E2F" w:rsidRPr="005579E5" w:rsidRDefault="00941E2F" w:rsidP="00941E2F">
            <w:pPr>
              <w:rPr>
                <w:rFonts w:ascii="Arial" w:hAnsi="Arial" w:cs="Arial"/>
                <w:sz w:val="18"/>
                <w:szCs w:val="18"/>
                <w:lang w:val="es-ES"/>
              </w:rPr>
            </w:pPr>
          </w:p>
        </w:tc>
        <w:tc>
          <w:tcPr>
            <w:tcW w:w="617" w:type="dxa"/>
          </w:tcPr>
          <w:p w14:paraId="7D14D4A9" w14:textId="77777777" w:rsidR="00941E2F" w:rsidRPr="005579E5" w:rsidRDefault="00941E2F" w:rsidP="00941E2F">
            <w:pPr>
              <w:rPr>
                <w:rFonts w:ascii="Arial" w:hAnsi="Arial" w:cs="Arial"/>
                <w:sz w:val="18"/>
                <w:szCs w:val="18"/>
                <w:lang w:val="es-ES"/>
              </w:rPr>
            </w:pPr>
          </w:p>
        </w:tc>
        <w:tc>
          <w:tcPr>
            <w:tcW w:w="617" w:type="dxa"/>
          </w:tcPr>
          <w:p w14:paraId="232F64B6" w14:textId="77777777" w:rsidR="00941E2F" w:rsidRPr="005579E5" w:rsidRDefault="00941E2F" w:rsidP="00941E2F">
            <w:pPr>
              <w:rPr>
                <w:rFonts w:ascii="Arial" w:hAnsi="Arial" w:cs="Arial"/>
                <w:sz w:val="18"/>
                <w:szCs w:val="18"/>
                <w:lang w:val="es-ES"/>
              </w:rPr>
            </w:pPr>
          </w:p>
        </w:tc>
        <w:tc>
          <w:tcPr>
            <w:tcW w:w="617" w:type="dxa"/>
          </w:tcPr>
          <w:p w14:paraId="6C3763C5" w14:textId="77777777" w:rsidR="00941E2F" w:rsidRPr="005579E5" w:rsidRDefault="00941E2F" w:rsidP="00941E2F">
            <w:pPr>
              <w:rPr>
                <w:rFonts w:ascii="Arial" w:hAnsi="Arial" w:cs="Arial"/>
                <w:sz w:val="18"/>
                <w:szCs w:val="18"/>
                <w:lang w:val="es-ES"/>
              </w:rPr>
            </w:pPr>
          </w:p>
        </w:tc>
        <w:tc>
          <w:tcPr>
            <w:tcW w:w="617" w:type="dxa"/>
          </w:tcPr>
          <w:p w14:paraId="23FB6B9D" w14:textId="77777777" w:rsidR="00941E2F" w:rsidRPr="005579E5" w:rsidRDefault="00941E2F" w:rsidP="00941E2F">
            <w:pPr>
              <w:rPr>
                <w:rFonts w:ascii="Arial" w:hAnsi="Arial" w:cs="Arial"/>
                <w:sz w:val="18"/>
                <w:szCs w:val="18"/>
                <w:lang w:val="es-ES"/>
              </w:rPr>
            </w:pPr>
          </w:p>
        </w:tc>
        <w:tc>
          <w:tcPr>
            <w:tcW w:w="617" w:type="dxa"/>
          </w:tcPr>
          <w:p w14:paraId="7F5C2100" w14:textId="77777777" w:rsidR="00941E2F" w:rsidRPr="005579E5" w:rsidRDefault="00941E2F" w:rsidP="00941E2F">
            <w:pPr>
              <w:rPr>
                <w:rFonts w:ascii="Arial" w:hAnsi="Arial" w:cs="Arial"/>
                <w:sz w:val="18"/>
                <w:szCs w:val="18"/>
                <w:lang w:val="es-ES"/>
              </w:rPr>
            </w:pPr>
          </w:p>
        </w:tc>
        <w:tc>
          <w:tcPr>
            <w:tcW w:w="617" w:type="dxa"/>
          </w:tcPr>
          <w:p w14:paraId="0C6AFB55" w14:textId="77777777" w:rsidR="00941E2F" w:rsidRPr="005579E5" w:rsidRDefault="00941E2F" w:rsidP="00941E2F">
            <w:pPr>
              <w:rPr>
                <w:rFonts w:ascii="Arial" w:hAnsi="Arial" w:cs="Arial"/>
                <w:sz w:val="18"/>
                <w:szCs w:val="18"/>
                <w:lang w:val="es-ES"/>
              </w:rPr>
            </w:pPr>
          </w:p>
        </w:tc>
        <w:tc>
          <w:tcPr>
            <w:tcW w:w="617" w:type="dxa"/>
          </w:tcPr>
          <w:p w14:paraId="7F38A8F1" w14:textId="77777777" w:rsidR="00941E2F" w:rsidRPr="005579E5" w:rsidRDefault="00941E2F" w:rsidP="00941E2F">
            <w:pPr>
              <w:rPr>
                <w:rFonts w:ascii="Arial" w:hAnsi="Arial" w:cs="Arial"/>
                <w:sz w:val="18"/>
                <w:szCs w:val="18"/>
                <w:lang w:val="es-ES"/>
              </w:rPr>
            </w:pPr>
          </w:p>
        </w:tc>
        <w:tc>
          <w:tcPr>
            <w:tcW w:w="677" w:type="dxa"/>
          </w:tcPr>
          <w:p w14:paraId="3BB6272D" w14:textId="77777777" w:rsidR="00941E2F" w:rsidRPr="005579E5" w:rsidRDefault="00941E2F" w:rsidP="00941E2F">
            <w:pPr>
              <w:rPr>
                <w:rFonts w:ascii="Arial" w:hAnsi="Arial" w:cs="Arial"/>
                <w:sz w:val="18"/>
                <w:szCs w:val="18"/>
                <w:lang w:val="es-ES"/>
              </w:rPr>
            </w:pPr>
          </w:p>
        </w:tc>
      </w:tr>
      <w:bookmarkEnd w:id="23"/>
    </w:tbl>
    <w:p w14:paraId="2FC5CACD" w14:textId="346319DD" w:rsidR="003A30E9" w:rsidRDefault="003A30E9" w:rsidP="003A30E9">
      <w:pPr>
        <w:rPr>
          <w:rFonts w:ascii="Arial" w:hAnsi="Arial" w:cs="Arial"/>
          <w:sz w:val="18"/>
          <w:szCs w:val="18"/>
          <w:lang w:val="es-ES"/>
        </w:rPr>
      </w:pPr>
    </w:p>
    <w:p w14:paraId="58E414C4" w14:textId="7285FA1B" w:rsidR="00D35F0B" w:rsidRDefault="00AF20EB" w:rsidP="00AF20EB">
      <w:pPr>
        <w:pStyle w:val="Paragraph"/>
        <w:numPr>
          <w:ilvl w:val="1"/>
          <w:numId w:val="2"/>
        </w:numPr>
        <w:tabs>
          <w:tab w:val="num" w:pos="720"/>
        </w:tabs>
        <w:autoSpaceDE w:val="0"/>
        <w:autoSpaceDN w:val="0"/>
        <w:adjustRightInd w:val="0"/>
        <w:spacing w:before="0"/>
        <w:ind w:left="720" w:hanging="720"/>
        <w:rPr>
          <w:rFonts w:ascii="Arial" w:hAnsi="Arial" w:cs="Arial"/>
          <w:sz w:val="22"/>
          <w:szCs w:val="22"/>
        </w:rPr>
      </w:pPr>
      <w:r w:rsidRPr="00AF20EB">
        <w:rPr>
          <w:rFonts w:ascii="Arial" w:hAnsi="Arial" w:cs="Arial"/>
          <w:sz w:val="22"/>
          <w:szCs w:val="22"/>
        </w:rPr>
        <w:t xml:space="preserve">El proyecto </w:t>
      </w:r>
      <w:r w:rsidR="00C82159">
        <w:rPr>
          <w:rFonts w:ascii="Arial" w:hAnsi="Arial" w:cs="Arial"/>
          <w:sz w:val="22"/>
          <w:szCs w:val="22"/>
        </w:rPr>
        <w:t xml:space="preserve">SE Progreso </w:t>
      </w:r>
      <w:r w:rsidRPr="00AF20EB">
        <w:rPr>
          <w:rFonts w:ascii="Arial" w:hAnsi="Arial" w:cs="Arial"/>
          <w:sz w:val="22"/>
          <w:szCs w:val="22"/>
        </w:rPr>
        <w:t xml:space="preserve">presenta </w:t>
      </w:r>
      <w:r w:rsidR="00A46CDD">
        <w:rPr>
          <w:rFonts w:ascii="Arial" w:hAnsi="Arial" w:cs="Arial"/>
          <w:sz w:val="22"/>
          <w:szCs w:val="22"/>
        </w:rPr>
        <w:t xml:space="preserve">alta </w:t>
      </w:r>
      <w:r w:rsidR="005C610C">
        <w:rPr>
          <w:rFonts w:ascii="Arial" w:hAnsi="Arial" w:cs="Arial"/>
          <w:sz w:val="22"/>
          <w:szCs w:val="22"/>
        </w:rPr>
        <w:t xml:space="preserve">rentabilidad </w:t>
      </w:r>
      <w:r w:rsidR="00372701">
        <w:rPr>
          <w:rFonts w:ascii="Arial" w:hAnsi="Arial" w:cs="Arial"/>
          <w:sz w:val="22"/>
          <w:szCs w:val="22"/>
        </w:rPr>
        <w:t>económica</w:t>
      </w:r>
      <w:r w:rsidR="00A46CDD">
        <w:rPr>
          <w:rFonts w:ascii="Arial" w:hAnsi="Arial" w:cs="Arial"/>
          <w:sz w:val="22"/>
          <w:szCs w:val="22"/>
        </w:rPr>
        <w:t>,</w:t>
      </w:r>
      <w:r w:rsidR="005C610C">
        <w:rPr>
          <w:rFonts w:ascii="Arial" w:hAnsi="Arial" w:cs="Arial"/>
          <w:sz w:val="22"/>
          <w:szCs w:val="22"/>
        </w:rPr>
        <w:t xml:space="preserve"> al cuantificar los beneficios espera</w:t>
      </w:r>
      <w:r w:rsidR="00C82159">
        <w:rPr>
          <w:rFonts w:ascii="Arial" w:hAnsi="Arial" w:cs="Arial"/>
          <w:sz w:val="22"/>
          <w:szCs w:val="22"/>
        </w:rPr>
        <w:t>d</w:t>
      </w:r>
      <w:r w:rsidR="005C610C">
        <w:rPr>
          <w:rFonts w:ascii="Arial" w:hAnsi="Arial" w:cs="Arial"/>
          <w:sz w:val="22"/>
          <w:szCs w:val="22"/>
        </w:rPr>
        <w:t xml:space="preserve">os </w:t>
      </w:r>
      <w:r w:rsidR="000C76CB">
        <w:rPr>
          <w:rFonts w:ascii="Arial" w:hAnsi="Arial" w:cs="Arial"/>
          <w:sz w:val="22"/>
          <w:szCs w:val="22"/>
        </w:rPr>
        <w:t xml:space="preserve">por las </w:t>
      </w:r>
      <w:r w:rsidR="00372701">
        <w:rPr>
          <w:rFonts w:ascii="Arial" w:hAnsi="Arial" w:cs="Arial"/>
          <w:sz w:val="22"/>
          <w:szCs w:val="22"/>
        </w:rPr>
        <w:t>ganancias</w:t>
      </w:r>
      <w:r w:rsidR="000C76CB">
        <w:rPr>
          <w:rFonts w:ascii="Arial" w:hAnsi="Arial" w:cs="Arial"/>
          <w:sz w:val="22"/>
          <w:szCs w:val="22"/>
        </w:rPr>
        <w:t xml:space="preserve"> en confiabilidad del sistema</w:t>
      </w:r>
      <w:r w:rsidR="00C82159">
        <w:rPr>
          <w:rFonts w:ascii="Arial" w:hAnsi="Arial" w:cs="Arial"/>
          <w:sz w:val="22"/>
          <w:szCs w:val="22"/>
        </w:rPr>
        <w:t>,</w:t>
      </w:r>
      <w:r w:rsidR="000C76CB">
        <w:rPr>
          <w:rFonts w:ascii="Arial" w:hAnsi="Arial" w:cs="Arial"/>
          <w:sz w:val="22"/>
          <w:szCs w:val="22"/>
        </w:rPr>
        <w:t xml:space="preserve"> al</w:t>
      </w:r>
      <w:r w:rsidR="00372701">
        <w:rPr>
          <w:rFonts w:ascii="Arial" w:hAnsi="Arial" w:cs="Arial"/>
          <w:sz w:val="22"/>
          <w:szCs w:val="22"/>
        </w:rPr>
        <w:t xml:space="preserve"> reducir</w:t>
      </w:r>
      <w:r w:rsidR="000C76CB">
        <w:rPr>
          <w:rFonts w:ascii="Arial" w:hAnsi="Arial" w:cs="Arial"/>
          <w:sz w:val="22"/>
          <w:szCs w:val="22"/>
        </w:rPr>
        <w:t xml:space="preserve"> </w:t>
      </w:r>
      <w:r w:rsidR="00372701">
        <w:rPr>
          <w:rFonts w:ascii="Arial" w:hAnsi="Arial" w:cs="Arial"/>
          <w:sz w:val="22"/>
          <w:szCs w:val="22"/>
        </w:rPr>
        <w:t xml:space="preserve">significativamente </w:t>
      </w:r>
      <w:r w:rsidR="000C76CB">
        <w:rPr>
          <w:rFonts w:ascii="Arial" w:hAnsi="Arial" w:cs="Arial"/>
          <w:sz w:val="22"/>
          <w:szCs w:val="22"/>
        </w:rPr>
        <w:t xml:space="preserve">el tiempo de racionamiento </w:t>
      </w:r>
      <w:r w:rsidR="00372701">
        <w:rPr>
          <w:rFonts w:ascii="Arial" w:hAnsi="Arial" w:cs="Arial"/>
          <w:sz w:val="22"/>
          <w:szCs w:val="22"/>
        </w:rPr>
        <w:t xml:space="preserve">que se padece actualmente.  El caso base </w:t>
      </w:r>
      <w:r w:rsidR="00443291">
        <w:rPr>
          <w:rFonts w:ascii="Arial" w:hAnsi="Arial" w:cs="Arial"/>
          <w:sz w:val="22"/>
          <w:szCs w:val="22"/>
        </w:rPr>
        <w:t xml:space="preserve">propuesto resulta en </w:t>
      </w:r>
      <w:r w:rsidR="00212851">
        <w:rPr>
          <w:rFonts w:ascii="Arial" w:hAnsi="Arial" w:cs="Arial"/>
          <w:sz w:val="22"/>
          <w:szCs w:val="22"/>
        </w:rPr>
        <w:t xml:space="preserve">un </w:t>
      </w:r>
      <w:r w:rsidR="00443291">
        <w:rPr>
          <w:rFonts w:ascii="Arial" w:hAnsi="Arial" w:cs="Arial"/>
          <w:sz w:val="22"/>
          <w:szCs w:val="22"/>
        </w:rPr>
        <w:t>Va</w:t>
      </w:r>
      <w:r w:rsidR="0019339E">
        <w:rPr>
          <w:rFonts w:ascii="Arial" w:hAnsi="Arial" w:cs="Arial"/>
          <w:sz w:val="22"/>
          <w:szCs w:val="22"/>
        </w:rPr>
        <w:t>l</w:t>
      </w:r>
      <w:r w:rsidR="00443291">
        <w:rPr>
          <w:rFonts w:ascii="Arial" w:hAnsi="Arial" w:cs="Arial"/>
          <w:sz w:val="22"/>
          <w:szCs w:val="22"/>
        </w:rPr>
        <w:t>or Presente Neto Económico de US$</w:t>
      </w:r>
      <w:r w:rsidR="00960852">
        <w:rPr>
          <w:rFonts w:ascii="Arial" w:hAnsi="Arial" w:cs="Arial"/>
          <w:sz w:val="22"/>
          <w:szCs w:val="22"/>
        </w:rPr>
        <w:t>18,6</w:t>
      </w:r>
      <w:r w:rsidR="00A46CDD">
        <w:rPr>
          <w:rFonts w:ascii="Arial" w:hAnsi="Arial" w:cs="Arial"/>
          <w:sz w:val="22"/>
          <w:szCs w:val="22"/>
        </w:rPr>
        <w:t xml:space="preserve"> </w:t>
      </w:r>
      <w:r w:rsidR="00443291">
        <w:rPr>
          <w:rFonts w:ascii="Arial" w:hAnsi="Arial" w:cs="Arial"/>
          <w:sz w:val="22"/>
          <w:szCs w:val="22"/>
        </w:rPr>
        <w:t xml:space="preserve">millones, </w:t>
      </w:r>
      <w:r w:rsidR="0019339E">
        <w:rPr>
          <w:rFonts w:ascii="Arial" w:hAnsi="Arial" w:cs="Arial"/>
          <w:sz w:val="22"/>
          <w:szCs w:val="22"/>
        </w:rPr>
        <w:t xml:space="preserve">lo que significa que </w:t>
      </w:r>
      <w:r w:rsidR="005024DF">
        <w:rPr>
          <w:rFonts w:ascii="Arial" w:hAnsi="Arial" w:cs="Arial"/>
          <w:sz w:val="22"/>
          <w:szCs w:val="22"/>
        </w:rPr>
        <w:t>al cuarto</w:t>
      </w:r>
      <w:r w:rsidR="00A46CDD">
        <w:rPr>
          <w:rFonts w:ascii="Arial" w:hAnsi="Arial" w:cs="Arial"/>
          <w:sz w:val="22"/>
          <w:szCs w:val="22"/>
        </w:rPr>
        <w:t xml:space="preserve"> </w:t>
      </w:r>
      <w:r w:rsidR="0019339E">
        <w:rPr>
          <w:rFonts w:ascii="Arial" w:hAnsi="Arial" w:cs="Arial"/>
          <w:sz w:val="22"/>
          <w:szCs w:val="22"/>
        </w:rPr>
        <w:t xml:space="preserve">año se recupera la inversión </w:t>
      </w:r>
      <w:r w:rsidR="00212851">
        <w:rPr>
          <w:rFonts w:ascii="Arial" w:hAnsi="Arial" w:cs="Arial"/>
          <w:sz w:val="22"/>
          <w:szCs w:val="22"/>
        </w:rPr>
        <w:t>realizada</w:t>
      </w:r>
      <w:r w:rsidR="0019339E">
        <w:rPr>
          <w:rFonts w:ascii="Arial" w:hAnsi="Arial" w:cs="Arial"/>
          <w:sz w:val="22"/>
          <w:szCs w:val="22"/>
        </w:rPr>
        <w:t>. La tasa i</w:t>
      </w:r>
      <w:r w:rsidR="00212851">
        <w:rPr>
          <w:rFonts w:ascii="Arial" w:hAnsi="Arial" w:cs="Arial"/>
          <w:sz w:val="22"/>
          <w:szCs w:val="22"/>
        </w:rPr>
        <w:t>n</w:t>
      </w:r>
      <w:r w:rsidR="0019339E">
        <w:rPr>
          <w:rFonts w:ascii="Arial" w:hAnsi="Arial" w:cs="Arial"/>
          <w:sz w:val="22"/>
          <w:szCs w:val="22"/>
        </w:rPr>
        <w:t xml:space="preserve">terna de retorno económico es de </w:t>
      </w:r>
      <w:r w:rsidR="00960852">
        <w:rPr>
          <w:rFonts w:ascii="Arial" w:hAnsi="Arial" w:cs="Arial"/>
          <w:sz w:val="22"/>
          <w:szCs w:val="22"/>
        </w:rPr>
        <w:t>70,4</w:t>
      </w:r>
      <w:r w:rsidR="0019339E">
        <w:rPr>
          <w:rFonts w:ascii="Arial" w:hAnsi="Arial" w:cs="Arial"/>
          <w:sz w:val="22"/>
          <w:szCs w:val="22"/>
        </w:rPr>
        <w:t>%.</w:t>
      </w:r>
    </w:p>
    <w:p w14:paraId="0DE14CE9" w14:textId="79870A8B" w:rsidR="00D35F0B" w:rsidRPr="00641B95" w:rsidRDefault="00641B95" w:rsidP="00E1642D">
      <w:pPr>
        <w:pStyle w:val="Paragraph"/>
        <w:numPr>
          <w:ilvl w:val="1"/>
          <w:numId w:val="2"/>
        </w:numPr>
        <w:tabs>
          <w:tab w:val="num" w:pos="720"/>
        </w:tabs>
        <w:autoSpaceDE w:val="0"/>
        <w:autoSpaceDN w:val="0"/>
        <w:adjustRightInd w:val="0"/>
        <w:spacing w:before="0"/>
        <w:ind w:left="720" w:hanging="720"/>
        <w:rPr>
          <w:rFonts w:ascii="Arial" w:hAnsi="Arial" w:cs="Arial"/>
          <w:sz w:val="18"/>
          <w:szCs w:val="18"/>
        </w:rPr>
      </w:pPr>
      <w:r w:rsidRPr="00641B95">
        <w:rPr>
          <w:rFonts w:ascii="Arial" w:hAnsi="Arial" w:cs="Arial"/>
          <w:sz w:val="22"/>
          <w:szCs w:val="22"/>
          <w:lang w:val="es-US"/>
        </w:rPr>
        <w:t xml:space="preserve">El análisis reconoce que el proyecto de la SE Progreso genera un beneficio </w:t>
      </w:r>
      <w:r w:rsidR="0029674F" w:rsidRPr="00641B95">
        <w:rPr>
          <w:rFonts w:ascii="Arial" w:hAnsi="Arial" w:cs="Arial"/>
          <w:sz w:val="22"/>
          <w:szCs w:val="22"/>
          <w:lang w:val="es-US"/>
        </w:rPr>
        <w:t>adicional</w:t>
      </w:r>
      <w:r w:rsidR="0029674F">
        <w:rPr>
          <w:rFonts w:ascii="Arial" w:hAnsi="Arial" w:cs="Arial"/>
          <w:sz w:val="22"/>
          <w:szCs w:val="22"/>
          <w:lang w:val="es-US"/>
        </w:rPr>
        <w:t xml:space="preserve">, </w:t>
      </w:r>
      <w:r w:rsidR="0029674F" w:rsidRPr="00641B95">
        <w:rPr>
          <w:rFonts w:ascii="Arial" w:hAnsi="Arial" w:cs="Arial"/>
          <w:sz w:val="22"/>
          <w:szCs w:val="22"/>
          <w:lang w:val="es-US"/>
        </w:rPr>
        <w:t>al</w:t>
      </w:r>
      <w:r w:rsidRPr="00641B95">
        <w:rPr>
          <w:rFonts w:ascii="Arial" w:hAnsi="Arial" w:cs="Arial"/>
          <w:sz w:val="22"/>
          <w:szCs w:val="22"/>
          <w:lang w:val="es-US"/>
        </w:rPr>
        <w:t xml:space="preserve"> hacer posible un mayor volumen de intercambios a través del Mercado Eléctrico Regional (MER). Este beneficio representaría mejores precios al mercado hondureño y eventual oportunidad de vender excedentes al MER. Sin embargo, el beneficio no se cuantifica en el análisis, al tener un valor muy variable, dependiendo de los cargos por generación de cada país del MER</w:t>
      </w:r>
      <w:r w:rsidR="0029674F">
        <w:rPr>
          <w:rFonts w:ascii="Arial" w:hAnsi="Arial" w:cs="Arial"/>
          <w:sz w:val="22"/>
          <w:szCs w:val="22"/>
          <w:lang w:val="es-US"/>
        </w:rPr>
        <w:t>,</w:t>
      </w:r>
      <w:r w:rsidRPr="00641B95">
        <w:rPr>
          <w:rFonts w:ascii="Arial" w:hAnsi="Arial" w:cs="Arial"/>
          <w:sz w:val="22"/>
          <w:szCs w:val="22"/>
          <w:lang w:val="es-US"/>
        </w:rPr>
        <w:t xml:space="preserve"> realizados en el mercado de oportunidad; y de los cargos por transmisión que se determinan en subasta.</w:t>
      </w:r>
    </w:p>
    <w:p w14:paraId="7B802881" w14:textId="0E45E9A6" w:rsidR="00117770" w:rsidRPr="00EA5FBC" w:rsidRDefault="00117770" w:rsidP="00EA5FBC">
      <w:pPr>
        <w:pStyle w:val="FirstHeading"/>
        <w:snapToGrid w:val="0"/>
        <w:ind w:left="720"/>
        <w:rPr>
          <w:rFonts w:ascii="Arial" w:hAnsi="Arial" w:cs="Arial"/>
          <w:sz w:val="22"/>
          <w:szCs w:val="22"/>
        </w:rPr>
      </w:pPr>
      <w:bookmarkStart w:id="25" w:name="_Toc483312825"/>
      <w:r w:rsidRPr="00117770">
        <w:rPr>
          <w:rFonts w:ascii="Arial" w:hAnsi="Arial" w:cs="Arial"/>
          <w:sz w:val="22"/>
          <w:szCs w:val="22"/>
        </w:rPr>
        <w:t>C.</w:t>
      </w:r>
      <w:r w:rsidRPr="00117770">
        <w:rPr>
          <w:rFonts w:ascii="Arial" w:hAnsi="Arial" w:cs="Arial"/>
          <w:sz w:val="22"/>
          <w:szCs w:val="22"/>
        </w:rPr>
        <w:tab/>
        <w:t>SE Toncontín</w:t>
      </w:r>
      <w:bookmarkEnd w:id="25"/>
      <w:r w:rsidR="007D1447">
        <w:rPr>
          <w:rFonts w:ascii="Arial" w:hAnsi="Arial" w:cs="Arial"/>
          <w:sz w:val="22"/>
          <w:szCs w:val="22"/>
        </w:rPr>
        <w:t xml:space="preserve"> </w:t>
      </w:r>
    </w:p>
    <w:tbl>
      <w:tblPr>
        <w:tblStyle w:val="TableGrid"/>
        <w:tblW w:w="8372" w:type="dxa"/>
        <w:tblLook w:val="04A0" w:firstRow="1" w:lastRow="0" w:firstColumn="1" w:lastColumn="0" w:noHBand="0" w:noVBand="1"/>
      </w:tblPr>
      <w:tblGrid>
        <w:gridCol w:w="1415"/>
        <w:gridCol w:w="727"/>
        <w:gridCol w:w="617"/>
        <w:gridCol w:w="617"/>
        <w:gridCol w:w="617"/>
        <w:gridCol w:w="617"/>
        <w:gridCol w:w="617"/>
        <w:gridCol w:w="617"/>
        <w:gridCol w:w="617"/>
        <w:gridCol w:w="617"/>
        <w:gridCol w:w="617"/>
        <w:gridCol w:w="677"/>
      </w:tblGrid>
      <w:tr w:rsidR="009D3056" w:rsidRPr="009029CD" w14:paraId="3A1AA53F" w14:textId="77777777" w:rsidTr="00EA5FBC">
        <w:tc>
          <w:tcPr>
            <w:tcW w:w="1525" w:type="dxa"/>
            <w:shd w:val="clear" w:color="auto" w:fill="D9D9D9" w:themeFill="background1" w:themeFillShade="D9"/>
            <w:vAlign w:val="center"/>
          </w:tcPr>
          <w:p w14:paraId="35F701E8" w14:textId="1B6508D4" w:rsidR="009D3056" w:rsidRPr="009029CD" w:rsidRDefault="008B5605" w:rsidP="009D3056">
            <w:pPr>
              <w:rPr>
                <w:rFonts w:ascii="Arial" w:hAnsi="Arial" w:cs="Arial"/>
                <w:b/>
                <w:sz w:val="18"/>
                <w:szCs w:val="18"/>
              </w:rPr>
            </w:pPr>
            <w:r>
              <w:rPr>
                <w:rFonts w:ascii="Arial" w:hAnsi="Arial" w:cs="Arial"/>
                <w:b/>
                <w:sz w:val="18"/>
                <w:szCs w:val="18"/>
              </w:rPr>
              <w:t xml:space="preserve">  </w:t>
            </w:r>
            <w:r w:rsidR="00EA5FBC">
              <w:rPr>
                <w:rFonts w:ascii="Arial" w:hAnsi="Arial" w:cs="Arial"/>
                <w:b/>
                <w:sz w:val="18"/>
                <w:szCs w:val="18"/>
              </w:rPr>
              <w:t>US$ millones</w:t>
            </w:r>
          </w:p>
        </w:tc>
        <w:tc>
          <w:tcPr>
            <w:tcW w:w="617" w:type="dxa"/>
            <w:shd w:val="clear" w:color="auto" w:fill="D9D9D9" w:themeFill="background1" w:themeFillShade="D9"/>
          </w:tcPr>
          <w:p w14:paraId="6010FABE" w14:textId="77777777" w:rsidR="009D3056" w:rsidRPr="006D409C" w:rsidRDefault="009D3056" w:rsidP="009D3056">
            <w:pPr>
              <w:rPr>
                <w:rFonts w:ascii="Arial" w:hAnsi="Arial" w:cs="Arial"/>
                <w:sz w:val="18"/>
                <w:szCs w:val="18"/>
                <w:lang w:val="es-ES"/>
              </w:rPr>
            </w:pPr>
            <w:r w:rsidRPr="006D409C">
              <w:rPr>
                <w:rFonts w:ascii="Arial" w:hAnsi="Arial" w:cs="Arial"/>
                <w:sz w:val="18"/>
                <w:szCs w:val="18"/>
              </w:rPr>
              <w:t>2017</w:t>
            </w:r>
          </w:p>
        </w:tc>
        <w:tc>
          <w:tcPr>
            <w:tcW w:w="617" w:type="dxa"/>
            <w:shd w:val="clear" w:color="auto" w:fill="D9D9D9" w:themeFill="background1" w:themeFillShade="D9"/>
          </w:tcPr>
          <w:p w14:paraId="06704696" w14:textId="77777777" w:rsidR="009D3056" w:rsidRPr="006D409C" w:rsidRDefault="009D3056" w:rsidP="009D3056">
            <w:pPr>
              <w:rPr>
                <w:rFonts w:ascii="Arial" w:hAnsi="Arial" w:cs="Arial"/>
                <w:sz w:val="18"/>
                <w:szCs w:val="18"/>
                <w:lang w:val="es-ES"/>
              </w:rPr>
            </w:pPr>
            <w:r w:rsidRPr="006D409C">
              <w:rPr>
                <w:rFonts w:ascii="Arial" w:hAnsi="Arial" w:cs="Arial"/>
                <w:sz w:val="18"/>
                <w:szCs w:val="18"/>
              </w:rPr>
              <w:t>2018</w:t>
            </w:r>
          </w:p>
        </w:tc>
        <w:tc>
          <w:tcPr>
            <w:tcW w:w="617" w:type="dxa"/>
            <w:shd w:val="clear" w:color="auto" w:fill="D9D9D9" w:themeFill="background1" w:themeFillShade="D9"/>
          </w:tcPr>
          <w:p w14:paraId="1C5089C3" w14:textId="77777777" w:rsidR="009D3056" w:rsidRPr="006D409C" w:rsidRDefault="009D3056" w:rsidP="009D3056">
            <w:pPr>
              <w:rPr>
                <w:rFonts w:ascii="Arial" w:hAnsi="Arial" w:cs="Arial"/>
                <w:sz w:val="18"/>
                <w:szCs w:val="18"/>
                <w:lang w:val="es-ES"/>
              </w:rPr>
            </w:pPr>
            <w:r w:rsidRPr="006D409C">
              <w:rPr>
                <w:rFonts w:ascii="Arial" w:hAnsi="Arial" w:cs="Arial"/>
                <w:sz w:val="18"/>
                <w:szCs w:val="18"/>
              </w:rPr>
              <w:t>2019</w:t>
            </w:r>
          </w:p>
        </w:tc>
        <w:tc>
          <w:tcPr>
            <w:tcW w:w="617" w:type="dxa"/>
            <w:shd w:val="clear" w:color="auto" w:fill="D9D9D9" w:themeFill="background1" w:themeFillShade="D9"/>
          </w:tcPr>
          <w:p w14:paraId="58C1CA31" w14:textId="77777777" w:rsidR="009D3056" w:rsidRPr="006D409C" w:rsidRDefault="009D3056" w:rsidP="009D3056">
            <w:pPr>
              <w:rPr>
                <w:rFonts w:ascii="Arial" w:hAnsi="Arial" w:cs="Arial"/>
                <w:sz w:val="18"/>
                <w:szCs w:val="18"/>
                <w:lang w:val="es-ES"/>
              </w:rPr>
            </w:pPr>
            <w:r w:rsidRPr="006D409C">
              <w:rPr>
                <w:rFonts w:ascii="Arial" w:hAnsi="Arial" w:cs="Arial"/>
                <w:sz w:val="18"/>
                <w:szCs w:val="18"/>
              </w:rPr>
              <w:t>2020</w:t>
            </w:r>
          </w:p>
        </w:tc>
        <w:tc>
          <w:tcPr>
            <w:tcW w:w="617" w:type="dxa"/>
            <w:shd w:val="clear" w:color="auto" w:fill="D9D9D9" w:themeFill="background1" w:themeFillShade="D9"/>
          </w:tcPr>
          <w:p w14:paraId="1D76972A" w14:textId="77777777" w:rsidR="009D3056" w:rsidRPr="006D409C" w:rsidRDefault="009D3056" w:rsidP="009D3056">
            <w:pPr>
              <w:rPr>
                <w:rFonts w:ascii="Arial" w:hAnsi="Arial" w:cs="Arial"/>
                <w:sz w:val="18"/>
                <w:szCs w:val="18"/>
                <w:lang w:val="es-ES"/>
              </w:rPr>
            </w:pPr>
            <w:r w:rsidRPr="006D409C">
              <w:rPr>
                <w:rFonts w:ascii="Arial" w:hAnsi="Arial" w:cs="Arial"/>
                <w:sz w:val="18"/>
                <w:szCs w:val="18"/>
              </w:rPr>
              <w:t>2021</w:t>
            </w:r>
          </w:p>
        </w:tc>
        <w:tc>
          <w:tcPr>
            <w:tcW w:w="617" w:type="dxa"/>
            <w:shd w:val="clear" w:color="auto" w:fill="D9D9D9" w:themeFill="background1" w:themeFillShade="D9"/>
          </w:tcPr>
          <w:p w14:paraId="6991E62B" w14:textId="77777777" w:rsidR="009D3056" w:rsidRPr="006D409C" w:rsidRDefault="009D3056" w:rsidP="009D3056">
            <w:pPr>
              <w:rPr>
                <w:rFonts w:ascii="Arial" w:hAnsi="Arial" w:cs="Arial"/>
                <w:sz w:val="18"/>
                <w:szCs w:val="18"/>
                <w:lang w:val="es-ES"/>
              </w:rPr>
            </w:pPr>
            <w:r w:rsidRPr="006D409C">
              <w:rPr>
                <w:rFonts w:ascii="Arial" w:hAnsi="Arial" w:cs="Arial"/>
                <w:sz w:val="18"/>
                <w:szCs w:val="18"/>
              </w:rPr>
              <w:t>2022</w:t>
            </w:r>
          </w:p>
        </w:tc>
        <w:tc>
          <w:tcPr>
            <w:tcW w:w="617" w:type="dxa"/>
            <w:shd w:val="clear" w:color="auto" w:fill="D9D9D9" w:themeFill="background1" w:themeFillShade="D9"/>
          </w:tcPr>
          <w:p w14:paraId="1D37FD81" w14:textId="77777777" w:rsidR="009D3056" w:rsidRPr="006D409C" w:rsidRDefault="009D3056" w:rsidP="009D3056">
            <w:pPr>
              <w:rPr>
                <w:rFonts w:ascii="Arial" w:hAnsi="Arial" w:cs="Arial"/>
                <w:sz w:val="18"/>
                <w:szCs w:val="18"/>
                <w:lang w:val="es-ES"/>
              </w:rPr>
            </w:pPr>
            <w:r w:rsidRPr="006D409C">
              <w:rPr>
                <w:rFonts w:ascii="Arial" w:hAnsi="Arial" w:cs="Arial"/>
                <w:sz w:val="18"/>
                <w:szCs w:val="18"/>
              </w:rPr>
              <w:t>2023</w:t>
            </w:r>
          </w:p>
        </w:tc>
        <w:tc>
          <w:tcPr>
            <w:tcW w:w="617" w:type="dxa"/>
            <w:shd w:val="clear" w:color="auto" w:fill="D9D9D9" w:themeFill="background1" w:themeFillShade="D9"/>
          </w:tcPr>
          <w:p w14:paraId="0804F756" w14:textId="77777777" w:rsidR="009D3056" w:rsidRPr="006D409C" w:rsidRDefault="009D3056" w:rsidP="009D3056">
            <w:pPr>
              <w:rPr>
                <w:rFonts w:ascii="Arial" w:hAnsi="Arial" w:cs="Arial"/>
                <w:sz w:val="18"/>
                <w:szCs w:val="18"/>
                <w:lang w:val="es-ES"/>
              </w:rPr>
            </w:pPr>
            <w:r w:rsidRPr="006D409C">
              <w:rPr>
                <w:rFonts w:ascii="Arial" w:hAnsi="Arial" w:cs="Arial"/>
                <w:sz w:val="18"/>
                <w:szCs w:val="18"/>
              </w:rPr>
              <w:t>2024</w:t>
            </w:r>
          </w:p>
        </w:tc>
        <w:tc>
          <w:tcPr>
            <w:tcW w:w="617" w:type="dxa"/>
            <w:shd w:val="clear" w:color="auto" w:fill="D9D9D9" w:themeFill="background1" w:themeFillShade="D9"/>
          </w:tcPr>
          <w:p w14:paraId="41915DEE" w14:textId="77777777" w:rsidR="009D3056" w:rsidRPr="006D409C" w:rsidRDefault="009D3056" w:rsidP="009D3056">
            <w:pPr>
              <w:rPr>
                <w:rFonts w:ascii="Arial" w:hAnsi="Arial" w:cs="Arial"/>
                <w:sz w:val="18"/>
                <w:szCs w:val="18"/>
                <w:lang w:val="es-ES"/>
              </w:rPr>
            </w:pPr>
            <w:r w:rsidRPr="006D409C">
              <w:rPr>
                <w:rFonts w:ascii="Arial" w:hAnsi="Arial" w:cs="Arial"/>
                <w:sz w:val="18"/>
                <w:szCs w:val="18"/>
              </w:rPr>
              <w:t>2025</w:t>
            </w:r>
          </w:p>
        </w:tc>
        <w:tc>
          <w:tcPr>
            <w:tcW w:w="617" w:type="dxa"/>
            <w:shd w:val="clear" w:color="auto" w:fill="D9D9D9" w:themeFill="background1" w:themeFillShade="D9"/>
          </w:tcPr>
          <w:p w14:paraId="00CD5C71" w14:textId="77777777" w:rsidR="009D3056" w:rsidRPr="006D409C" w:rsidRDefault="009D3056" w:rsidP="009D3056">
            <w:pPr>
              <w:rPr>
                <w:rFonts w:ascii="Arial" w:hAnsi="Arial" w:cs="Arial"/>
                <w:sz w:val="18"/>
                <w:szCs w:val="18"/>
                <w:lang w:val="es-ES"/>
              </w:rPr>
            </w:pPr>
            <w:r>
              <w:rPr>
                <w:rFonts w:ascii="Arial" w:hAnsi="Arial" w:cs="Arial"/>
                <w:sz w:val="18"/>
                <w:szCs w:val="18"/>
              </w:rPr>
              <w:t>2026</w:t>
            </w:r>
          </w:p>
        </w:tc>
        <w:tc>
          <w:tcPr>
            <w:tcW w:w="677" w:type="dxa"/>
            <w:shd w:val="clear" w:color="auto" w:fill="D9D9D9" w:themeFill="background1" w:themeFillShade="D9"/>
          </w:tcPr>
          <w:p w14:paraId="615FFA85" w14:textId="63640302" w:rsidR="009D3056" w:rsidRPr="006D409C" w:rsidRDefault="009D3056" w:rsidP="009D3056">
            <w:pPr>
              <w:rPr>
                <w:rFonts w:ascii="Arial" w:hAnsi="Arial" w:cs="Arial"/>
                <w:sz w:val="18"/>
                <w:szCs w:val="18"/>
                <w:lang w:val="es-ES"/>
              </w:rPr>
            </w:pPr>
            <w:r>
              <w:rPr>
                <w:rFonts w:ascii="Arial" w:hAnsi="Arial" w:cs="Arial"/>
                <w:sz w:val="18"/>
                <w:szCs w:val="18"/>
              </w:rPr>
              <w:t>2027</w:t>
            </w:r>
            <w:r w:rsidR="00F509DB">
              <w:rPr>
                <w:rFonts w:ascii="Arial" w:hAnsi="Arial" w:cs="Arial"/>
                <w:sz w:val="18"/>
                <w:szCs w:val="18"/>
              </w:rPr>
              <w:t>-20</w:t>
            </w:r>
            <w:r w:rsidR="007D1447">
              <w:rPr>
                <w:rFonts w:ascii="Arial" w:hAnsi="Arial" w:cs="Arial"/>
                <w:sz w:val="18"/>
                <w:szCs w:val="18"/>
              </w:rPr>
              <w:t>3</w:t>
            </w:r>
            <w:r w:rsidR="00F509DB">
              <w:rPr>
                <w:rFonts w:ascii="Arial" w:hAnsi="Arial" w:cs="Arial"/>
                <w:sz w:val="18"/>
                <w:szCs w:val="18"/>
              </w:rPr>
              <w:t>6</w:t>
            </w:r>
          </w:p>
        </w:tc>
      </w:tr>
      <w:tr w:rsidR="009D3056" w:rsidRPr="009029CD" w14:paraId="54ED2762" w14:textId="77777777" w:rsidTr="006D2746">
        <w:tc>
          <w:tcPr>
            <w:tcW w:w="1525" w:type="dxa"/>
          </w:tcPr>
          <w:p w14:paraId="2B423A87" w14:textId="77777777" w:rsidR="009D3056" w:rsidRPr="009D3056" w:rsidRDefault="009D3056" w:rsidP="009D3056">
            <w:pPr>
              <w:ind w:left="-20"/>
              <w:rPr>
                <w:rFonts w:ascii="Arial" w:hAnsi="Arial" w:cs="Arial"/>
                <w:b/>
                <w:sz w:val="18"/>
                <w:szCs w:val="18"/>
              </w:rPr>
            </w:pPr>
            <w:r w:rsidRPr="009D3056">
              <w:rPr>
                <w:rFonts w:ascii="Arial" w:hAnsi="Arial" w:cs="Arial"/>
                <w:b/>
                <w:sz w:val="18"/>
                <w:szCs w:val="18"/>
              </w:rPr>
              <w:t>COSTOS</w:t>
            </w:r>
          </w:p>
        </w:tc>
        <w:tc>
          <w:tcPr>
            <w:tcW w:w="617" w:type="dxa"/>
          </w:tcPr>
          <w:p w14:paraId="26CC2250" w14:textId="77777777" w:rsidR="009D3056" w:rsidRPr="006D409C" w:rsidRDefault="009D3056" w:rsidP="009D3056">
            <w:pPr>
              <w:rPr>
                <w:rFonts w:ascii="Arial" w:hAnsi="Arial" w:cs="Arial"/>
                <w:sz w:val="18"/>
                <w:szCs w:val="18"/>
              </w:rPr>
            </w:pPr>
          </w:p>
        </w:tc>
        <w:tc>
          <w:tcPr>
            <w:tcW w:w="617" w:type="dxa"/>
          </w:tcPr>
          <w:p w14:paraId="004D25AB" w14:textId="77777777" w:rsidR="009D3056" w:rsidRPr="006D409C" w:rsidRDefault="009D3056" w:rsidP="009D3056">
            <w:pPr>
              <w:rPr>
                <w:rFonts w:ascii="Arial" w:hAnsi="Arial" w:cs="Arial"/>
                <w:sz w:val="18"/>
                <w:szCs w:val="18"/>
                <w:lang w:val="es-ES"/>
              </w:rPr>
            </w:pPr>
          </w:p>
        </w:tc>
        <w:tc>
          <w:tcPr>
            <w:tcW w:w="617" w:type="dxa"/>
          </w:tcPr>
          <w:p w14:paraId="2AAAB2FE" w14:textId="77777777" w:rsidR="009D3056" w:rsidRPr="006D409C" w:rsidRDefault="009D3056" w:rsidP="009D3056">
            <w:pPr>
              <w:rPr>
                <w:rFonts w:ascii="Arial" w:hAnsi="Arial" w:cs="Arial"/>
                <w:sz w:val="18"/>
                <w:szCs w:val="18"/>
                <w:lang w:val="es-ES"/>
              </w:rPr>
            </w:pPr>
          </w:p>
        </w:tc>
        <w:tc>
          <w:tcPr>
            <w:tcW w:w="617" w:type="dxa"/>
          </w:tcPr>
          <w:p w14:paraId="71A171A5" w14:textId="77777777" w:rsidR="009D3056" w:rsidRPr="006D409C" w:rsidRDefault="009D3056" w:rsidP="009D3056">
            <w:pPr>
              <w:rPr>
                <w:rFonts w:ascii="Arial" w:hAnsi="Arial" w:cs="Arial"/>
                <w:sz w:val="18"/>
                <w:szCs w:val="18"/>
                <w:lang w:val="es-ES"/>
              </w:rPr>
            </w:pPr>
          </w:p>
        </w:tc>
        <w:tc>
          <w:tcPr>
            <w:tcW w:w="617" w:type="dxa"/>
          </w:tcPr>
          <w:p w14:paraId="5991B815" w14:textId="77777777" w:rsidR="009D3056" w:rsidRPr="006D409C" w:rsidRDefault="009D3056" w:rsidP="009D3056">
            <w:pPr>
              <w:rPr>
                <w:rFonts w:ascii="Arial" w:hAnsi="Arial" w:cs="Arial"/>
                <w:sz w:val="18"/>
                <w:szCs w:val="18"/>
                <w:lang w:val="es-ES"/>
              </w:rPr>
            </w:pPr>
          </w:p>
        </w:tc>
        <w:tc>
          <w:tcPr>
            <w:tcW w:w="617" w:type="dxa"/>
          </w:tcPr>
          <w:p w14:paraId="464FE242" w14:textId="77777777" w:rsidR="009D3056" w:rsidRPr="006D409C" w:rsidRDefault="009D3056" w:rsidP="009D3056">
            <w:pPr>
              <w:rPr>
                <w:rFonts w:ascii="Arial" w:hAnsi="Arial" w:cs="Arial"/>
                <w:sz w:val="18"/>
                <w:szCs w:val="18"/>
                <w:lang w:val="es-ES"/>
              </w:rPr>
            </w:pPr>
          </w:p>
        </w:tc>
        <w:tc>
          <w:tcPr>
            <w:tcW w:w="617" w:type="dxa"/>
          </w:tcPr>
          <w:p w14:paraId="01A7D5A6" w14:textId="77777777" w:rsidR="009D3056" w:rsidRPr="006D409C" w:rsidRDefault="009D3056" w:rsidP="009D3056">
            <w:pPr>
              <w:rPr>
                <w:rFonts w:ascii="Arial" w:hAnsi="Arial" w:cs="Arial"/>
                <w:sz w:val="18"/>
                <w:szCs w:val="18"/>
                <w:lang w:val="es-ES"/>
              </w:rPr>
            </w:pPr>
          </w:p>
        </w:tc>
        <w:tc>
          <w:tcPr>
            <w:tcW w:w="617" w:type="dxa"/>
          </w:tcPr>
          <w:p w14:paraId="1EBBE25A" w14:textId="77777777" w:rsidR="009D3056" w:rsidRPr="006D409C" w:rsidRDefault="009D3056" w:rsidP="009D3056">
            <w:pPr>
              <w:rPr>
                <w:rFonts w:ascii="Arial" w:hAnsi="Arial" w:cs="Arial"/>
                <w:sz w:val="18"/>
                <w:szCs w:val="18"/>
                <w:lang w:val="es-ES"/>
              </w:rPr>
            </w:pPr>
          </w:p>
        </w:tc>
        <w:tc>
          <w:tcPr>
            <w:tcW w:w="617" w:type="dxa"/>
          </w:tcPr>
          <w:p w14:paraId="28E74E25" w14:textId="77777777" w:rsidR="009D3056" w:rsidRPr="006D409C" w:rsidRDefault="009D3056" w:rsidP="009D3056">
            <w:pPr>
              <w:rPr>
                <w:rFonts w:ascii="Arial" w:hAnsi="Arial" w:cs="Arial"/>
                <w:sz w:val="18"/>
                <w:szCs w:val="18"/>
                <w:lang w:val="es-ES"/>
              </w:rPr>
            </w:pPr>
          </w:p>
        </w:tc>
        <w:tc>
          <w:tcPr>
            <w:tcW w:w="617" w:type="dxa"/>
          </w:tcPr>
          <w:p w14:paraId="4CADB04E" w14:textId="77777777" w:rsidR="009D3056" w:rsidRPr="006D409C" w:rsidRDefault="009D3056" w:rsidP="009D3056">
            <w:pPr>
              <w:rPr>
                <w:rFonts w:ascii="Arial" w:hAnsi="Arial" w:cs="Arial"/>
                <w:sz w:val="18"/>
                <w:szCs w:val="18"/>
                <w:lang w:val="es-ES"/>
              </w:rPr>
            </w:pPr>
          </w:p>
        </w:tc>
        <w:tc>
          <w:tcPr>
            <w:tcW w:w="677" w:type="dxa"/>
          </w:tcPr>
          <w:p w14:paraId="3E516DC6" w14:textId="77777777" w:rsidR="009D3056" w:rsidRPr="006D409C" w:rsidRDefault="009D3056" w:rsidP="009D3056">
            <w:pPr>
              <w:rPr>
                <w:rFonts w:ascii="Arial" w:hAnsi="Arial" w:cs="Arial"/>
                <w:sz w:val="18"/>
                <w:szCs w:val="18"/>
                <w:lang w:val="es-ES"/>
              </w:rPr>
            </w:pPr>
          </w:p>
        </w:tc>
      </w:tr>
      <w:tr w:rsidR="009D3056" w:rsidRPr="009029CD" w14:paraId="50BD6E49" w14:textId="77777777" w:rsidTr="006D2746">
        <w:tc>
          <w:tcPr>
            <w:tcW w:w="1525" w:type="dxa"/>
          </w:tcPr>
          <w:p w14:paraId="290CCE5E" w14:textId="77777777" w:rsidR="009D3056" w:rsidRPr="009D3056" w:rsidRDefault="009D3056" w:rsidP="009D3056">
            <w:pPr>
              <w:ind w:left="-20"/>
              <w:rPr>
                <w:rFonts w:ascii="Arial" w:hAnsi="Arial" w:cs="Arial"/>
                <w:sz w:val="18"/>
                <w:szCs w:val="18"/>
                <w:lang w:val="es-ES"/>
              </w:rPr>
            </w:pPr>
            <w:r w:rsidRPr="009D3056">
              <w:rPr>
                <w:rFonts w:ascii="Arial" w:hAnsi="Arial" w:cs="Arial"/>
                <w:sz w:val="18"/>
                <w:szCs w:val="18"/>
              </w:rPr>
              <w:t>Inversión</w:t>
            </w:r>
          </w:p>
        </w:tc>
        <w:tc>
          <w:tcPr>
            <w:tcW w:w="617" w:type="dxa"/>
          </w:tcPr>
          <w:p w14:paraId="6B55B7F9" w14:textId="5C374A28" w:rsidR="009D3056" w:rsidRPr="006D409C" w:rsidRDefault="009D3056" w:rsidP="009D3056">
            <w:pPr>
              <w:rPr>
                <w:rFonts w:ascii="Arial" w:hAnsi="Arial" w:cs="Arial"/>
                <w:sz w:val="18"/>
                <w:szCs w:val="18"/>
                <w:lang w:val="es-ES"/>
              </w:rPr>
            </w:pPr>
            <w:r>
              <w:rPr>
                <w:rFonts w:ascii="Arial" w:hAnsi="Arial" w:cs="Arial"/>
                <w:sz w:val="18"/>
                <w:szCs w:val="18"/>
              </w:rPr>
              <w:t>2,50</w:t>
            </w:r>
          </w:p>
        </w:tc>
        <w:tc>
          <w:tcPr>
            <w:tcW w:w="617" w:type="dxa"/>
          </w:tcPr>
          <w:p w14:paraId="527FC4C4" w14:textId="77777777" w:rsidR="009D3056" w:rsidRPr="006D409C" w:rsidRDefault="009D3056" w:rsidP="009D3056">
            <w:pPr>
              <w:rPr>
                <w:rFonts w:ascii="Arial" w:hAnsi="Arial" w:cs="Arial"/>
                <w:sz w:val="18"/>
                <w:szCs w:val="18"/>
                <w:lang w:val="es-ES"/>
              </w:rPr>
            </w:pPr>
          </w:p>
        </w:tc>
        <w:tc>
          <w:tcPr>
            <w:tcW w:w="617" w:type="dxa"/>
          </w:tcPr>
          <w:p w14:paraId="0AAC700B" w14:textId="77777777" w:rsidR="009D3056" w:rsidRPr="006D409C" w:rsidRDefault="009D3056" w:rsidP="009D3056">
            <w:pPr>
              <w:rPr>
                <w:rFonts w:ascii="Arial" w:hAnsi="Arial" w:cs="Arial"/>
                <w:sz w:val="18"/>
                <w:szCs w:val="18"/>
                <w:lang w:val="es-ES"/>
              </w:rPr>
            </w:pPr>
          </w:p>
        </w:tc>
        <w:tc>
          <w:tcPr>
            <w:tcW w:w="617" w:type="dxa"/>
          </w:tcPr>
          <w:p w14:paraId="14530B7F" w14:textId="77777777" w:rsidR="009D3056" w:rsidRPr="006D409C" w:rsidRDefault="009D3056" w:rsidP="009D3056">
            <w:pPr>
              <w:rPr>
                <w:rFonts w:ascii="Arial" w:hAnsi="Arial" w:cs="Arial"/>
                <w:sz w:val="18"/>
                <w:szCs w:val="18"/>
                <w:lang w:val="es-ES"/>
              </w:rPr>
            </w:pPr>
          </w:p>
        </w:tc>
        <w:tc>
          <w:tcPr>
            <w:tcW w:w="617" w:type="dxa"/>
          </w:tcPr>
          <w:p w14:paraId="50ECD523" w14:textId="77777777" w:rsidR="009D3056" w:rsidRPr="006D409C" w:rsidRDefault="009D3056" w:rsidP="009D3056">
            <w:pPr>
              <w:rPr>
                <w:rFonts w:ascii="Arial" w:hAnsi="Arial" w:cs="Arial"/>
                <w:sz w:val="18"/>
                <w:szCs w:val="18"/>
                <w:lang w:val="es-ES"/>
              </w:rPr>
            </w:pPr>
          </w:p>
        </w:tc>
        <w:tc>
          <w:tcPr>
            <w:tcW w:w="617" w:type="dxa"/>
          </w:tcPr>
          <w:p w14:paraId="28B97CED" w14:textId="77777777" w:rsidR="009D3056" w:rsidRPr="006D409C" w:rsidRDefault="009D3056" w:rsidP="009D3056">
            <w:pPr>
              <w:rPr>
                <w:rFonts w:ascii="Arial" w:hAnsi="Arial" w:cs="Arial"/>
                <w:sz w:val="18"/>
                <w:szCs w:val="18"/>
                <w:lang w:val="es-ES"/>
              </w:rPr>
            </w:pPr>
          </w:p>
        </w:tc>
        <w:tc>
          <w:tcPr>
            <w:tcW w:w="617" w:type="dxa"/>
          </w:tcPr>
          <w:p w14:paraId="6EFA6870" w14:textId="77777777" w:rsidR="009D3056" w:rsidRPr="006D409C" w:rsidRDefault="009D3056" w:rsidP="009D3056">
            <w:pPr>
              <w:rPr>
                <w:rFonts w:ascii="Arial" w:hAnsi="Arial" w:cs="Arial"/>
                <w:sz w:val="18"/>
                <w:szCs w:val="18"/>
                <w:lang w:val="es-ES"/>
              </w:rPr>
            </w:pPr>
          </w:p>
        </w:tc>
        <w:tc>
          <w:tcPr>
            <w:tcW w:w="617" w:type="dxa"/>
          </w:tcPr>
          <w:p w14:paraId="17857073" w14:textId="77777777" w:rsidR="009D3056" w:rsidRPr="006D409C" w:rsidRDefault="009D3056" w:rsidP="009D3056">
            <w:pPr>
              <w:rPr>
                <w:rFonts w:ascii="Arial" w:hAnsi="Arial" w:cs="Arial"/>
                <w:sz w:val="18"/>
                <w:szCs w:val="18"/>
                <w:lang w:val="es-ES"/>
              </w:rPr>
            </w:pPr>
          </w:p>
        </w:tc>
        <w:tc>
          <w:tcPr>
            <w:tcW w:w="617" w:type="dxa"/>
          </w:tcPr>
          <w:p w14:paraId="7537A4A5" w14:textId="77777777" w:rsidR="009D3056" w:rsidRPr="006D409C" w:rsidRDefault="009D3056" w:rsidP="009D3056">
            <w:pPr>
              <w:rPr>
                <w:rFonts w:ascii="Arial" w:hAnsi="Arial" w:cs="Arial"/>
                <w:sz w:val="18"/>
                <w:szCs w:val="18"/>
                <w:lang w:val="es-ES"/>
              </w:rPr>
            </w:pPr>
          </w:p>
        </w:tc>
        <w:tc>
          <w:tcPr>
            <w:tcW w:w="617" w:type="dxa"/>
          </w:tcPr>
          <w:p w14:paraId="72B448F9" w14:textId="77777777" w:rsidR="009D3056" w:rsidRPr="006D409C" w:rsidRDefault="009D3056" w:rsidP="009D3056">
            <w:pPr>
              <w:rPr>
                <w:rFonts w:ascii="Arial" w:hAnsi="Arial" w:cs="Arial"/>
                <w:sz w:val="18"/>
                <w:szCs w:val="18"/>
                <w:lang w:val="es-ES"/>
              </w:rPr>
            </w:pPr>
          </w:p>
        </w:tc>
        <w:tc>
          <w:tcPr>
            <w:tcW w:w="677" w:type="dxa"/>
          </w:tcPr>
          <w:p w14:paraId="09605C31" w14:textId="77777777" w:rsidR="009D3056" w:rsidRPr="006D409C" w:rsidRDefault="009D3056" w:rsidP="009D3056">
            <w:pPr>
              <w:rPr>
                <w:rFonts w:ascii="Arial" w:hAnsi="Arial" w:cs="Arial"/>
                <w:sz w:val="18"/>
                <w:szCs w:val="18"/>
                <w:lang w:val="es-ES"/>
              </w:rPr>
            </w:pPr>
          </w:p>
        </w:tc>
      </w:tr>
      <w:tr w:rsidR="00B632D8" w:rsidRPr="009029CD" w14:paraId="694185C2" w14:textId="77777777" w:rsidTr="006D2746">
        <w:tc>
          <w:tcPr>
            <w:tcW w:w="1525" w:type="dxa"/>
          </w:tcPr>
          <w:p w14:paraId="4EB7ACDD" w14:textId="77777777" w:rsidR="00B632D8" w:rsidRPr="006D409C" w:rsidRDefault="00B632D8" w:rsidP="00B632D8">
            <w:pPr>
              <w:ind w:left="-20"/>
              <w:rPr>
                <w:rFonts w:ascii="Arial" w:hAnsi="Arial" w:cs="Arial"/>
                <w:sz w:val="18"/>
                <w:szCs w:val="18"/>
                <w:lang w:val="es-ES"/>
              </w:rPr>
            </w:pPr>
            <w:r w:rsidRPr="006D409C">
              <w:rPr>
                <w:rFonts w:ascii="Arial" w:hAnsi="Arial" w:cs="Arial"/>
                <w:sz w:val="18"/>
                <w:szCs w:val="18"/>
                <w:lang w:val="es-ES"/>
              </w:rPr>
              <w:t>O&amp;M</w:t>
            </w:r>
          </w:p>
        </w:tc>
        <w:tc>
          <w:tcPr>
            <w:tcW w:w="617" w:type="dxa"/>
          </w:tcPr>
          <w:p w14:paraId="776F891A" w14:textId="77777777" w:rsidR="00B632D8" w:rsidRPr="006D409C" w:rsidRDefault="00B632D8" w:rsidP="00B632D8">
            <w:pPr>
              <w:rPr>
                <w:rFonts w:ascii="Arial" w:hAnsi="Arial" w:cs="Arial"/>
                <w:sz w:val="18"/>
                <w:szCs w:val="18"/>
                <w:lang w:val="es-ES"/>
              </w:rPr>
            </w:pPr>
          </w:p>
        </w:tc>
        <w:tc>
          <w:tcPr>
            <w:tcW w:w="617" w:type="dxa"/>
          </w:tcPr>
          <w:p w14:paraId="0CEB9D17" w14:textId="5746DC39" w:rsidR="00B632D8" w:rsidRPr="00215105" w:rsidRDefault="00B632D8" w:rsidP="00B632D8">
            <w:pPr>
              <w:rPr>
                <w:rFonts w:ascii="Arial" w:hAnsi="Arial" w:cs="Arial"/>
                <w:sz w:val="18"/>
                <w:szCs w:val="18"/>
                <w:lang w:val="es-ES"/>
              </w:rPr>
            </w:pPr>
            <w:r w:rsidRPr="00215105">
              <w:rPr>
                <w:rFonts w:ascii="Arial" w:hAnsi="Arial" w:cs="Arial"/>
                <w:sz w:val="18"/>
                <w:szCs w:val="18"/>
                <w:lang w:val="es-ES"/>
              </w:rPr>
              <w:t>0</w:t>
            </w:r>
            <w:r w:rsidR="00941E2F" w:rsidRPr="00215105">
              <w:rPr>
                <w:rFonts w:ascii="Arial" w:hAnsi="Arial" w:cs="Arial"/>
                <w:sz w:val="18"/>
                <w:szCs w:val="18"/>
                <w:lang w:val="es-ES"/>
              </w:rPr>
              <w:t>,</w:t>
            </w:r>
            <w:r w:rsidRPr="00215105">
              <w:rPr>
                <w:rFonts w:ascii="Arial" w:hAnsi="Arial" w:cs="Arial"/>
                <w:sz w:val="18"/>
                <w:szCs w:val="18"/>
                <w:lang w:val="es-ES"/>
              </w:rPr>
              <w:t>08</w:t>
            </w:r>
          </w:p>
        </w:tc>
        <w:tc>
          <w:tcPr>
            <w:tcW w:w="617" w:type="dxa"/>
          </w:tcPr>
          <w:p w14:paraId="45F62B89" w14:textId="5773DF47" w:rsidR="00B632D8" w:rsidRPr="00215105" w:rsidRDefault="00B632D8" w:rsidP="00B632D8">
            <w:pPr>
              <w:rPr>
                <w:rFonts w:ascii="Arial" w:hAnsi="Arial" w:cs="Arial"/>
                <w:sz w:val="18"/>
                <w:szCs w:val="18"/>
                <w:lang w:val="es-ES"/>
              </w:rPr>
            </w:pPr>
            <w:r w:rsidRPr="00215105">
              <w:rPr>
                <w:rFonts w:ascii="Arial" w:hAnsi="Arial" w:cs="Arial"/>
                <w:sz w:val="18"/>
                <w:szCs w:val="18"/>
                <w:lang w:val="es-ES"/>
              </w:rPr>
              <w:t>0</w:t>
            </w:r>
            <w:r w:rsidR="00941E2F" w:rsidRPr="00215105">
              <w:rPr>
                <w:rFonts w:ascii="Arial" w:hAnsi="Arial" w:cs="Arial"/>
                <w:sz w:val="18"/>
                <w:szCs w:val="18"/>
                <w:lang w:val="es-ES"/>
              </w:rPr>
              <w:t>,</w:t>
            </w:r>
            <w:r w:rsidRPr="00215105">
              <w:rPr>
                <w:rFonts w:ascii="Arial" w:hAnsi="Arial" w:cs="Arial"/>
                <w:sz w:val="18"/>
                <w:szCs w:val="18"/>
                <w:lang w:val="es-ES"/>
              </w:rPr>
              <w:t>08</w:t>
            </w:r>
          </w:p>
        </w:tc>
        <w:tc>
          <w:tcPr>
            <w:tcW w:w="617" w:type="dxa"/>
          </w:tcPr>
          <w:p w14:paraId="0FF0F8BF" w14:textId="0EF0B768" w:rsidR="00B632D8" w:rsidRPr="00215105" w:rsidRDefault="00B632D8" w:rsidP="00B632D8">
            <w:pPr>
              <w:rPr>
                <w:rFonts w:ascii="Arial" w:hAnsi="Arial" w:cs="Arial"/>
                <w:sz w:val="18"/>
                <w:szCs w:val="18"/>
                <w:lang w:val="es-ES"/>
              </w:rPr>
            </w:pPr>
            <w:r w:rsidRPr="00215105">
              <w:rPr>
                <w:rFonts w:ascii="Arial" w:hAnsi="Arial" w:cs="Arial"/>
                <w:sz w:val="18"/>
                <w:szCs w:val="18"/>
                <w:lang w:val="es-ES"/>
              </w:rPr>
              <w:t>0</w:t>
            </w:r>
            <w:r w:rsidR="00941E2F" w:rsidRPr="00215105">
              <w:rPr>
                <w:rFonts w:ascii="Arial" w:hAnsi="Arial" w:cs="Arial"/>
                <w:sz w:val="18"/>
                <w:szCs w:val="18"/>
                <w:lang w:val="es-ES"/>
              </w:rPr>
              <w:t>,</w:t>
            </w:r>
            <w:r w:rsidRPr="00215105">
              <w:rPr>
                <w:rFonts w:ascii="Arial" w:hAnsi="Arial" w:cs="Arial"/>
                <w:sz w:val="18"/>
                <w:szCs w:val="18"/>
                <w:lang w:val="es-ES"/>
              </w:rPr>
              <w:t>08</w:t>
            </w:r>
          </w:p>
        </w:tc>
        <w:tc>
          <w:tcPr>
            <w:tcW w:w="617" w:type="dxa"/>
          </w:tcPr>
          <w:p w14:paraId="2A835FED" w14:textId="1FE7910B" w:rsidR="00B632D8" w:rsidRPr="00215105" w:rsidRDefault="00B632D8" w:rsidP="00B632D8">
            <w:pPr>
              <w:rPr>
                <w:rFonts w:ascii="Arial" w:hAnsi="Arial" w:cs="Arial"/>
                <w:sz w:val="18"/>
                <w:szCs w:val="18"/>
                <w:lang w:val="es-ES"/>
              </w:rPr>
            </w:pPr>
            <w:r w:rsidRPr="00215105">
              <w:rPr>
                <w:rFonts w:ascii="Arial" w:hAnsi="Arial" w:cs="Arial"/>
                <w:sz w:val="18"/>
                <w:szCs w:val="18"/>
                <w:lang w:val="es-ES"/>
              </w:rPr>
              <w:t>0</w:t>
            </w:r>
            <w:r w:rsidR="00941E2F" w:rsidRPr="00215105">
              <w:rPr>
                <w:rFonts w:ascii="Arial" w:hAnsi="Arial" w:cs="Arial"/>
                <w:sz w:val="18"/>
                <w:szCs w:val="18"/>
                <w:lang w:val="es-ES"/>
              </w:rPr>
              <w:t>,</w:t>
            </w:r>
            <w:r w:rsidRPr="00215105">
              <w:rPr>
                <w:rFonts w:ascii="Arial" w:hAnsi="Arial" w:cs="Arial"/>
                <w:sz w:val="18"/>
                <w:szCs w:val="18"/>
                <w:lang w:val="es-ES"/>
              </w:rPr>
              <w:t>08</w:t>
            </w:r>
          </w:p>
        </w:tc>
        <w:tc>
          <w:tcPr>
            <w:tcW w:w="617" w:type="dxa"/>
          </w:tcPr>
          <w:p w14:paraId="0D03C4D8" w14:textId="3322399E" w:rsidR="00B632D8" w:rsidRPr="00215105" w:rsidRDefault="00B632D8" w:rsidP="00B632D8">
            <w:pPr>
              <w:rPr>
                <w:rFonts w:ascii="Arial" w:hAnsi="Arial" w:cs="Arial"/>
                <w:sz w:val="18"/>
                <w:szCs w:val="18"/>
                <w:lang w:val="es-ES"/>
              </w:rPr>
            </w:pPr>
            <w:r w:rsidRPr="00215105">
              <w:rPr>
                <w:rFonts w:ascii="Arial" w:hAnsi="Arial" w:cs="Arial"/>
                <w:sz w:val="18"/>
                <w:szCs w:val="18"/>
                <w:lang w:val="es-ES"/>
              </w:rPr>
              <w:t>0</w:t>
            </w:r>
            <w:r w:rsidR="00941E2F" w:rsidRPr="00215105">
              <w:rPr>
                <w:rFonts w:ascii="Arial" w:hAnsi="Arial" w:cs="Arial"/>
                <w:sz w:val="18"/>
                <w:szCs w:val="18"/>
                <w:lang w:val="es-ES"/>
              </w:rPr>
              <w:t>,</w:t>
            </w:r>
            <w:r w:rsidRPr="00215105">
              <w:rPr>
                <w:rFonts w:ascii="Arial" w:hAnsi="Arial" w:cs="Arial"/>
                <w:sz w:val="18"/>
                <w:szCs w:val="18"/>
                <w:lang w:val="es-ES"/>
              </w:rPr>
              <w:t>08</w:t>
            </w:r>
          </w:p>
        </w:tc>
        <w:tc>
          <w:tcPr>
            <w:tcW w:w="617" w:type="dxa"/>
          </w:tcPr>
          <w:p w14:paraId="64A3395B" w14:textId="07ADADCD" w:rsidR="00B632D8" w:rsidRPr="00215105" w:rsidRDefault="00B632D8" w:rsidP="00B632D8">
            <w:pPr>
              <w:rPr>
                <w:rFonts w:ascii="Arial" w:hAnsi="Arial" w:cs="Arial"/>
                <w:sz w:val="18"/>
                <w:szCs w:val="18"/>
                <w:lang w:val="es-ES"/>
              </w:rPr>
            </w:pPr>
            <w:r w:rsidRPr="00215105">
              <w:rPr>
                <w:rFonts w:ascii="Arial" w:hAnsi="Arial" w:cs="Arial"/>
                <w:sz w:val="18"/>
                <w:szCs w:val="18"/>
                <w:lang w:val="es-ES"/>
              </w:rPr>
              <w:t>0</w:t>
            </w:r>
            <w:r w:rsidR="00941E2F" w:rsidRPr="00215105">
              <w:rPr>
                <w:rFonts w:ascii="Arial" w:hAnsi="Arial" w:cs="Arial"/>
                <w:sz w:val="18"/>
                <w:szCs w:val="18"/>
                <w:lang w:val="es-ES"/>
              </w:rPr>
              <w:t>,</w:t>
            </w:r>
            <w:r w:rsidRPr="00215105">
              <w:rPr>
                <w:rFonts w:ascii="Arial" w:hAnsi="Arial" w:cs="Arial"/>
                <w:sz w:val="18"/>
                <w:szCs w:val="18"/>
                <w:lang w:val="es-ES"/>
              </w:rPr>
              <w:t>08</w:t>
            </w:r>
          </w:p>
        </w:tc>
        <w:tc>
          <w:tcPr>
            <w:tcW w:w="617" w:type="dxa"/>
          </w:tcPr>
          <w:p w14:paraId="64DC3C50" w14:textId="28BAAA74" w:rsidR="00B632D8" w:rsidRPr="00215105" w:rsidRDefault="00B632D8" w:rsidP="00B632D8">
            <w:pPr>
              <w:rPr>
                <w:rFonts w:ascii="Arial" w:hAnsi="Arial" w:cs="Arial"/>
                <w:sz w:val="18"/>
                <w:szCs w:val="18"/>
                <w:lang w:val="es-ES"/>
              </w:rPr>
            </w:pPr>
            <w:r w:rsidRPr="00215105">
              <w:rPr>
                <w:rFonts w:ascii="Arial" w:hAnsi="Arial" w:cs="Arial"/>
                <w:sz w:val="18"/>
                <w:szCs w:val="18"/>
                <w:lang w:val="es-ES"/>
              </w:rPr>
              <w:t>0</w:t>
            </w:r>
            <w:r w:rsidR="00941E2F" w:rsidRPr="00215105">
              <w:rPr>
                <w:rFonts w:ascii="Arial" w:hAnsi="Arial" w:cs="Arial"/>
                <w:sz w:val="18"/>
                <w:szCs w:val="18"/>
                <w:lang w:val="es-ES"/>
              </w:rPr>
              <w:t>,</w:t>
            </w:r>
            <w:r w:rsidRPr="00215105">
              <w:rPr>
                <w:rFonts w:ascii="Arial" w:hAnsi="Arial" w:cs="Arial"/>
                <w:sz w:val="18"/>
                <w:szCs w:val="18"/>
                <w:lang w:val="es-ES"/>
              </w:rPr>
              <w:t>08</w:t>
            </w:r>
          </w:p>
        </w:tc>
        <w:tc>
          <w:tcPr>
            <w:tcW w:w="617" w:type="dxa"/>
          </w:tcPr>
          <w:p w14:paraId="7002A43F" w14:textId="5A6847BB" w:rsidR="00B632D8" w:rsidRPr="00215105" w:rsidRDefault="00B632D8" w:rsidP="00B632D8">
            <w:pPr>
              <w:rPr>
                <w:rFonts w:ascii="Arial" w:hAnsi="Arial" w:cs="Arial"/>
                <w:sz w:val="18"/>
                <w:szCs w:val="18"/>
                <w:lang w:val="es-ES"/>
              </w:rPr>
            </w:pPr>
            <w:r w:rsidRPr="00215105">
              <w:rPr>
                <w:rFonts w:ascii="Arial" w:hAnsi="Arial" w:cs="Arial"/>
                <w:sz w:val="18"/>
                <w:szCs w:val="18"/>
                <w:lang w:val="es-ES"/>
              </w:rPr>
              <w:t>0</w:t>
            </w:r>
            <w:r w:rsidR="00941E2F" w:rsidRPr="00215105">
              <w:rPr>
                <w:rFonts w:ascii="Arial" w:hAnsi="Arial" w:cs="Arial"/>
                <w:sz w:val="18"/>
                <w:szCs w:val="18"/>
                <w:lang w:val="es-ES"/>
              </w:rPr>
              <w:t>,</w:t>
            </w:r>
            <w:r w:rsidRPr="00215105">
              <w:rPr>
                <w:rFonts w:ascii="Arial" w:hAnsi="Arial" w:cs="Arial"/>
                <w:sz w:val="18"/>
                <w:szCs w:val="18"/>
                <w:lang w:val="es-ES"/>
              </w:rPr>
              <w:t>08</w:t>
            </w:r>
          </w:p>
        </w:tc>
        <w:tc>
          <w:tcPr>
            <w:tcW w:w="617" w:type="dxa"/>
          </w:tcPr>
          <w:p w14:paraId="30640743" w14:textId="3E67A99E" w:rsidR="00B632D8" w:rsidRPr="00215105" w:rsidRDefault="00B632D8" w:rsidP="00B632D8">
            <w:pPr>
              <w:rPr>
                <w:rFonts w:ascii="Arial" w:hAnsi="Arial" w:cs="Arial"/>
                <w:sz w:val="18"/>
                <w:szCs w:val="18"/>
                <w:lang w:val="es-ES"/>
              </w:rPr>
            </w:pPr>
            <w:r w:rsidRPr="00215105">
              <w:rPr>
                <w:rFonts w:ascii="Arial" w:hAnsi="Arial" w:cs="Arial"/>
                <w:sz w:val="18"/>
                <w:szCs w:val="18"/>
                <w:lang w:val="es-ES"/>
              </w:rPr>
              <w:t>0</w:t>
            </w:r>
            <w:r w:rsidR="00941E2F" w:rsidRPr="00215105">
              <w:rPr>
                <w:rFonts w:ascii="Arial" w:hAnsi="Arial" w:cs="Arial"/>
                <w:sz w:val="18"/>
                <w:szCs w:val="18"/>
                <w:lang w:val="es-ES"/>
              </w:rPr>
              <w:t>,</w:t>
            </w:r>
            <w:r w:rsidRPr="00215105">
              <w:rPr>
                <w:rFonts w:ascii="Arial" w:hAnsi="Arial" w:cs="Arial"/>
                <w:sz w:val="18"/>
                <w:szCs w:val="18"/>
                <w:lang w:val="es-ES"/>
              </w:rPr>
              <w:t>08</w:t>
            </w:r>
          </w:p>
        </w:tc>
        <w:tc>
          <w:tcPr>
            <w:tcW w:w="677" w:type="dxa"/>
          </w:tcPr>
          <w:p w14:paraId="08777148" w14:textId="2621C916" w:rsidR="00B632D8" w:rsidRPr="00215105" w:rsidRDefault="00B632D8" w:rsidP="00B632D8">
            <w:pPr>
              <w:rPr>
                <w:rFonts w:ascii="Arial" w:hAnsi="Arial" w:cs="Arial"/>
                <w:sz w:val="18"/>
                <w:szCs w:val="18"/>
                <w:lang w:val="es-ES"/>
              </w:rPr>
            </w:pPr>
            <w:r w:rsidRPr="00215105">
              <w:rPr>
                <w:rFonts w:ascii="Arial" w:hAnsi="Arial" w:cs="Arial"/>
                <w:sz w:val="18"/>
                <w:szCs w:val="18"/>
                <w:lang w:val="es-ES"/>
              </w:rPr>
              <w:t>0</w:t>
            </w:r>
            <w:r w:rsidR="00941E2F" w:rsidRPr="00215105">
              <w:rPr>
                <w:rFonts w:ascii="Arial" w:hAnsi="Arial" w:cs="Arial"/>
                <w:sz w:val="18"/>
                <w:szCs w:val="18"/>
                <w:lang w:val="es-ES"/>
              </w:rPr>
              <w:t>,</w:t>
            </w:r>
            <w:r w:rsidRPr="00215105">
              <w:rPr>
                <w:rFonts w:ascii="Arial" w:hAnsi="Arial" w:cs="Arial"/>
                <w:sz w:val="18"/>
                <w:szCs w:val="18"/>
                <w:lang w:val="es-ES"/>
              </w:rPr>
              <w:t>08</w:t>
            </w:r>
          </w:p>
        </w:tc>
      </w:tr>
      <w:tr w:rsidR="00215105" w:rsidRPr="009029CD" w14:paraId="3938F03F" w14:textId="77777777" w:rsidTr="006D2746">
        <w:tc>
          <w:tcPr>
            <w:tcW w:w="1525" w:type="dxa"/>
          </w:tcPr>
          <w:p w14:paraId="11B562EF" w14:textId="77777777" w:rsidR="00215105" w:rsidRPr="006D409C" w:rsidRDefault="00215105" w:rsidP="00215105">
            <w:pPr>
              <w:rPr>
                <w:rFonts w:ascii="Arial" w:hAnsi="Arial" w:cs="Arial"/>
                <w:sz w:val="18"/>
                <w:szCs w:val="18"/>
                <w:lang w:val="es-ES"/>
              </w:rPr>
            </w:pPr>
            <w:r>
              <w:rPr>
                <w:rFonts w:ascii="Arial" w:hAnsi="Arial" w:cs="Arial"/>
                <w:sz w:val="18"/>
                <w:szCs w:val="18"/>
                <w:lang w:val="es-ES"/>
              </w:rPr>
              <w:t>Total costos</w:t>
            </w:r>
          </w:p>
        </w:tc>
        <w:tc>
          <w:tcPr>
            <w:tcW w:w="617" w:type="dxa"/>
          </w:tcPr>
          <w:p w14:paraId="76A11D2C" w14:textId="41C07CC6" w:rsidR="00215105" w:rsidRPr="006D409C" w:rsidRDefault="00215105" w:rsidP="00215105">
            <w:pPr>
              <w:rPr>
                <w:rFonts w:ascii="Arial" w:hAnsi="Arial" w:cs="Arial"/>
                <w:sz w:val="18"/>
                <w:szCs w:val="18"/>
                <w:lang w:val="es-ES"/>
              </w:rPr>
            </w:pPr>
            <w:r>
              <w:rPr>
                <w:rFonts w:ascii="Arial" w:hAnsi="Arial" w:cs="Arial"/>
                <w:sz w:val="18"/>
                <w:szCs w:val="18"/>
                <w:lang w:val="es-ES"/>
              </w:rPr>
              <w:t>2,50</w:t>
            </w:r>
          </w:p>
        </w:tc>
        <w:tc>
          <w:tcPr>
            <w:tcW w:w="617" w:type="dxa"/>
          </w:tcPr>
          <w:p w14:paraId="1DE92396" w14:textId="18306A2A" w:rsidR="00215105" w:rsidRPr="00215105" w:rsidRDefault="00215105" w:rsidP="00215105">
            <w:pPr>
              <w:rPr>
                <w:rFonts w:ascii="Arial" w:hAnsi="Arial" w:cs="Arial"/>
                <w:sz w:val="18"/>
                <w:szCs w:val="18"/>
                <w:lang w:val="es-ES"/>
              </w:rPr>
            </w:pPr>
            <w:r w:rsidRPr="00215105">
              <w:rPr>
                <w:rFonts w:ascii="Arial" w:hAnsi="Arial" w:cs="Arial"/>
                <w:sz w:val="18"/>
                <w:szCs w:val="18"/>
                <w:lang w:val="es-ES"/>
              </w:rPr>
              <w:t>0,08</w:t>
            </w:r>
          </w:p>
        </w:tc>
        <w:tc>
          <w:tcPr>
            <w:tcW w:w="617" w:type="dxa"/>
          </w:tcPr>
          <w:p w14:paraId="1406FC0D" w14:textId="14657FD6" w:rsidR="00215105" w:rsidRPr="00215105" w:rsidRDefault="00215105" w:rsidP="00215105">
            <w:pPr>
              <w:rPr>
                <w:rFonts w:ascii="Arial" w:hAnsi="Arial" w:cs="Arial"/>
                <w:sz w:val="18"/>
                <w:szCs w:val="18"/>
                <w:lang w:val="es-ES"/>
              </w:rPr>
            </w:pPr>
            <w:r w:rsidRPr="00215105">
              <w:rPr>
                <w:rFonts w:ascii="Arial" w:hAnsi="Arial" w:cs="Arial"/>
                <w:sz w:val="18"/>
                <w:szCs w:val="18"/>
                <w:lang w:val="es-ES"/>
              </w:rPr>
              <w:t>0,08</w:t>
            </w:r>
          </w:p>
        </w:tc>
        <w:tc>
          <w:tcPr>
            <w:tcW w:w="617" w:type="dxa"/>
          </w:tcPr>
          <w:p w14:paraId="6B0027EE" w14:textId="14E5FF86" w:rsidR="00215105" w:rsidRPr="00215105" w:rsidRDefault="00215105" w:rsidP="00215105">
            <w:pPr>
              <w:rPr>
                <w:rFonts w:ascii="Arial" w:hAnsi="Arial" w:cs="Arial"/>
                <w:sz w:val="18"/>
                <w:szCs w:val="18"/>
                <w:lang w:val="es-ES"/>
              </w:rPr>
            </w:pPr>
            <w:r w:rsidRPr="00215105">
              <w:rPr>
                <w:rFonts w:ascii="Arial" w:hAnsi="Arial" w:cs="Arial"/>
                <w:sz w:val="18"/>
                <w:szCs w:val="18"/>
                <w:lang w:val="es-ES"/>
              </w:rPr>
              <w:t>0,08</w:t>
            </w:r>
          </w:p>
        </w:tc>
        <w:tc>
          <w:tcPr>
            <w:tcW w:w="617" w:type="dxa"/>
          </w:tcPr>
          <w:p w14:paraId="0008D1EC" w14:textId="568875CB" w:rsidR="00215105" w:rsidRPr="00215105" w:rsidRDefault="00215105" w:rsidP="00215105">
            <w:pPr>
              <w:rPr>
                <w:rFonts w:ascii="Arial" w:hAnsi="Arial" w:cs="Arial"/>
                <w:sz w:val="18"/>
                <w:szCs w:val="18"/>
                <w:lang w:val="es-ES"/>
              </w:rPr>
            </w:pPr>
            <w:r w:rsidRPr="00215105">
              <w:rPr>
                <w:rFonts w:ascii="Arial" w:hAnsi="Arial" w:cs="Arial"/>
                <w:sz w:val="18"/>
                <w:szCs w:val="18"/>
                <w:lang w:val="es-ES"/>
              </w:rPr>
              <w:t>0,08</w:t>
            </w:r>
          </w:p>
        </w:tc>
        <w:tc>
          <w:tcPr>
            <w:tcW w:w="617" w:type="dxa"/>
          </w:tcPr>
          <w:p w14:paraId="6D69F2F8" w14:textId="4C1BDCD7" w:rsidR="00215105" w:rsidRPr="00215105" w:rsidRDefault="00215105" w:rsidP="00215105">
            <w:pPr>
              <w:rPr>
                <w:rFonts w:ascii="Arial" w:hAnsi="Arial" w:cs="Arial"/>
                <w:sz w:val="18"/>
                <w:szCs w:val="18"/>
                <w:lang w:val="es-ES"/>
              </w:rPr>
            </w:pPr>
            <w:r w:rsidRPr="00215105">
              <w:rPr>
                <w:rFonts w:ascii="Arial" w:hAnsi="Arial" w:cs="Arial"/>
                <w:sz w:val="18"/>
                <w:szCs w:val="18"/>
                <w:lang w:val="es-ES"/>
              </w:rPr>
              <w:t>0,08</w:t>
            </w:r>
          </w:p>
        </w:tc>
        <w:tc>
          <w:tcPr>
            <w:tcW w:w="617" w:type="dxa"/>
          </w:tcPr>
          <w:p w14:paraId="149B02B1" w14:textId="63F3F3C1" w:rsidR="00215105" w:rsidRPr="00215105" w:rsidRDefault="00215105" w:rsidP="00215105">
            <w:pPr>
              <w:rPr>
                <w:rFonts w:ascii="Arial" w:hAnsi="Arial" w:cs="Arial"/>
                <w:sz w:val="18"/>
                <w:szCs w:val="18"/>
                <w:lang w:val="es-ES"/>
              </w:rPr>
            </w:pPr>
            <w:r w:rsidRPr="00215105">
              <w:rPr>
                <w:rFonts w:ascii="Arial" w:hAnsi="Arial" w:cs="Arial"/>
                <w:sz w:val="18"/>
                <w:szCs w:val="18"/>
                <w:lang w:val="es-ES"/>
              </w:rPr>
              <w:t>0,08</w:t>
            </w:r>
          </w:p>
        </w:tc>
        <w:tc>
          <w:tcPr>
            <w:tcW w:w="617" w:type="dxa"/>
          </w:tcPr>
          <w:p w14:paraId="19C30576" w14:textId="20DB102D" w:rsidR="00215105" w:rsidRPr="00215105" w:rsidRDefault="00215105" w:rsidP="00215105">
            <w:pPr>
              <w:rPr>
                <w:rFonts w:ascii="Arial" w:hAnsi="Arial" w:cs="Arial"/>
                <w:sz w:val="18"/>
                <w:szCs w:val="18"/>
                <w:lang w:val="es-ES"/>
              </w:rPr>
            </w:pPr>
            <w:r w:rsidRPr="00215105">
              <w:rPr>
                <w:rFonts w:ascii="Arial" w:hAnsi="Arial" w:cs="Arial"/>
                <w:sz w:val="18"/>
                <w:szCs w:val="18"/>
                <w:lang w:val="es-ES"/>
              </w:rPr>
              <w:t>0,08</w:t>
            </w:r>
          </w:p>
        </w:tc>
        <w:tc>
          <w:tcPr>
            <w:tcW w:w="617" w:type="dxa"/>
          </w:tcPr>
          <w:p w14:paraId="69B54C71" w14:textId="0F0858C1" w:rsidR="00215105" w:rsidRPr="00215105" w:rsidRDefault="00215105" w:rsidP="00215105">
            <w:pPr>
              <w:rPr>
                <w:rFonts w:ascii="Arial" w:hAnsi="Arial" w:cs="Arial"/>
                <w:sz w:val="18"/>
                <w:szCs w:val="18"/>
                <w:lang w:val="es-ES"/>
              </w:rPr>
            </w:pPr>
            <w:r w:rsidRPr="00215105">
              <w:rPr>
                <w:rFonts w:ascii="Arial" w:hAnsi="Arial" w:cs="Arial"/>
                <w:sz w:val="18"/>
                <w:szCs w:val="18"/>
                <w:lang w:val="es-ES"/>
              </w:rPr>
              <w:t>0,08</w:t>
            </w:r>
          </w:p>
        </w:tc>
        <w:tc>
          <w:tcPr>
            <w:tcW w:w="617" w:type="dxa"/>
          </w:tcPr>
          <w:p w14:paraId="6B427D50" w14:textId="4E41A5C0" w:rsidR="00215105" w:rsidRPr="00215105" w:rsidRDefault="00215105" w:rsidP="00215105">
            <w:pPr>
              <w:rPr>
                <w:rFonts w:ascii="Arial" w:hAnsi="Arial" w:cs="Arial"/>
                <w:sz w:val="18"/>
                <w:szCs w:val="18"/>
                <w:lang w:val="es-ES"/>
              </w:rPr>
            </w:pPr>
            <w:r w:rsidRPr="00215105">
              <w:rPr>
                <w:rFonts w:ascii="Arial" w:hAnsi="Arial" w:cs="Arial"/>
                <w:sz w:val="18"/>
                <w:szCs w:val="18"/>
                <w:lang w:val="es-ES"/>
              </w:rPr>
              <w:t>0,08</w:t>
            </w:r>
          </w:p>
        </w:tc>
        <w:tc>
          <w:tcPr>
            <w:tcW w:w="677" w:type="dxa"/>
          </w:tcPr>
          <w:p w14:paraId="70CE6656" w14:textId="47809516" w:rsidR="00215105" w:rsidRPr="00215105" w:rsidRDefault="00215105" w:rsidP="00215105">
            <w:pPr>
              <w:rPr>
                <w:rFonts w:ascii="Arial" w:hAnsi="Arial" w:cs="Arial"/>
                <w:sz w:val="18"/>
                <w:szCs w:val="18"/>
                <w:lang w:val="es-ES"/>
              </w:rPr>
            </w:pPr>
            <w:r w:rsidRPr="00215105">
              <w:rPr>
                <w:rFonts w:ascii="Arial" w:hAnsi="Arial" w:cs="Arial"/>
                <w:sz w:val="18"/>
                <w:szCs w:val="18"/>
                <w:lang w:val="es-ES"/>
              </w:rPr>
              <w:t>0,08</w:t>
            </w:r>
          </w:p>
        </w:tc>
      </w:tr>
      <w:tr w:rsidR="009D3056" w:rsidRPr="009029CD" w14:paraId="54926C0C" w14:textId="77777777" w:rsidTr="006D2746">
        <w:tc>
          <w:tcPr>
            <w:tcW w:w="1525" w:type="dxa"/>
            <w:tcBorders>
              <w:bottom w:val="single" w:sz="4" w:space="0" w:color="auto"/>
            </w:tcBorders>
          </w:tcPr>
          <w:p w14:paraId="5865763B" w14:textId="77777777" w:rsidR="009D3056" w:rsidRPr="006D409C" w:rsidRDefault="009D3056" w:rsidP="009D3056">
            <w:pPr>
              <w:rPr>
                <w:rFonts w:ascii="Arial" w:hAnsi="Arial" w:cs="Arial"/>
                <w:sz w:val="18"/>
                <w:szCs w:val="18"/>
                <w:lang w:val="es-ES"/>
              </w:rPr>
            </w:pPr>
          </w:p>
        </w:tc>
        <w:tc>
          <w:tcPr>
            <w:tcW w:w="617" w:type="dxa"/>
          </w:tcPr>
          <w:p w14:paraId="47758B00" w14:textId="77777777" w:rsidR="009D3056" w:rsidRPr="006D409C" w:rsidRDefault="009D3056" w:rsidP="009D3056">
            <w:pPr>
              <w:rPr>
                <w:rFonts w:ascii="Arial" w:hAnsi="Arial" w:cs="Arial"/>
                <w:sz w:val="18"/>
                <w:szCs w:val="18"/>
                <w:lang w:val="es-ES"/>
              </w:rPr>
            </w:pPr>
          </w:p>
        </w:tc>
        <w:tc>
          <w:tcPr>
            <w:tcW w:w="617" w:type="dxa"/>
          </w:tcPr>
          <w:p w14:paraId="0362697A" w14:textId="77777777" w:rsidR="009D3056" w:rsidRPr="00215105" w:rsidRDefault="009D3056" w:rsidP="009D3056">
            <w:pPr>
              <w:rPr>
                <w:rFonts w:ascii="Arial" w:hAnsi="Arial" w:cs="Arial"/>
                <w:sz w:val="18"/>
                <w:szCs w:val="18"/>
                <w:lang w:val="es-ES"/>
              </w:rPr>
            </w:pPr>
          </w:p>
        </w:tc>
        <w:tc>
          <w:tcPr>
            <w:tcW w:w="617" w:type="dxa"/>
          </w:tcPr>
          <w:p w14:paraId="71752510" w14:textId="77777777" w:rsidR="009D3056" w:rsidRPr="00215105" w:rsidRDefault="009D3056" w:rsidP="009D3056">
            <w:pPr>
              <w:rPr>
                <w:rFonts w:ascii="Arial" w:hAnsi="Arial" w:cs="Arial"/>
                <w:sz w:val="18"/>
                <w:szCs w:val="18"/>
                <w:lang w:val="es-ES"/>
              </w:rPr>
            </w:pPr>
          </w:p>
        </w:tc>
        <w:tc>
          <w:tcPr>
            <w:tcW w:w="617" w:type="dxa"/>
          </w:tcPr>
          <w:p w14:paraId="361BDC69" w14:textId="77777777" w:rsidR="009D3056" w:rsidRPr="00215105" w:rsidRDefault="009D3056" w:rsidP="009D3056">
            <w:pPr>
              <w:rPr>
                <w:rFonts w:ascii="Arial" w:hAnsi="Arial" w:cs="Arial"/>
                <w:sz w:val="18"/>
                <w:szCs w:val="18"/>
                <w:lang w:val="es-ES"/>
              </w:rPr>
            </w:pPr>
          </w:p>
        </w:tc>
        <w:tc>
          <w:tcPr>
            <w:tcW w:w="617" w:type="dxa"/>
          </w:tcPr>
          <w:p w14:paraId="65E37CE3" w14:textId="77777777" w:rsidR="009D3056" w:rsidRPr="00215105" w:rsidRDefault="009D3056" w:rsidP="009D3056">
            <w:pPr>
              <w:rPr>
                <w:rFonts w:ascii="Arial" w:hAnsi="Arial" w:cs="Arial"/>
                <w:sz w:val="18"/>
                <w:szCs w:val="18"/>
                <w:lang w:val="es-ES"/>
              </w:rPr>
            </w:pPr>
          </w:p>
        </w:tc>
        <w:tc>
          <w:tcPr>
            <w:tcW w:w="617" w:type="dxa"/>
          </w:tcPr>
          <w:p w14:paraId="633AFB03" w14:textId="77777777" w:rsidR="009D3056" w:rsidRPr="00215105" w:rsidRDefault="009D3056" w:rsidP="009D3056">
            <w:pPr>
              <w:rPr>
                <w:rFonts w:ascii="Arial" w:hAnsi="Arial" w:cs="Arial"/>
                <w:sz w:val="18"/>
                <w:szCs w:val="18"/>
                <w:lang w:val="es-ES"/>
              </w:rPr>
            </w:pPr>
          </w:p>
        </w:tc>
        <w:tc>
          <w:tcPr>
            <w:tcW w:w="617" w:type="dxa"/>
          </w:tcPr>
          <w:p w14:paraId="68BC872A" w14:textId="77777777" w:rsidR="009D3056" w:rsidRPr="00215105" w:rsidRDefault="009D3056" w:rsidP="009D3056">
            <w:pPr>
              <w:rPr>
                <w:rFonts w:ascii="Arial" w:hAnsi="Arial" w:cs="Arial"/>
                <w:sz w:val="18"/>
                <w:szCs w:val="18"/>
                <w:lang w:val="es-ES"/>
              </w:rPr>
            </w:pPr>
          </w:p>
        </w:tc>
        <w:tc>
          <w:tcPr>
            <w:tcW w:w="617" w:type="dxa"/>
          </w:tcPr>
          <w:p w14:paraId="239A57BC" w14:textId="77777777" w:rsidR="009D3056" w:rsidRPr="00215105" w:rsidRDefault="009D3056" w:rsidP="009D3056">
            <w:pPr>
              <w:rPr>
                <w:rFonts w:ascii="Arial" w:hAnsi="Arial" w:cs="Arial"/>
                <w:sz w:val="18"/>
                <w:szCs w:val="18"/>
                <w:lang w:val="es-ES"/>
              </w:rPr>
            </w:pPr>
          </w:p>
        </w:tc>
        <w:tc>
          <w:tcPr>
            <w:tcW w:w="617" w:type="dxa"/>
          </w:tcPr>
          <w:p w14:paraId="73249C56" w14:textId="77777777" w:rsidR="009D3056" w:rsidRPr="00215105" w:rsidRDefault="009D3056" w:rsidP="009D3056">
            <w:pPr>
              <w:rPr>
                <w:rFonts w:ascii="Arial" w:hAnsi="Arial" w:cs="Arial"/>
                <w:sz w:val="18"/>
                <w:szCs w:val="18"/>
                <w:lang w:val="es-ES"/>
              </w:rPr>
            </w:pPr>
          </w:p>
        </w:tc>
        <w:tc>
          <w:tcPr>
            <w:tcW w:w="617" w:type="dxa"/>
          </w:tcPr>
          <w:p w14:paraId="5E8E95A9" w14:textId="77777777" w:rsidR="009D3056" w:rsidRPr="00215105" w:rsidRDefault="009D3056" w:rsidP="009D3056">
            <w:pPr>
              <w:rPr>
                <w:rFonts w:ascii="Arial" w:hAnsi="Arial" w:cs="Arial"/>
                <w:sz w:val="18"/>
                <w:szCs w:val="18"/>
                <w:lang w:val="es-ES"/>
              </w:rPr>
            </w:pPr>
          </w:p>
        </w:tc>
        <w:tc>
          <w:tcPr>
            <w:tcW w:w="677" w:type="dxa"/>
          </w:tcPr>
          <w:p w14:paraId="1F106F81" w14:textId="77777777" w:rsidR="009D3056" w:rsidRPr="00215105" w:rsidRDefault="009D3056" w:rsidP="009D3056">
            <w:pPr>
              <w:rPr>
                <w:rFonts w:ascii="Arial" w:hAnsi="Arial" w:cs="Arial"/>
                <w:sz w:val="18"/>
                <w:szCs w:val="18"/>
                <w:lang w:val="es-ES"/>
              </w:rPr>
            </w:pPr>
          </w:p>
        </w:tc>
      </w:tr>
      <w:tr w:rsidR="009D3056" w:rsidRPr="009029CD" w14:paraId="753AD7FE" w14:textId="77777777" w:rsidTr="006D2746">
        <w:tc>
          <w:tcPr>
            <w:tcW w:w="1525" w:type="dxa"/>
          </w:tcPr>
          <w:p w14:paraId="1047ED71" w14:textId="77777777" w:rsidR="009D3056" w:rsidRPr="009D3056" w:rsidRDefault="009D3056" w:rsidP="009D3056">
            <w:pPr>
              <w:ind w:left="-20"/>
              <w:rPr>
                <w:rFonts w:ascii="Arial" w:hAnsi="Arial" w:cs="Arial"/>
                <w:b/>
                <w:sz w:val="18"/>
                <w:szCs w:val="18"/>
              </w:rPr>
            </w:pPr>
            <w:r w:rsidRPr="009D3056">
              <w:rPr>
                <w:rFonts w:ascii="Arial" w:hAnsi="Arial" w:cs="Arial"/>
                <w:b/>
                <w:sz w:val="18"/>
                <w:szCs w:val="18"/>
              </w:rPr>
              <w:t>BENEFICIOS</w:t>
            </w:r>
          </w:p>
        </w:tc>
        <w:tc>
          <w:tcPr>
            <w:tcW w:w="617" w:type="dxa"/>
          </w:tcPr>
          <w:p w14:paraId="326CBCCD" w14:textId="77777777" w:rsidR="009D3056" w:rsidRPr="006D409C" w:rsidRDefault="009D3056" w:rsidP="009D3056">
            <w:pPr>
              <w:rPr>
                <w:rFonts w:ascii="Arial" w:hAnsi="Arial" w:cs="Arial"/>
                <w:sz w:val="18"/>
                <w:szCs w:val="18"/>
                <w:lang w:val="es-ES"/>
              </w:rPr>
            </w:pPr>
          </w:p>
        </w:tc>
        <w:tc>
          <w:tcPr>
            <w:tcW w:w="617" w:type="dxa"/>
          </w:tcPr>
          <w:p w14:paraId="1093D985" w14:textId="77777777" w:rsidR="009D3056" w:rsidRPr="00215105" w:rsidRDefault="009D3056" w:rsidP="009D3056">
            <w:pPr>
              <w:rPr>
                <w:rFonts w:ascii="Arial" w:hAnsi="Arial" w:cs="Arial"/>
                <w:sz w:val="18"/>
                <w:szCs w:val="18"/>
                <w:lang w:val="es-ES"/>
              </w:rPr>
            </w:pPr>
          </w:p>
        </w:tc>
        <w:tc>
          <w:tcPr>
            <w:tcW w:w="617" w:type="dxa"/>
          </w:tcPr>
          <w:p w14:paraId="130C7D04" w14:textId="77777777" w:rsidR="009D3056" w:rsidRPr="00215105" w:rsidRDefault="009D3056" w:rsidP="009D3056">
            <w:pPr>
              <w:rPr>
                <w:rFonts w:ascii="Arial" w:hAnsi="Arial" w:cs="Arial"/>
                <w:sz w:val="18"/>
                <w:szCs w:val="18"/>
                <w:lang w:val="es-ES"/>
              </w:rPr>
            </w:pPr>
          </w:p>
        </w:tc>
        <w:tc>
          <w:tcPr>
            <w:tcW w:w="617" w:type="dxa"/>
          </w:tcPr>
          <w:p w14:paraId="6124B0AF" w14:textId="77777777" w:rsidR="009D3056" w:rsidRPr="00215105" w:rsidRDefault="009D3056" w:rsidP="009D3056">
            <w:pPr>
              <w:rPr>
                <w:rFonts w:ascii="Arial" w:hAnsi="Arial" w:cs="Arial"/>
                <w:sz w:val="18"/>
                <w:szCs w:val="18"/>
                <w:lang w:val="es-ES"/>
              </w:rPr>
            </w:pPr>
          </w:p>
        </w:tc>
        <w:tc>
          <w:tcPr>
            <w:tcW w:w="617" w:type="dxa"/>
          </w:tcPr>
          <w:p w14:paraId="579B062F" w14:textId="77777777" w:rsidR="009D3056" w:rsidRPr="00215105" w:rsidRDefault="009D3056" w:rsidP="009D3056">
            <w:pPr>
              <w:rPr>
                <w:rFonts w:ascii="Arial" w:hAnsi="Arial" w:cs="Arial"/>
                <w:sz w:val="18"/>
                <w:szCs w:val="18"/>
                <w:lang w:val="es-ES"/>
              </w:rPr>
            </w:pPr>
          </w:p>
        </w:tc>
        <w:tc>
          <w:tcPr>
            <w:tcW w:w="617" w:type="dxa"/>
          </w:tcPr>
          <w:p w14:paraId="71492664" w14:textId="77777777" w:rsidR="009D3056" w:rsidRPr="00215105" w:rsidRDefault="009D3056" w:rsidP="009D3056">
            <w:pPr>
              <w:rPr>
                <w:rFonts w:ascii="Arial" w:hAnsi="Arial" w:cs="Arial"/>
                <w:sz w:val="18"/>
                <w:szCs w:val="18"/>
                <w:lang w:val="es-ES"/>
              </w:rPr>
            </w:pPr>
          </w:p>
        </w:tc>
        <w:tc>
          <w:tcPr>
            <w:tcW w:w="617" w:type="dxa"/>
          </w:tcPr>
          <w:p w14:paraId="1E52CB0F" w14:textId="77777777" w:rsidR="009D3056" w:rsidRPr="00215105" w:rsidRDefault="009D3056" w:rsidP="009D3056">
            <w:pPr>
              <w:rPr>
                <w:rFonts w:ascii="Arial" w:hAnsi="Arial" w:cs="Arial"/>
                <w:sz w:val="18"/>
                <w:szCs w:val="18"/>
                <w:lang w:val="es-ES"/>
              </w:rPr>
            </w:pPr>
          </w:p>
        </w:tc>
        <w:tc>
          <w:tcPr>
            <w:tcW w:w="617" w:type="dxa"/>
          </w:tcPr>
          <w:p w14:paraId="6944B452" w14:textId="77777777" w:rsidR="009D3056" w:rsidRPr="00215105" w:rsidRDefault="009D3056" w:rsidP="009D3056">
            <w:pPr>
              <w:rPr>
                <w:rFonts w:ascii="Arial" w:hAnsi="Arial" w:cs="Arial"/>
                <w:sz w:val="18"/>
                <w:szCs w:val="18"/>
                <w:lang w:val="es-ES"/>
              </w:rPr>
            </w:pPr>
          </w:p>
        </w:tc>
        <w:tc>
          <w:tcPr>
            <w:tcW w:w="617" w:type="dxa"/>
          </w:tcPr>
          <w:p w14:paraId="0BC69EA2" w14:textId="77777777" w:rsidR="009D3056" w:rsidRPr="00215105" w:rsidRDefault="009D3056" w:rsidP="009D3056">
            <w:pPr>
              <w:rPr>
                <w:rFonts w:ascii="Arial" w:hAnsi="Arial" w:cs="Arial"/>
                <w:sz w:val="18"/>
                <w:szCs w:val="18"/>
                <w:lang w:val="es-ES"/>
              </w:rPr>
            </w:pPr>
          </w:p>
        </w:tc>
        <w:tc>
          <w:tcPr>
            <w:tcW w:w="617" w:type="dxa"/>
          </w:tcPr>
          <w:p w14:paraId="5DC07575" w14:textId="77777777" w:rsidR="009D3056" w:rsidRPr="00215105" w:rsidRDefault="009D3056" w:rsidP="009D3056">
            <w:pPr>
              <w:rPr>
                <w:rFonts w:ascii="Arial" w:hAnsi="Arial" w:cs="Arial"/>
                <w:sz w:val="18"/>
                <w:szCs w:val="18"/>
                <w:lang w:val="es-ES"/>
              </w:rPr>
            </w:pPr>
          </w:p>
        </w:tc>
        <w:tc>
          <w:tcPr>
            <w:tcW w:w="677" w:type="dxa"/>
          </w:tcPr>
          <w:p w14:paraId="3B66E3B8" w14:textId="77777777" w:rsidR="009D3056" w:rsidRPr="00215105" w:rsidRDefault="009D3056" w:rsidP="009D3056">
            <w:pPr>
              <w:rPr>
                <w:rFonts w:ascii="Arial" w:hAnsi="Arial" w:cs="Arial"/>
                <w:sz w:val="18"/>
                <w:szCs w:val="18"/>
                <w:lang w:val="es-ES"/>
              </w:rPr>
            </w:pPr>
          </w:p>
        </w:tc>
      </w:tr>
      <w:tr w:rsidR="0002031A" w:rsidRPr="009029CD" w14:paraId="6625DA72" w14:textId="77777777" w:rsidTr="006D2746">
        <w:tc>
          <w:tcPr>
            <w:tcW w:w="1525" w:type="dxa"/>
          </w:tcPr>
          <w:p w14:paraId="239F6910" w14:textId="77777777" w:rsidR="0002031A" w:rsidRPr="009D3056" w:rsidRDefault="0002031A" w:rsidP="0002031A">
            <w:pPr>
              <w:ind w:left="-20"/>
              <w:rPr>
                <w:rFonts w:ascii="Arial" w:hAnsi="Arial" w:cs="Arial"/>
                <w:sz w:val="18"/>
                <w:szCs w:val="18"/>
              </w:rPr>
            </w:pPr>
            <w:r w:rsidRPr="006D409C">
              <w:rPr>
                <w:rFonts w:ascii="Arial" w:hAnsi="Arial" w:cs="Arial"/>
                <w:sz w:val="18"/>
                <w:szCs w:val="18"/>
              </w:rPr>
              <w:t>Mejora confiabilidad</w:t>
            </w:r>
          </w:p>
        </w:tc>
        <w:tc>
          <w:tcPr>
            <w:tcW w:w="617" w:type="dxa"/>
          </w:tcPr>
          <w:p w14:paraId="358E5CA3" w14:textId="77777777" w:rsidR="0002031A" w:rsidRPr="00215105" w:rsidRDefault="0002031A" w:rsidP="0002031A">
            <w:pPr>
              <w:rPr>
                <w:rFonts w:ascii="Arial" w:hAnsi="Arial" w:cs="Arial"/>
                <w:sz w:val="18"/>
                <w:szCs w:val="18"/>
                <w:lang w:val="es-ES"/>
              </w:rPr>
            </w:pPr>
          </w:p>
        </w:tc>
        <w:tc>
          <w:tcPr>
            <w:tcW w:w="617" w:type="dxa"/>
          </w:tcPr>
          <w:p w14:paraId="31849A2E" w14:textId="132499E1" w:rsidR="0002031A" w:rsidRPr="00215105" w:rsidRDefault="0002031A" w:rsidP="0002031A">
            <w:pPr>
              <w:rPr>
                <w:rFonts w:ascii="Arial" w:hAnsi="Arial" w:cs="Arial"/>
                <w:sz w:val="18"/>
                <w:szCs w:val="18"/>
                <w:lang w:val="es-ES"/>
              </w:rPr>
            </w:pPr>
            <w:r w:rsidRPr="00215105">
              <w:rPr>
                <w:rFonts w:ascii="Arial" w:hAnsi="Arial" w:cs="Arial"/>
                <w:sz w:val="18"/>
                <w:szCs w:val="18"/>
              </w:rPr>
              <w:t>0</w:t>
            </w:r>
            <w:r>
              <w:rPr>
                <w:rFonts w:ascii="Arial" w:hAnsi="Arial" w:cs="Arial"/>
                <w:sz w:val="18"/>
                <w:szCs w:val="18"/>
              </w:rPr>
              <w:t>,69</w:t>
            </w:r>
          </w:p>
        </w:tc>
        <w:tc>
          <w:tcPr>
            <w:tcW w:w="617" w:type="dxa"/>
          </w:tcPr>
          <w:p w14:paraId="471B9CB2" w14:textId="4FE05C00" w:rsidR="0002031A" w:rsidRPr="00215105" w:rsidRDefault="0002031A" w:rsidP="0002031A">
            <w:pPr>
              <w:rPr>
                <w:rFonts w:ascii="Arial" w:hAnsi="Arial" w:cs="Arial"/>
                <w:sz w:val="18"/>
                <w:szCs w:val="18"/>
                <w:lang w:val="es-ES"/>
              </w:rPr>
            </w:pPr>
            <w:r w:rsidRPr="00E006B9">
              <w:rPr>
                <w:rFonts w:ascii="Arial" w:hAnsi="Arial" w:cs="Arial"/>
                <w:sz w:val="18"/>
                <w:szCs w:val="18"/>
              </w:rPr>
              <w:t>0,69</w:t>
            </w:r>
          </w:p>
        </w:tc>
        <w:tc>
          <w:tcPr>
            <w:tcW w:w="617" w:type="dxa"/>
          </w:tcPr>
          <w:p w14:paraId="0957252B" w14:textId="5541E4DD" w:rsidR="0002031A" w:rsidRPr="00215105" w:rsidRDefault="0002031A" w:rsidP="0002031A">
            <w:pPr>
              <w:rPr>
                <w:rFonts w:ascii="Arial" w:hAnsi="Arial" w:cs="Arial"/>
                <w:sz w:val="18"/>
                <w:szCs w:val="18"/>
                <w:lang w:val="es-ES"/>
              </w:rPr>
            </w:pPr>
            <w:r w:rsidRPr="00E006B9">
              <w:rPr>
                <w:rFonts w:ascii="Arial" w:hAnsi="Arial" w:cs="Arial"/>
                <w:sz w:val="18"/>
                <w:szCs w:val="18"/>
              </w:rPr>
              <w:t>0,69</w:t>
            </w:r>
          </w:p>
        </w:tc>
        <w:tc>
          <w:tcPr>
            <w:tcW w:w="617" w:type="dxa"/>
          </w:tcPr>
          <w:p w14:paraId="6F39A78D" w14:textId="01C120FD" w:rsidR="0002031A" w:rsidRPr="00215105" w:rsidRDefault="0002031A" w:rsidP="0002031A">
            <w:pPr>
              <w:rPr>
                <w:rFonts w:ascii="Arial" w:hAnsi="Arial" w:cs="Arial"/>
                <w:sz w:val="18"/>
                <w:szCs w:val="18"/>
                <w:lang w:val="es-ES"/>
              </w:rPr>
            </w:pPr>
            <w:r w:rsidRPr="00E006B9">
              <w:rPr>
                <w:rFonts w:ascii="Arial" w:hAnsi="Arial" w:cs="Arial"/>
                <w:sz w:val="18"/>
                <w:szCs w:val="18"/>
              </w:rPr>
              <w:t>0,69</w:t>
            </w:r>
          </w:p>
        </w:tc>
        <w:tc>
          <w:tcPr>
            <w:tcW w:w="617" w:type="dxa"/>
          </w:tcPr>
          <w:p w14:paraId="11DDD0A0" w14:textId="53DE1E59" w:rsidR="0002031A" w:rsidRPr="00215105" w:rsidRDefault="0002031A" w:rsidP="0002031A">
            <w:pPr>
              <w:rPr>
                <w:rFonts w:ascii="Arial" w:hAnsi="Arial" w:cs="Arial"/>
                <w:sz w:val="18"/>
                <w:szCs w:val="18"/>
                <w:lang w:val="es-ES"/>
              </w:rPr>
            </w:pPr>
            <w:r w:rsidRPr="00E006B9">
              <w:rPr>
                <w:rFonts w:ascii="Arial" w:hAnsi="Arial" w:cs="Arial"/>
                <w:sz w:val="18"/>
                <w:szCs w:val="18"/>
              </w:rPr>
              <w:t>0,69</w:t>
            </w:r>
          </w:p>
        </w:tc>
        <w:tc>
          <w:tcPr>
            <w:tcW w:w="617" w:type="dxa"/>
          </w:tcPr>
          <w:p w14:paraId="05993C1B" w14:textId="0E1D0957" w:rsidR="0002031A" w:rsidRPr="00215105" w:rsidRDefault="0002031A" w:rsidP="0002031A">
            <w:pPr>
              <w:rPr>
                <w:rFonts w:ascii="Arial" w:hAnsi="Arial" w:cs="Arial"/>
                <w:sz w:val="18"/>
                <w:szCs w:val="18"/>
                <w:lang w:val="es-ES"/>
              </w:rPr>
            </w:pPr>
            <w:r w:rsidRPr="00E006B9">
              <w:rPr>
                <w:rFonts w:ascii="Arial" w:hAnsi="Arial" w:cs="Arial"/>
                <w:sz w:val="18"/>
                <w:szCs w:val="18"/>
              </w:rPr>
              <w:t>0,69</w:t>
            </w:r>
          </w:p>
        </w:tc>
        <w:tc>
          <w:tcPr>
            <w:tcW w:w="617" w:type="dxa"/>
          </w:tcPr>
          <w:p w14:paraId="62A39134" w14:textId="031EF7D4" w:rsidR="0002031A" w:rsidRPr="00215105" w:rsidRDefault="0002031A" w:rsidP="0002031A">
            <w:pPr>
              <w:rPr>
                <w:rFonts w:ascii="Arial" w:hAnsi="Arial" w:cs="Arial"/>
                <w:sz w:val="18"/>
                <w:szCs w:val="18"/>
                <w:lang w:val="es-ES"/>
              </w:rPr>
            </w:pPr>
            <w:r w:rsidRPr="00E006B9">
              <w:rPr>
                <w:rFonts w:ascii="Arial" w:hAnsi="Arial" w:cs="Arial"/>
                <w:sz w:val="18"/>
                <w:szCs w:val="18"/>
              </w:rPr>
              <w:t>0,69</w:t>
            </w:r>
          </w:p>
        </w:tc>
        <w:tc>
          <w:tcPr>
            <w:tcW w:w="617" w:type="dxa"/>
          </w:tcPr>
          <w:p w14:paraId="380656FA" w14:textId="2BC265F6" w:rsidR="0002031A" w:rsidRPr="00215105" w:rsidRDefault="0002031A" w:rsidP="0002031A">
            <w:pPr>
              <w:rPr>
                <w:rFonts w:ascii="Arial" w:hAnsi="Arial" w:cs="Arial"/>
                <w:sz w:val="18"/>
                <w:szCs w:val="18"/>
                <w:lang w:val="es-ES"/>
              </w:rPr>
            </w:pPr>
            <w:r w:rsidRPr="00E006B9">
              <w:rPr>
                <w:rFonts w:ascii="Arial" w:hAnsi="Arial" w:cs="Arial"/>
                <w:sz w:val="18"/>
                <w:szCs w:val="18"/>
              </w:rPr>
              <w:t>0,69</w:t>
            </w:r>
          </w:p>
        </w:tc>
        <w:tc>
          <w:tcPr>
            <w:tcW w:w="617" w:type="dxa"/>
          </w:tcPr>
          <w:p w14:paraId="66437B8D" w14:textId="139B4351" w:rsidR="0002031A" w:rsidRPr="00215105" w:rsidRDefault="0002031A" w:rsidP="0002031A">
            <w:pPr>
              <w:rPr>
                <w:rFonts w:ascii="Arial" w:hAnsi="Arial" w:cs="Arial"/>
                <w:sz w:val="18"/>
                <w:szCs w:val="18"/>
                <w:lang w:val="es-ES"/>
              </w:rPr>
            </w:pPr>
            <w:r w:rsidRPr="00E006B9">
              <w:rPr>
                <w:rFonts w:ascii="Arial" w:hAnsi="Arial" w:cs="Arial"/>
                <w:sz w:val="18"/>
                <w:szCs w:val="18"/>
              </w:rPr>
              <w:t>0,69</w:t>
            </w:r>
          </w:p>
        </w:tc>
        <w:tc>
          <w:tcPr>
            <w:tcW w:w="677" w:type="dxa"/>
          </w:tcPr>
          <w:p w14:paraId="45E7BC0B" w14:textId="2455143B" w:rsidR="0002031A" w:rsidRPr="00215105" w:rsidRDefault="0002031A" w:rsidP="0002031A">
            <w:pPr>
              <w:rPr>
                <w:rFonts w:ascii="Arial" w:hAnsi="Arial" w:cs="Arial"/>
                <w:sz w:val="18"/>
                <w:szCs w:val="18"/>
                <w:lang w:val="es-ES"/>
              </w:rPr>
            </w:pPr>
            <w:r w:rsidRPr="00E006B9">
              <w:rPr>
                <w:rFonts w:ascii="Arial" w:hAnsi="Arial" w:cs="Arial"/>
                <w:sz w:val="18"/>
                <w:szCs w:val="18"/>
              </w:rPr>
              <w:t>0,69</w:t>
            </w:r>
          </w:p>
        </w:tc>
      </w:tr>
      <w:tr w:rsidR="009D3056" w:rsidRPr="009029CD" w14:paraId="390B56ED" w14:textId="77777777" w:rsidTr="006D2746">
        <w:tc>
          <w:tcPr>
            <w:tcW w:w="1525" w:type="dxa"/>
          </w:tcPr>
          <w:p w14:paraId="4B9398DE" w14:textId="77777777" w:rsidR="009D3056" w:rsidRPr="009D3056" w:rsidRDefault="009D3056" w:rsidP="009D3056">
            <w:pPr>
              <w:rPr>
                <w:rFonts w:ascii="Arial" w:hAnsi="Arial" w:cs="Arial"/>
                <w:sz w:val="18"/>
                <w:szCs w:val="18"/>
                <w:lang w:val="es-ES"/>
              </w:rPr>
            </w:pPr>
          </w:p>
        </w:tc>
        <w:tc>
          <w:tcPr>
            <w:tcW w:w="617" w:type="dxa"/>
          </w:tcPr>
          <w:p w14:paraId="785C501E" w14:textId="77777777" w:rsidR="009D3056" w:rsidRPr="00215105" w:rsidRDefault="009D3056" w:rsidP="009D3056">
            <w:pPr>
              <w:rPr>
                <w:rFonts w:ascii="Arial" w:hAnsi="Arial" w:cs="Arial"/>
                <w:sz w:val="18"/>
                <w:szCs w:val="18"/>
                <w:lang w:val="es-ES"/>
              </w:rPr>
            </w:pPr>
          </w:p>
        </w:tc>
        <w:tc>
          <w:tcPr>
            <w:tcW w:w="617" w:type="dxa"/>
          </w:tcPr>
          <w:p w14:paraId="087A7614" w14:textId="77777777" w:rsidR="009D3056" w:rsidRPr="00215105" w:rsidRDefault="009D3056" w:rsidP="009D3056">
            <w:pPr>
              <w:rPr>
                <w:rFonts w:ascii="Arial" w:hAnsi="Arial" w:cs="Arial"/>
                <w:sz w:val="18"/>
                <w:szCs w:val="18"/>
                <w:lang w:val="es-ES"/>
              </w:rPr>
            </w:pPr>
          </w:p>
        </w:tc>
        <w:tc>
          <w:tcPr>
            <w:tcW w:w="617" w:type="dxa"/>
          </w:tcPr>
          <w:p w14:paraId="5D109563" w14:textId="77777777" w:rsidR="009D3056" w:rsidRPr="00215105" w:rsidRDefault="009D3056" w:rsidP="009D3056">
            <w:pPr>
              <w:rPr>
                <w:rFonts w:ascii="Arial" w:hAnsi="Arial" w:cs="Arial"/>
                <w:sz w:val="18"/>
                <w:szCs w:val="18"/>
                <w:lang w:val="es-ES"/>
              </w:rPr>
            </w:pPr>
          </w:p>
        </w:tc>
        <w:tc>
          <w:tcPr>
            <w:tcW w:w="617" w:type="dxa"/>
          </w:tcPr>
          <w:p w14:paraId="603FD2AD" w14:textId="77777777" w:rsidR="009D3056" w:rsidRPr="00215105" w:rsidRDefault="009D3056" w:rsidP="009D3056">
            <w:pPr>
              <w:rPr>
                <w:rFonts w:ascii="Arial" w:hAnsi="Arial" w:cs="Arial"/>
                <w:sz w:val="18"/>
                <w:szCs w:val="18"/>
                <w:lang w:val="es-ES"/>
              </w:rPr>
            </w:pPr>
          </w:p>
        </w:tc>
        <w:tc>
          <w:tcPr>
            <w:tcW w:w="617" w:type="dxa"/>
          </w:tcPr>
          <w:p w14:paraId="0B821D47" w14:textId="77777777" w:rsidR="009D3056" w:rsidRPr="00215105" w:rsidRDefault="009D3056" w:rsidP="009D3056">
            <w:pPr>
              <w:rPr>
                <w:rFonts w:ascii="Arial" w:hAnsi="Arial" w:cs="Arial"/>
                <w:sz w:val="18"/>
                <w:szCs w:val="18"/>
                <w:lang w:val="es-ES"/>
              </w:rPr>
            </w:pPr>
          </w:p>
        </w:tc>
        <w:tc>
          <w:tcPr>
            <w:tcW w:w="617" w:type="dxa"/>
          </w:tcPr>
          <w:p w14:paraId="19A9EBE3" w14:textId="77777777" w:rsidR="009D3056" w:rsidRPr="00215105" w:rsidRDefault="009D3056" w:rsidP="009D3056">
            <w:pPr>
              <w:rPr>
                <w:rFonts w:ascii="Arial" w:hAnsi="Arial" w:cs="Arial"/>
                <w:sz w:val="18"/>
                <w:szCs w:val="18"/>
                <w:lang w:val="es-ES"/>
              </w:rPr>
            </w:pPr>
          </w:p>
        </w:tc>
        <w:tc>
          <w:tcPr>
            <w:tcW w:w="617" w:type="dxa"/>
          </w:tcPr>
          <w:p w14:paraId="26CB14B2" w14:textId="77777777" w:rsidR="009D3056" w:rsidRPr="00215105" w:rsidRDefault="009D3056" w:rsidP="009D3056">
            <w:pPr>
              <w:rPr>
                <w:rFonts w:ascii="Arial" w:hAnsi="Arial" w:cs="Arial"/>
                <w:sz w:val="18"/>
                <w:szCs w:val="18"/>
                <w:lang w:val="es-ES"/>
              </w:rPr>
            </w:pPr>
          </w:p>
        </w:tc>
        <w:tc>
          <w:tcPr>
            <w:tcW w:w="617" w:type="dxa"/>
          </w:tcPr>
          <w:p w14:paraId="57E5B11A" w14:textId="77777777" w:rsidR="009D3056" w:rsidRPr="00215105" w:rsidRDefault="009D3056" w:rsidP="009D3056">
            <w:pPr>
              <w:rPr>
                <w:rFonts w:ascii="Arial" w:hAnsi="Arial" w:cs="Arial"/>
                <w:sz w:val="18"/>
                <w:szCs w:val="18"/>
                <w:lang w:val="es-ES"/>
              </w:rPr>
            </w:pPr>
          </w:p>
        </w:tc>
        <w:tc>
          <w:tcPr>
            <w:tcW w:w="617" w:type="dxa"/>
          </w:tcPr>
          <w:p w14:paraId="21C81461" w14:textId="77777777" w:rsidR="009D3056" w:rsidRPr="00215105" w:rsidRDefault="009D3056" w:rsidP="009D3056">
            <w:pPr>
              <w:rPr>
                <w:rFonts w:ascii="Arial" w:hAnsi="Arial" w:cs="Arial"/>
                <w:sz w:val="18"/>
                <w:szCs w:val="18"/>
                <w:lang w:val="es-ES"/>
              </w:rPr>
            </w:pPr>
          </w:p>
        </w:tc>
        <w:tc>
          <w:tcPr>
            <w:tcW w:w="617" w:type="dxa"/>
          </w:tcPr>
          <w:p w14:paraId="13C2903A" w14:textId="77777777" w:rsidR="009D3056" w:rsidRPr="00215105" w:rsidRDefault="009D3056" w:rsidP="009D3056">
            <w:pPr>
              <w:rPr>
                <w:rFonts w:ascii="Arial" w:hAnsi="Arial" w:cs="Arial"/>
                <w:sz w:val="18"/>
                <w:szCs w:val="18"/>
                <w:lang w:val="es-ES"/>
              </w:rPr>
            </w:pPr>
          </w:p>
        </w:tc>
        <w:tc>
          <w:tcPr>
            <w:tcW w:w="677" w:type="dxa"/>
          </w:tcPr>
          <w:p w14:paraId="2A23C362" w14:textId="77777777" w:rsidR="009D3056" w:rsidRPr="00215105" w:rsidRDefault="009D3056" w:rsidP="009D3056">
            <w:pPr>
              <w:rPr>
                <w:rFonts w:ascii="Arial" w:hAnsi="Arial" w:cs="Arial"/>
                <w:sz w:val="18"/>
                <w:szCs w:val="18"/>
                <w:lang w:val="es-ES"/>
              </w:rPr>
            </w:pPr>
          </w:p>
        </w:tc>
      </w:tr>
      <w:tr w:rsidR="0002031A" w:rsidRPr="009029CD" w14:paraId="40A35D20" w14:textId="77777777" w:rsidTr="006D2746">
        <w:tc>
          <w:tcPr>
            <w:tcW w:w="1525" w:type="dxa"/>
          </w:tcPr>
          <w:p w14:paraId="03129127" w14:textId="77777777" w:rsidR="0002031A" w:rsidRPr="0035348B" w:rsidRDefault="0002031A" w:rsidP="0002031A">
            <w:pPr>
              <w:rPr>
                <w:rFonts w:ascii="Arial" w:hAnsi="Arial" w:cs="Arial"/>
                <w:b/>
                <w:sz w:val="18"/>
                <w:szCs w:val="18"/>
                <w:lang w:val="es-ES"/>
              </w:rPr>
            </w:pPr>
            <w:r w:rsidRPr="0035348B">
              <w:rPr>
                <w:rFonts w:ascii="Arial" w:hAnsi="Arial" w:cs="Arial"/>
                <w:b/>
                <w:sz w:val="18"/>
                <w:szCs w:val="18"/>
              </w:rPr>
              <w:t>Ingreso neto</w:t>
            </w:r>
          </w:p>
        </w:tc>
        <w:tc>
          <w:tcPr>
            <w:tcW w:w="617" w:type="dxa"/>
          </w:tcPr>
          <w:p w14:paraId="7A572A7B" w14:textId="419DF809" w:rsidR="0002031A" w:rsidRPr="00215105" w:rsidRDefault="0002031A" w:rsidP="0002031A">
            <w:pPr>
              <w:ind w:left="-20"/>
              <w:rPr>
                <w:rFonts w:ascii="Arial" w:hAnsi="Arial" w:cs="Arial"/>
                <w:sz w:val="18"/>
                <w:szCs w:val="18"/>
                <w:lang w:val="es-ES"/>
              </w:rPr>
            </w:pPr>
            <w:r w:rsidRPr="00215105">
              <w:rPr>
                <w:rFonts w:ascii="Arial" w:hAnsi="Arial" w:cs="Arial"/>
                <w:sz w:val="18"/>
                <w:szCs w:val="18"/>
              </w:rPr>
              <w:t>-2</w:t>
            </w:r>
            <w:r>
              <w:rPr>
                <w:rFonts w:ascii="Arial" w:hAnsi="Arial" w:cs="Arial"/>
                <w:sz w:val="18"/>
                <w:szCs w:val="18"/>
              </w:rPr>
              <w:t>,</w:t>
            </w:r>
            <w:r w:rsidRPr="00215105">
              <w:rPr>
                <w:rFonts w:ascii="Arial" w:hAnsi="Arial" w:cs="Arial"/>
                <w:sz w:val="18"/>
                <w:szCs w:val="18"/>
              </w:rPr>
              <w:t>5</w:t>
            </w:r>
            <w:r>
              <w:rPr>
                <w:rFonts w:ascii="Arial" w:hAnsi="Arial" w:cs="Arial"/>
                <w:sz w:val="18"/>
                <w:szCs w:val="18"/>
              </w:rPr>
              <w:t>0</w:t>
            </w:r>
          </w:p>
        </w:tc>
        <w:tc>
          <w:tcPr>
            <w:tcW w:w="617" w:type="dxa"/>
          </w:tcPr>
          <w:p w14:paraId="7D059C0E" w14:textId="24443DE1" w:rsidR="0002031A" w:rsidRPr="00215105" w:rsidRDefault="0002031A" w:rsidP="0002031A">
            <w:pPr>
              <w:rPr>
                <w:rFonts w:ascii="Arial" w:hAnsi="Arial" w:cs="Arial"/>
                <w:sz w:val="18"/>
                <w:szCs w:val="18"/>
                <w:lang w:val="es-ES"/>
              </w:rPr>
            </w:pPr>
            <w:r w:rsidRPr="00215105">
              <w:rPr>
                <w:rFonts w:ascii="Arial" w:hAnsi="Arial" w:cs="Arial"/>
                <w:sz w:val="18"/>
                <w:szCs w:val="18"/>
              </w:rPr>
              <w:t>0</w:t>
            </w:r>
            <w:r>
              <w:rPr>
                <w:rFonts w:ascii="Arial" w:hAnsi="Arial" w:cs="Arial"/>
                <w:sz w:val="18"/>
                <w:szCs w:val="18"/>
              </w:rPr>
              <w:t>,</w:t>
            </w:r>
            <w:r w:rsidRPr="00215105">
              <w:rPr>
                <w:rFonts w:ascii="Arial" w:hAnsi="Arial" w:cs="Arial"/>
                <w:sz w:val="18"/>
                <w:szCs w:val="18"/>
              </w:rPr>
              <w:t>6</w:t>
            </w:r>
            <w:r>
              <w:rPr>
                <w:rFonts w:ascii="Arial" w:hAnsi="Arial" w:cs="Arial"/>
                <w:sz w:val="18"/>
                <w:szCs w:val="18"/>
              </w:rPr>
              <w:t>2</w:t>
            </w:r>
          </w:p>
        </w:tc>
        <w:tc>
          <w:tcPr>
            <w:tcW w:w="617" w:type="dxa"/>
          </w:tcPr>
          <w:p w14:paraId="5B40C117" w14:textId="098DCDF1" w:rsidR="0002031A" w:rsidRPr="00215105" w:rsidRDefault="0002031A" w:rsidP="0002031A">
            <w:pPr>
              <w:rPr>
                <w:rFonts w:ascii="Arial" w:hAnsi="Arial" w:cs="Arial"/>
                <w:sz w:val="18"/>
                <w:szCs w:val="18"/>
                <w:lang w:val="es-ES"/>
              </w:rPr>
            </w:pPr>
            <w:r w:rsidRPr="00215105">
              <w:rPr>
                <w:rFonts w:ascii="Arial" w:hAnsi="Arial" w:cs="Arial"/>
                <w:sz w:val="18"/>
                <w:szCs w:val="18"/>
              </w:rPr>
              <w:t>0</w:t>
            </w:r>
            <w:r>
              <w:rPr>
                <w:rFonts w:ascii="Arial" w:hAnsi="Arial" w:cs="Arial"/>
                <w:sz w:val="18"/>
                <w:szCs w:val="18"/>
              </w:rPr>
              <w:t>,</w:t>
            </w:r>
            <w:r w:rsidRPr="00215105">
              <w:rPr>
                <w:rFonts w:ascii="Arial" w:hAnsi="Arial" w:cs="Arial"/>
                <w:sz w:val="18"/>
                <w:szCs w:val="18"/>
              </w:rPr>
              <w:t>6</w:t>
            </w:r>
            <w:r>
              <w:rPr>
                <w:rFonts w:ascii="Arial" w:hAnsi="Arial" w:cs="Arial"/>
                <w:sz w:val="18"/>
                <w:szCs w:val="18"/>
              </w:rPr>
              <w:t>2</w:t>
            </w:r>
          </w:p>
        </w:tc>
        <w:tc>
          <w:tcPr>
            <w:tcW w:w="617" w:type="dxa"/>
          </w:tcPr>
          <w:p w14:paraId="5E3C80DF" w14:textId="5DB58944" w:rsidR="0002031A" w:rsidRPr="00215105" w:rsidRDefault="0002031A" w:rsidP="0002031A">
            <w:pPr>
              <w:rPr>
                <w:rFonts w:ascii="Arial" w:hAnsi="Arial" w:cs="Arial"/>
                <w:sz w:val="18"/>
                <w:szCs w:val="18"/>
                <w:lang w:val="es-ES"/>
              </w:rPr>
            </w:pPr>
            <w:r w:rsidRPr="00215105">
              <w:rPr>
                <w:rFonts w:ascii="Arial" w:hAnsi="Arial" w:cs="Arial"/>
                <w:sz w:val="18"/>
                <w:szCs w:val="18"/>
              </w:rPr>
              <w:t>0</w:t>
            </w:r>
            <w:r>
              <w:rPr>
                <w:rFonts w:ascii="Arial" w:hAnsi="Arial" w:cs="Arial"/>
                <w:sz w:val="18"/>
                <w:szCs w:val="18"/>
              </w:rPr>
              <w:t>,</w:t>
            </w:r>
            <w:r w:rsidRPr="00215105">
              <w:rPr>
                <w:rFonts w:ascii="Arial" w:hAnsi="Arial" w:cs="Arial"/>
                <w:sz w:val="18"/>
                <w:szCs w:val="18"/>
              </w:rPr>
              <w:t>6</w:t>
            </w:r>
            <w:r>
              <w:rPr>
                <w:rFonts w:ascii="Arial" w:hAnsi="Arial" w:cs="Arial"/>
                <w:sz w:val="18"/>
                <w:szCs w:val="18"/>
              </w:rPr>
              <w:t>2</w:t>
            </w:r>
          </w:p>
        </w:tc>
        <w:tc>
          <w:tcPr>
            <w:tcW w:w="617" w:type="dxa"/>
          </w:tcPr>
          <w:p w14:paraId="5228CBF8" w14:textId="3195378B" w:rsidR="0002031A" w:rsidRPr="00215105" w:rsidRDefault="0002031A" w:rsidP="0002031A">
            <w:pPr>
              <w:rPr>
                <w:rFonts w:ascii="Arial" w:hAnsi="Arial" w:cs="Arial"/>
                <w:sz w:val="18"/>
                <w:szCs w:val="18"/>
                <w:lang w:val="es-ES"/>
              </w:rPr>
            </w:pPr>
            <w:r w:rsidRPr="00215105">
              <w:rPr>
                <w:rFonts w:ascii="Arial" w:hAnsi="Arial" w:cs="Arial"/>
                <w:sz w:val="18"/>
                <w:szCs w:val="18"/>
              </w:rPr>
              <w:t>0</w:t>
            </w:r>
            <w:r>
              <w:rPr>
                <w:rFonts w:ascii="Arial" w:hAnsi="Arial" w:cs="Arial"/>
                <w:sz w:val="18"/>
                <w:szCs w:val="18"/>
              </w:rPr>
              <w:t>,</w:t>
            </w:r>
            <w:r w:rsidRPr="00215105">
              <w:rPr>
                <w:rFonts w:ascii="Arial" w:hAnsi="Arial" w:cs="Arial"/>
                <w:sz w:val="18"/>
                <w:szCs w:val="18"/>
              </w:rPr>
              <w:t>6</w:t>
            </w:r>
            <w:r>
              <w:rPr>
                <w:rFonts w:ascii="Arial" w:hAnsi="Arial" w:cs="Arial"/>
                <w:sz w:val="18"/>
                <w:szCs w:val="18"/>
              </w:rPr>
              <w:t>2</w:t>
            </w:r>
          </w:p>
        </w:tc>
        <w:tc>
          <w:tcPr>
            <w:tcW w:w="617" w:type="dxa"/>
          </w:tcPr>
          <w:p w14:paraId="0225C496" w14:textId="17435609" w:rsidR="0002031A" w:rsidRPr="00215105" w:rsidRDefault="0002031A" w:rsidP="0002031A">
            <w:pPr>
              <w:rPr>
                <w:rFonts w:ascii="Arial" w:hAnsi="Arial" w:cs="Arial"/>
                <w:sz w:val="18"/>
                <w:szCs w:val="18"/>
                <w:lang w:val="es-ES"/>
              </w:rPr>
            </w:pPr>
            <w:r w:rsidRPr="00215105">
              <w:rPr>
                <w:rFonts w:ascii="Arial" w:hAnsi="Arial" w:cs="Arial"/>
                <w:sz w:val="18"/>
                <w:szCs w:val="18"/>
              </w:rPr>
              <w:t>0</w:t>
            </w:r>
            <w:r>
              <w:rPr>
                <w:rFonts w:ascii="Arial" w:hAnsi="Arial" w:cs="Arial"/>
                <w:sz w:val="18"/>
                <w:szCs w:val="18"/>
              </w:rPr>
              <w:t>,</w:t>
            </w:r>
            <w:r w:rsidRPr="00215105">
              <w:rPr>
                <w:rFonts w:ascii="Arial" w:hAnsi="Arial" w:cs="Arial"/>
                <w:sz w:val="18"/>
                <w:szCs w:val="18"/>
              </w:rPr>
              <w:t>6</w:t>
            </w:r>
            <w:r>
              <w:rPr>
                <w:rFonts w:ascii="Arial" w:hAnsi="Arial" w:cs="Arial"/>
                <w:sz w:val="18"/>
                <w:szCs w:val="18"/>
              </w:rPr>
              <w:t>2</w:t>
            </w:r>
          </w:p>
        </w:tc>
        <w:tc>
          <w:tcPr>
            <w:tcW w:w="617" w:type="dxa"/>
          </w:tcPr>
          <w:p w14:paraId="7DF359A6" w14:textId="2DCF205D" w:rsidR="0002031A" w:rsidRPr="00215105" w:rsidRDefault="0002031A" w:rsidP="0002031A">
            <w:pPr>
              <w:rPr>
                <w:rFonts w:ascii="Arial" w:hAnsi="Arial" w:cs="Arial"/>
                <w:sz w:val="18"/>
                <w:szCs w:val="18"/>
                <w:lang w:val="es-ES"/>
              </w:rPr>
            </w:pPr>
            <w:r w:rsidRPr="00215105">
              <w:rPr>
                <w:rFonts w:ascii="Arial" w:hAnsi="Arial" w:cs="Arial"/>
                <w:sz w:val="18"/>
                <w:szCs w:val="18"/>
              </w:rPr>
              <w:t>0</w:t>
            </w:r>
            <w:r>
              <w:rPr>
                <w:rFonts w:ascii="Arial" w:hAnsi="Arial" w:cs="Arial"/>
                <w:sz w:val="18"/>
                <w:szCs w:val="18"/>
              </w:rPr>
              <w:t>,</w:t>
            </w:r>
            <w:r w:rsidRPr="00215105">
              <w:rPr>
                <w:rFonts w:ascii="Arial" w:hAnsi="Arial" w:cs="Arial"/>
                <w:sz w:val="18"/>
                <w:szCs w:val="18"/>
              </w:rPr>
              <w:t>6</w:t>
            </w:r>
            <w:r>
              <w:rPr>
                <w:rFonts w:ascii="Arial" w:hAnsi="Arial" w:cs="Arial"/>
                <w:sz w:val="18"/>
                <w:szCs w:val="18"/>
              </w:rPr>
              <w:t>2</w:t>
            </w:r>
          </w:p>
        </w:tc>
        <w:tc>
          <w:tcPr>
            <w:tcW w:w="617" w:type="dxa"/>
          </w:tcPr>
          <w:p w14:paraId="7BC3271F" w14:textId="2F43B8D1" w:rsidR="0002031A" w:rsidRPr="00215105" w:rsidRDefault="0002031A" w:rsidP="0002031A">
            <w:pPr>
              <w:rPr>
                <w:rFonts w:ascii="Arial" w:hAnsi="Arial" w:cs="Arial"/>
                <w:sz w:val="18"/>
                <w:szCs w:val="18"/>
                <w:lang w:val="es-ES"/>
              </w:rPr>
            </w:pPr>
            <w:r w:rsidRPr="00215105">
              <w:rPr>
                <w:rFonts w:ascii="Arial" w:hAnsi="Arial" w:cs="Arial"/>
                <w:sz w:val="18"/>
                <w:szCs w:val="18"/>
              </w:rPr>
              <w:t>0</w:t>
            </w:r>
            <w:r>
              <w:rPr>
                <w:rFonts w:ascii="Arial" w:hAnsi="Arial" w:cs="Arial"/>
                <w:sz w:val="18"/>
                <w:szCs w:val="18"/>
              </w:rPr>
              <w:t>,</w:t>
            </w:r>
            <w:r w:rsidRPr="00215105">
              <w:rPr>
                <w:rFonts w:ascii="Arial" w:hAnsi="Arial" w:cs="Arial"/>
                <w:sz w:val="18"/>
                <w:szCs w:val="18"/>
              </w:rPr>
              <w:t>6</w:t>
            </w:r>
            <w:r>
              <w:rPr>
                <w:rFonts w:ascii="Arial" w:hAnsi="Arial" w:cs="Arial"/>
                <w:sz w:val="18"/>
                <w:szCs w:val="18"/>
              </w:rPr>
              <w:t>2</w:t>
            </w:r>
          </w:p>
        </w:tc>
        <w:tc>
          <w:tcPr>
            <w:tcW w:w="617" w:type="dxa"/>
          </w:tcPr>
          <w:p w14:paraId="08C0BDBC" w14:textId="6995DF27" w:rsidR="0002031A" w:rsidRPr="00215105" w:rsidRDefault="0002031A" w:rsidP="0002031A">
            <w:pPr>
              <w:rPr>
                <w:rFonts w:ascii="Arial" w:hAnsi="Arial" w:cs="Arial"/>
                <w:sz w:val="18"/>
                <w:szCs w:val="18"/>
                <w:lang w:val="es-ES"/>
              </w:rPr>
            </w:pPr>
            <w:r w:rsidRPr="00215105">
              <w:rPr>
                <w:rFonts w:ascii="Arial" w:hAnsi="Arial" w:cs="Arial"/>
                <w:sz w:val="18"/>
                <w:szCs w:val="18"/>
              </w:rPr>
              <w:t>0</w:t>
            </w:r>
            <w:r>
              <w:rPr>
                <w:rFonts w:ascii="Arial" w:hAnsi="Arial" w:cs="Arial"/>
                <w:sz w:val="18"/>
                <w:szCs w:val="18"/>
              </w:rPr>
              <w:t>,</w:t>
            </w:r>
            <w:r w:rsidRPr="00215105">
              <w:rPr>
                <w:rFonts w:ascii="Arial" w:hAnsi="Arial" w:cs="Arial"/>
                <w:sz w:val="18"/>
                <w:szCs w:val="18"/>
              </w:rPr>
              <w:t>6</w:t>
            </w:r>
            <w:r>
              <w:rPr>
                <w:rFonts w:ascii="Arial" w:hAnsi="Arial" w:cs="Arial"/>
                <w:sz w:val="18"/>
                <w:szCs w:val="18"/>
              </w:rPr>
              <w:t>2</w:t>
            </w:r>
          </w:p>
        </w:tc>
        <w:tc>
          <w:tcPr>
            <w:tcW w:w="617" w:type="dxa"/>
          </w:tcPr>
          <w:p w14:paraId="653B974F" w14:textId="267009EF" w:rsidR="0002031A" w:rsidRPr="00215105" w:rsidRDefault="0002031A" w:rsidP="0002031A">
            <w:pPr>
              <w:rPr>
                <w:rFonts w:ascii="Arial" w:hAnsi="Arial" w:cs="Arial"/>
                <w:sz w:val="18"/>
                <w:szCs w:val="18"/>
                <w:lang w:val="es-ES"/>
              </w:rPr>
            </w:pPr>
            <w:r w:rsidRPr="00215105">
              <w:rPr>
                <w:rFonts w:ascii="Arial" w:hAnsi="Arial" w:cs="Arial"/>
                <w:sz w:val="18"/>
                <w:szCs w:val="18"/>
              </w:rPr>
              <w:t>0</w:t>
            </w:r>
            <w:r>
              <w:rPr>
                <w:rFonts w:ascii="Arial" w:hAnsi="Arial" w:cs="Arial"/>
                <w:sz w:val="18"/>
                <w:szCs w:val="18"/>
              </w:rPr>
              <w:t>,</w:t>
            </w:r>
            <w:r w:rsidRPr="00215105">
              <w:rPr>
                <w:rFonts w:ascii="Arial" w:hAnsi="Arial" w:cs="Arial"/>
                <w:sz w:val="18"/>
                <w:szCs w:val="18"/>
              </w:rPr>
              <w:t>6</w:t>
            </w:r>
            <w:r>
              <w:rPr>
                <w:rFonts w:ascii="Arial" w:hAnsi="Arial" w:cs="Arial"/>
                <w:sz w:val="18"/>
                <w:szCs w:val="18"/>
              </w:rPr>
              <w:t>2</w:t>
            </w:r>
          </w:p>
        </w:tc>
        <w:tc>
          <w:tcPr>
            <w:tcW w:w="677" w:type="dxa"/>
          </w:tcPr>
          <w:p w14:paraId="3A288C83" w14:textId="4BD2564C" w:rsidR="0002031A" w:rsidRPr="00215105" w:rsidRDefault="0002031A" w:rsidP="0002031A">
            <w:pPr>
              <w:rPr>
                <w:rFonts w:ascii="Arial" w:hAnsi="Arial" w:cs="Arial"/>
                <w:sz w:val="18"/>
                <w:szCs w:val="18"/>
                <w:lang w:val="es-ES"/>
              </w:rPr>
            </w:pPr>
            <w:r w:rsidRPr="00215105">
              <w:rPr>
                <w:rFonts w:ascii="Arial" w:hAnsi="Arial" w:cs="Arial"/>
                <w:sz w:val="18"/>
                <w:szCs w:val="18"/>
              </w:rPr>
              <w:t>0</w:t>
            </w:r>
            <w:r>
              <w:rPr>
                <w:rFonts w:ascii="Arial" w:hAnsi="Arial" w:cs="Arial"/>
                <w:sz w:val="18"/>
                <w:szCs w:val="18"/>
              </w:rPr>
              <w:t>,</w:t>
            </w:r>
            <w:r w:rsidRPr="00215105">
              <w:rPr>
                <w:rFonts w:ascii="Arial" w:hAnsi="Arial" w:cs="Arial"/>
                <w:sz w:val="18"/>
                <w:szCs w:val="18"/>
              </w:rPr>
              <w:t>6</w:t>
            </w:r>
            <w:r>
              <w:rPr>
                <w:rFonts w:ascii="Arial" w:hAnsi="Arial" w:cs="Arial"/>
                <w:sz w:val="18"/>
                <w:szCs w:val="18"/>
              </w:rPr>
              <w:t>2</w:t>
            </w:r>
          </w:p>
        </w:tc>
      </w:tr>
      <w:tr w:rsidR="009D3056" w:rsidRPr="009029CD" w14:paraId="295B2F14" w14:textId="77777777" w:rsidTr="006D2746">
        <w:tc>
          <w:tcPr>
            <w:tcW w:w="1525" w:type="dxa"/>
          </w:tcPr>
          <w:p w14:paraId="56385ECE" w14:textId="77777777" w:rsidR="009D3056" w:rsidRPr="009D3056" w:rsidRDefault="009D3056" w:rsidP="009D3056">
            <w:pPr>
              <w:rPr>
                <w:rFonts w:ascii="Arial" w:hAnsi="Arial" w:cs="Arial"/>
                <w:sz w:val="18"/>
                <w:szCs w:val="18"/>
                <w:lang w:val="es-ES"/>
              </w:rPr>
            </w:pPr>
          </w:p>
        </w:tc>
        <w:tc>
          <w:tcPr>
            <w:tcW w:w="617" w:type="dxa"/>
          </w:tcPr>
          <w:p w14:paraId="4B99D7EE" w14:textId="77777777" w:rsidR="009D3056" w:rsidRPr="00215105" w:rsidRDefault="009D3056" w:rsidP="009D3056">
            <w:pPr>
              <w:rPr>
                <w:rFonts w:ascii="Arial" w:hAnsi="Arial" w:cs="Arial"/>
                <w:sz w:val="18"/>
                <w:szCs w:val="18"/>
                <w:lang w:val="es-ES"/>
              </w:rPr>
            </w:pPr>
          </w:p>
        </w:tc>
        <w:tc>
          <w:tcPr>
            <w:tcW w:w="617" w:type="dxa"/>
          </w:tcPr>
          <w:p w14:paraId="67FDB028" w14:textId="77777777" w:rsidR="009D3056" w:rsidRPr="00215105" w:rsidRDefault="009D3056" w:rsidP="009D3056">
            <w:pPr>
              <w:rPr>
                <w:rFonts w:ascii="Arial" w:hAnsi="Arial" w:cs="Arial"/>
                <w:sz w:val="18"/>
                <w:szCs w:val="18"/>
                <w:lang w:val="es-ES"/>
              </w:rPr>
            </w:pPr>
          </w:p>
        </w:tc>
        <w:tc>
          <w:tcPr>
            <w:tcW w:w="617" w:type="dxa"/>
          </w:tcPr>
          <w:p w14:paraId="0A5BE18D" w14:textId="77777777" w:rsidR="009D3056" w:rsidRPr="00215105" w:rsidRDefault="009D3056" w:rsidP="009D3056">
            <w:pPr>
              <w:rPr>
                <w:rFonts w:ascii="Arial" w:hAnsi="Arial" w:cs="Arial"/>
                <w:sz w:val="18"/>
                <w:szCs w:val="18"/>
                <w:lang w:val="es-ES"/>
              </w:rPr>
            </w:pPr>
          </w:p>
        </w:tc>
        <w:tc>
          <w:tcPr>
            <w:tcW w:w="617" w:type="dxa"/>
          </w:tcPr>
          <w:p w14:paraId="01E88ABC" w14:textId="77777777" w:rsidR="009D3056" w:rsidRPr="00215105" w:rsidRDefault="009D3056" w:rsidP="009D3056">
            <w:pPr>
              <w:rPr>
                <w:rFonts w:ascii="Arial" w:hAnsi="Arial" w:cs="Arial"/>
                <w:sz w:val="18"/>
                <w:szCs w:val="18"/>
                <w:lang w:val="es-ES"/>
              </w:rPr>
            </w:pPr>
          </w:p>
        </w:tc>
        <w:tc>
          <w:tcPr>
            <w:tcW w:w="617" w:type="dxa"/>
          </w:tcPr>
          <w:p w14:paraId="511EFDBA" w14:textId="77777777" w:rsidR="009D3056" w:rsidRPr="00215105" w:rsidRDefault="009D3056" w:rsidP="009D3056">
            <w:pPr>
              <w:rPr>
                <w:rFonts w:ascii="Arial" w:hAnsi="Arial" w:cs="Arial"/>
                <w:sz w:val="18"/>
                <w:szCs w:val="18"/>
                <w:lang w:val="es-ES"/>
              </w:rPr>
            </w:pPr>
          </w:p>
        </w:tc>
        <w:tc>
          <w:tcPr>
            <w:tcW w:w="617" w:type="dxa"/>
          </w:tcPr>
          <w:p w14:paraId="2CF8A197" w14:textId="77777777" w:rsidR="009D3056" w:rsidRPr="00215105" w:rsidRDefault="009D3056" w:rsidP="009D3056">
            <w:pPr>
              <w:rPr>
                <w:rFonts w:ascii="Arial" w:hAnsi="Arial" w:cs="Arial"/>
                <w:sz w:val="18"/>
                <w:szCs w:val="18"/>
                <w:lang w:val="es-ES"/>
              </w:rPr>
            </w:pPr>
          </w:p>
        </w:tc>
        <w:tc>
          <w:tcPr>
            <w:tcW w:w="617" w:type="dxa"/>
          </w:tcPr>
          <w:p w14:paraId="595BE03E" w14:textId="77777777" w:rsidR="009D3056" w:rsidRPr="00215105" w:rsidRDefault="009D3056" w:rsidP="009D3056">
            <w:pPr>
              <w:rPr>
                <w:rFonts w:ascii="Arial" w:hAnsi="Arial" w:cs="Arial"/>
                <w:sz w:val="18"/>
                <w:szCs w:val="18"/>
                <w:lang w:val="es-ES"/>
              </w:rPr>
            </w:pPr>
          </w:p>
        </w:tc>
        <w:tc>
          <w:tcPr>
            <w:tcW w:w="617" w:type="dxa"/>
          </w:tcPr>
          <w:p w14:paraId="34B681D1" w14:textId="77777777" w:rsidR="009D3056" w:rsidRPr="00215105" w:rsidRDefault="009D3056" w:rsidP="009D3056">
            <w:pPr>
              <w:rPr>
                <w:rFonts w:ascii="Arial" w:hAnsi="Arial" w:cs="Arial"/>
                <w:sz w:val="18"/>
                <w:szCs w:val="18"/>
                <w:lang w:val="es-ES"/>
              </w:rPr>
            </w:pPr>
          </w:p>
        </w:tc>
        <w:tc>
          <w:tcPr>
            <w:tcW w:w="617" w:type="dxa"/>
          </w:tcPr>
          <w:p w14:paraId="589EF9DA" w14:textId="77777777" w:rsidR="009D3056" w:rsidRPr="00215105" w:rsidRDefault="009D3056" w:rsidP="009D3056">
            <w:pPr>
              <w:rPr>
                <w:rFonts w:ascii="Arial" w:hAnsi="Arial" w:cs="Arial"/>
                <w:sz w:val="18"/>
                <w:szCs w:val="18"/>
                <w:lang w:val="es-ES"/>
              </w:rPr>
            </w:pPr>
          </w:p>
        </w:tc>
        <w:tc>
          <w:tcPr>
            <w:tcW w:w="617" w:type="dxa"/>
          </w:tcPr>
          <w:p w14:paraId="65E4129C" w14:textId="77777777" w:rsidR="009D3056" w:rsidRPr="00215105" w:rsidRDefault="009D3056" w:rsidP="009D3056">
            <w:pPr>
              <w:rPr>
                <w:rFonts w:ascii="Arial" w:hAnsi="Arial" w:cs="Arial"/>
                <w:sz w:val="18"/>
                <w:szCs w:val="18"/>
                <w:lang w:val="es-ES"/>
              </w:rPr>
            </w:pPr>
          </w:p>
        </w:tc>
        <w:tc>
          <w:tcPr>
            <w:tcW w:w="677" w:type="dxa"/>
          </w:tcPr>
          <w:p w14:paraId="79AAD285" w14:textId="77777777" w:rsidR="009D3056" w:rsidRPr="00215105" w:rsidRDefault="009D3056" w:rsidP="009D3056">
            <w:pPr>
              <w:rPr>
                <w:rFonts w:ascii="Arial" w:hAnsi="Arial" w:cs="Arial"/>
                <w:sz w:val="18"/>
                <w:szCs w:val="18"/>
                <w:lang w:val="es-ES"/>
              </w:rPr>
            </w:pPr>
          </w:p>
        </w:tc>
      </w:tr>
      <w:tr w:rsidR="009D3056" w:rsidRPr="009029CD" w14:paraId="2C00E512" w14:textId="77777777" w:rsidTr="006D2746">
        <w:tc>
          <w:tcPr>
            <w:tcW w:w="1525" w:type="dxa"/>
            <w:tcBorders>
              <w:bottom w:val="single" w:sz="4" w:space="0" w:color="auto"/>
            </w:tcBorders>
          </w:tcPr>
          <w:p w14:paraId="2A29E85C" w14:textId="77777777" w:rsidR="009D3056" w:rsidRPr="009D3056" w:rsidRDefault="009D3056" w:rsidP="009D3056">
            <w:pPr>
              <w:rPr>
                <w:rFonts w:ascii="Arial" w:hAnsi="Arial" w:cs="Arial"/>
                <w:sz w:val="18"/>
                <w:szCs w:val="18"/>
                <w:lang w:val="es-ES"/>
              </w:rPr>
            </w:pPr>
            <w:r w:rsidRPr="009D3056">
              <w:rPr>
                <w:rFonts w:ascii="Arial" w:hAnsi="Arial" w:cs="Arial"/>
                <w:sz w:val="18"/>
                <w:szCs w:val="18"/>
              </w:rPr>
              <w:t>VPNE (12%)</w:t>
            </w:r>
          </w:p>
        </w:tc>
        <w:tc>
          <w:tcPr>
            <w:tcW w:w="617" w:type="dxa"/>
          </w:tcPr>
          <w:p w14:paraId="24C3DFF3" w14:textId="75A3BC7F" w:rsidR="009D3056" w:rsidRPr="00215105" w:rsidRDefault="00215105" w:rsidP="009D3056">
            <w:pPr>
              <w:rPr>
                <w:rFonts w:ascii="Arial" w:hAnsi="Arial" w:cs="Arial"/>
                <w:sz w:val="18"/>
                <w:szCs w:val="18"/>
                <w:lang w:val="es-ES"/>
              </w:rPr>
            </w:pPr>
            <w:r>
              <w:rPr>
                <w:rFonts w:ascii="Arial" w:hAnsi="Arial" w:cs="Arial"/>
                <w:sz w:val="18"/>
                <w:szCs w:val="18"/>
                <w:lang w:val="es-ES"/>
              </w:rPr>
              <w:t>$</w:t>
            </w:r>
            <w:r w:rsidR="0002031A">
              <w:rPr>
                <w:rFonts w:ascii="Arial" w:hAnsi="Arial" w:cs="Arial"/>
                <w:sz w:val="18"/>
                <w:szCs w:val="18"/>
                <w:lang w:val="es-ES"/>
              </w:rPr>
              <w:t>1,8</w:t>
            </w:r>
          </w:p>
        </w:tc>
        <w:tc>
          <w:tcPr>
            <w:tcW w:w="617" w:type="dxa"/>
          </w:tcPr>
          <w:p w14:paraId="09732E8B" w14:textId="77777777" w:rsidR="009D3056" w:rsidRPr="00215105" w:rsidRDefault="009D3056" w:rsidP="009D3056">
            <w:pPr>
              <w:rPr>
                <w:rFonts w:ascii="Arial" w:hAnsi="Arial" w:cs="Arial"/>
                <w:sz w:val="18"/>
                <w:szCs w:val="18"/>
                <w:lang w:val="es-ES"/>
              </w:rPr>
            </w:pPr>
          </w:p>
        </w:tc>
        <w:tc>
          <w:tcPr>
            <w:tcW w:w="617" w:type="dxa"/>
          </w:tcPr>
          <w:p w14:paraId="22CD45FE" w14:textId="77777777" w:rsidR="009D3056" w:rsidRPr="00215105" w:rsidRDefault="009D3056" w:rsidP="009D3056">
            <w:pPr>
              <w:rPr>
                <w:rFonts w:ascii="Arial" w:hAnsi="Arial" w:cs="Arial"/>
                <w:sz w:val="18"/>
                <w:szCs w:val="18"/>
                <w:lang w:val="es-ES"/>
              </w:rPr>
            </w:pPr>
          </w:p>
        </w:tc>
        <w:tc>
          <w:tcPr>
            <w:tcW w:w="617" w:type="dxa"/>
          </w:tcPr>
          <w:p w14:paraId="3802DD4B" w14:textId="77777777" w:rsidR="009D3056" w:rsidRPr="00215105" w:rsidRDefault="009D3056" w:rsidP="009D3056">
            <w:pPr>
              <w:rPr>
                <w:rFonts w:ascii="Arial" w:hAnsi="Arial" w:cs="Arial"/>
                <w:sz w:val="18"/>
                <w:szCs w:val="18"/>
                <w:lang w:val="es-ES"/>
              </w:rPr>
            </w:pPr>
          </w:p>
        </w:tc>
        <w:tc>
          <w:tcPr>
            <w:tcW w:w="617" w:type="dxa"/>
          </w:tcPr>
          <w:p w14:paraId="60F04CAD" w14:textId="77777777" w:rsidR="009D3056" w:rsidRPr="00215105" w:rsidRDefault="009D3056" w:rsidP="009D3056">
            <w:pPr>
              <w:rPr>
                <w:rFonts w:ascii="Arial" w:hAnsi="Arial" w:cs="Arial"/>
                <w:sz w:val="18"/>
                <w:szCs w:val="18"/>
                <w:lang w:val="es-ES"/>
              </w:rPr>
            </w:pPr>
          </w:p>
        </w:tc>
        <w:tc>
          <w:tcPr>
            <w:tcW w:w="617" w:type="dxa"/>
          </w:tcPr>
          <w:p w14:paraId="7DBA7F28" w14:textId="77777777" w:rsidR="009D3056" w:rsidRPr="00215105" w:rsidRDefault="009D3056" w:rsidP="009D3056">
            <w:pPr>
              <w:rPr>
                <w:rFonts w:ascii="Arial" w:hAnsi="Arial" w:cs="Arial"/>
                <w:sz w:val="18"/>
                <w:szCs w:val="18"/>
                <w:lang w:val="es-ES"/>
              </w:rPr>
            </w:pPr>
          </w:p>
        </w:tc>
        <w:tc>
          <w:tcPr>
            <w:tcW w:w="617" w:type="dxa"/>
          </w:tcPr>
          <w:p w14:paraId="76AD1A76" w14:textId="77777777" w:rsidR="009D3056" w:rsidRPr="00215105" w:rsidRDefault="009D3056" w:rsidP="009D3056">
            <w:pPr>
              <w:rPr>
                <w:rFonts w:ascii="Arial" w:hAnsi="Arial" w:cs="Arial"/>
                <w:sz w:val="18"/>
                <w:szCs w:val="18"/>
                <w:lang w:val="es-ES"/>
              </w:rPr>
            </w:pPr>
          </w:p>
        </w:tc>
        <w:tc>
          <w:tcPr>
            <w:tcW w:w="617" w:type="dxa"/>
          </w:tcPr>
          <w:p w14:paraId="69DD27A9" w14:textId="77777777" w:rsidR="009D3056" w:rsidRPr="00215105" w:rsidRDefault="009D3056" w:rsidP="009D3056">
            <w:pPr>
              <w:rPr>
                <w:rFonts w:ascii="Arial" w:hAnsi="Arial" w:cs="Arial"/>
                <w:sz w:val="18"/>
                <w:szCs w:val="18"/>
                <w:lang w:val="es-ES"/>
              </w:rPr>
            </w:pPr>
          </w:p>
        </w:tc>
        <w:tc>
          <w:tcPr>
            <w:tcW w:w="617" w:type="dxa"/>
          </w:tcPr>
          <w:p w14:paraId="644775E7" w14:textId="77777777" w:rsidR="009D3056" w:rsidRPr="00215105" w:rsidRDefault="009D3056" w:rsidP="009D3056">
            <w:pPr>
              <w:rPr>
                <w:rFonts w:ascii="Arial" w:hAnsi="Arial" w:cs="Arial"/>
                <w:sz w:val="18"/>
                <w:szCs w:val="18"/>
                <w:lang w:val="es-ES"/>
              </w:rPr>
            </w:pPr>
          </w:p>
        </w:tc>
        <w:tc>
          <w:tcPr>
            <w:tcW w:w="617" w:type="dxa"/>
          </w:tcPr>
          <w:p w14:paraId="24831442" w14:textId="77777777" w:rsidR="009D3056" w:rsidRPr="00215105" w:rsidRDefault="009D3056" w:rsidP="009D3056">
            <w:pPr>
              <w:rPr>
                <w:rFonts w:ascii="Arial" w:hAnsi="Arial" w:cs="Arial"/>
                <w:sz w:val="18"/>
                <w:szCs w:val="18"/>
                <w:lang w:val="es-ES"/>
              </w:rPr>
            </w:pPr>
          </w:p>
        </w:tc>
        <w:tc>
          <w:tcPr>
            <w:tcW w:w="677" w:type="dxa"/>
          </w:tcPr>
          <w:p w14:paraId="53ACECAF" w14:textId="77777777" w:rsidR="009D3056" w:rsidRPr="00215105" w:rsidRDefault="009D3056" w:rsidP="009D3056">
            <w:pPr>
              <w:rPr>
                <w:rFonts w:ascii="Arial" w:hAnsi="Arial" w:cs="Arial"/>
                <w:sz w:val="18"/>
                <w:szCs w:val="18"/>
                <w:lang w:val="es-ES"/>
              </w:rPr>
            </w:pPr>
          </w:p>
        </w:tc>
      </w:tr>
      <w:tr w:rsidR="009D3056" w:rsidRPr="009029CD" w14:paraId="67BFD326" w14:textId="77777777" w:rsidTr="006D2746">
        <w:trPr>
          <w:trHeight w:val="53"/>
        </w:trPr>
        <w:tc>
          <w:tcPr>
            <w:tcW w:w="1525" w:type="dxa"/>
            <w:tcBorders>
              <w:bottom w:val="single" w:sz="4" w:space="0" w:color="auto"/>
            </w:tcBorders>
          </w:tcPr>
          <w:p w14:paraId="3960A1CE" w14:textId="77777777" w:rsidR="009D3056" w:rsidRPr="009D3056" w:rsidRDefault="009D3056" w:rsidP="009D3056">
            <w:pPr>
              <w:rPr>
                <w:rFonts w:ascii="Arial" w:hAnsi="Arial" w:cs="Arial"/>
                <w:sz w:val="18"/>
                <w:szCs w:val="18"/>
                <w:lang w:val="es-ES"/>
              </w:rPr>
            </w:pPr>
            <w:r w:rsidRPr="009D3056">
              <w:rPr>
                <w:rFonts w:ascii="Arial" w:hAnsi="Arial" w:cs="Arial"/>
                <w:sz w:val="18"/>
                <w:szCs w:val="18"/>
              </w:rPr>
              <w:t>TIRE</w:t>
            </w:r>
          </w:p>
        </w:tc>
        <w:tc>
          <w:tcPr>
            <w:tcW w:w="617" w:type="dxa"/>
          </w:tcPr>
          <w:p w14:paraId="4B2C3380" w14:textId="22B06B75" w:rsidR="009D3056" w:rsidRPr="006D409C" w:rsidRDefault="0002031A" w:rsidP="009D3056">
            <w:pPr>
              <w:rPr>
                <w:rFonts w:ascii="Arial" w:hAnsi="Arial" w:cs="Arial"/>
                <w:sz w:val="18"/>
                <w:szCs w:val="18"/>
                <w:lang w:val="es-ES"/>
              </w:rPr>
            </w:pPr>
            <w:r>
              <w:rPr>
                <w:rFonts w:ascii="Arial" w:hAnsi="Arial" w:cs="Arial"/>
                <w:sz w:val="18"/>
                <w:szCs w:val="18"/>
                <w:lang w:val="es-ES"/>
              </w:rPr>
              <w:t>24,2</w:t>
            </w:r>
            <w:r w:rsidR="00215105">
              <w:rPr>
                <w:rFonts w:ascii="Arial" w:hAnsi="Arial" w:cs="Arial"/>
                <w:sz w:val="18"/>
                <w:szCs w:val="18"/>
                <w:lang w:val="es-ES"/>
              </w:rPr>
              <w:t>%</w:t>
            </w:r>
          </w:p>
        </w:tc>
        <w:tc>
          <w:tcPr>
            <w:tcW w:w="617" w:type="dxa"/>
          </w:tcPr>
          <w:p w14:paraId="79C0A344" w14:textId="77777777" w:rsidR="009D3056" w:rsidRPr="006D409C" w:rsidRDefault="009D3056" w:rsidP="009D3056">
            <w:pPr>
              <w:rPr>
                <w:rFonts w:ascii="Arial" w:hAnsi="Arial" w:cs="Arial"/>
                <w:sz w:val="18"/>
                <w:szCs w:val="18"/>
                <w:lang w:val="es-ES"/>
              </w:rPr>
            </w:pPr>
          </w:p>
        </w:tc>
        <w:tc>
          <w:tcPr>
            <w:tcW w:w="617" w:type="dxa"/>
          </w:tcPr>
          <w:p w14:paraId="6E446BE0" w14:textId="77777777" w:rsidR="009D3056" w:rsidRPr="006D409C" w:rsidRDefault="009D3056" w:rsidP="009D3056">
            <w:pPr>
              <w:rPr>
                <w:rFonts w:ascii="Arial" w:hAnsi="Arial" w:cs="Arial"/>
                <w:sz w:val="18"/>
                <w:szCs w:val="18"/>
                <w:lang w:val="es-ES"/>
              </w:rPr>
            </w:pPr>
          </w:p>
        </w:tc>
        <w:tc>
          <w:tcPr>
            <w:tcW w:w="617" w:type="dxa"/>
          </w:tcPr>
          <w:p w14:paraId="51EB5A19" w14:textId="77777777" w:rsidR="009D3056" w:rsidRPr="006D409C" w:rsidRDefault="009D3056" w:rsidP="009D3056">
            <w:pPr>
              <w:rPr>
                <w:rFonts w:ascii="Arial" w:hAnsi="Arial" w:cs="Arial"/>
                <w:sz w:val="18"/>
                <w:szCs w:val="18"/>
                <w:lang w:val="es-ES"/>
              </w:rPr>
            </w:pPr>
          </w:p>
        </w:tc>
        <w:tc>
          <w:tcPr>
            <w:tcW w:w="617" w:type="dxa"/>
          </w:tcPr>
          <w:p w14:paraId="4CEC564F" w14:textId="77777777" w:rsidR="009D3056" w:rsidRPr="006D409C" w:rsidRDefault="009D3056" w:rsidP="009D3056">
            <w:pPr>
              <w:rPr>
                <w:rFonts w:ascii="Arial" w:hAnsi="Arial" w:cs="Arial"/>
                <w:sz w:val="18"/>
                <w:szCs w:val="18"/>
                <w:lang w:val="es-ES"/>
              </w:rPr>
            </w:pPr>
          </w:p>
        </w:tc>
        <w:tc>
          <w:tcPr>
            <w:tcW w:w="617" w:type="dxa"/>
          </w:tcPr>
          <w:p w14:paraId="21B7FDC0" w14:textId="77777777" w:rsidR="009D3056" w:rsidRPr="006D409C" w:rsidRDefault="009D3056" w:rsidP="009D3056">
            <w:pPr>
              <w:rPr>
                <w:rFonts w:ascii="Arial" w:hAnsi="Arial" w:cs="Arial"/>
                <w:sz w:val="18"/>
                <w:szCs w:val="18"/>
                <w:lang w:val="es-ES"/>
              </w:rPr>
            </w:pPr>
          </w:p>
        </w:tc>
        <w:tc>
          <w:tcPr>
            <w:tcW w:w="617" w:type="dxa"/>
          </w:tcPr>
          <w:p w14:paraId="2A8E7B8E" w14:textId="77777777" w:rsidR="009D3056" w:rsidRPr="006D409C" w:rsidRDefault="009D3056" w:rsidP="009D3056">
            <w:pPr>
              <w:rPr>
                <w:rFonts w:ascii="Arial" w:hAnsi="Arial" w:cs="Arial"/>
                <w:sz w:val="18"/>
                <w:szCs w:val="18"/>
                <w:lang w:val="es-ES"/>
              </w:rPr>
            </w:pPr>
          </w:p>
        </w:tc>
        <w:tc>
          <w:tcPr>
            <w:tcW w:w="617" w:type="dxa"/>
          </w:tcPr>
          <w:p w14:paraId="3726B108" w14:textId="77777777" w:rsidR="009D3056" w:rsidRPr="006D409C" w:rsidRDefault="009D3056" w:rsidP="009D3056">
            <w:pPr>
              <w:rPr>
                <w:rFonts w:ascii="Arial" w:hAnsi="Arial" w:cs="Arial"/>
                <w:sz w:val="18"/>
                <w:szCs w:val="18"/>
                <w:lang w:val="es-ES"/>
              </w:rPr>
            </w:pPr>
          </w:p>
        </w:tc>
        <w:tc>
          <w:tcPr>
            <w:tcW w:w="617" w:type="dxa"/>
          </w:tcPr>
          <w:p w14:paraId="62624D75" w14:textId="77777777" w:rsidR="009D3056" w:rsidRPr="006D409C" w:rsidRDefault="009D3056" w:rsidP="009D3056">
            <w:pPr>
              <w:rPr>
                <w:rFonts w:ascii="Arial" w:hAnsi="Arial" w:cs="Arial"/>
                <w:sz w:val="18"/>
                <w:szCs w:val="18"/>
                <w:lang w:val="es-ES"/>
              </w:rPr>
            </w:pPr>
          </w:p>
        </w:tc>
        <w:tc>
          <w:tcPr>
            <w:tcW w:w="617" w:type="dxa"/>
          </w:tcPr>
          <w:p w14:paraId="70425B44" w14:textId="77777777" w:rsidR="009D3056" w:rsidRPr="006D409C" w:rsidRDefault="009D3056" w:rsidP="009D3056">
            <w:pPr>
              <w:rPr>
                <w:rFonts w:ascii="Arial" w:hAnsi="Arial" w:cs="Arial"/>
                <w:sz w:val="18"/>
                <w:szCs w:val="18"/>
                <w:lang w:val="es-ES"/>
              </w:rPr>
            </w:pPr>
          </w:p>
        </w:tc>
        <w:tc>
          <w:tcPr>
            <w:tcW w:w="677" w:type="dxa"/>
          </w:tcPr>
          <w:p w14:paraId="3CB430C5" w14:textId="77777777" w:rsidR="009D3056" w:rsidRPr="006D409C" w:rsidRDefault="009D3056" w:rsidP="009D3056">
            <w:pPr>
              <w:rPr>
                <w:rFonts w:ascii="Arial" w:hAnsi="Arial" w:cs="Arial"/>
                <w:sz w:val="18"/>
                <w:szCs w:val="18"/>
                <w:lang w:val="es-ES"/>
              </w:rPr>
            </w:pPr>
          </w:p>
        </w:tc>
      </w:tr>
    </w:tbl>
    <w:p w14:paraId="5F02C9A1" w14:textId="585F8ACA" w:rsidR="009D3056" w:rsidRPr="00DD789B" w:rsidRDefault="00AF20EB" w:rsidP="00DA2D4C">
      <w:pPr>
        <w:pStyle w:val="Paragraph"/>
        <w:numPr>
          <w:ilvl w:val="1"/>
          <w:numId w:val="2"/>
        </w:numPr>
        <w:tabs>
          <w:tab w:val="num" w:pos="720"/>
        </w:tabs>
        <w:autoSpaceDE w:val="0"/>
        <w:autoSpaceDN w:val="0"/>
        <w:adjustRightInd w:val="0"/>
        <w:spacing w:before="240"/>
        <w:ind w:left="720" w:hanging="720"/>
      </w:pPr>
      <w:r w:rsidRPr="00DD789B">
        <w:rPr>
          <w:rFonts w:ascii="Arial" w:hAnsi="Arial" w:cs="Arial"/>
          <w:sz w:val="22"/>
          <w:szCs w:val="22"/>
          <w:lang w:val="es-US"/>
        </w:rPr>
        <w:t>El</w:t>
      </w:r>
      <w:r w:rsidRPr="00DD789B">
        <w:rPr>
          <w:rFonts w:ascii="Arial" w:hAnsi="Arial" w:cs="Arial"/>
          <w:sz w:val="22"/>
          <w:szCs w:val="22"/>
        </w:rPr>
        <w:t xml:space="preserve"> proyecto de la SE Toncontín arroja resultados </w:t>
      </w:r>
      <w:r w:rsidR="00DD789B">
        <w:rPr>
          <w:rFonts w:ascii="Arial" w:hAnsi="Arial" w:cs="Arial"/>
          <w:sz w:val="22"/>
          <w:szCs w:val="22"/>
        </w:rPr>
        <w:t>de</w:t>
      </w:r>
      <w:r w:rsidR="00DD789B" w:rsidRPr="00DD789B">
        <w:rPr>
          <w:rFonts w:ascii="Arial" w:hAnsi="Arial" w:cs="Arial"/>
          <w:sz w:val="22"/>
          <w:szCs w:val="22"/>
        </w:rPr>
        <w:t xml:space="preserve"> rentabilidad económica positiva al cuantificar los beneficios esperados por ganancias en confiabilidad del sistema, </w:t>
      </w:r>
      <w:r w:rsidR="00DD789B">
        <w:rPr>
          <w:rFonts w:ascii="Arial" w:hAnsi="Arial" w:cs="Arial"/>
          <w:sz w:val="22"/>
          <w:szCs w:val="22"/>
        </w:rPr>
        <w:t xml:space="preserve">resultantes de </w:t>
      </w:r>
      <w:r w:rsidR="00DD789B" w:rsidRPr="00DD789B">
        <w:rPr>
          <w:rFonts w:ascii="Arial" w:hAnsi="Arial" w:cs="Arial"/>
          <w:sz w:val="22"/>
          <w:szCs w:val="22"/>
        </w:rPr>
        <w:t xml:space="preserve">reducir significativamente el tiempo de racionamiento que se </w:t>
      </w:r>
      <w:r w:rsidR="00DD789B">
        <w:rPr>
          <w:rFonts w:ascii="Arial" w:hAnsi="Arial" w:cs="Arial"/>
          <w:sz w:val="22"/>
          <w:szCs w:val="22"/>
        </w:rPr>
        <w:t>enfrenta</w:t>
      </w:r>
      <w:r w:rsidR="00DD789B" w:rsidRPr="00DD789B">
        <w:rPr>
          <w:rFonts w:ascii="Arial" w:hAnsi="Arial" w:cs="Arial"/>
          <w:sz w:val="22"/>
          <w:szCs w:val="22"/>
        </w:rPr>
        <w:t xml:space="preserve"> actualmente.  El caso base propuesto resulta en un Valor Presente </w:t>
      </w:r>
      <w:r w:rsidR="00DD789B" w:rsidRPr="00DD789B">
        <w:rPr>
          <w:rFonts w:ascii="Arial" w:hAnsi="Arial" w:cs="Arial"/>
          <w:sz w:val="22"/>
          <w:szCs w:val="22"/>
        </w:rPr>
        <w:lastRenderedPageBreak/>
        <w:t>Neto Económico de US$</w:t>
      </w:r>
      <w:r w:rsidR="0002031A">
        <w:rPr>
          <w:rFonts w:ascii="Arial" w:hAnsi="Arial" w:cs="Arial"/>
          <w:sz w:val="22"/>
          <w:szCs w:val="22"/>
        </w:rPr>
        <w:t>1,8</w:t>
      </w:r>
      <w:r w:rsidR="00DD789B" w:rsidRPr="00DD789B">
        <w:rPr>
          <w:rFonts w:ascii="Arial" w:hAnsi="Arial" w:cs="Arial"/>
          <w:sz w:val="22"/>
          <w:szCs w:val="22"/>
        </w:rPr>
        <w:t xml:space="preserve"> millones, lo que significa que </w:t>
      </w:r>
      <w:r w:rsidR="0035348B">
        <w:rPr>
          <w:rFonts w:ascii="Arial" w:hAnsi="Arial" w:cs="Arial"/>
          <w:sz w:val="22"/>
          <w:szCs w:val="22"/>
        </w:rPr>
        <w:t>al tercer año</w:t>
      </w:r>
      <w:r w:rsidR="00DD789B" w:rsidRPr="00DD789B">
        <w:rPr>
          <w:rFonts w:ascii="Arial" w:hAnsi="Arial" w:cs="Arial"/>
          <w:sz w:val="22"/>
          <w:szCs w:val="22"/>
        </w:rPr>
        <w:t xml:space="preserve"> se recupera la inversión realizada. La tasa interna de retorno económico es de </w:t>
      </w:r>
      <w:r w:rsidR="0002031A">
        <w:rPr>
          <w:rFonts w:ascii="Arial" w:hAnsi="Arial" w:cs="Arial"/>
          <w:sz w:val="22"/>
          <w:szCs w:val="22"/>
        </w:rPr>
        <w:t>24,2</w:t>
      </w:r>
      <w:r w:rsidR="00DD789B" w:rsidRPr="00DD789B">
        <w:rPr>
          <w:rFonts w:ascii="Arial" w:hAnsi="Arial" w:cs="Arial"/>
          <w:sz w:val="22"/>
          <w:szCs w:val="22"/>
        </w:rPr>
        <w:t>%.</w:t>
      </w:r>
    </w:p>
    <w:p w14:paraId="6F53FBBE" w14:textId="0DC800D3" w:rsidR="00117770" w:rsidRPr="00CD6EC3" w:rsidRDefault="00117770" w:rsidP="00E65A9E">
      <w:pPr>
        <w:pStyle w:val="FirstHeading"/>
        <w:snapToGrid w:val="0"/>
        <w:spacing w:after="0"/>
        <w:ind w:left="720"/>
        <w:rPr>
          <w:rFonts w:ascii="Arial" w:hAnsi="Arial" w:cs="Arial"/>
          <w:sz w:val="22"/>
          <w:szCs w:val="22"/>
        </w:rPr>
      </w:pPr>
      <w:bookmarkStart w:id="26" w:name="_Toc483312826"/>
      <w:bookmarkStart w:id="27" w:name="_Hlk482556882"/>
      <w:r w:rsidRPr="00CD6EC3">
        <w:rPr>
          <w:rFonts w:ascii="Arial" w:hAnsi="Arial" w:cs="Arial"/>
          <w:sz w:val="22"/>
          <w:szCs w:val="22"/>
        </w:rPr>
        <w:t>D.</w:t>
      </w:r>
      <w:r w:rsidRPr="00CD6EC3">
        <w:rPr>
          <w:rFonts w:ascii="Arial" w:hAnsi="Arial" w:cs="Arial"/>
          <w:sz w:val="22"/>
          <w:szCs w:val="22"/>
        </w:rPr>
        <w:tab/>
        <w:t>Análisis de Sensibilidad</w:t>
      </w:r>
      <w:bookmarkEnd w:id="26"/>
    </w:p>
    <w:tbl>
      <w:tblPr>
        <w:tblStyle w:val="TableGrid"/>
        <w:tblW w:w="8505" w:type="dxa"/>
        <w:tblInd w:w="-5" w:type="dxa"/>
        <w:tblLook w:val="04A0" w:firstRow="1" w:lastRow="0" w:firstColumn="1" w:lastColumn="0" w:noHBand="0" w:noVBand="1"/>
      </w:tblPr>
      <w:tblGrid>
        <w:gridCol w:w="2790"/>
        <w:gridCol w:w="1440"/>
        <w:gridCol w:w="1440"/>
        <w:gridCol w:w="1440"/>
        <w:gridCol w:w="1388"/>
        <w:gridCol w:w="7"/>
      </w:tblGrid>
      <w:tr w:rsidR="002B3B9F" w14:paraId="63BBB3B3" w14:textId="77777777" w:rsidTr="002B3B9F">
        <w:trPr>
          <w:trHeight w:val="431"/>
        </w:trPr>
        <w:tc>
          <w:tcPr>
            <w:tcW w:w="8505" w:type="dxa"/>
            <w:gridSpan w:val="6"/>
            <w:tcBorders>
              <w:top w:val="nil"/>
              <w:left w:val="nil"/>
              <w:right w:val="nil"/>
            </w:tcBorders>
            <w:shd w:val="clear" w:color="auto" w:fill="auto"/>
          </w:tcPr>
          <w:p w14:paraId="59EFE89D" w14:textId="2E8AC310" w:rsidR="002B3B9F" w:rsidRPr="00CB3898" w:rsidRDefault="002B3B9F" w:rsidP="002B3B9F">
            <w:pPr>
              <w:pStyle w:val="Paragraph"/>
              <w:tabs>
                <w:tab w:val="num" w:pos="720"/>
              </w:tabs>
              <w:snapToGrid w:val="0"/>
              <w:jc w:val="center"/>
              <w:rPr>
                <w:rFonts w:ascii="Arial" w:hAnsi="Arial" w:cs="Arial"/>
                <w:b/>
                <w:sz w:val="18"/>
                <w:szCs w:val="18"/>
              </w:rPr>
            </w:pPr>
            <w:bookmarkStart w:id="28" w:name="_Hlk483818655"/>
            <w:r>
              <w:rPr>
                <w:rFonts w:ascii="Arial" w:hAnsi="Arial" w:cs="Arial"/>
                <w:b/>
                <w:sz w:val="18"/>
                <w:szCs w:val="18"/>
              </w:rPr>
              <w:t>Resumen Evaluación económica y de sensibilidad</w:t>
            </w:r>
          </w:p>
        </w:tc>
      </w:tr>
      <w:bookmarkEnd w:id="27"/>
      <w:tr w:rsidR="00CB3898" w14:paraId="011D60D5" w14:textId="77777777" w:rsidTr="00CB3898">
        <w:tc>
          <w:tcPr>
            <w:tcW w:w="2790" w:type="dxa"/>
            <w:vMerge w:val="restart"/>
          </w:tcPr>
          <w:p w14:paraId="4DCF9044" w14:textId="77777777" w:rsidR="00CB3898" w:rsidRPr="00CB3898" w:rsidRDefault="00CB3898" w:rsidP="00117770">
            <w:pPr>
              <w:pStyle w:val="Paragraph"/>
              <w:tabs>
                <w:tab w:val="num" w:pos="720"/>
              </w:tabs>
              <w:snapToGrid w:val="0"/>
              <w:rPr>
                <w:rFonts w:ascii="Arial" w:hAnsi="Arial" w:cs="Arial"/>
                <w:sz w:val="18"/>
                <w:szCs w:val="18"/>
              </w:rPr>
            </w:pPr>
          </w:p>
        </w:tc>
        <w:tc>
          <w:tcPr>
            <w:tcW w:w="2880" w:type="dxa"/>
            <w:gridSpan w:val="2"/>
            <w:shd w:val="clear" w:color="auto" w:fill="D9D9D9" w:themeFill="background1" w:themeFillShade="D9"/>
          </w:tcPr>
          <w:p w14:paraId="253B618A" w14:textId="6A2DAF8E" w:rsidR="00CB3898" w:rsidRPr="00CB3898" w:rsidRDefault="00DC0A71" w:rsidP="00CB3898">
            <w:pPr>
              <w:pStyle w:val="Paragraph"/>
              <w:tabs>
                <w:tab w:val="num" w:pos="720"/>
              </w:tabs>
              <w:snapToGrid w:val="0"/>
              <w:jc w:val="center"/>
              <w:rPr>
                <w:rFonts w:ascii="Arial" w:hAnsi="Arial" w:cs="Arial"/>
                <w:b/>
                <w:sz w:val="18"/>
                <w:szCs w:val="18"/>
              </w:rPr>
            </w:pPr>
            <w:r>
              <w:rPr>
                <w:rFonts w:ascii="Arial" w:hAnsi="Arial" w:cs="Arial"/>
                <w:b/>
                <w:sz w:val="18"/>
                <w:szCs w:val="18"/>
              </w:rPr>
              <w:t xml:space="preserve">SE </w:t>
            </w:r>
            <w:r w:rsidR="00CB3898" w:rsidRPr="00CB3898">
              <w:rPr>
                <w:rFonts w:ascii="Arial" w:hAnsi="Arial" w:cs="Arial"/>
                <w:b/>
                <w:sz w:val="18"/>
                <w:szCs w:val="18"/>
              </w:rPr>
              <w:t>Progreso</w:t>
            </w:r>
          </w:p>
        </w:tc>
        <w:tc>
          <w:tcPr>
            <w:tcW w:w="2835" w:type="dxa"/>
            <w:gridSpan w:val="3"/>
            <w:shd w:val="clear" w:color="auto" w:fill="D9D9D9" w:themeFill="background1" w:themeFillShade="D9"/>
          </w:tcPr>
          <w:p w14:paraId="5CFD6BCC" w14:textId="3B4AC9AC" w:rsidR="00CB3898" w:rsidRPr="00CB3898" w:rsidRDefault="00CB3898" w:rsidP="00CB3898">
            <w:pPr>
              <w:pStyle w:val="Paragraph"/>
              <w:tabs>
                <w:tab w:val="num" w:pos="720"/>
              </w:tabs>
              <w:snapToGrid w:val="0"/>
              <w:jc w:val="center"/>
              <w:rPr>
                <w:rFonts w:ascii="Arial" w:hAnsi="Arial" w:cs="Arial"/>
                <w:b/>
                <w:sz w:val="18"/>
                <w:szCs w:val="18"/>
              </w:rPr>
            </w:pPr>
            <w:r w:rsidRPr="00CB3898">
              <w:rPr>
                <w:rFonts w:ascii="Arial" w:hAnsi="Arial" w:cs="Arial"/>
                <w:b/>
                <w:sz w:val="18"/>
                <w:szCs w:val="18"/>
              </w:rPr>
              <w:t>SE Toncontín</w:t>
            </w:r>
          </w:p>
        </w:tc>
      </w:tr>
      <w:tr w:rsidR="00CB3898" w14:paraId="051AE61B" w14:textId="77777777" w:rsidTr="00CB3898">
        <w:trPr>
          <w:gridAfter w:val="1"/>
          <w:wAfter w:w="7" w:type="dxa"/>
        </w:trPr>
        <w:tc>
          <w:tcPr>
            <w:tcW w:w="2790" w:type="dxa"/>
            <w:vMerge/>
          </w:tcPr>
          <w:p w14:paraId="5F18782F" w14:textId="71E9B9CE" w:rsidR="00CB3898" w:rsidRPr="00CB3898" w:rsidRDefault="00CB3898" w:rsidP="00117770">
            <w:pPr>
              <w:pStyle w:val="Paragraph"/>
              <w:tabs>
                <w:tab w:val="num" w:pos="720"/>
              </w:tabs>
              <w:snapToGrid w:val="0"/>
              <w:rPr>
                <w:rFonts w:ascii="Arial" w:hAnsi="Arial" w:cs="Arial"/>
                <w:sz w:val="18"/>
                <w:szCs w:val="18"/>
              </w:rPr>
            </w:pPr>
          </w:p>
        </w:tc>
        <w:tc>
          <w:tcPr>
            <w:tcW w:w="1440" w:type="dxa"/>
            <w:shd w:val="clear" w:color="auto" w:fill="D9D9D9" w:themeFill="background1" w:themeFillShade="D9"/>
          </w:tcPr>
          <w:p w14:paraId="48C794BE" w14:textId="4A327AFD" w:rsidR="00CB3898" w:rsidRPr="00CB3898" w:rsidRDefault="00CB3898" w:rsidP="00CB3898">
            <w:pPr>
              <w:pStyle w:val="Paragraph"/>
              <w:tabs>
                <w:tab w:val="num" w:pos="720"/>
              </w:tabs>
              <w:snapToGrid w:val="0"/>
              <w:jc w:val="center"/>
              <w:rPr>
                <w:rFonts w:ascii="Arial" w:hAnsi="Arial" w:cs="Arial"/>
                <w:b/>
                <w:sz w:val="18"/>
                <w:szCs w:val="18"/>
              </w:rPr>
            </w:pPr>
            <w:r w:rsidRPr="00CB3898">
              <w:rPr>
                <w:rFonts w:ascii="Arial" w:hAnsi="Arial" w:cs="Arial"/>
                <w:b/>
                <w:sz w:val="18"/>
                <w:szCs w:val="18"/>
              </w:rPr>
              <w:t>VPN</w:t>
            </w:r>
            <w:r w:rsidR="003834E9">
              <w:rPr>
                <w:rFonts w:ascii="Arial" w:hAnsi="Arial" w:cs="Arial"/>
                <w:b/>
                <w:sz w:val="18"/>
                <w:szCs w:val="18"/>
              </w:rPr>
              <w:t>E</w:t>
            </w:r>
            <w:r w:rsidR="000E3E55">
              <w:rPr>
                <w:rFonts w:ascii="Arial" w:hAnsi="Arial" w:cs="Arial"/>
                <w:b/>
                <w:sz w:val="18"/>
                <w:szCs w:val="18"/>
              </w:rPr>
              <w:t xml:space="preserve"> (US$ millones)</w:t>
            </w:r>
          </w:p>
        </w:tc>
        <w:tc>
          <w:tcPr>
            <w:tcW w:w="1440" w:type="dxa"/>
            <w:shd w:val="clear" w:color="auto" w:fill="D9D9D9" w:themeFill="background1" w:themeFillShade="D9"/>
          </w:tcPr>
          <w:p w14:paraId="2BA21105" w14:textId="08410E82" w:rsidR="00CB3898" w:rsidRPr="00CB3898" w:rsidRDefault="00CB3898" w:rsidP="00CB3898">
            <w:pPr>
              <w:pStyle w:val="Paragraph"/>
              <w:tabs>
                <w:tab w:val="num" w:pos="720"/>
              </w:tabs>
              <w:snapToGrid w:val="0"/>
              <w:jc w:val="center"/>
              <w:rPr>
                <w:rFonts w:ascii="Arial" w:hAnsi="Arial" w:cs="Arial"/>
                <w:b/>
                <w:sz w:val="18"/>
                <w:szCs w:val="18"/>
              </w:rPr>
            </w:pPr>
            <w:r w:rsidRPr="00CB3898">
              <w:rPr>
                <w:rFonts w:ascii="Arial" w:hAnsi="Arial" w:cs="Arial"/>
                <w:b/>
                <w:sz w:val="18"/>
                <w:szCs w:val="18"/>
              </w:rPr>
              <w:t>TIRE</w:t>
            </w:r>
            <w:r w:rsidR="000E3E55">
              <w:rPr>
                <w:rFonts w:ascii="Arial" w:hAnsi="Arial" w:cs="Arial"/>
                <w:b/>
                <w:sz w:val="18"/>
                <w:szCs w:val="18"/>
              </w:rPr>
              <w:t xml:space="preserve"> (%)</w:t>
            </w:r>
          </w:p>
        </w:tc>
        <w:tc>
          <w:tcPr>
            <w:tcW w:w="1440" w:type="dxa"/>
            <w:shd w:val="clear" w:color="auto" w:fill="D9D9D9" w:themeFill="background1" w:themeFillShade="D9"/>
          </w:tcPr>
          <w:p w14:paraId="0373B80C" w14:textId="27CCE80B" w:rsidR="00CB3898" w:rsidRPr="00CB3898" w:rsidRDefault="000E3E55" w:rsidP="00CB3898">
            <w:pPr>
              <w:pStyle w:val="Paragraph"/>
              <w:tabs>
                <w:tab w:val="num" w:pos="720"/>
              </w:tabs>
              <w:snapToGrid w:val="0"/>
              <w:jc w:val="center"/>
              <w:rPr>
                <w:rFonts w:ascii="Arial" w:hAnsi="Arial" w:cs="Arial"/>
                <w:b/>
                <w:sz w:val="18"/>
                <w:szCs w:val="18"/>
              </w:rPr>
            </w:pPr>
            <w:r w:rsidRPr="000E3E55">
              <w:rPr>
                <w:rFonts w:ascii="Arial" w:hAnsi="Arial" w:cs="Arial"/>
                <w:b/>
                <w:sz w:val="18"/>
                <w:szCs w:val="18"/>
              </w:rPr>
              <w:t>VPNE (US$ millones)</w:t>
            </w:r>
          </w:p>
        </w:tc>
        <w:tc>
          <w:tcPr>
            <w:tcW w:w="1388" w:type="dxa"/>
            <w:shd w:val="clear" w:color="auto" w:fill="D9D9D9" w:themeFill="background1" w:themeFillShade="D9"/>
          </w:tcPr>
          <w:p w14:paraId="096865ED" w14:textId="1FCEA895" w:rsidR="00CB3898" w:rsidRPr="00CB3898" w:rsidRDefault="00CB3898" w:rsidP="00CB3898">
            <w:pPr>
              <w:pStyle w:val="Paragraph"/>
              <w:tabs>
                <w:tab w:val="num" w:pos="720"/>
              </w:tabs>
              <w:snapToGrid w:val="0"/>
              <w:jc w:val="center"/>
              <w:rPr>
                <w:rFonts w:ascii="Arial" w:hAnsi="Arial" w:cs="Arial"/>
                <w:b/>
                <w:sz w:val="18"/>
                <w:szCs w:val="18"/>
              </w:rPr>
            </w:pPr>
            <w:r w:rsidRPr="00CB3898">
              <w:rPr>
                <w:rFonts w:ascii="Arial" w:hAnsi="Arial" w:cs="Arial"/>
                <w:b/>
                <w:sz w:val="18"/>
                <w:szCs w:val="18"/>
              </w:rPr>
              <w:t>TIRE</w:t>
            </w:r>
            <w:r w:rsidR="000E3E55">
              <w:rPr>
                <w:rFonts w:ascii="Arial" w:hAnsi="Arial" w:cs="Arial"/>
                <w:b/>
                <w:sz w:val="18"/>
                <w:szCs w:val="18"/>
              </w:rPr>
              <w:t xml:space="preserve"> (%)</w:t>
            </w:r>
          </w:p>
        </w:tc>
      </w:tr>
      <w:tr w:rsidR="00CB3898" w14:paraId="231D6982" w14:textId="77777777" w:rsidTr="00CB3898">
        <w:trPr>
          <w:gridAfter w:val="1"/>
          <w:wAfter w:w="7" w:type="dxa"/>
        </w:trPr>
        <w:tc>
          <w:tcPr>
            <w:tcW w:w="2790" w:type="dxa"/>
          </w:tcPr>
          <w:p w14:paraId="73FA4557" w14:textId="7C413083" w:rsidR="00CB3898" w:rsidRPr="00CB3898" w:rsidRDefault="00CB3898" w:rsidP="00CB3898">
            <w:pPr>
              <w:pStyle w:val="Paragraph"/>
              <w:tabs>
                <w:tab w:val="num" w:pos="720"/>
              </w:tabs>
              <w:snapToGrid w:val="0"/>
              <w:rPr>
                <w:rFonts w:ascii="Arial" w:hAnsi="Arial" w:cs="Arial"/>
                <w:sz w:val="18"/>
                <w:szCs w:val="18"/>
              </w:rPr>
            </w:pPr>
            <w:r w:rsidRPr="00CB3898">
              <w:rPr>
                <w:rFonts w:ascii="Arial" w:hAnsi="Arial" w:cs="Arial"/>
                <w:sz w:val="18"/>
                <w:szCs w:val="18"/>
              </w:rPr>
              <w:t>Caso Base</w:t>
            </w:r>
          </w:p>
        </w:tc>
        <w:tc>
          <w:tcPr>
            <w:tcW w:w="1440" w:type="dxa"/>
          </w:tcPr>
          <w:p w14:paraId="634308E6" w14:textId="34F06344" w:rsidR="00CB3898" w:rsidRPr="00CB3898" w:rsidRDefault="005D577E" w:rsidP="000E3E55">
            <w:pPr>
              <w:pStyle w:val="Paragraph"/>
              <w:tabs>
                <w:tab w:val="num" w:pos="720"/>
              </w:tabs>
              <w:snapToGrid w:val="0"/>
              <w:jc w:val="center"/>
              <w:rPr>
                <w:rFonts w:ascii="Arial" w:hAnsi="Arial" w:cs="Arial"/>
                <w:sz w:val="18"/>
                <w:szCs w:val="18"/>
              </w:rPr>
            </w:pPr>
            <w:r>
              <w:rPr>
                <w:rFonts w:ascii="Arial" w:hAnsi="Arial" w:cs="Arial"/>
                <w:sz w:val="18"/>
                <w:szCs w:val="18"/>
              </w:rPr>
              <w:t>18,</w:t>
            </w:r>
            <w:r w:rsidR="00E82C42">
              <w:rPr>
                <w:rFonts w:ascii="Arial" w:hAnsi="Arial" w:cs="Arial"/>
                <w:sz w:val="18"/>
                <w:szCs w:val="18"/>
              </w:rPr>
              <w:t>58</w:t>
            </w:r>
          </w:p>
        </w:tc>
        <w:tc>
          <w:tcPr>
            <w:tcW w:w="1440" w:type="dxa"/>
          </w:tcPr>
          <w:p w14:paraId="1DB947C8" w14:textId="631D300A" w:rsidR="00CB3898" w:rsidRPr="00CB3898" w:rsidRDefault="005D577E" w:rsidP="000E3E55">
            <w:pPr>
              <w:pStyle w:val="Paragraph"/>
              <w:tabs>
                <w:tab w:val="num" w:pos="720"/>
              </w:tabs>
              <w:snapToGrid w:val="0"/>
              <w:jc w:val="center"/>
              <w:rPr>
                <w:rFonts w:ascii="Arial" w:hAnsi="Arial" w:cs="Arial"/>
                <w:sz w:val="18"/>
                <w:szCs w:val="18"/>
              </w:rPr>
            </w:pPr>
            <w:r>
              <w:rPr>
                <w:rFonts w:ascii="Arial" w:hAnsi="Arial" w:cs="Arial"/>
                <w:sz w:val="18"/>
                <w:szCs w:val="18"/>
              </w:rPr>
              <w:t>70,</w:t>
            </w:r>
            <w:r w:rsidR="00E82C42">
              <w:rPr>
                <w:rFonts w:ascii="Arial" w:hAnsi="Arial" w:cs="Arial"/>
                <w:sz w:val="18"/>
                <w:szCs w:val="18"/>
              </w:rPr>
              <w:t>9</w:t>
            </w:r>
          </w:p>
        </w:tc>
        <w:tc>
          <w:tcPr>
            <w:tcW w:w="1440" w:type="dxa"/>
          </w:tcPr>
          <w:p w14:paraId="68039088" w14:textId="6D5B6885" w:rsidR="00CB3898" w:rsidRPr="00CB3898" w:rsidRDefault="005D577E" w:rsidP="000E3E55">
            <w:pPr>
              <w:pStyle w:val="Paragraph"/>
              <w:tabs>
                <w:tab w:val="num" w:pos="720"/>
              </w:tabs>
              <w:snapToGrid w:val="0"/>
              <w:jc w:val="center"/>
              <w:rPr>
                <w:rFonts w:ascii="Arial" w:hAnsi="Arial" w:cs="Arial"/>
                <w:sz w:val="18"/>
                <w:szCs w:val="18"/>
              </w:rPr>
            </w:pPr>
            <w:r>
              <w:rPr>
                <w:rFonts w:ascii="Arial" w:hAnsi="Arial" w:cs="Arial"/>
                <w:sz w:val="18"/>
                <w:szCs w:val="18"/>
              </w:rPr>
              <w:t>1,</w:t>
            </w:r>
            <w:r w:rsidR="00481B1D">
              <w:rPr>
                <w:rFonts w:ascii="Arial" w:hAnsi="Arial" w:cs="Arial"/>
                <w:sz w:val="18"/>
                <w:szCs w:val="18"/>
              </w:rPr>
              <w:t>8</w:t>
            </w:r>
          </w:p>
        </w:tc>
        <w:tc>
          <w:tcPr>
            <w:tcW w:w="1388" w:type="dxa"/>
          </w:tcPr>
          <w:p w14:paraId="6BCC992E" w14:textId="33E38E0C" w:rsidR="00CB3898" w:rsidRPr="00CB3898" w:rsidRDefault="005D577E" w:rsidP="000E3E55">
            <w:pPr>
              <w:pStyle w:val="Paragraph"/>
              <w:tabs>
                <w:tab w:val="num" w:pos="720"/>
              </w:tabs>
              <w:snapToGrid w:val="0"/>
              <w:jc w:val="center"/>
              <w:rPr>
                <w:rFonts w:ascii="Arial" w:hAnsi="Arial" w:cs="Arial"/>
                <w:sz w:val="18"/>
                <w:szCs w:val="18"/>
              </w:rPr>
            </w:pPr>
            <w:r>
              <w:rPr>
                <w:rFonts w:ascii="Arial" w:hAnsi="Arial" w:cs="Arial"/>
                <w:sz w:val="18"/>
                <w:szCs w:val="18"/>
              </w:rPr>
              <w:t>24,2</w:t>
            </w:r>
          </w:p>
        </w:tc>
      </w:tr>
      <w:tr w:rsidR="00CB3898" w14:paraId="1093AE46" w14:textId="77777777" w:rsidTr="00CB3898">
        <w:trPr>
          <w:gridAfter w:val="1"/>
          <w:wAfter w:w="7" w:type="dxa"/>
        </w:trPr>
        <w:tc>
          <w:tcPr>
            <w:tcW w:w="2790" w:type="dxa"/>
          </w:tcPr>
          <w:p w14:paraId="3A655401" w14:textId="2844315F" w:rsidR="00CB3898" w:rsidRPr="00CB3898" w:rsidRDefault="00CB3898" w:rsidP="00CB3898">
            <w:pPr>
              <w:pStyle w:val="Paragraph"/>
              <w:tabs>
                <w:tab w:val="num" w:pos="720"/>
              </w:tabs>
              <w:snapToGrid w:val="0"/>
              <w:rPr>
                <w:rFonts w:ascii="Arial" w:hAnsi="Arial" w:cs="Arial"/>
                <w:sz w:val="18"/>
                <w:szCs w:val="18"/>
              </w:rPr>
            </w:pPr>
            <w:r w:rsidRPr="00CB3898">
              <w:rPr>
                <w:rFonts w:ascii="Arial" w:hAnsi="Arial" w:cs="Arial"/>
                <w:b/>
                <w:sz w:val="20"/>
              </w:rPr>
              <w:t xml:space="preserve">↑ </w:t>
            </w:r>
            <w:r w:rsidRPr="00CB3898">
              <w:rPr>
                <w:rFonts w:ascii="Arial" w:hAnsi="Arial" w:cs="Arial"/>
                <w:sz w:val="18"/>
                <w:szCs w:val="18"/>
              </w:rPr>
              <w:t>20% Costo Inversión</w:t>
            </w:r>
          </w:p>
        </w:tc>
        <w:tc>
          <w:tcPr>
            <w:tcW w:w="1440" w:type="dxa"/>
          </w:tcPr>
          <w:p w14:paraId="5C54718B" w14:textId="76F3510D" w:rsidR="00CB3898" w:rsidRPr="00CB3898" w:rsidRDefault="001B59B0" w:rsidP="000E3E55">
            <w:pPr>
              <w:pStyle w:val="Paragraph"/>
              <w:tabs>
                <w:tab w:val="num" w:pos="720"/>
              </w:tabs>
              <w:snapToGrid w:val="0"/>
              <w:jc w:val="center"/>
              <w:rPr>
                <w:rFonts w:ascii="Arial" w:hAnsi="Arial" w:cs="Arial"/>
                <w:sz w:val="18"/>
                <w:szCs w:val="18"/>
              </w:rPr>
            </w:pPr>
            <w:r>
              <w:rPr>
                <w:rFonts w:ascii="Arial" w:hAnsi="Arial" w:cs="Arial"/>
                <w:sz w:val="18"/>
                <w:szCs w:val="18"/>
              </w:rPr>
              <w:t>1</w:t>
            </w:r>
            <w:r w:rsidR="00481B1D">
              <w:rPr>
                <w:rFonts w:ascii="Arial" w:hAnsi="Arial" w:cs="Arial"/>
                <w:sz w:val="18"/>
                <w:szCs w:val="18"/>
              </w:rPr>
              <w:t>7</w:t>
            </w:r>
            <w:r>
              <w:rPr>
                <w:rFonts w:ascii="Arial" w:hAnsi="Arial" w:cs="Arial"/>
                <w:sz w:val="18"/>
                <w:szCs w:val="18"/>
              </w:rPr>
              <w:t>,</w:t>
            </w:r>
            <w:r w:rsidR="00481B1D">
              <w:rPr>
                <w:rFonts w:ascii="Arial" w:hAnsi="Arial" w:cs="Arial"/>
                <w:sz w:val="18"/>
                <w:szCs w:val="18"/>
              </w:rPr>
              <w:t>6</w:t>
            </w:r>
            <w:r w:rsidR="00E82C42">
              <w:rPr>
                <w:rFonts w:ascii="Arial" w:hAnsi="Arial" w:cs="Arial"/>
                <w:sz w:val="18"/>
                <w:szCs w:val="18"/>
              </w:rPr>
              <w:t>4</w:t>
            </w:r>
          </w:p>
        </w:tc>
        <w:tc>
          <w:tcPr>
            <w:tcW w:w="1440" w:type="dxa"/>
          </w:tcPr>
          <w:p w14:paraId="2E94D0C4" w14:textId="08C58577" w:rsidR="00CB3898" w:rsidRPr="00CB3898" w:rsidRDefault="00481B1D" w:rsidP="000E3E55">
            <w:pPr>
              <w:pStyle w:val="Paragraph"/>
              <w:tabs>
                <w:tab w:val="num" w:pos="720"/>
              </w:tabs>
              <w:snapToGrid w:val="0"/>
              <w:jc w:val="center"/>
              <w:rPr>
                <w:rFonts w:ascii="Arial" w:hAnsi="Arial" w:cs="Arial"/>
                <w:sz w:val="18"/>
                <w:szCs w:val="18"/>
              </w:rPr>
            </w:pPr>
            <w:r>
              <w:rPr>
                <w:rFonts w:ascii="Arial" w:hAnsi="Arial" w:cs="Arial"/>
                <w:sz w:val="18"/>
                <w:szCs w:val="18"/>
              </w:rPr>
              <w:t>5</w:t>
            </w:r>
            <w:r w:rsidR="001B59B0">
              <w:rPr>
                <w:rFonts w:ascii="Arial" w:hAnsi="Arial" w:cs="Arial"/>
                <w:sz w:val="18"/>
                <w:szCs w:val="18"/>
              </w:rPr>
              <w:t>9,</w:t>
            </w:r>
            <w:r w:rsidR="00E82C42">
              <w:rPr>
                <w:rFonts w:ascii="Arial" w:hAnsi="Arial" w:cs="Arial"/>
                <w:sz w:val="18"/>
                <w:szCs w:val="18"/>
              </w:rPr>
              <w:t>6</w:t>
            </w:r>
          </w:p>
        </w:tc>
        <w:tc>
          <w:tcPr>
            <w:tcW w:w="1440" w:type="dxa"/>
          </w:tcPr>
          <w:p w14:paraId="1E19BEEE" w14:textId="510691F0" w:rsidR="00CB3898" w:rsidRPr="00CB3898" w:rsidRDefault="00481B1D" w:rsidP="000E3E55">
            <w:pPr>
              <w:pStyle w:val="Paragraph"/>
              <w:tabs>
                <w:tab w:val="num" w:pos="720"/>
              </w:tabs>
              <w:snapToGrid w:val="0"/>
              <w:jc w:val="center"/>
              <w:rPr>
                <w:rFonts w:ascii="Arial" w:hAnsi="Arial" w:cs="Arial"/>
                <w:sz w:val="18"/>
                <w:szCs w:val="18"/>
              </w:rPr>
            </w:pPr>
            <w:r>
              <w:rPr>
                <w:rFonts w:ascii="Arial" w:hAnsi="Arial" w:cs="Arial"/>
                <w:sz w:val="18"/>
                <w:szCs w:val="18"/>
              </w:rPr>
              <w:t>1,3</w:t>
            </w:r>
          </w:p>
        </w:tc>
        <w:tc>
          <w:tcPr>
            <w:tcW w:w="1388" w:type="dxa"/>
          </w:tcPr>
          <w:p w14:paraId="5CBE6E20" w14:textId="3D4161FD" w:rsidR="00CB3898" w:rsidRPr="00CB3898" w:rsidRDefault="00481B1D" w:rsidP="000E3E55">
            <w:pPr>
              <w:pStyle w:val="Paragraph"/>
              <w:tabs>
                <w:tab w:val="num" w:pos="720"/>
              </w:tabs>
              <w:snapToGrid w:val="0"/>
              <w:jc w:val="center"/>
              <w:rPr>
                <w:rFonts w:ascii="Arial" w:hAnsi="Arial" w:cs="Arial"/>
                <w:sz w:val="18"/>
                <w:szCs w:val="18"/>
              </w:rPr>
            </w:pPr>
            <w:r>
              <w:rPr>
                <w:rFonts w:ascii="Arial" w:hAnsi="Arial" w:cs="Arial"/>
                <w:sz w:val="18"/>
                <w:szCs w:val="18"/>
              </w:rPr>
              <w:t>19</w:t>
            </w:r>
            <w:r w:rsidR="00FA19F1">
              <w:rPr>
                <w:rFonts w:ascii="Arial" w:hAnsi="Arial" w:cs="Arial"/>
                <w:sz w:val="18"/>
                <w:szCs w:val="18"/>
              </w:rPr>
              <w:t>,</w:t>
            </w:r>
            <w:r>
              <w:rPr>
                <w:rFonts w:ascii="Arial" w:hAnsi="Arial" w:cs="Arial"/>
                <w:sz w:val="18"/>
                <w:szCs w:val="18"/>
              </w:rPr>
              <w:t>3</w:t>
            </w:r>
          </w:p>
        </w:tc>
      </w:tr>
      <w:tr w:rsidR="00CB3898" w14:paraId="7EBF0D60" w14:textId="77777777" w:rsidTr="00CB3898">
        <w:trPr>
          <w:gridAfter w:val="1"/>
          <w:wAfter w:w="7" w:type="dxa"/>
        </w:trPr>
        <w:tc>
          <w:tcPr>
            <w:tcW w:w="2790" w:type="dxa"/>
          </w:tcPr>
          <w:p w14:paraId="0C917572" w14:textId="2FAFBB06" w:rsidR="00CB3898" w:rsidRPr="00CB3898" w:rsidRDefault="00802C5E" w:rsidP="00CB3898">
            <w:pPr>
              <w:pStyle w:val="Paragraph"/>
              <w:tabs>
                <w:tab w:val="num" w:pos="720"/>
              </w:tabs>
              <w:snapToGrid w:val="0"/>
              <w:rPr>
                <w:rFonts w:ascii="Arial" w:hAnsi="Arial" w:cs="Arial"/>
                <w:sz w:val="18"/>
                <w:szCs w:val="18"/>
              </w:rPr>
            </w:pPr>
            <w:r w:rsidRPr="00802C5E">
              <w:rPr>
                <w:rFonts w:ascii="Arial" w:hAnsi="Arial" w:cs="Arial"/>
                <w:b/>
                <w:sz w:val="18"/>
                <w:szCs w:val="18"/>
                <w:lang w:val="es-ES_tradnl"/>
              </w:rPr>
              <w:t xml:space="preserve">↑ </w:t>
            </w:r>
            <w:r w:rsidRPr="00802C5E">
              <w:rPr>
                <w:rFonts w:ascii="Arial" w:hAnsi="Arial" w:cs="Arial"/>
                <w:sz w:val="18"/>
                <w:szCs w:val="18"/>
                <w:lang w:val="es-ES_tradnl"/>
              </w:rPr>
              <w:t>20% Costo</w:t>
            </w:r>
            <w:r>
              <w:rPr>
                <w:rFonts w:ascii="Arial" w:hAnsi="Arial" w:cs="Arial"/>
                <w:sz w:val="18"/>
                <w:szCs w:val="18"/>
                <w:lang w:val="es-ES_tradnl"/>
              </w:rPr>
              <w:t xml:space="preserve"> de O&amp;M</w:t>
            </w:r>
          </w:p>
        </w:tc>
        <w:tc>
          <w:tcPr>
            <w:tcW w:w="1440" w:type="dxa"/>
          </w:tcPr>
          <w:p w14:paraId="43534ADD" w14:textId="38173D56" w:rsidR="00CB3898" w:rsidRPr="00CB3898" w:rsidRDefault="00554794" w:rsidP="000E3E55">
            <w:pPr>
              <w:pStyle w:val="Paragraph"/>
              <w:tabs>
                <w:tab w:val="num" w:pos="720"/>
              </w:tabs>
              <w:snapToGrid w:val="0"/>
              <w:jc w:val="center"/>
              <w:rPr>
                <w:rFonts w:ascii="Arial" w:hAnsi="Arial" w:cs="Arial"/>
                <w:sz w:val="18"/>
                <w:szCs w:val="18"/>
              </w:rPr>
            </w:pPr>
            <w:r>
              <w:rPr>
                <w:rFonts w:ascii="Arial" w:hAnsi="Arial" w:cs="Arial"/>
                <w:sz w:val="18"/>
                <w:szCs w:val="18"/>
              </w:rPr>
              <w:t>18,4</w:t>
            </w:r>
            <w:r w:rsidR="00522B14">
              <w:rPr>
                <w:rFonts w:ascii="Arial" w:hAnsi="Arial" w:cs="Arial"/>
                <w:sz w:val="18"/>
                <w:szCs w:val="18"/>
              </w:rPr>
              <w:t>1</w:t>
            </w:r>
          </w:p>
        </w:tc>
        <w:tc>
          <w:tcPr>
            <w:tcW w:w="1440" w:type="dxa"/>
          </w:tcPr>
          <w:p w14:paraId="6D6BDFD1" w14:textId="66D3881B" w:rsidR="00CB3898" w:rsidRPr="00CB3898" w:rsidRDefault="00522B14" w:rsidP="000E3E55">
            <w:pPr>
              <w:pStyle w:val="Paragraph"/>
              <w:tabs>
                <w:tab w:val="num" w:pos="720"/>
              </w:tabs>
              <w:snapToGrid w:val="0"/>
              <w:jc w:val="center"/>
              <w:rPr>
                <w:rFonts w:ascii="Arial" w:hAnsi="Arial" w:cs="Arial"/>
                <w:sz w:val="18"/>
                <w:szCs w:val="18"/>
              </w:rPr>
            </w:pPr>
            <w:r>
              <w:rPr>
                <w:rFonts w:ascii="Arial" w:hAnsi="Arial" w:cs="Arial"/>
                <w:sz w:val="18"/>
                <w:szCs w:val="18"/>
              </w:rPr>
              <w:t>70,3</w:t>
            </w:r>
          </w:p>
        </w:tc>
        <w:tc>
          <w:tcPr>
            <w:tcW w:w="1440" w:type="dxa"/>
          </w:tcPr>
          <w:p w14:paraId="5E764577" w14:textId="6625BA5C" w:rsidR="00CB3898" w:rsidRPr="00CB3898" w:rsidRDefault="00481B1D" w:rsidP="000E3E55">
            <w:pPr>
              <w:pStyle w:val="Paragraph"/>
              <w:tabs>
                <w:tab w:val="num" w:pos="720"/>
              </w:tabs>
              <w:snapToGrid w:val="0"/>
              <w:jc w:val="center"/>
              <w:rPr>
                <w:rFonts w:ascii="Arial" w:hAnsi="Arial" w:cs="Arial"/>
                <w:sz w:val="18"/>
                <w:szCs w:val="18"/>
              </w:rPr>
            </w:pPr>
            <w:r>
              <w:rPr>
                <w:rFonts w:ascii="Arial" w:hAnsi="Arial" w:cs="Arial"/>
                <w:sz w:val="18"/>
                <w:szCs w:val="18"/>
              </w:rPr>
              <w:t>1,7</w:t>
            </w:r>
          </w:p>
        </w:tc>
        <w:tc>
          <w:tcPr>
            <w:tcW w:w="1388" w:type="dxa"/>
          </w:tcPr>
          <w:p w14:paraId="7A53DFD6" w14:textId="3574AD83" w:rsidR="00CB3898" w:rsidRPr="00CB3898" w:rsidRDefault="00481B1D" w:rsidP="000E3E55">
            <w:pPr>
              <w:pStyle w:val="Paragraph"/>
              <w:tabs>
                <w:tab w:val="num" w:pos="720"/>
              </w:tabs>
              <w:snapToGrid w:val="0"/>
              <w:jc w:val="center"/>
              <w:rPr>
                <w:rFonts w:ascii="Arial" w:hAnsi="Arial" w:cs="Arial"/>
                <w:sz w:val="18"/>
                <w:szCs w:val="18"/>
              </w:rPr>
            </w:pPr>
            <w:r>
              <w:rPr>
                <w:rFonts w:ascii="Arial" w:hAnsi="Arial" w:cs="Arial"/>
                <w:sz w:val="18"/>
                <w:szCs w:val="18"/>
              </w:rPr>
              <w:t>23,6</w:t>
            </w:r>
          </w:p>
        </w:tc>
      </w:tr>
      <w:tr w:rsidR="00CB3898" w14:paraId="7AA90399" w14:textId="77777777" w:rsidTr="00CB3898">
        <w:trPr>
          <w:gridAfter w:val="1"/>
          <w:wAfter w:w="7" w:type="dxa"/>
        </w:trPr>
        <w:tc>
          <w:tcPr>
            <w:tcW w:w="2790" w:type="dxa"/>
          </w:tcPr>
          <w:p w14:paraId="54384A2F" w14:textId="12F3D461" w:rsidR="00CB3898" w:rsidRPr="00CB3898" w:rsidRDefault="00CB3898" w:rsidP="00CB3898">
            <w:pPr>
              <w:pStyle w:val="Paragraph"/>
              <w:tabs>
                <w:tab w:val="num" w:pos="720"/>
              </w:tabs>
              <w:snapToGrid w:val="0"/>
              <w:rPr>
                <w:rFonts w:ascii="Arial" w:hAnsi="Arial" w:cs="Arial"/>
                <w:sz w:val="18"/>
                <w:szCs w:val="18"/>
              </w:rPr>
            </w:pPr>
            <w:r>
              <w:rPr>
                <w:rFonts w:ascii="Arial" w:hAnsi="Arial" w:cs="Arial"/>
                <w:sz w:val="18"/>
                <w:szCs w:val="18"/>
              </w:rPr>
              <w:t>↓ 10% Reducción fallas</w:t>
            </w:r>
          </w:p>
        </w:tc>
        <w:tc>
          <w:tcPr>
            <w:tcW w:w="1440" w:type="dxa"/>
          </w:tcPr>
          <w:p w14:paraId="0E82DE72" w14:textId="1FDBE405" w:rsidR="00CB3898" w:rsidRPr="00CB3898" w:rsidRDefault="00FA19F1" w:rsidP="000E3E55">
            <w:pPr>
              <w:pStyle w:val="Paragraph"/>
              <w:tabs>
                <w:tab w:val="num" w:pos="720"/>
              </w:tabs>
              <w:snapToGrid w:val="0"/>
              <w:jc w:val="center"/>
              <w:rPr>
                <w:rFonts w:ascii="Arial" w:hAnsi="Arial" w:cs="Arial"/>
                <w:sz w:val="18"/>
                <w:szCs w:val="18"/>
              </w:rPr>
            </w:pPr>
            <w:r>
              <w:rPr>
                <w:rFonts w:ascii="Arial" w:hAnsi="Arial" w:cs="Arial"/>
                <w:sz w:val="18"/>
                <w:szCs w:val="18"/>
              </w:rPr>
              <w:t>1</w:t>
            </w:r>
            <w:r w:rsidR="00DA7D04">
              <w:rPr>
                <w:rFonts w:ascii="Arial" w:hAnsi="Arial" w:cs="Arial"/>
                <w:sz w:val="18"/>
                <w:szCs w:val="18"/>
              </w:rPr>
              <w:t>6,23</w:t>
            </w:r>
          </w:p>
        </w:tc>
        <w:tc>
          <w:tcPr>
            <w:tcW w:w="1440" w:type="dxa"/>
          </w:tcPr>
          <w:p w14:paraId="4D9C6812" w14:textId="08FF05FD" w:rsidR="00CB3898" w:rsidRPr="00CB3898" w:rsidRDefault="00DA7D04" w:rsidP="000E3E55">
            <w:pPr>
              <w:pStyle w:val="Paragraph"/>
              <w:tabs>
                <w:tab w:val="num" w:pos="720"/>
              </w:tabs>
              <w:snapToGrid w:val="0"/>
              <w:jc w:val="center"/>
              <w:rPr>
                <w:rFonts w:ascii="Arial" w:hAnsi="Arial" w:cs="Arial"/>
                <w:sz w:val="18"/>
                <w:szCs w:val="18"/>
              </w:rPr>
            </w:pPr>
            <w:r>
              <w:rPr>
                <w:rFonts w:ascii="Arial" w:hAnsi="Arial" w:cs="Arial"/>
                <w:sz w:val="18"/>
                <w:szCs w:val="18"/>
              </w:rPr>
              <w:t>63,7</w:t>
            </w:r>
          </w:p>
        </w:tc>
        <w:tc>
          <w:tcPr>
            <w:tcW w:w="1440" w:type="dxa"/>
          </w:tcPr>
          <w:p w14:paraId="04515E46" w14:textId="2E94A20A" w:rsidR="00CB3898" w:rsidRPr="00CB3898" w:rsidRDefault="0007570E" w:rsidP="000E3E55">
            <w:pPr>
              <w:pStyle w:val="Paragraph"/>
              <w:tabs>
                <w:tab w:val="num" w:pos="720"/>
              </w:tabs>
              <w:snapToGrid w:val="0"/>
              <w:jc w:val="center"/>
              <w:rPr>
                <w:rFonts w:ascii="Arial" w:hAnsi="Arial" w:cs="Arial"/>
                <w:sz w:val="18"/>
                <w:szCs w:val="18"/>
              </w:rPr>
            </w:pPr>
            <w:r>
              <w:rPr>
                <w:rFonts w:ascii="Arial" w:hAnsi="Arial" w:cs="Arial"/>
                <w:sz w:val="18"/>
                <w:szCs w:val="18"/>
              </w:rPr>
              <w:t>1,4</w:t>
            </w:r>
          </w:p>
        </w:tc>
        <w:tc>
          <w:tcPr>
            <w:tcW w:w="1388" w:type="dxa"/>
          </w:tcPr>
          <w:p w14:paraId="409A4DD7" w14:textId="55B9ABD1" w:rsidR="00CB3898" w:rsidRPr="00CB3898" w:rsidRDefault="0007570E" w:rsidP="000E3E55">
            <w:pPr>
              <w:pStyle w:val="Paragraph"/>
              <w:tabs>
                <w:tab w:val="num" w:pos="720"/>
              </w:tabs>
              <w:snapToGrid w:val="0"/>
              <w:jc w:val="center"/>
              <w:rPr>
                <w:rFonts w:ascii="Arial" w:hAnsi="Arial" w:cs="Arial"/>
                <w:sz w:val="18"/>
                <w:szCs w:val="18"/>
              </w:rPr>
            </w:pPr>
            <w:r>
              <w:rPr>
                <w:rFonts w:ascii="Arial" w:hAnsi="Arial" w:cs="Arial"/>
                <w:sz w:val="18"/>
                <w:szCs w:val="18"/>
              </w:rPr>
              <w:t>21,3</w:t>
            </w:r>
          </w:p>
        </w:tc>
      </w:tr>
      <w:tr w:rsidR="00CB3898" w14:paraId="69022ABD" w14:textId="77777777" w:rsidTr="00CB3898">
        <w:trPr>
          <w:gridAfter w:val="1"/>
          <w:wAfter w:w="7" w:type="dxa"/>
        </w:trPr>
        <w:tc>
          <w:tcPr>
            <w:tcW w:w="2790" w:type="dxa"/>
          </w:tcPr>
          <w:p w14:paraId="40FC0443" w14:textId="2B351205" w:rsidR="00CB3898" w:rsidRPr="00CB3898" w:rsidRDefault="00FA19F1" w:rsidP="00CB3898">
            <w:pPr>
              <w:pStyle w:val="Paragraph"/>
              <w:tabs>
                <w:tab w:val="num" w:pos="720"/>
              </w:tabs>
              <w:snapToGrid w:val="0"/>
              <w:rPr>
                <w:rFonts w:ascii="Arial" w:hAnsi="Arial" w:cs="Arial"/>
                <w:sz w:val="18"/>
                <w:szCs w:val="18"/>
              </w:rPr>
            </w:pPr>
            <w:r>
              <w:rPr>
                <w:rFonts w:ascii="Arial" w:hAnsi="Arial" w:cs="Arial"/>
                <w:sz w:val="18"/>
                <w:szCs w:val="18"/>
              </w:rPr>
              <w:t>↓ 20% costo de falla</w:t>
            </w:r>
          </w:p>
        </w:tc>
        <w:tc>
          <w:tcPr>
            <w:tcW w:w="1440" w:type="dxa"/>
          </w:tcPr>
          <w:p w14:paraId="1F3C4599" w14:textId="1DFDAE8F" w:rsidR="00CB3898" w:rsidRPr="00CB3898" w:rsidRDefault="00E82C42" w:rsidP="000E3E55">
            <w:pPr>
              <w:pStyle w:val="Paragraph"/>
              <w:tabs>
                <w:tab w:val="num" w:pos="720"/>
              </w:tabs>
              <w:snapToGrid w:val="0"/>
              <w:jc w:val="center"/>
              <w:rPr>
                <w:rFonts w:ascii="Arial" w:hAnsi="Arial" w:cs="Arial"/>
                <w:sz w:val="18"/>
                <w:szCs w:val="18"/>
              </w:rPr>
            </w:pPr>
            <w:r>
              <w:rPr>
                <w:rFonts w:ascii="Arial" w:hAnsi="Arial" w:cs="Arial"/>
                <w:sz w:val="18"/>
                <w:szCs w:val="18"/>
              </w:rPr>
              <w:t>13,9</w:t>
            </w:r>
            <w:r w:rsidR="00326ED1">
              <w:rPr>
                <w:rFonts w:ascii="Arial" w:hAnsi="Arial" w:cs="Arial"/>
                <w:sz w:val="18"/>
                <w:szCs w:val="18"/>
              </w:rPr>
              <w:t>3</w:t>
            </w:r>
          </w:p>
        </w:tc>
        <w:tc>
          <w:tcPr>
            <w:tcW w:w="1440" w:type="dxa"/>
          </w:tcPr>
          <w:p w14:paraId="6646CE74" w14:textId="01151188" w:rsidR="00CB3898" w:rsidRPr="00CB3898" w:rsidRDefault="00326ED1" w:rsidP="00326ED1">
            <w:pPr>
              <w:pStyle w:val="Paragraph"/>
              <w:tabs>
                <w:tab w:val="num" w:pos="720"/>
              </w:tabs>
              <w:snapToGrid w:val="0"/>
              <w:jc w:val="center"/>
              <w:rPr>
                <w:rFonts w:ascii="Arial" w:hAnsi="Arial" w:cs="Arial"/>
                <w:sz w:val="18"/>
                <w:szCs w:val="18"/>
              </w:rPr>
            </w:pPr>
            <w:r>
              <w:rPr>
                <w:rFonts w:ascii="Arial" w:hAnsi="Arial" w:cs="Arial"/>
                <w:sz w:val="18"/>
                <w:szCs w:val="18"/>
              </w:rPr>
              <w:t>57,3</w:t>
            </w:r>
          </w:p>
        </w:tc>
        <w:tc>
          <w:tcPr>
            <w:tcW w:w="1440" w:type="dxa"/>
          </w:tcPr>
          <w:p w14:paraId="456B2A1B" w14:textId="7CF40D70" w:rsidR="00CB3898" w:rsidRPr="00CB3898" w:rsidRDefault="00557DBB" w:rsidP="000E3E55">
            <w:pPr>
              <w:pStyle w:val="Paragraph"/>
              <w:tabs>
                <w:tab w:val="num" w:pos="720"/>
              </w:tabs>
              <w:snapToGrid w:val="0"/>
              <w:jc w:val="center"/>
              <w:rPr>
                <w:rFonts w:ascii="Arial" w:hAnsi="Arial" w:cs="Arial"/>
                <w:sz w:val="18"/>
                <w:szCs w:val="18"/>
              </w:rPr>
            </w:pPr>
            <w:r>
              <w:rPr>
                <w:rFonts w:ascii="Arial" w:hAnsi="Arial" w:cs="Arial"/>
                <w:sz w:val="18"/>
                <w:szCs w:val="18"/>
              </w:rPr>
              <w:t>0,9</w:t>
            </w:r>
          </w:p>
        </w:tc>
        <w:tc>
          <w:tcPr>
            <w:tcW w:w="1388" w:type="dxa"/>
          </w:tcPr>
          <w:p w14:paraId="3B3B3237" w14:textId="7E375EF1" w:rsidR="00CB3898" w:rsidRPr="00CB3898" w:rsidRDefault="00557DBB" w:rsidP="000E3E55">
            <w:pPr>
              <w:pStyle w:val="Paragraph"/>
              <w:tabs>
                <w:tab w:val="num" w:pos="720"/>
              </w:tabs>
              <w:snapToGrid w:val="0"/>
              <w:jc w:val="center"/>
              <w:rPr>
                <w:rFonts w:ascii="Arial" w:hAnsi="Arial" w:cs="Arial"/>
                <w:sz w:val="18"/>
                <w:szCs w:val="18"/>
              </w:rPr>
            </w:pPr>
            <w:r>
              <w:rPr>
                <w:rFonts w:ascii="Arial" w:hAnsi="Arial" w:cs="Arial"/>
                <w:sz w:val="18"/>
                <w:szCs w:val="18"/>
              </w:rPr>
              <w:t>18,3</w:t>
            </w:r>
          </w:p>
        </w:tc>
      </w:tr>
    </w:tbl>
    <w:bookmarkEnd w:id="28"/>
    <w:p w14:paraId="00E35959" w14:textId="61EAF12D" w:rsidR="006A74B1" w:rsidRPr="003834E9" w:rsidRDefault="00CB3898" w:rsidP="00B303CD">
      <w:pPr>
        <w:pStyle w:val="Paragraph"/>
        <w:numPr>
          <w:ilvl w:val="1"/>
          <w:numId w:val="2"/>
        </w:numPr>
        <w:tabs>
          <w:tab w:val="num" w:pos="720"/>
        </w:tabs>
        <w:autoSpaceDE w:val="0"/>
        <w:autoSpaceDN w:val="0"/>
        <w:adjustRightInd w:val="0"/>
        <w:spacing w:after="0"/>
        <w:ind w:left="720" w:hanging="720"/>
        <w:rPr>
          <w:rFonts w:ascii="Arial" w:hAnsi="Arial" w:cs="Arial"/>
          <w:sz w:val="22"/>
          <w:szCs w:val="22"/>
        </w:rPr>
      </w:pPr>
      <w:r w:rsidRPr="003834E9">
        <w:rPr>
          <w:rFonts w:ascii="Arial" w:hAnsi="Arial" w:cs="Arial"/>
          <w:sz w:val="22"/>
          <w:szCs w:val="22"/>
        </w:rPr>
        <w:t xml:space="preserve">Se </w:t>
      </w:r>
      <w:r w:rsidRPr="003834E9">
        <w:rPr>
          <w:rFonts w:ascii="Arial" w:hAnsi="Arial" w:cs="Arial"/>
          <w:sz w:val="22"/>
          <w:szCs w:val="22"/>
          <w:lang w:val="es-US"/>
        </w:rPr>
        <w:t>realizó</w:t>
      </w:r>
      <w:r w:rsidRPr="003834E9">
        <w:rPr>
          <w:rFonts w:ascii="Arial" w:hAnsi="Arial" w:cs="Arial"/>
          <w:sz w:val="22"/>
          <w:szCs w:val="22"/>
        </w:rPr>
        <w:t xml:space="preserve"> un análisis de </w:t>
      </w:r>
      <w:r w:rsidR="006A74B1" w:rsidRPr="003834E9">
        <w:rPr>
          <w:rFonts w:ascii="Arial" w:hAnsi="Arial" w:cs="Arial"/>
          <w:sz w:val="22"/>
          <w:szCs w:val="22"/>
        </w:rPr>
        <w:t>sensibilidad de los resultados</w:t>
      </w:r>
      <w:r w:rsidR="00CD6EC3">
        <w:rPr>
          <w:rFonts w:ascii="Arial" w:hAnsi="Arial" w:cs="Arial"/>
          <w:sz w:val="22"/>
          <w:szCs w:val="22"/>
        </w:rPr>
        <w:t xml:space="preserve"> </w:t>
      </w:r>
      <w:r w:rsidR="00DA2D4C">
        <w:rPr>
          <w:rFonts w:ascii="Arial" w:hAnsi="Arial" w:cs="Arial"/>
          <w:sz w:val="22"/>
          <w:szCs w:val="22"/>
        </w:rPr>
        <w:t xml:space="preserve">económicos </w:t>
      </w:r>
      <w:r w:rsidR="00DA2D4C" w:rsidRPr="003834E9">
        <w:rPr>
          <w:rFonts w:ascii="Arial" w:hAnsi="Arial" w:cs="Arial"/>
          <w:sz w:val="22"/>
          <w:szCs w:val="22"/>
        </w:rPr>
        <w:t>a</w:t>
      </w:r>
      <w:r w:rsidR="006A74B1" w:rsidRPr="003834E9">
        <w:rPr>
          <w:rFonts w:ascii="Arial" w:hAnsi="Arial" w:cs="Arial"/>
          <w:sz w:val="22"/>
          <w:szCs w:val="22"/>
        </w:rPr>
        <w:t xml:space="preserve"> cambios en las variables claves que determinan la bondad económica de la inversión evaluada.  Se determinó que </w:t>
      </w:r>
      <w:r w:rsidR="00AB05F6" w:rsidRPr="003834E9">
        <w:rPr>
          <w:rFonts w:ascii="Arial" w:hAnsi="Arial" w:cs="Arial"/>
          <w:sz w:val="22"/>
          <w:szCs w:val="22"/>
        </w:rPr>
        <w:t xml:space="preserve">aumentos en el costo de la inversión </w:t>
      </w:r>
      <w:r w:rsidR="00CB73D4" w:rsidRPr="003834E9">
        <w:rPr>
          <w:rFonts w:ascii="Arial" w:hAnsi="Arial" w:cs="Arial"/>
          <w:sz w:val="22"/>
          <w:szCs w:val="22"/>
        </w:rPr>
        <w:t xml:space="preserve">o en operación y </w:t>
      </w:r>
      <w:r w:rsidR="00AD2DFE" w:rsidRPr="003834E9">
        <w:rPr>
          <w:rFonts w:ascii="Arial" w:hAnsi="Arial" w:cs="Arial"/>
          <w:sz w:val="22"/>
          <w:szCs w:val="22"/>
        </w:rPr>
        <w:t>mantenimiento</w:t>
      </w:r>
      <w:r w:rsidR="00CB73D4" w:rsidRPr="003834E9">
        <w:rPr>
          <w:rFonts w:ascii="Arial" w:hAnsi="Arial" w:cs="Arial"/>
          <w:sz w:val="22"/>
          <w:szCs w:val="22"/>
        </w:rPr>
        <w:t>; reducción de horas de ganancia en confiabilidad,</w:t>
      </w:r>
      <w:r w:rsidR="00807D4A">
        <w:rPr>
          <w:rFonts w:ascii="Arial" w:hAnsi="Arial" w:cs="Arial"/>
          <w:sz w:val="22"/>
          <w:szCs w:val="22"/>
        </w:rPr>
        <w:t xml:space="preserve"> o en su costo</w:t>
      </w:r>
      <w:r w:rsidR="00AD2DFE" w:rsidRPr="003834E9">
        <w:rPr>
          <w:rFonts w:ascii="Arial" w:hAnsi="Arial" w:cs="Arial"/>
          <w:sz w:val="22"/>
          <w:szCs w:val="22"/>
        </w:rPr>
        <w:t xml:space="preserve"> </w:t>
      </w:r>
      <w:r w:rsidR="00802C5E" w:rsidRPr="003834E9">
        <w:rPr>
          <w:rFonts w:ascii="Arial" w:hAnsi="Arial" w:cs="Arial"/>
          <w:sz w:val="22"/>
          <w:szCs w:val="22"/>
        </w:rPr>
        <w:t>mantiene</w:t>
      </w:r>
      <w:r w:rsidR="00807D4A">
        <w:rPr>
          <w:rFonts w:ascii="Arial" w:hAnsi="Arial" w:cs="Arial"/>
          <w:sz w:val="22"/>
          <w:szCs w:val="22"/>
        </w:rPr>
        <w:t>n</w:t>
      </w:r>
      <w:r w:rsidR="00802C5E" w:rsidRPr="003834E9">
        <w:rPr>
          <w:rFonts w:ascii="Arial" w:hAnsi="Arial" w:cs="Arial"/>
          <w:sz w:val="22"/>
          <w:szCs w:val="22"/>
        </w:rPr>
        <w:t xml:space="preserve"> la robustez de los resultados del análisis</w:t>
      </w:r>
      <w:r w:rsidR="00CB73D4" w:rsidRPr="003834E9">
        <w:rPr>
          <w:rFonts w:ascii="Arial" w:hAnsi="Arial" w:cs="Arial"/>
          <w:sz w:val="22"/>
          <w:szCs w:val="22"/>
        </w:rPr>
        <w:t xml:space="preserve"> </w:t>
      </w:r>
      <w:r w:rsidR="003834E9" w:rsidRPr="003834E9">
        <w:rPr>
          <w:rFonts w:ascii="Arial" w:hAnsi="Arial" w:cs="Arial"/>
          <w:sz w:val="22"/>
          <w:szCs w:val="22"/>
        </w:rPr>
        <w:t>para los dos proyectos.</w:t>
      </w:r>
    </w:p>
    <w:p w14:paraId="04EBBF9A" w14:textId="5D658A54" w:rsidR="00117770" w:rsidRPr="0045272B" w:rsidRDefault="00117770" w:rsidP="003A30E9">
      <w:pPr>
        <w:pStyle w:val="Chapter"/>
        <w:tabs>
          <w:tab w:val="clear" w:pos="1440"/>
          <w:tab w:val="clear" w:pos="1800"/>
          <w:tab w:val="num" w:pos="720"/>
        </w:tabs>
        <w:snapToGrid w:val="0"/>
        <w:spacing w:after="120"/>
        <w:ind w:left="0" w:firstLine="810"/>
        <w:rPr>
          <w:rFonts w:ascii="Arial" w:hAnsi="Arial" w:cs="Arial"/>
          <w:b w:val="0"/>
        </w:rPr>
      </w:pPr>
      <w:bookmarkStart w:id="29" w:name="_Toc483312827"/>
      <w:r w:rsidRPr="00117770">
        <w:rPr>
          <w:rFonts w:ascii="Arial" w:hAnsi="Arial" w:cs="Arial"/>
        </w:rPr>
        <w:t>Conclusiones</w:t>
      </w:r>
      <w:bookmarkEnd w:id="29"/>
      <w:r w:rsidRPr="00117770">
        <w:rPr>
          <w:rFonts w:ascii="Arial" w:hAnsi="Arial" w:cs="Arial"/>
        </w:rPr>
        <w:t xml:space="preserve"> </w:t>
      </w:r>
    </w:p>
    <w:p w14:paraId="06D4C36D" w14:textId="0229DA69" w:rsidR="00601FE7" w:rsidRPr="00601FE7" w:rsidRDefault="00C9312B" w:rsidP="00E1642D">
      <w:pPr>
        <w:pStyle w:val="Paragraph"/>
        <w:numPr>
          <w:ilvl w:val="1"/>
          <w:numId w:val="2"/>
        </w:numPr>
        <w:tabs>
          <w:tab w:val="num" w:pos="720"/>
        </w:tabs>
        <w:autoSpaceDE w:val="0"/>
        <w:autoSpaceDN w:val="0"/>
        <w:adjustRightInd w:val="0"/>
        <w:spacing w:before="0"/>
        <w:ind w:left="720" w:hanging="720"/>
        <w:rPr>
          <w:rFonts w:ascii="Arial" w:hAnsi="Arial" w:cs="Arial"/>
          <w:sz w:val="22"/>
          <w:szCs w:val="22"/>
        </w:rPr>
      </w:pPr>
      <w:r w:rsidRPr="00C34D80">
        <w:rPr>
          <w:rFonts w:ascii="Arial" w:hAnsi="Arial" w:cs="Arial"/>
          <w:sz w:val="22"/>
          <w:szCs w:val="22"/>
        </w:rPr>
        <w:t>El análisis realizado a la</w:t>
      </w:r>
      <w:r w:rsidR="0045272B" w:rsidRPr="00C34D80">
        <w:rPr>
          <w:rFonts w:ascii="Arial" w:hAnsi="Arial" w:cs="Arial"/>
          <w:sz w:val="22"/>
          <w:szCs w:val="22"/>
        </w:rPr>
        <w:t xml:space="preserve"> inversión en </w:t>
      </w:r>
      <w:r w:rsidRPr="00C34D80">
        <w:rPr>
          <w:rFonts w:ascii="Arial" w:hAnsi="Arial" w:cs="Arial"/>
          <w:sz w:val="22"/>
          <w:szCs w:val="22"/>
        </w:rPr>
        <w:t xml:space="preserve">ampliación de las SE Progreso y Toncontín demuestran la </w:t>
      </w:r>
      <w:r w:rsidR="00CD6EC3">
        <w:rPr>
          <w:rFonts w:ascii="Arial" w:hAnsi="Arial" w:cs="Arial"/>
          <w:sz w:val="22"/>
          <w:szCs w:val="22"/>
        </w:rPr>
        <w:t xml:space="preserve">alta </w:t>
      </w:r>
      <w:r w:rsidRPr="00C34D80">
        <w:rPr>
          <w:rFonts w:ascii="Arial" w:hAnsi="Arial" w:cs="Arial"/>
          <w:sz w:val="22"/>
          <w:szCs w:val="22"/>
        </w:rPr>
        <w:t xml:space="preserve">bondad financiera y económica </w:t>
      </w:r>
      <w:r w:rsidR="00630C43" w:rsidRPr="00C34D80">
        <w:rPr>
          <w:rFonts w:ascii="Arial" w:hAnsi="Arial" w:cs="Arial"/>
          <w:sz w:val="22"/>
          <w:szCs w:val="22"/>
        </w:rPr>
        <w:t xml:space="preserve">resultante de </w:t>
      </w:r>
      <w:r w:rsidR="00630C43" w:rsidRPr="00C34D80">
        <w:rPr>
          <w:rFonts w:ascii="Arial" w:hAnsi="Arial" w:cs="Arial"/>
          <w:sz w:val="22"/>
          <w:szCs w:val="22"/>
          <w:lang w:val="es-ES_tradnl"/>
        </w:rPr>
        <w:t>fortalecer el sistema de transmisión, volviéndole más robusto y confiable, repercutiendo en mejoras a la calidad de la red de transmisión de manera que permita mantener las condiciones de operación y disponibilidad de la red eléctrica</w:t>
      </w:r>
      <w:r w:rsidR="009559C0" w:rsidRPr="00C34D80">
        <w:rPr>
          <w:rFonts w:ascii="Arial" w:hAnsi="Arial" w:cs="Arial"/>
          <w:sz w:val="22"/>
          <w:szCs w:val="22"/>
          <w:lang w:val="es-ES_tradnl"/>
        </w:rPr>
        <w:t xml:space="preserve">. La selección de la alternativa </w:t>
      </w:r>
      <w:r w:rsidR="00822952" w:rsidRPr="00C34D80">
        <w:rPr>
          <w:rFonts w:ascii="Arial" w:hAnsi="Arial" w:cs="Arial"/>
          <w:sz w:val="22"/>
          <w:szCs w:val="22"/>
          <w:lang w:val="es-ES_tradnl"/>
        </w:rPr>
        <w:t>técnica y financieramente más eficiente</w:t>
      </w:r>
      <w:r w:rsidR="00495AD7" w:rsidRPr="00C34D80">
        <w:rPr>
          <w:rFonts w:ascii="Arial" w:hAnsi="Arial" w:cs="Arial"/>
          <w:sz w:val="22"/>
          <w:szCs w:val="22"/>
          <w:lang w:val="es-ES_tradnl"/>
        </w:rPr>
        <w:t xml:space="preserve"> en cada caso</w:t>
      </w:r>
      <w:r w:rsidR="00822952" w:rsidRPr="00C34D80">
        <w:rPr>
          <w:rFonts w:ascii="Arial" w:hAnsi="Arial" w:cs="Arial"/>
          <w:sz w:val="22"/>
          <w:szCs w:val="22"/>
          <w:lang w:val="es-ES_tradnl"/>
        </w:rPr>
        <w:t xml:space="preserve">, </w:t>
      </w:r>
      <w:r w:rsidR="00386C01">
        <w:rPr>
          <w:rFonts w:ascii="Arial" w:hAnsi="Arial" w:cs="Arial"/>
          <w:sz w:val="22"/>
          <w:szCs w:val="22"/>
          <w:lang w:val="es-ES_tradnl"/>
        </w:rPr>
        <w:t>corrobor</w:t>
      </w:r>
      <w:r w:rsidR="00436D67" w:rsidRPr="00C34D80">
        <w:rPr>
          <w:rFonts w:ascii="Arial" w:hAnsi="Arial" w:cs="Arial"/>
          <w:sz w:val="22"/>
          <w:szCs w:val="22"/>
          <w:lang w:val="es-ES_tradnl"/>
        </w:rPr>
        <w:t>ó su validez en el análisis económico</w:t>
      </w:r>
      <w:r w:rsidR="00495AD7" w:rsidRPr="00C34D80">
        <w:rPr>
          <w:rFonts w:ascii="Arial" w:hAnsi="Arial" w:cs="Arial"/>
          <w:sz w:val="22"/>
          <w:szCs w:val="22"/>
          <w:lang w:val="es-ES_tradnl"/>
        </w:rPr>
        <w:t xml:space="preserve">.  </w:t>
      </w:r>
    </w:p>
    <w:p w14:paraId="16198BFA" w14:textId="08BBC9F2" w:rsidR="00CD6EC3" w:rsidRPr="00CD6EC3" w:rsidRDefault="004741B7" w:rsidP="00E1642D">
      <w:pPr>
        <w:pStyle w:val="Paragraph"/>
        <w:numPr>
          <w:ilvl w:val="1"/>
          <w:numId w:val="2"/>
        </w:numPr>
        <w:tabs>
          <w:tab w:val="num" w:pos="720"/>
        </w:tabs>
        <w:autoSpaceDE w:val="0"/>
        <w:autoSpaceDN w:val="0"/>
        <w:adjustRightInd w:val="0"/>
        <w:spacing w:before="0"/>
        <w:ind w:left="720" w:hanging="720"/>
        <w:rPr>
          <w:rFonts w:ascii="Arial" w:hAnsi="Arial" w:cs="Arial"/>
          <w:sz w:val="22"/>
          <w:szCs w:val="22"/>
        </w:rPr>
      </w:pPr>
      <w:r>
        <w:rPr>
          <w:rFonts w:ascii="Arial" w:hAnsi="Arial" w:cs="Arial"/>
          <w:sz w:val="22"/>
          <w:szCs w:val="22"/>
          <w:lang w:val="es-MX"/>
        </w:rPr>
        <w:t>Los</w:t>
      </w:r>
      <w:r w:rsidRPr="004741B7">
        <w:rPr>
          <w:rFonts w:ascii="Arial" w:hAnsi="Arial" w:cs="Arial"/>
          <w:sz w:val="22"/>
          <w:szCs w:val="22"/>
          <w:lang w:val="es-MX"/>
        </w:rPr>
        <w:t xml:space="preserve"> ingresos percibidos por la energía incremental, permite</w:t>
      </w:r>
      <w:r>
        <w:rPr>
          <w:rFonts w:ascii="Arial" w:hAnsi="Arial" w:cs="Arial"/>
          <w:sz w:val="22"/>
          <w:szCs w:val="22"/>
          <w:lang w:val="es-MX"/>
        </w:rPr>
        <w:t>n</w:t>
      </w:r>
      <w:r w:rsidRPr="004741B7">
        <w:rPr>
          <w:rFonts w:ascii="Arial" w:hAnsi="Arial" w:cs="Arial"/>
          <w:sz w:val="22"/>
          <w:szCs w:val="22"/>
          <w:lang w:val="es-MX"/>
        </w:rPr>
        <w:t xml:space="preserve"> al Grupo ENEE mejorar sus indicadores financieros, lo que, a su vez, conlleva a generar mayores recursos que permitirán ampliar</w:t>
      </w:r>
      <w:r w:rsidR="003425A9">
        <w:rPr>
          <w:rFonts w:ascii="Arial" w:hAnsi="Arial" w:cs="Arial"/>
          <w:sz w:val="22"/>
          <w:szCs w:val="22"/>
          <w:lang w:val="es-MX"/>
        </w:rPr>
        <w:t xml:space="preserve"> </w:t>
      </w:r>
      <w:r w:rsidRPr="004741B7">
        <w:rPr>
          <w:rFonts w:ascii="Arial" w:hAnsi="Arial" w:cs="Arial"/>
          <w:sz w:val="22"/>
          <w:szCs w:val="22"/>
          <w:lang w:val="es-MX"/>
        </w:rPr>
        <w:t>inversiones de mayor prioridad en donde se requiera</w:t>
      </w:r>
      <w:r w:rsidR="00226519">
        <w:rPr>
          <w:rFonts w:ascii="Arial" w:hAnsi="Arial" w:cs="Arial"/>
          <w:sz w:val="22"/>
          <w:szCs w:val="22"/>
          <w:lang w:val="es-MX"/>
        </w:rPr>
        <w:t>,</w:t>
      </w:r>
      <w:r w:rsidR="00C9312B" w:rsidRPr="00C34D80">
        <w:rPr>
          <w:rFonts w:ascii="Arial" w:hAnsi="Arial" w:cs="Arial"/>
          <w:sz w:val="22"/>
          <w:szCs w:val="22"/>
          <w:lang w:val="es-ES_tradnl"/>
        </w:rPr>
        <w:t xml:space="preserve"> fortaleciendo</w:t>
      </w:r>
      <w:r w:rsidR="00C34D80" w:rsidRPr="00C34D80">
        <w:rPr>
          <w:rFonts w:ascii="Arial" w:hAnsi="Arial" w:cs="Arial"/>
          <w:sz w:val="22"/>
          <w:szCs w:val="22"/>
          <w:lang w:val="es-ES_tradnl"/>
        </w:rPr>
        <w:t xml:space="preserve"> aún mas</w:t>
      </w:r>
      <w:r w:rsidR="00C9312B" w:rsidRPr="00C34D80">
        <w:rPr>
          <w:rFonts w:ascii="Arial" w:hAnsi="Arial" w:cs="Arial"/>
          <w:sz w:val="22"/>
          <w:szCs w:val="22"/>
          <w:lang w:val="es-CO"/>
        </w:rPr>
        <w:t xml:space="preserve"> las finanzas de la empresa eléctrica del grupo ENEE</w:t>
      </w:r>
      <w:r w:rsidR="00C34D80">
        <w:rPr>
          <w:rFonts w:ascii="Arial" w:hAnsi="Arial" w:cs="Arial"/>
          <w:sz w:val="22"/>
          <w:szCs w:val="22"/>
          <w:lang w:val="es-CO"/>
        </w:rPr>
        <w:t>.</w:t>
      </w:r>
      <w:r w:rsidR="00601FE7" w:rsidRPr="00601FE7">
        <w:rPr>
          <w:rFonts w:ascii="Arial" w:hAnsi="Arial" w:cs="Arial"/>
          <w:sz w:val="22"/>
          <w:szCs w:val="22"/>
          <w:lang w:val="es-US"/>
        </w:rPr>
        <w:t xml:space="preserve"> </w:t>
      </w:r>
      <w:r w:rsidR="00CD6EC3">
        <w:rPr>
          <w:rFonts w:ascii="Arial" w:hAnsi="Arial" w:cs="Arial"/>
          <w:sz w:val="22"/>
          <w:szCs w:val="22"/>
          <w:lang w:val="es-US"/>
        </w:rPr>
        <w:t>El SE progreso presenta una rentabilidad financiera con TIR de 49% y un VAN de US</w:t>
      </w:r>
      <w:r w:rsidR="00A11C4A">
        <w:rPr>
          <w:rFonts w:ascii="Arial" w:hAnsi="Arial" w:cs="Arial"/>
          <w:sz w:val="22"/>
          <w:szCs w:val="22"/>
          <w:lang w:val="es-US"/>
        </w:rPr>
        <w:t>$</w:t>
      </w:r>
      <w:r w:rsidR="00CD6EC3">
        <w:rPr>
          <w:rFonts w:ascii="Arial" w:hAnsi="Arial" w:cs="Arial"/>
          <w:sz w:val="22"/>
          <w:szCs w:val="22"/>
          <w:lang w:val="es-US"/>
        </w:rPr>
        <w:t>17 millones. El VAN de la SE Toncontín es de</w:t>
      </w:r>
      <w:r w:rsidR="00A9239F">
        <w:rPr>
          <w:rFonts w:ascii="Arial" w:hAnsi="Arial" w:cs="Arial"/>
          <w:sz w:val="22"/>
          <w:szCs w:val="22"/>
        </w:rPr>
        <w:t xml:space="preserve"> US$ 6,</w:t>
      </w:r>
      <w:r w:rsidR="00CD6EC3">
        <w:rPr>
          <w:rFonts w:ascii="Arial" w:hAnsi="Arial" w:cs="Arial"/>
          <w:sz w:val="22"/>
          <w:szCs w:val="22"/>
        </w:rPr>
        <w:t>2 millones con una TIR de</w:t>
      </w:r>
      <w:r w:rsidR="00CD6EC3" w:rsidRPr="00CD6EC3">
        <w:rPr>
          <w:rFonts w:ascii="Arial" w:hAnsi="Arial" w:cs="Arial"/>
          <w:sz w:val="22"/>
          <w:szCs w:val="22"/>
          <w:lang w:val="es-ES_tradnl"/>
        </w:rPr>
        <w:t xml:space="preserve"> 35</w:t>
      </w:r>
      <w:r w:rsidR="00CD6EC3">
        <w:rPr>
          <w:rFonts w:ascii="Arial" w:hAnsi="Arial" w:cs="Arial"/>
          <w:sz w:val="22"/>
          <w:szCs w:val="22"/>
          <w:lang w:val="es-ES_tradnl"/>
        </w:rPr>
        <w:t>%.</w:t>
      </w:r>
    </w:p>
    <w:p w14:paraId="6951498C" w14:textId="77777777" w:rsidR="00B303CD" w:rsidRPr="00B303CD" w:rsidRDefault="002C3634" w:rsidP="00AC4737">
      <w:pPr>
        <w:pStyle w:val="Paragraph"/>
        <w:numPr>
          <w:ilvl w:val="1"/>
          <w:numId w:val="2"/>
        </w:numPr>
        <w:tabs>
          <w:tab w:val="num" w:pos="720"/>
        </w:tabs>
        <w:autoSpaceDE w:val="0"/>
        <w:autoSpaceDN w:val="0"/>
        <w:adjustRightInd w:val="0"/>
        <w:spacing w:before="0"/>
        <w:ind w:left="720" w:hanging="720"/>
        <w:rPr>
          <w:rFonts w:ascii="Arial" w:hAnsi="Arial" w:cs="Arial"/>
          <w:sz w:val="22"/>
          <w:szCs w:val="22"/>
        </w:rPr>
      </w:pPr>
      <w:r w:rsidRPr="00593108">
        <w:rPr>
          <w:rFonts w:ascii="Arial" w:hAnsi="Arial" w:cs="Arial"/>
          <w:sz w:val="22"/>
          <w:szCs w:val="22"/>
          <w:lang w:val="es-US"/>
        </w:rPr>
        <w:t xml:space="preserve">Se reconoce que las mejoras en la SE Progreso generan un beneficio adicional, al hacer posible un mayor volumen de intercambios a través del Mercado Eléctrico Regional (MER). Este beneficio representaría mejores precios al mercado hondureño y eventual oportunidad de vender excedentes al MER. </w:t>
      </w:r>
      <w:r w:rsidR="004741B7" w:rsidRPr="00593108">
        <w:rPr>
          <w:rFonts w:ascii="Arial" w:hAnsi="Arial" w:cs="Arial"/>
          <w:sz w:val="22"/>
          <w:szCs w:val="22"/>
          <w:lang w:val="es-ES_tradnl"/>
        </w:rPr>
        <w:t>El fortalecimiento del sistema favorece</w:t>
      </w:r>
      <w:r w:rsidR="00226519" w:rsidRPr="00593108">
        <w:rPr>
          <w:rFonts w:ascii="Arial" w:hAnsi="Arial" w:cs="Arial"/>
          <w:sz w:val="22"/>
          <w:szCs w:val="22"/>
          <w:lang w:val="es-ES_tradnl"/>
        </w:rPr>
        <w:t>,</w:t>
      </w:r>
      <w:r w:rsidR="004741B7" w:rsidRPr="00593108">
        <w:rPr>
          <w:rFonts w:ascii="Arial" w:hAnsi="Arial" w:cs="Arial"/>
          <w:sz w:val="22"/>
          <w:szCs w:val="22"/>
          <w:lang w:val="es-ES_tradnl"/>
        </w:rPr>
        <w:t xml:space="preserve"> adicionalmente, proyectos de energía renovable que se desarrollarán a futuro en esa zona y que serán interconectados al SIN</w:t>
      </w:r>
      <w:r w:rsidR="00601FE7" w:rsidRPr="00593108">
        <w:rPr>
          <w:rFonts w:ascii="Arial" w:hAnsi="Arial" w:cs="Arial"/>
          <w:sz w:val="22"/>
          <w:szCs w:val="22"/>
          <w:lang w:val="es-US"/>
        </w:rPr>
        <w:t>.</w:t>
      </w:r>
      <w:r w:rsidR="00D22A6E" w:rsidRPr="00593108">
        <w:rPr>
          <w:rFonts w:ascii="Arial" w:hAnsi="Arial" w:cs="Arial"/>
          <w:sz w:val="22"/>
          <w:szCs w:val="22"/>
          <w:lang w:val="es-US"/>
        </w:rPr>
        <w:t xml:space="preserve"> </w:t>
      </w:r>
    </w:p>
    <w:p w14:paraId="1207130B" w14:textId="7BA0F7D9" w:rsidR="0045272B" w:rsidRPr="00593108" w:rsidRDefault="0045272B" w:rsidP="00AC4737">
      <w:pPr>
        <w:pStyle w:val="Paragraph"/>
        <w:numPr>
          <w:ilvl w:val="1"/>
          <w:numId w:val="2"/>
        </w:numPr>
        <w:tabs>
          <w:tab w:val="num" w:pos="720"/>
        </w:tabs>
        <w:autoSpaceDE w:val="0"/>
        <w:autoSpaceDN w:val="0"/>
        <w:adjustRightInd w:val="0"/>
        <w:spacing w:before="0"/>
        <w:ind w:left="720" w:hanging="720"/>
        <w:rPr>
          <w:rFonts w:ascii="Arial" w:hAnsi="Arial" w:cs="Arial"/>
          <w:sz w:val="22"/>
          <w:szCs w:val="22"/>
        </w:rPr>
      </w:pPr>
      <w:r w:rsidRPr="00593108">
        <w:rPr>
          <w:rFonts w:ascii="Arial" w:hAnsi="Arial" w:cs="Arial"/>
          <w:sz w:val="22"/>
          <w:szCs w:val="22"/>
        </w:rPr>
        <w:lastRenderedPageBreak/>
        <w:t xml:space="preserve">Los resultados </w:t>
      </w:r>
      <w:r w:rsidR="00601FE7" w:rsidRPr="00593108">
        <w:rPr>
          <w:rFonts w:ascii="Arial" w:hAnsi="Arial" w:cs="Arial"/>
          <w:sz w:val="22"/>
          <w:szCs w:val="22"/>
        </w:rPr>
        <w:t xml:space="preserve">económicos </w:t>
      </w:r>
      <w:r w:rsidRPr="00593108">
        <w:rPr>
          <w:rFonts w:ascii="Arial" w:hAnsi="Arial" w:cs="Arial"/>
          <w:sz w:val="22"/>
          <w:szCs w:val="22"/>
        </w:rPr>
        <w:t xml:space="preserve">consolidados de los dos proyectos resultan en una TIRE de </w:t>
      </w:r>
      <w:r w:rsidR="00593108" w:rsidRPr="00593108">
        <w:rPr>
          <w:rFonts w:ascii="Arial" w:hAnsi="Arial" w:cs="Arial"/>
          <w:sz w:val="22"/>
          <w:szCs w:val="22"/>
        </w:rPr>
        <w:t>55</w:t>
      </w:r>
      <w:r w:rsidR="00807D4A" w:rsidRPr="00593108">
        <w:rPr>
          <w:rFonts w:ascii="Arial" w:hAnsi="Arial" w:cs="Arial"/>
          <w:sz w:val="22"/>
          <w:szCs w:val="22"/>
        </w:rPr>
        <w:t>%</w:t>
      </w:r>
      <w:r w:rsidRPr="00593108">
        <w:rPr>
          <w:rFonts w:ascii="Arial" w:hAnsi="Arial" w:cs="Arial"/>
          <w:sz w:val="22"/>
          <w:szCs w:val="22"/>
        </w:rPr>
        <w:t xml:space="preserve"> y un VPNE de US$ </w:t>
      </w:r>
      <w:r w:rsidR="00593108" w:rsidRPr="00593108">
        <w:rPr>
          <w:rFonts w:ascii="Arial" w:hAnsi="Arial" w:cs="Arial"/>
          <w:sz w:val="22"/>
          <w:szCs w:val="22"/>
        </w:rPr>
        <w:t>20,4</w:t>
      </w:r>
      <w:r w:rsidR="00807D4A" w:rsidRPr="00593108">
        <w:rPr>
          <w:rFonts w:ascii="Arial" w:hAnsi="Arial" w:cs="Arial"/>
          <w:sz w:val="22"/>
          <w:szCs w:val="22"/>
        </w:rPr>
        <w:t xml:space="preserve"> millones.</w:t>
      </w:r>
    </w:p>
    <w:sectPr w:rsidR="0045272B" w:rsidRPr="00593108" w:rsidSect="00053201">
      <w:headerReference w:type="even" r:id="rId30"/>
      <w:headerReference w:type="default" r:id="rId31"/>
      <w:headerReference w:type="first" r:id="rId32"/>
      <w:type w:val="continuous"/>
      <w:pgSz w:w="12240" w:h="15840" w:code="1"/>
      <w:pgMar w:top="1440" w:right="1800" w:bottom="1440" w:left="1800" w:header="706" w:footer="706"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99D5FF" w14:textId="77777777" w:rsidR="00412E1B" w:rsidRDefault="00412E1B" w:rsidP="00ED751C">
      <w:r>
        <w:separator/>
      </w:r>
    </w:p>
    <w:p w14:paraId="0DB36C9C" w14:textId="77777777" w:rsidR="00412E1B" w:rsidRDefault="00412E1B"/>
  </w:endnote>
  <w:endnote w:type="continuationSeparator" w:id="0">
    <w:p w14:paraId="1EA4D4C6" w14:textId="77777777" w:rsidR="00412E1B" w:rsidRDefault="00412E1B" w:rsidP="00ED751C">
      <w:r>
        <w:continuationSeparator/>
      </w:r>
    </w:p>
    <w:p w14:paraId="348365CE" w14:textId="77777777" w:rsidR="00412E1B" w:rsidRDefault="00412E1B"/>
  </w:endnote>
  <w:endnote w:type="continuationNotice" w:id="1">
    <w:p w14:paraId="0CC69E09" w14:textId="77777777" w:rsidR="00412E1B" w:rsidRDefault="00412E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altName w:val="Palatino Linotype"/>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Gotham Book">
    <w:panose1 w:val="00000000000000000000"/>
    <w:charset w:val="00"/>
    <w:family w:val="modern"/>
    <w:notTrueType/>
    <w:pitch w:val="variable"/>
    <w:sig w:usb0="A10000FF" w:usb1="4000005B" w:usb2="00000000" w:usb3="00000000" w:csb0="0000009B" w:csb1="00000000"/>
  </w:font>
  <w:font w:name="Times New Roman Bold">
    <w:panose1 w:val="02020803070505020304"/>
    <w:charset w:val="00"/>
    <w:family w:val="auto"/>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25CE6" w14:textId="77777777" w:rsidR="00412E1B" w:rsidRDefault="00412E1B">
    <w:pPr>
      <w:pStyle w:val="Footer"/>
      <w:framePr w:wrap="around" w:vAnchor="text" w:hAnchor="margin" w:xAlign="right" w:y="1"/>
      <w:rPr>
        <w:rStyle w:val="PageNumber"/>
      </w:rPr>
    </w:pPr>
  </w:p>
  <w:p w14:paraId="42D2DFC9" w14:textId="77777777" w:rsidR="00412E1B" w:rsidRDefault="00412E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CA096" w14:textId="77777777" w:rsidR="00412E1B" w:rsidRDefault="00412E1B">
    <w:pPr>
      <w:pStyle w:val="Footer"/>
      <w:rPr>
        <w:sz w:val="16"/>
      </w:rPr>
    </w:pPr>
  </w:p>
  <w:p w14:paraId="25797CCD" w14:textId="47C8B9D8" w:rsidR="00412E1B" w:rsidRDefault="00412E1B">
    <w:pPr>
      <w:pStyle w:val="Footer"/>
    </w:pPr>
    <w:r>
      <w:rPr>
        <w:sz w:val="16"/>
      </w:rPr>
      <w:fldChar w:fldCharType="begin"/>
    </w:r>
    <w:r w:rsidRPr="0006112F">
      <w:rPr>
        <w:sz w:val="16"/>
        <w:lang w:val="en-US"/>
      </w:rPr>
      <w:instrText xml:space="preserve"> REF Book15 </w:instrText>
    </w:r>
    <w:r>
      <w:rPr>
        <w:sz w:val="16"/>
      </w:rPr>
      <w:fldChar w:fldCharType="separate"/>
    </w:r>
    <w:r>
      <w:rPr>
        <w:b/>
        <w:bCs/>
        <w:sz w:val="16"/>
        <w:lang w:val="en-US"/>
      </w:rPr>
      <w:t>Error! Reference source not found.</w:t>
    </w:r>
    <w:r>
      <w:rPr>
        <w:sz w:val="16"/>
      </w:rPr>
      <w:fldChar w:fldCharType="end"/>
    </w:r>
    <w:r>
      <w:rPr>
        <w:caps/>
        <w:sz w:val="16"/>
      </w:rPr>
      <w:fldChar w:fldCharType="begin"/>
    </w:r>
    <w:r w:rsidRPr="0006112F">
      <w:rPr>
        <w:caps/>
        <w:sz w:val="16"/>
        <w:lang w:val="en-US"/>
      </w:rPr>
      <w:instrText xml:space="preserve"> MACROBUTTON AllCaps \RESUMEN EJECUTIVO </w:instrText>
    </w:r>
    <w:r>
      <w:rPr>
        <w:caps/>
        <w:sz w:val="16"/>
      </w:rPr>
      <w:fldChar w:fldCharType="end"/>
    </w:r>
    <w:r w:rsidRPr="0006112F">
      <w:rPr>
        <w:sz w:val="16"/>
        <w:lang w:val="en-US"/>
      </w:rPr>
      <w:tab/>
    </w:r>
    <w:r w:rsidRPr="0006112F">
      <w:rPr>
        <w:sz w:val="16"/>
        <w:lang w:val="en-US"/>
      </w:rPr>
      <w:tab/>
    </w:r>
    <w:r>
      <w:rPr>
        <w:sz w:val="16"/>
        <w:lang w:val="es-ES"/>
      </w:rPr>
      <w:t>Versión al</w:t>
    </w:r>
    <w:r>
      <w:rPr>
        <w:sz w:val="16"/>
      </w:rPr>
      <w:t xml:space="preserve">: </w:t>
    </w:r>
    <w:fldSimple w:instr=" SAVEDATE  \* MERGEFORMAT ">
      <w:r w:rsidR="00451F11" w:rsidRPr="00451F11">
        <w:rPr>
          <w:noProof/>
          <w:sz w:val="16"/>
        </w:rPr>
        <w:t>30/05/2017 15:53:00</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36243" w14:textId="77777777" w:rsidR="00412E1B" w:rsidRPr="00683DA9" w:rsidRDefault="00412E1B" w:rsidP="00683D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189BFD" w14:textId="77777777" w:rsidR="00412E1B" w:rsidRDefault="00412E1B" w:rsidP="00ED751C">
      <w:r>
        <w:separator/>
      </w:r>
    </w:p>
    <w:p w14:paraId="48250650" w14:textId="77777777" w:rsidR="00412E1B" w:rsidRDefault="00412E1B"/>
  </w:footnote>
  <w:footnote w:type="continuationSeparator" w:id="0">
    <w:p w14:paraId="155F5BC7" w14:textId="77777777" w:rsidR="00412E1B" w:rsidRDefault="00412E1B" w:rsidP="00ED751C">
      <w:r>
        <w:continuationSeparator/>
      </w:r>
    </w:p>
    <w:p w14:paraId="065097B2" w14:textId="77777777" w:rsidR="00412E1B" w:rsidRDefault="00412E1B"/>
  </w:footnote>
  <w:footnote w:type="continuationNotice" w:id="1">
    <w:p w14:paraId="6DA3EE48" w14:textId="77777777" w:rsidR="00412E1B" w:rsidRDefault="00412E1B"/>
  </w:footnote>
  <w:footnote w:id="2">
    <w:p w14:paraId="468BB87E" w14:textId="77777777" w:rsidR="00412E1B" w:rsidRPr="00562DE9" w:rsidRDefault="00412E1B" w:rsidP="00821612">
      <w:pPr>
        <w:pStyle w:val="FootnoteText"/>
        <w:ind w:left="360" w:hanging="360"/>
        <w:rPr>
          <w:sz w:val="16"/>
          <w:szCs w:val="16"/>
        </w:rPr>
      </w:pPr>
      <w:r w:rsidRPr="006066BF">
        <w:rPr>
          <w:rFonts w:ascii="Arial" w:hAnsi="Arial" w:cs="Arial"/>
          <w:spacing w:val="0"/>
          <w:sz w:val="22"/>
          <w:szCs w:val="22"/>
          <w:vertAlign w:val="superscript"/>
        </w:rPr>
        <w:footnoteRef/>
      </w:r>
      <w:r w:rsidRPr="006066BF">
        <w:rPr>
          <w:rFonts w:ascii="Arial" w:hAnsi="Arial" w:cs="Arial"/>
          <w:spacing w:val="0"/>
          <w:sz w:val="22"/>
          <w:szCs w:val="22"/>
          <w:vertAlign w:val="superscript"/>
        </w:rPr>
        <w:t xml:space="preserve"> </w:t>
      </w:r>
      <w:r w:rsidRPr="006066BF">
        <w:rPr>
          <w:rFonts w:ascii="Arial" w:hAnsi="Arial" w:cs="Arial"/>
          <w:spacing w:val="0"/>
          <w:sz w:val="22"/>
          <w:szCs w:val="22"/>
          <w:vertAlign w:val="superscript"/>
        </w:rPr>
        <w:tab/>
      </w:r>
      <w:r w:rsidRPr="006066BF">
        <w:rPr>
          <w:rFonts w:ascii="Arial" w:hAnsi="Arial" w:cs="Arial"/>
          <w:spacing w:val="0"/>
          <w:sz w:val="16"/>
          <w:szCs w:val="16"/>
        </w:rPr>
        <w:t>La zona norte y del litoral Atlántico del país, regiones de mayor desarrollo industrial y turístico del país, concentran la mayor demanda de electricidad. Para satisfacer las necesidades de demanda es necesario realizar transporte de energía producida en las zonas Centro y Sur del país. En el esquema de transmisión, la SE Progreso representa un punto neurálgico para la interconexión del sistema eléctrico.</w:t>
      </w:r>
    </w:p>
  </w:footnote>
  <w:footnote w:id="3">
    <w:p w14:paraId="202D78B6" w14:textId="18F4791D" w:rsidR="00412E1B" w:rsidRPr="00E02CD3" w:rsidRDefault="00412E1B" w:rsidP="00115608">
      <w:pPr>
        <w:pStyle w:val="FootnoteText"/>
        <w:rPr>
          <w:rFonts w:ascii="Arial" w:hAnsi="Arial" w:cs="Arial"/>
          <w:sz w:val="18"/>
          <w:szCs w:val="18"/>
        </w:rPr>
      </w:pPr>
      <w:r w:rsidRPr="00E02CD3">
        <w:rPr>
          <w:rStyle w:val="FootnoteReference"/>
          <w:rFonts w:ascii="Arial" w:hAnsi="Arial" w:cs="Arial"/>
          <w:sz w:val="18"/>
          <w:szCs w:val="18"/>
        </w:rPr>
        <w:footnoteRef/>
      </w:r>
      <w:r w:rsidRPr="00E02CD3">
        <w:rPr>
          <w:rFonts w:ascii="Arial" w:hAnsi="Arial" w:cs="Arial"/>
          <w:sz w:val="18"/>
          <w:szCs w:val="18"/>
        </w:rPr>
        <w:t xml:space="preserve"> </w:t>
      </w:r>
      <w:r>
        <w:rPr>
          <w:rFonts w:ascii="Arial" w:hAnsi="Arial" w:cs="Arial"/>
          <w:sz w:val="18"/>
          <w:szCs w:val="18"/>
        </w:rPr>
        <w:tab/>
      </w:r>
      <w:bookmarkStart w:id="20" w:name="_Hlk483305913"/>
      <w:r>
        <w:rPr>
          <w:rFonts w:ascii="Arial" w:hAnsi="Arial" w:cs="Arial"/>
          <w:sz w:val="18"/>
          <w:szCs w:val="18"/>
        </w:rPr>
        <w:t xml:space="preserve">El costo de </w:t>
      </w:r>
      <w:r w:rsidRPr="00E02CD3">
        <w:rPr>
          <w:rFonts w:ascii="Arial" w:hAnsi="Arial" w:cs="Arial"/>
          <w:color w:val="222222"/>
          <w:sz w:val="18"/>
          <w:szCs w:val="18"/>
          <w:lang w:val="es-ES"/>
        </w:rPr>
        <w:t>racionamiento</w:t>
      </w:r>
      <w:r>
        <w:rPr>
          <w:rFonts w:ascii="Arial" w:hAnsi="Arial" w:cs="Arial"/>
          <w:color w:val="222222"/>
          <w:sz w:val="18"/>
          <w:szCs w:val="18"/>
          <w:lang w:val="es-ES"/>
        </w:rPr>
        <w:t xml:space="preserve"> de energía</w:t>
      </w:r>
      <w:r w:rsidRPr="00E02CD3">
        <w:rPr>
          <w:rFonts w:ascii="Arial" w:hAnsi="Arial" w:cs="Arial"/>
          <w:color w:val="222222"/>
          <w:sz w:val="18"/>
          <w:szCs w:val="18"/>
          <w:lang w:val="es-ES"/>
        </w:rPr>
        <w:t>, también llamado "costo de falla", es e</w:t>
      </w:r>
      <w:r>
        <w:rPr>
          <w:rFonts w:ascii="Arial" w:hAnsi="Arial" w:cs="Arial"/>
          <w:color w:val="222222"/>
          <w:sz w:val="18"/>
          <w:szCs w:val="18"/>
          <w:lang w:val="es-ES"/>
        </w:rPr>
        <w:t>l costo por kilowatt-hora pagado</w:t>
      </w:r>
      <w:r w:rsidRPr="00E02CD3">
        <w:rPr>
          <w:rFonts w:ascii="Arial" w:hAnsi="Arial" w:cs="Arial"/>
          <w:color w:val="222222"/>
          <w:sz w:val="18"/>
          <w:szCs w:val="18"/>
          <w:lang w:val="es-ES"/>
        </w:rPr>
        <w:t xml:space="preserve"> (</w:t>
      </w:r>
      <w:bookmarkEnd w:id="20"/>
      <w:r>
        <w:rPr>
          <w:rFonts w:ascii="Arial" w:hAnsi="Arial" w:cs="Arial"/>
          <w:color w:val="222222"/>
          <w:sz w:val="18"/>
          <w:szCs w:val="18"/>
          <w:lang w:val="es-ES"/>
        </w:rPr>
        <w:t xml:space="preserve">Los valores de referencia </w:t>
      </w:r>
      <w:r w:rsidRPr="00E02CD3">
        <w:rPr>
          <w:rFonts w:ascii="Arial" w:hAnsi="Arial" w:cs="Arial"/>
          <w:color w:val="222222"/>
          <w:sz w:val="18"/>
          <w:szCs w:val="18"/>
          <w:lang w:val="es-ES"/>
        </w:rPr>
        <w:t>de dicho costo varía</w:t>
      </w:r>
      <w:r>
        <w:rPr>
          <w:rFonts w:ascii="Arial" w:hAnsi="Arial" w:cs="Arial"/>
          <w:color w:val="222222"/>
          <w:sz w:val="18"/>
          <w:szCs w:val="18"/>
          <w:lang w:val="es-ES"/>
        </w:rPr>
        <w:t>n</w:t>
      </w:r>
      <w:r w:rsidRPr="00E02CD3">
        <w:rPr>
          <w:rFonts w:ascii="Arial" w:hAnsi="Arial" w:cs="Arial"/>
          <w:color w:val="222222"/>
          <w:sz w:val="18"/>
          <w:szCs w:val="18"/>
          <w:lang w:val="es-ES"/>
        </w:rPr>
        <w:t xml:space="preserve"> mucho en América Latina, d</w:t>
      </w:r>
      <w:r>
        <w:rPr>
          <w:rFonts w:ascii="Arial" w:hAnsi="Arial" w:cs="Arial"/>
          <w:color w:val="222222"/>
          <w:sz w:val="18"/>
          <w:szCs w:val="18"/>
          <w:lang w:val="es-ES"/>
        </w:rPr>
        <w:t>ebido principalmente al mercado y a</w:t>
      </w:r>
      <w:r w:rsidRPr="00E02CD3">
        <w:rPr>
          <w:rFonts w:ascii="Arial" w:hAnsi="Arial" w:cs="Arial"/>
          <w:color w:val="222222"/>
          <w:sz w:val="18"/>
          <w:szCs w:val="18"/>
          <w:lang w:val="es-ES"/>
        </w:rPr>
        <w:t xml:space="preserve"> las diferencias metodológicas y normativas. </w:t>
      </w:r>
      <w:r>
        <w:rPr>
          <w:rFonts w:ascii="Arial" w:hAnsi="Arial" w:cs="Arial"/>
          <w:color w:val="222222"/>
          <w:sz w:val="18"/>
          <w:szCs w:val="18"/>
          <w:lang w:val="es-ES"/>
        </w:rPr>
        <w:t xml:space="preserve">Este </w:t>
      </w:r>
      <w:r w:rsidRPr="00224FAD">
        <w:rPr>
          <w:rFonts w:ascii="Arial" w:hAnsi="Arial" w:cs="Arial"/>
          <w:color w:val="222222"/>
          <w:sz w:val="18"/>
          <w:szCs w:val="18"/>
          <w:lang w:val="es-ES"/>
        </w:rPr>
        <w:t>estudio utiliza US$1</w:t>
      </w:r>
      <w:r>
        <w:rPr>
          <w:rFonts w:ascii="Arial" w:hAnsi="Arial" w:cs="Arial"/>
          <w:color w:val="222222"/>
          <w:sz w:val="18"/>
          <w:szCs w:val="18"/>
          <w:lang w:val="es-ES"/>
        </w:rPr>
        <w:t>4</w:t>
      </w:r>
      <w:r w:rsidRPr="00224FAD">
        <w:rPr>
          <w:rFonts w:ascii="Arial" w:hAnsi="Arial" w:cs="Arial"/>
          <w:color w:val="222222"/>
          <w:sz w:val="18"/>
          <w:szCs w:val="18"/>
          <w:lang w:val="es-ES"/>
        </w:rPr>
        <w:t>0/MWh como</w:t>
      </w:r>
      <w:r w:rsidRPr="00E02CD3">
        <w:rPr>
          <w:rFonts w:ascii="Arial" w:hAnsi="Arial" w:cs="Arial"/>
          <w:color w:val="222222"/>
          <w:sz w:val="18"/>
          <w:szCs w:val="18"/>
          <w:lang w:val="es-ES"/>
        </w:rPr>
        <w:t xml:space="preserve"> costo </w:t>
      </w:r>
      <w:r>
        <w:rPr>
          <w:rFonts w:ascii="Arial" w:hAnsi="Arial" w:cs="Arial"/>
          <w:color w:val="222222"/>
          <w:sz w:val="18"/>
          <w:szCs w:val="18"/>
          <w:lang w:val="es-ES"/>
        </w:rPr>
        <w:t xml:space="preserve">de falla del 100% de la demanda.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2FC40" w14:textId="77777777" w:rsidR="00412E1B" w:rsidRDefault="00412E1B">
    <w:pPr>
      <w:pStyle w:val="Header"/>
      <w:ind w:right="360"/>
      <w:jc w:val="both"/>
      <w:rPr>
        <w:rStyle w:val="PageNumber"/>
        <w:snapToGrid w:val="0"/>
      </w:rPr>
    </w:pPr>
    <w:r>
      <w:rPr>
        <w:rStyle w:val="PageNumber"/>
        <w:snapToGrid w:val="0"/>
      </w:rPr>
      <w:tab/>
      <w:t xml:space="preserve">- </w:t>
    </w:r>
    <w:r>
      <w:rPr>
        <w:rStyle w:val="PageNumber"/>
        <w:snapToGrid w:val="0"/>
      </w:rPr>
      <w:fldChar w:fldCharType="begin"/>
    </w:r>
    <w:r>
      <w:rPr>
        <w:rStyle w:val="PageNumber"/>
        <w:snapToGrid w:val="0"/>
      </w:rPr>
      <w:instrText xml:space="preserve"> PAGE </w:instrText>
    </w:r>
    <w:r>
      <w:rPr>
        <w:rStyle w:val="PageNumber"/>
        <w:snapToGrid w:val="0"/>
      </w:rPr>
      <w:fldChar w:fldCharType="separate"/>
    </w:r>
    <w:r>
      <w:rPr>
        <w:rStyle w:val="PageNumber"/>
        <w:noProof/>
        <w:snapToGrid w:val="0"/>
      </w:rPr>
      <w:t>iii</w:t>
    </w:r>
    <w:r>
      <w:rPr>
        <w:rStyle w:val="PageNumber"/>
        <w:snapToGrid w:val="0"/>
      </w:rPr>
      <w:fldChar w:fldCharType="end"/>
    </w:r>
    <w:r>
      <w:rPr>
        <w:rStyle w:val="PageNumber"/>
        <w:snapToGrid w:val="0"/>
      </w:rPr>
      <w:t xml:space="preserve"> -</w:t>
    </w:r>
  </w:p>
  <w:p w14:paraId="22642A46" w14:textId="77777777" w:rsidR="00412E1B" w:rsidRDefault="00412E1B">
    <w:pPr>
      <w:pStyle w:val="Header"/>
      <w:ind w:right="360"/>
      <w:jc w:val="both"/>
      <w:rPr>
        <w:rStyle w:val="PageNumber"/>
        <w:snapToGrid w:val="0"/>
      </w:rPr>
    </w:pPr>
    <w:r>
      <w:rPr>
        <w:rStyle w:val="PageNumber"/>
        <w:snapToGrid w:val="0"/>
      </w:rPr>
      <w:tab/>
    </w:r>
  </w:p>
  <w:p w14:paraId="77B67F31" w14:textId="77777777" w:rsidR="00412E1B" w:rsidRDefault="00412E1B">
    <w:pPr>
      <w:pStyle w:val="Header"/>
      <w:ind w:right="360"/>
      <w:jc w:val="both"/>
    </w:pPr>
    <w:r>
      <w:rPr>
        <w:snapToGrid w:val="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DE33F" w14:textId="10F91FD0" w:rsidR="00412E1B" w:rsidRPr="00706FA8" w:rsidRDefault="00412E1B">
    <w:pPr>
      <w:pStyle w:val="Header"/>
      <w:jc w:val="center"/>
      <w:rPr>
        <w:rFonts w:ascii="Arial" w:hAnsi="Arial" w:cs="Arial"/>
        <w:snapToGrid w:val="0"/>
        <w:sz w:val="18"/>
      </w:rPr>
    </w:pPr>
    <w:r w:rsidRPr="00706FA8">
      <w:rPr>
        <w:rFonts w:ascii="Arial" w:hAnsi="Arial" w:cs="Arial"/>
        <w:snapToGrid w:val="0"/>
        <w:sz w:val="18"/>
      </w:rPr>
      <w:t xml:space="preserve">- </w:t>
    </w:r>
    <w:r w:rsidRPr="00706FA8">
      <w:rPr>
        <w:rFonts w:ascii="Arial" w:hAnsi="Arial" w:cs="Arial"/>
        <w:snapToGrid w:val="0"/>
        <w:sz w:val="18"/>
      </w:rPr>
      <w:fldChar w:fldCharType="begin"/>
    </w:r>
    <w:r w:rsidRPr="00706FA8">
      <w:rPr>
        <w:rFonts w:ascii="Arial" w:hAnsi="Arial" w:cs="Arial"/>
        <w:snapToGrid w:val="0"/>
        <w:sz w:val="18"/>
      </w:rPr>
      <w:instrText xml:space="preserve"> PAGE </w:instrText>
    </w:r>
    <w:r w:rsidRPr="00706FA8">
      <w:rPr>
        <w:rFonts w:ascii="Arial" w:hAnsi="Arial" w:cs="Arial"/>
        <w:snapToGrid w:val="0"/>
        <w:sz w:val="18"/>
      </w:rPr>
      <w:fldChar w:fldCharType="separate"/>
    </w:r>
    <w:r w:rsidR="00451F11">
      <w:rPr>
        <w:rFonts w:ascii="Arial" w:hAnsi="Arial" w:cs="Arial"/>
        <w:noProof/>
        <w:snapToGrid w:val="0"/>
        <w:sz w:val="18"/>
      </w:rPr>
      <w:t>ii</w:t>
    </w:r>
    <w:r w:rsidRPr="00706FA8">
      <w:rPr>
        <w:rFonts w:ascii="Arial" w:hAnsi="Arial" w:cs="Arial"/>
        <w:snapToGrid w:val="0"/>
        <w:sz w:val="18"/>
      </w:rPr>
      <w:fldChar w:fldCharType="end"/>
    </w:r>
    <w:r w:rsidRPr="00706FA8">
      <w:rPr>
        <w:rFonts w:ascii="Arial" w:hAnsi="Arial" w:cs="Arial"/>
        <w:snapToGrid w:val="0"/>
        <w:sz w:val="18"/>
      </w:rPr>
      <w:t xml:space="preserve"> - </w:t>
    </w:r>
  </w:p>
  <w:p w14:paraId="68A3DB20" w14:textId="77777777" w:rsidR="00412E1B" w:rsidRDefault="00412E1B">
    <w:pPr>
      <w:pStyle w:val="Header"/>
      <w:jc w:val="center"/>
    </w:pPr>
  </w:p>
  <w:p w14:paraId="711A428C" w14:textId="77777777" w:rsidR="00412E1B" w:rsidRDefault="00412E1B">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F6DBB" w14:textId="77777777" w:rsidR="00412E1B" w:rsidRPr="008175A8" w:rsidRDefault="00412E1B" w:rsidP="008175A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F57EE" w14:textId="77777777" w:rsidR="00412E1B" w:rsidRDefault="00412E1B">
    <w:pPr>
      <w:pStyle w:val="Header"/>
      <w:framePr w:wrap="around" w:vAnchor="text" w:hAnchor="margin" w:xAlign="center" w:y="1"/>
      <w:rPr>
        <w:rStyle w:val="PageNumber"/>
      </w:rPr>
    </w:pPr>
  </w:p>
  <w:p w14:paraId="39CD1C4E" w14:textId="77777777" w:rsidR="00412E1B" w:rsidRDefault="00412E1B">
    <w:pPr>
      <w:pStyle w:val="Header"/>
      <w:ind w:right="360"/>
      <w:jc w:val="both"/>
      <w:rPr>
        <w:rStyle w:val="PageNumber"/>
        <w:snapToGrid w:val="0"/>
      </w:rPr>
    </w:pPr>
    <w:r>
      <w:rPr>
        <w:rStyle w:val="PageNumber"/>
        <w:snapToGrid w:val="0"/>
        <w:sz w:val="20"/>
        <w:lang w:val="es-ES"/>
      </w:rPr>
      <w:t xml:space="preserve">Página </w:t>
    </w:r>
    <w:r>
      <w:rPr>
        <w:rStyle w:val="PageNumber"/>
        <w:snapToGrid w:val="0"/>
        <w:sz w:val="20"/>
        <w:lang w:val="es-ES"/>
      </w:rPr>
      <w:fldChar w:fldCharType="begin"/>
    </w:r>
    <w:r>
      <w:rPr>
        <w:rStyle w:val="PageNumber"/>
        <w:snapToGrid w:val="0"/>
        <w:sz w:val="20"/>
        <w:lang w:val="es-ES"/>
      </w:rPr>
      <w:instrText xml:space="preserve"> PAGE </w:instrText>
    </w:r>
    <w:r>
      <w:rPr>
        <w:rStyle w:val="PageNumber"/>
        <w:snapToGrid w:val="0"/>
        <w:sz w:val="20"/>
        <w:lang w:val="es-ES"/>
      </w:rPr>
      <w:fldChar w:fldCharType="separate"/>
    </w:r>
    <w:r>
      <w:rPr>
        <w:rStyle w:val="PageNumber"/>
        <w:noProof/>
        <w:snapToGrid w:val="0"/>
        <w:sz w:val="20"/>
        <w:lang w:val="es-ES"/>
      </w:rPr>
      <w:t>2</w:t>
    </w:r>
    <w:r>
      <w:rPr>
        <w:rStyle w:val="PageNumber"/>
        <w:snapToGrid w:val="0"/>
        <w:sz w:val="20"/>
        <w:lang w:val="es-ES"/>
      </w:rPr>
      <w:fldChar w:fldCharType="end"/>
    </w:r>
    <w:r>
      <w:rPr>
        <w:rStyle w:val="PageNumber"/>
        <w:snapToGrid w:val="0"/>
        <w:sz w:val="20"/>
        <w:lang w:val="es-ES"/>
      </w:rPr>
      <w:t xml:space="preserve"> de </w:t>
    </w:r>
    <w:r>
      <w:fldChar w:fldCharType="begin"/>
    </w:r>
    <w:r>
      <w:instrText xml:space="preserve"> PAGEREF ESSectionPages  \* MERGEFORMAT </w:instrText>
    </w:r>
    <w:r>
      <w:fldChar w:fldCharType="separate"/>
    </w:r>
    <w:r>
      <w:rPr>
        <w:b/>
        <w:bCs/>
        <w:noProof/>
        <w:lang w:val="en-US"/>
      </w:rPr>
      <w:t>Error! Bookmark not defined.</w:t>
    </w:r>
    <w:r>
      <w:rPr>
        <w:rStyle w:val="PageNumber"/>
        <w:noProof/>
        <w:snapToGrid w:val="0"/>
        <w:sz w:val="20"/>
      </w:rPr>
      <w:fldChar w:fldCharType="end"/>
    </w:r>
  </w:p>
  <w:p w14:paraId="0CC3A3D2" w14:textId="77777777" w:rsidR="00412E1B" w:rsidRDefault="00412E1B">
    <w:pPr>
      <w:pStyle w:val="Header"/>
      <w:pBdr>
        <w:top w:val="single" w:sz="4" w:space="1" w:color="auto"/>
      </w:pBdr>
      <w:tabs>
        <w:tab w:val="clear" w:pos="8640"/>
        <w:tab w:val="right" w:pos="8730"/>
      </w:tabs>
      <w:ind w:right="25"/>
      <w:jc w:val="both"/>
      <w:rPr>
        <w:rStyle w:val="PageNumber"/>
        <w:snapToGrid w:val="0"/>
      </w:rPr>
    </w:pPr>
  </w:p>
  <w:p w14:paraId="48706DB4" w14:textId="77777777" w:rsidR="00412E1B" w:rsidRDefault="00412E1B">
    <w:pPr>
      <w:pStyle w:val="Header"/>
      <w:ind w:right="360"/>
      <w:jc w:val="both"/>
      <w:rPr>
        <w:rStyle w:val="PageNumber"/>
        <w:snapToGrid w:val="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130CE" w14:textId="77777777" w:rsidR="00412E1B" w:rsidRDefault="00412E1B">
    <w:pPr>
      <w:pStyle w:val="Header"/>
      <w:ind w:right="360"/>
      <w:jc w:val="right"/>
      <w:rPr>
        <w:snapToGrid w:val="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98BCA" w14:textId="77777777" w:rsidR="00412E1B" w:rsidRDefault="00412E1B">
    <w:pPr>
      <w:pStyle w:val="Header"/>
    </w:pPr>
    <w:r>
      <w:rPr>
        <w:rStyle w:val="PageNumber"/>
        <w:snapToGrid w:val="0"/>
      </w:rPr>
      <w:tab/>
    </w:r>
    <w:r>
      <w:rPr>
        <w:rStyle w:val="PageNumber"/>
        <w:snapToGrid w:val="0"/>
      </w:rP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2FA78" w14:textId="77777777" w:rsidR="00412E1B" w:rsidRDefault="00412E1B">
    <w:pPr>
      <w:pStyle w:val="Header"/>
      <w:ind w:right="360"/>
      <w:jc w:val="both"/>
    </w:pPr>
  </w:p>
  <w:p w14:paraId="5193690F" w14:textId="77777777" w:rsidR="00412E1B" w:rsidRDefault="00412E1B"/>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43F20" w14:textId="0BB5412A" w:rsidR="00412E1B" w:rsidRPr="00EB0154" w:rsidRDefault="00412E1B" w:rsidP="00EB0154">
    <w:pPr>
      <w:pStyle w:val="Header"/>
      <w:tabs>
        <w:tab w:val="left" w:pos="3840"/>
        <w:tab w:val="center" w:pos="4140"/>
      </w:tabs>
      <w:ind w:right="360"/>
      <w:rPr>
        <w:rFonts w:ascii="Arial" w:hAnsi="Arial" w:cs="Arial"/>
        <w:snapToGrid w:val="0"/>
      </w:rPr>
    </w:pPr>
    <w:r>
      <w:rPr>
        <w:snapToGrid w:val="0"/>
      </w:rPr>
      <w:tab/>
    </w:r>
    <w:r w:rsidRPr="00706FA8">
      <w:rPr>
        <w:rFonts w:ascii="Arial" w:hAnsi="Arial" w:cs="Arial"/>
        <w:snapToGrid w:val="0"/>
        <w:sz w:val="18"/>
      </w:rPr>
      <w:tab/>
      <w:t xml:space="preserve">- </w:t>
    </w:r>
    <w:r w:rsidRPr="00706FA8">
      <w:rPr>
        <w:rFonts w:ascii="Arial" w:hAnsi="Arial" w:cs="Arial"/>
        <w:snapToGrid w:val="0"/>
        <w:sz w:val="18"/>
      </w:rPr>
      <w:fldChar w:fldCharType="begin"/>
    </w:r>
    <w:r w:rsidRPr="00706FA8">
      <w:rPr>
        <w:rFonts w:ascii="Arial" w:hAnsi="Arial" w:cs="Arial"/>
        <w:snapToGrid w:val="0"/>
        <w:sz w:val="18"/>
      </w:rPr>
      <w:instrText xml:space="preserve"> PAGE </w:instrText>
    </w:r>
    <w:r w:rsidRPr="00706FA8">
      <w:rPr>
        <w:rFonts w:ascii="Arial" w:hAnsi="Arial" w:cs="Arial"/>
        <w:snapToGrid w:val="0"/>
        <w:sz w:val="18"/>
      </w:rPr>
      <w:fldChar w:fldCharType="separate"/>
    </w:r>
    <w:r w:rsidR="00451F11">
      <w:rPr>
        <w:rFonts w:ascii="Arial" w:hAnsi="Arial" w:cs="Arial"/>
        <w:noProof/>
        <w:snapToGrid w:val="0"/>
        <w:sz w:val="18"/>
      </w:rPr>
      <w:t>12</w:t>
    </w:r>
    <w:r w:rsidRPr="00706FA8">
      <w:rPr>
        <w:rFonts w:ascii="Arial" w:hAnsi="Arial" w:cs="Arial"/>
        <w:snapToGrid w:val="0"/>
        <w:sz w:val="18"/>
      </w:rPr>
      <w:fldChar w:fldCharType="end"/>
    </w:r>
    <w:r w:rsidRPr="00706FA8">
      <w:rPr>
        <w:rFonts w:ascii="Arial" w:hAnsi="Arial" w:cs="Arial"/>
        <w:snapToGrid w:val="0"/>
        <w:sz w:val="18"/>
      </w:rPr>
      <w:t xml:space="preserve"> -</w:t>
    </w:r>
  </w:p>
  <w:p w14:paraId="5608E541" w14:textId="77777777" w:rsidR="00412E1B" w:rsidRDefault="00412E1B"/>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AE891" w14:textId="77777777" w:rsidR="00412E1B" w:rsidRDefault="00412E1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6370BB"/>
    <w:multiLevelType w:val="multilevel"/>
    <w:tmpl w:val="1C786B9C"/>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 w15:restartNumberingAfterBreak="0">
    <w:nsid w:val="359B4991"/>
    <w:multiLevelType w:val="multilevel"/>
    <w:tmpl w:val="7772DE36"/>
    <w:lvl w:ilvl="0">
      <w:start w:val="1"/>
      <w:numFmt w:val="upperRoman"/>
      <w:lvlRestart w:val="0"/>
      <w:pStyle w:val="Chapter"/>
      <w:lvlText w:val="%1."/>
      <w:lvlJc w:val="center"/>
      <w:pPr>
        <w:tabs>
          <w:tab w:val="num" w:pos="1800"/>
        </w:tabs>
        <w:ind w:left="1152" w:firstLine="288"/>
      </w:pPr>
      <w:rPr>
        <w:b/>
        <w:i w:val="0"/>
      </w:rPr>
    </w:lvl>
    <w:lvl w:ilvl="1">
      <w:start w:val="1"/>
      <w:numFmt w:val="decimal"/>
      <w:isLgl/>
      <w:lvlText w:val="%1.%2"/>
      <w:lvlJc w:val="left"/>
      <w:pPr>
        <w:tabs>
          <w:tab w:val="num" w:pos="6066"/>
        </w:tabs>
        <w:ind w:left="6066" w:hanging="1296"/>
      </w:pPr>
      <w:rPr>
        <w:rFonts w:ascii="Arial" w:hAnsi="Arial" w:cs="Arial" w:hint="default"/>
        <w:b w:val="0"/>
        <w:sz w:val="22"/>
        <w:szCs w:val="22"/>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 w15:restartNumberingAfterBreak="0">
    <w:nsid w:val="6129263E"/>
    <w:multiLevelType w:val="hybridMultilevel"/>
    <w:tmpl w:val="3BE4111E"/>
    <w:lvl w:ilvl="0" w:tplc="379E0850">
      <w:start w:val="1"/>
      <w:numFmt w:val="lowerLetter"/>
      <w:lvlText w:val="%1."/>
      <w:lvlJc w:val="left"/>
      <w:pPr>
        <w:ind w:left="927" w:hanging="360"/>
      </w:pPr>
      <w:rPr>
        <w:rFonts w:hint="default"/>
        <w:b/>
      </w:rPr>
    </w:lvl>
    <w:lvl w:ilvl="1" w:tplc="540A0019" w:tentative="1">
      <w:start w:val="1"/>
      <w:numFmt w:val="lowerLetter"/>
      <w:lvlText w:val="%2."/>
      <w:lvlJc w:val="left"/>
      <w:pPr>
        <w:ind w:left="1647" w:hanging="360"/>
      </w:pPr>
    </w:lvl>
    <w:lvl w:ilvl="2" w:tplc="540A001B" w:tentative="1">
      <w:start w:val="1"/>
      <w:numFmt w:val="lowerRoman"/>
      <w:lvlText w:val="%3."/>
      <w:lvlJc w:val="right"/>
      <w:pPr>
        <w:ind w:left="2367" w:hanging="180"/>
      </w:pPr>
    </w:lvl>
    <w:lvl w:ilvl="3" w:tplc="540A000F" w:tentative="1">
      <w:start w:val="1"/>
      <w:numFmt w:val="decimal"/>
      <w:lvlText w:val="%4."/>
      <w:lvlJc w:val="left"/>
      <w:pPr>
        <w:ind w:left="3087" w:hanging="360"/>
      </w:pPr>
    </w:lvl>
    <w:lvl w:ilvl="4" w:tplc="540A0019" w:tentative="1">
      <w:start w:val="1"/>
      <w:numFmt w:val="lowerLetter"/>
      <w:lvlText w:val="%5."/>
      <w:lvlJc w:val="left"/>
      <w:pPr>
        <w:ind w:left="3807" w:hanging="360"/>
      </w:pPr>
    </w:lvl>
    <w:lvl w:ilvl="5" w:tplc="540A001B" w:tentative="1">
      <w:start w:val="1"/>
      <w:numFmt w:val="lowerRoman"/>
      <w:lvlText w:val="%6."/>
      <w:lvlJc w:val="right"/>
      <w:pPr>
        <w:ind w:left="4527" w:hanging="180"/>
      </w:pPr>
    </w:lvl>
    <w:lvl w:ilvl="6" w:tplc="540A000F" w:tentative="1">
      <w:start w:val="1"/>
      <w:numFmt w:val="decimal"/>
      <w:lvlText w:val="%7."/>
      <w:lvlJc w:val="left"/>
      <w:pPr>
        <w:ind w:left="5247" w:hanging="360"/>
      </w:pPr>
    </w:lvl>
    <w:lvl w:ilvl="7" w:tplc="540A0019" w:tentative="1">
      <w:start w:val="1"/>
      <w:numFmt w:val="lowerLetter"/>
      <w:lvlText w:val="%8."/>
      <w:lvlJc w:val="left"/>
      <w:pPr>
        <w:ind w:left="5967" w:hanging="360"/>
      </w:pPr>
    </w:lvl>
    <w:lvl w:ilvl="8" w:tplc="540A001B" w:tentative="1">
      <w:start w:val="1"/>
      <w:numFmt w:val="lowerRoman"/>
      <w:lvlText w:val="%9."/>
      <w:lvlJc w:val="right"/>
      <w:pPr>
        <w:ind w:left="6687" w:hanging="180"/>
      </w:pPr>
    </w:lvl>
  </w:abstractNum>
  <w:num w:numId="1">
    <w:abstractNumId w:val="0"/>
  </w:num>
  <w:num w:numId="2">
    <w:abstractNumId w:val="1"/>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751C"/>
    <w:rsid w:val="00003613"/>
    <w:rsid w:val="00003B36"/>
    <w:rsid w:val="00005A2A"/>
    <w:rsid w:val="00005BE6"/>
    <w:rsid w:val="000101FB"/>
    <w:rsid w:val="000141C7"/>
    <w:rsid w:val="0001519E"/>
    <w:rsid w:val="0002020D"/>
    <w:rsid w:val="0002031A"/>
    <w:rsid w:val="00025F9F"/>
    <w:rsid w:val="00030AD3"/>
    <w:rsid w:val="00031679"/>
    <w:rsid w:val="00034A37"/>
    <w:rsid w:val="00034B0A"/>
    <w:rsid w:val="00036128"/>
    <w:rsid w:val="00036843"/>
    <w:rsid w:val="00037E95"/>
    <w:rsid w:val="00040043"/>
    <w:rsid w:val="00040490"/>
    <w:rsid w:val="000410E6"/>
    <w:rsid w:val="000415F0"/>
    <w:rsid w:val="00041A85"/>
    <w:rsid w:val="00041B48"/>
    <w:rsid w:val="000420CC"/>
    <w:rsid w:val="000438F7"/>
    <w:rsid w:val="00043F2F"/>
    <w:rsid w:val="00046109"/>
    <w:rsid w:val="00046E14"/>
    <w:rsid w:val="00052D8D"/>
    <w:rsid w:val="00053201"/>
    <w:rsid w:val="00055E21"/>
    <w:rsid w:val="00057A4A"/>
    <w:rsid w:val="00057C11"/>
    <w:rsid w:val="00060BE1"/>
    <w:rsid w:val="0006112F"/>
    <w:rsid w:val="000636B9"/>
    <w:rsid w:val="00065094"/>
    <w:rsid w:val="00066DC2"/>
    <w:rsid w:val="00067023"/>
    <w:rsid w:val="000705F5"/>
    <w:rsid w:val="00070B8F"/>
    <w:rsid w:val="00071753"/>
    <w:rsid w:val="0007570E"/>
    <w:rsid w:val="000765F1"/>
    <w:rsid w:val="000839F7"/>
    <w:rsid w:val="00084081"/>
    <w:rsid w:val="00084EC7"/>
    <w:rsid w:val="00084FA6"/>
    <w:rsid w:val="00086B78"/>
    <w:rsid w:val="00090951"/>
    <w:rsid w:val="0009312F"/>
    <w:rsid w:val="000936C2"/>
    <w:rsid w:val="000943D1"/>
    <w:rsid w:val="0009550E"/>
    <w:rsid w:val="000A33B2"/>
    <w:rsid w:val="000A3533"/>
    <w:rsid w:val="000A3685"/>
    <w:rsid w:val="000A3ABD"/>
    <w:rsid w:val="000A5425"/>
    <w:rsid w:val="000A57EB"/>
    <w:rsid w:val="000A65AC"/>
    <w:rsid w:val="000B4434"/>
    <w:rsid w:val="000B7AF4"/>
    <w:rsid w:val="000C0117"/>
    <w:rsid w:val="000C42F4"/>
    <w:rsid w:val="000C58FD"/>
    <w:rsid w:val="000C67E7"/>
    <w:rsid w:val="000C6BE2"/>
    <w:rsid w:val="000C6FE1"/>
    <w:rsid w:val="000C76CB"/>
    <w:rsid w:val="000D039E"/>
    <w:rsid w:val="000D0A51"/>
    <w:rsid w:val="000D0C96"/>
    <w:rsid w:val="000D2C1F"/>
    <w:rsid w:val="000D3BCC"/>
    <w:rsid w:val="000D4844"/>
    <w:rsid w:val="000D6C38"/>
    <w:rsid w:val="000E05AC"/>
    <w:rsid w:val="000E193B"/>
    <w:rsid w:val="000E26B6"/>
    <w:rsid w:val="000E2AEA"/>
    <w:rsid w:val="000E2F15"/>
    <w:rsid w:val="000E3E55"/>
    <w:rsid w:val="000E4A38"/>
    <w:rsid w:val="000E578D"/>
    <w:rsid w:val="000F1C95"/>
    <w:rsid w:val="000F1D2B"/>
    <w:rsid w:val="000F3059"/>
    <w:rsid w:val="000F5472"/>
    <w:rsid w:val="000F626A"/>
    <w:rsid w:val="000F6493"/>
    <w:rsid w:val="000F699A"/>
    <w:rsid w:val="00102DAE"/>
    <w:rsid w:val="00106820"/>
    <w:rsid w:val="001101FD"/>
    <w:rsid w:val="001111EF"/>
    <w:rsid w:val="00113C53"/>
    <w:rsid w:val="00114BEC"/>
    <w:rsid w:val="00115608"/>
    <w:rsid w:val="0011571A"/>
    <w:rsid w:val="00115832"/>
    <w:rsid w:val="001162B9"/>
    <w:rsid w:val="00117770"/>
    <w:rsid w:val="00120128"/>
    <w:rsid w:val="00120A7E"/>
    <w:rsid w:val="00121A7F"/>
    <w:rsid w:val="001237DA"/>
    <w:rsid w:val="0013469A"/>
    <w:rsid w:val="001362B3"/>
    <w:rsid w:val="00140188"/>
    <w:rsid w:val="001452D2"/>
    <w:rsid w:val="001469BA"/>
    <w:rsid w:val="00147F33"/>
    <w:rsid w:val="00151C58"/>
    <w:rsid w:val="00152825"/>
    <w:rsid w:val="00153752"/>
    <w:rsid w:val="001547A4"/>
    <w:rsid w:val="00154985"/>
    <w:rsid w:val="00160BAC"/>
    <w:rsid w:val="0016255E"/>
    <w:rsid w:val="00162630"/>
    <w:rsid w:val="00163041"/>
    <w:rsid w:val="00163272"/>
    <w:rsid w:val="0016408A"/>
    <w:rsid w:val="00165C47"/>
    <w:rsid w:val="00172D26"/>
    <w:rsid w:val="00175C6F"/>
    <w:rsid w:val="00177ABA"/>
    <w:rsid w:val="00180933"/>
    <w:rsid w:val="0018233D"/>
    <w:rsid w:val="00182D05"/>
    <w:rsid w:val="00183139"/>
    <w:rsid w:val="00186B9E"/>
    <w:rsid w:val="001870DE"/>
    <w:rsid w:val="00187543"/>
    <w:rsid w:val="0019339E"/>
    <w:rsid w:val="001A1738"/>
    <w:rsid w:val="001A46A4"/>
    <w:rsid w:val="001A4D8E"/>
    <w:rsid w:val="001A5E09"/>
    <w:rsid w:val="001A7ADF"/>
    <w:rsid w:val="001A7CDA"/>
    <w:rsid w:val="001B1DC9"/>
    <w:rsid w:val="001B2ADE"/>
    <w:rsid w:val="001B30FF"/>
    <w:rsid w:val="001B31BA"/>
    <w:rsid w:val="001B59B0"/>
    <w:rsid w:val="001B6CB4"/>
    <w:rsid w:val="001C3038"/>
    <w:rsid w:val="001D1D7E"/>
    <w:rsid w:val="001D3282"/>
    <w:rsid w:val="001D3475"/>
    <w:rsid w:val="001D4153"/>
    <w:rsid w:val="001D65B5"/>
    <w:rsid w:val="001E024E"/>
    <w:rsid w:val="001E1865"/>
    <w:rsid w:val="001E201F"/>
    <w:rsid w:val="001E3D18"/>
    <w:rsid w:val="001E450B"/>
    <w:rsid w:val="001E544C"/>
    <w:rsid w:val="001F0D62"/>
    <w:rsid w:val="001F1D05"/>
    <w:rsid w:val="001F3D46"/>
    <w:rsid w:val="001F47BE"/>
    <w:rsid w:val="00201038"/>
    <w:rsid w:val="00202FD9"/>
    <w:rsid w:val="002053DC"/>
    <w:rsid w:val="00207AEA"/>
    <w:rsid w:val="00210879"/>
    <w:rsid w:val="00211FF3"/>
    <w:rsid w:val="00212851"/>
    <w:rsid w:val="002136CC"/>
    <w:rsid w:val="002138BB"/>
    <w:rsid w:val="002141EA"/>
    <w:rsid w:val="00214F10"/>
    <w:rsid w:val="00215105"/>
    <w:rsid w:val="00215E2B"/>
    <w:rsid w:val="002169EB"/>
    <w:rsid w:val="00216DC8"/>
    <w:rsid w:val="0022458D"/>
    <w:rsid w:val="00224F5B"/>
    <w:rsid w:val="00224FAD"/>
    <w:rsid w:val="00226519"/>
    <w:rsid w:val="0022695C"/>
    <w:rsid w:val="00226B71"/>
    <w:rsid w:val="00230A54"/>
    <w:rsid w:val="00231A1F"/>
    <w:rsid w:val="0023376A"/>
    <w:rsid w:val="002346DA"/>
    <w:rsid w:val="00235356"/>
    <w:rsid w:val="00237BC0"/>
    <w:rsid w:val="00240095"/>
    <w:rsid w:val="00241F17"/>
    <w:rsid w:val="00242AFC"/>
    <w:rsid w:val="00242DCF"/>
    <w:rsid w:val="0024454C"/>
    <w:rsid w:val="00246B1F"/>
    <w:rsid w:val="00247C06"/>
    <w:rsid w:val="00251388"/>
    <w:rsid w:val="00254FAE"/>
    <w:rsid w:val="002563F7"/>
    <w:rsid w:val="00257B3A"/>
    <w:rsid w:val="002610FC"/>
    <w:rsid w:val="00261D8E"/>
    <w:rsid w:val="00262B5D"/>
    <w:rsid w:val="00270ABF"/>
    <w:rsid w:val="0027257F"/>
    <w:rsid w:val="00274067"/>
    <w:rsid w:val="002753C5"/>
    <w:rsid w:val="00276B07"/>
    <w:rsid w:val="00277AC8"/>
    <w:rsid w:val="00277C59"/>
    <w:rsid w:val="002809ED"/>
    <w:rsid w:val="00282741"/>
    <w:rsid w:val="00285E70"/>
    <w:rsid w:val="00287710"/>
    <w:rsid w:val="00290D32"/>
    <w:rsid w:val="002916B4"/>
    <w:rsid w:val="00295292"/>
    <w:rsid w:val="00296191"/>
    <w:rsid w:val="0029674F"/>
    <w:rsid w:val="002A0B04"/>
    <w:rsid w:val="002A3A24"/>
    <w:rsid w:val="002A6F44"/>
    <w:rsid w:val="002A7C1E"/>
    <w:rsid w:val="002B1B3E"/>
    <w:rsid w:val="002B3B9F"/>
    <w:rsid w:val="002B4CF0"/>
    <w:rsid w:val="002B4D63"/>
    <w:rsid w:val="002B50F6"/>
    <w:rsid w:val="002B76CB"/>
    <w:rsid w:val="002C01D2"/>
    <w:rsid w:val="002C05D3"/>
    <w:rsid w:val="002C119D"/>
    <w:rsid w:val="002C3634"/>
    <w:rsid w:val="002C4AEF"/>
    <w:rsid w:val="002C7BD5"/>
    <w:rsid w:val="002D1B2E"/>
    <w:rsid w:val="002D3706"/>
    <w:rsid w:val="002D5913"/>
    <w:rsid w:val="002D5CB6"/>
    <w:rsid w:val="002D7DCB"/>
    <w:rsid w:val="002E234F"/>
    <w:rsid w:val="002E3603"/>
    <w:rsid w:val="002E66B7"/>
    <w:rsid w:val="002E6FDE"/>
    <w:rsid w:val="002F03E5"/>
    <w:rsid w:val="002F1B70"/>
    <w:rsid w:val="002F2E55"/>
    <w:rsid w:val="002F677E"/>
    <w:rsid w:val="002F69AD"/>
    <w:rsid w:val="002F6A3A"/>
    <w:rsid w:val="00300333"/>
    <w:rsid w:val="00302961"/>
    <w:rsid w:val="00303AE9"/>
    <w:rsid w:val="00305426"/>
    <w:rsid w:val="00311735"/>
    <w:rsid w:val="003146AC"/>
    <w:rsid w:val="003168D8"/>
    <w:rsid w:val="00316DB4"/>
    <w:rsid w:val="00320C3F"/>
    <w:rsid w:val="00320FF1"/>
    <w:rsid w:val="00321456"/>
    <w:rsid w:val="003224B7"/>
    <w:rsid w:val="00326ED1"/>
    <w:rsid w:val="00334467"/>
    <w:rsid w:val="00334B91"/>
    <w:rsid w:val="003352B2"/>
    <w:rsid w:val="00340D54"/>
    <w:rsid w:val="003414E3"/>
    <w:rsid w:val="00342094"/>
    <w:rsid w:val="003425A9"/>
    <w:rsid w:val="0034312B"/>
    <w:rsid w:val="00343219"/>
    <w:rsid w:val="00344301"/>
    <w:rsid w:val="00344457"/>
    <w:rsid w:val="00347425"/>
    <w:rsid w:val="0034746A"/>
    <w:rsid w:val="003474DA"/>
    <w:rsid w:val="00350250"/>
    <w:rsid w:val="00352369"/>
    <w:rsid w:val="0035348B"/>
    <w:rsid w:val="00356743"/>
    <w:rsid w:val="0036172D"/>
    <w:rsid w:val="00362220"/>
    <w:rsid w:val="003624DA"/>
    <w:rsid w:val="00363C51"/>
    <w:rsid w:val="003648D6"/>
    <w:rsid w:val="00364CD1"/>
    <w:rsid w:val="00365D27"/>
    <w:rsid w:val="0037226C"/>
    <w:rsid w:val="00372701"/>
    <w:rsid w:val="003749D5"/>
    <w:rsid w:val="003761F7"/>
    <w:rsid w:val="00377ECF"/>
    <w:rsid w:val="0038109A"/>
    <w:rsid w:val="00381B93"/>
    <w:rsid w:val="00382BA1"/>
    <w:rsid w:val="00382FEA"/>
    <w:rsid w:val="003834E9"/>
    <w:rsid w:val="00385807"/>
    <w:rsid w:val="00386C01"/>
    <w:rsid w:val="00386E96"/>
    <w:rsid w:val="003907AE"/>
    <w:rsid w:val="00391302"/>
    <w:rsid w:val="003944F9"/>
    <w:rsid w:val="003A2FA5"/>
    <w:rsid w:val="003A30E9"/>
    <w:rsid w:val="003A5863"/>
    <w:rsid w:val="003B0022"/>
    <w:rsid w:val="003B1B94"/>
    <w:rsid w:val="003B2507"/>
    <w:rsid w:val="003B46AC"/>
    <w:rsid w:val="003B7CEE"/>
    <w:rsid w:val="003D2188"/>
    <w:rsid w:val="003D2300"/>
    <w:rsid w:val="003D5631"/>
    <w:rsid w:val="003D66FF"/>
    <w:rsid w:val="003E0C10"/>
    <w:rsid w:val="003E5C50"/>
    <w:rsid w:val="003F2046"/>
    <w:rsid w:val="003F2560"/>
    <w:rsid w:val="00403FF0"/>
    <w:rsid w:val="00404425"/>
    <w:rsid w:val="004045EC"/>
    <w:rsid w:val="00404E56"/>
    <w:rsid w:val="00407024"/>
    <w:rsid w:val="00410F42"/>
    <w:rsid w:val="00411564"/>
    <w:rsid w:val="0041196E"/>
    <w:rsid w:val="00411AFB"/>
    <w:rsid w:val="00412E1B"/>
    <w:rsid w:val="00417A06"/>
    <w:rsid w:val="00423432"/>
    <w:rsid w:val="00423597"/>
    <w:rsid w:val="00424ED7"/>
    <w:rsid w:val="00425ED8"/>
    <w:rsid w:val="004264C7"/>
    <w:rsid w:val="00427B5E"/>
    <w:rsid w:val="004303CC"/>
    <w:rsid w:val="00430F4E"/>
    <w:rsid w:val="0043233A"/>
    <w:rsid w:val="00434AB4"/>
    <w:rsid w:val="00435BF1"/>
    <w:rsid w:val="00436D67"/>
    <w:rsid w:val="00440CC7"/>
    <w:rsid w:val="00442AEE"/>
    <w:rsid w:val="00443291"/>
    <w:rsid w:val="00447AEA"/>
    <w:rsid w:val="00447D6C"/>
    <w:rsid w:val="00451F11"/>
    <w:rsid w:val="0045272B"/>
    <w:rsid w:val="00452976"/>
    <w:rsid w:val="0045438B"/>
    <w:rsid w:val="00454C52"/>
    <w:rsid w:val="0046144F"/>
    <w:rsid w:val="00463E09"/>
    <w:rsid w:val="00465554"/>
    <w:rsid w:val="00465A6A"/>
    <w:rsid w:val="00466269"/>
    <w:rsid w:val="0046661A"/>
    <w:rsid w:val="00467365"/>
    <w:rsid w:val="004676E9"/>
    <w:rsid w:val="00472276"/>
    <w:rsid w:val="00472E37"/>
    <w:rsid w:val="00473621"/>
    <w:rsid w:val="004741B7"/>
    <w:rsid w:val="004756C5"/>
    <w:rsid w:val="004800F2"/>
    <w:rsid w:val="00481B1D"/>
    <w:rsid w:val="00482825"/>
    <w:rsid w:val="00482D05"/>
    <w:rsid w:val="00483AC5"/>
    <w:rsid w:val="0048453C"/>
    <w:rsid w:val="00490524"/>
    <w:rsid w:val="00490D02"/>
    <w:rsid w:val="00495AD7"/>
    <w:rsid w:val="004974CE"/>
    <w:rsid w:val="004A0D49"/>
    <w:rsid w:val="004A20FE"/>
    <w:rsid w:val="004A2D28"/>
    <w:rsid w:val="004A3FB9"/>
    <w:rsid w:val="004A5AAD"/>
    <w:rsid w:val="004A78A3"/>
    <w:rsid w:val="004B4E44"/>
    <w:rsid w:val="004B6177"/>
    <w:rsid w:val="004B710A"/>
    <w:rsid w:val="004C4B96"/>
    <w:rsid w:val="004C7EE0"/>
    <w:rsid w:val="004D1867"/>
    <w:rsid w:val="004D21CF"/>
    <w:rsid w:val="004D3933"/>
    <w:rsid w:val="004D5E58"/>
    <w:rsid w:val="004D6E46"/>
    <w:rsid w:val="004D757D"/>
    <w:rsid w:val="004E11FF"/>
    <w:rsid w:val="004E33E2"/>
    <w:rsid w:val="004E35AD"/>
    <w:rsid w:val="004E36E4"/>
    <w:rsid w:val="004E3EE8"/>
    <w:rsid w:val="004E4AB8"/>
    <w:rsid w:val="004E5268"/>
    <w:rsid w:val="004E59E1"/>
    <w:rsid w:val="004E7CB5"/>
    <w:rsid w:val="004F0BD1"/>
    <w:rsid w:val="004F3B01"/>
    <w:rsid w:val="004F6BBD"/>
    <w:rsid w:val="005024DF"/>
    <w:rsid w:val="00503EC7"/>
    <w:rsid w:val="00506081"/>
    <w:rsid w:val="0050795C"/>
    <w:rsid w:val="00512193"/>
    <w:rsid w:val="005127BC"/>
    <w:rsid w:val="00516187"/>
    <w:rsid w:val="00520AAC"/>
    <w:rsid w:val="0052133D"/>
    <w:rsid w:val="005220B8"/>
    <w:rsid w:val="00522B14"/>
    <w:rsid w:val="00524DCC"/>
    <w:rsid w:val="00525921"/>
    <w:rsid w:val="00526E4E"/>
    <w:rsid w:val="00531BF9"/>
    <w:rsid w:val="005324A3"/>
    <w:rsid w:val="00534EDA"/>
    <w:rsid w:val="00535970"/>
    <w:rsid w:val="0053638D"/>
    <w:rsid w:val="00540432"/>
    <w:rsid w:val="00540ED9"/>
    <w:rsid w:val="00544C7D"/>
    <w:rsid w:val="00545A16"/>
    <w:rsid w:val="00545CAA"/>
    <w:rsid w:val="00546117"/>
    <w:rsid w:val="00547157"/>
    <w:rsid w:val="00547CB8"/>
    <w:rsid w:val="00551224"/>
    <w:rsid w:val="0055126D"/>
    <w:rsid w:val="005525E9"/>
    <w:rsid w:val="00554794"/>
    <w:rsid w:val="0055657A"/>
    <w:rsid w:val="005566FB"/>
    <w:rsid w:val="0055718B"/>
    <w:rsid w:val="005579E5"/>
    <w:rsid w:val="00557DBB"/>
    <w:rsid w:val="00557EE1"/>
    <w:rsid w:val="005635F5"/>
    <w:rsid w:val="00564B13"/>
    <w:rsid w:val="00564BA7"/>
    <w:rsid w:val="0056711E"/>
    <w:rsid w:val="0056775B"/>
    <w:rsid w:val="00570867"/>
    <w:rsid w:val="005709B9"/>
    <w:rsid w:val="00572496"/>
    <w:rsid w:val="0057314E"/>
    <w:rsid w:val="005738B4"/>
    <w:rsid w:val="00576079"/>
    <w:rsid w:val="005771F5"/>
    <w:rsid w:val="00577709"/>
    <w:rsid w:val="0058070F"/>
    <w:rsid w:val="00580978"/>
    <w:rsid w:val="00580A29"/>
    <w:rsid w:val="00581017"/>
    <w:rsid w:val="0058292D"/>
    <w:rsid w:val="00582F49"/>
    <w:rsid w:val="005867A0"/>
    <w:rsid w:val="00586D57"/>
    <w:rsid w:val="005910CE"/>
    <w:rsid w:val="00591C5E"/>
    <w:rsid w:val="00592A81"/>
    <w:rsid w:val="00593108"/>
    <w:rsid w:val="005962F5"/>
    <w:rsid w:val="005979F3"/>
    <w:rsid w:val="005A10C6"/>
    <w:rsid w:val="005A2BAB"/>
    <w:rsid w:val="005A40C1"/>
    <w:rsid w:val="005A4682"/>
    <w:rsid w:val="005A5C81"/>
    <w:rsid w:val="005A5D63"/>
    <w:rsid w:val="005A6758"/>
    <w:rsid w:val="005A6E5B"/>
    <w:rsid w:val="005A799F"/>
    <w:rsid w:val="005B0265"/>
    <w:rsid w:val="005B1809"/>
    <w:rsid w:val="005B304E"/>
    <w:rsid w:val="005B669F"/>
    <w:rsid w:val="005B71AC"/>
    <w:rsid w:val="005C1A79"/>
    <w:rsid w:val="005C2D07"/>
    <w:rsid w:val="005C2DDC"/>
    <w:rsid w:val="005C43DB"/>
    <w:rsid w:val="005C610C"/>
    <w:rsid w:val="005C6FDE"/>
    <w:rsid w:val="005C763C"/>
    <w:rsid w:val="005C7725"/>
    <w:rsid w:val="005D0D45"/>
    <w:rsid w:val="005D0FC3"/>
    <w:rsid w:val="005D55F0"/>
    <w:rsid w:val="005D577E"/>
    <w:rsid w:val="005D6E69"/>
    <w:rsid w:val="005D7533"/>
    <w:rsid w:val="005E21D7"/>
    <w:rsid w:val="005E3690"/>
    <w:rsid w:val="005E5E9E"/>
    <w:rsid w:val="005E6ABC"/>
    <w:rsid w:val="005F1932"/>
    <w:rsid w:val="005F3ED6"/>
    <w:rsid w:val="005F3F4C"/>
    <w:rsid w:val="005F6794"/>
    <w:rsid w:val="005F71FD"/>
    <w:rsid w:val="00601FE7"/>
    <w:rsid w:val="0060383A"/>
    <w:rsid w:val="006059BF"/>
    <w:rsid w:val="006066BF"/>
    <w:rsid w:val="00606827"/>
    <w:rsid w:val="00606DC0"/>
    <w:rsid w:val="00610E7F"/>
    <w:rsid w:val="00611233"/>
    <w:rsid w:val="00613741"/>
    <w:rsid w:val="00623467"/>
    <w:rsid w:val="00623EE5"/>
    <w:rsid w:val="00624A5C"/>
    <w:rsid w:val="0062667F"/>
    <w:rsid w:val="00630C43"/>
    <w:rsid w:val="00630C7C"/>
    <w:rsid w:val="00632F09"/>
    <w:rsid w:val="0063389E"/>
    <w:rsid w:val="00636D8A"/>
    <w:rsid w:val="0064158B"/>
    <w:rsid w:val="006419D3"/>
    <w:rsid w:val="00641B95"/>
    <w:rsid w:val="00642A05"/>
    <w:rsid w:val="00644EBD"/>
    <w:rsid w:val="00647C5C"/>
    <w:rsid w:val="00652385"/>
    <w:rsid w:val="0065362C"/>
    <w:rsid w:val="006551DF"/>
    <w:rsid w:val="006629E2"/>
    <w:rsid w:val="00664BF9"/>
    <w:rsid w:val="00665A66"/>
    <w:rsid w:val="00667E0D"/>
    <w:rsid w:val="00670017"/>
    <w:rsid w:val="00671A1D"/>
    <w:rsid w:val="00671F1C"/>
    <w:rsid w:val="006723AC"/>
    <w:rsid w:val="00673242"/>
    <w:rsid w:val="0067795C"/>
    <w:rsid w:val="00677D8B"/>
    <w:rsid w:val="006800FC"/>
    <w:rsid w:val="00682A5C"/>
    <w:rsid w:val="00683DA9"/>
    <w:rsid w:val="00685181"/>
    <w:rsid w:val="00695498"/>
    <w:rsid w:val="00695E68"/>
    <w:rsid w:val="00696296"/>
    <w:rsid w:val="0069663A"/>
    <w:rsid w:val="00696A94"/>
    <w:rsid w:val="006A74B1"/>
    <w:rsid w:val="006B24F3"/>
    <w:rsid w:val="006B2979"/>
    <w:rsid w:val="006B5733"/>
    <w:rsid w:val="006B7D03"/>
    <w:rsid w:val="006B7DA5"/>
    <w:rsid w:val="006C2A1D"/>
    <w:rsid w:val="006C44BD"/>
    <w:rsid w:val="006D168A"/>
    <w:rsid w:val="006D2746"/>
    <w:rsid w:val="006D3107"/>
    <w:rsid w:val="006D409C"/>
    <w:rsid w:val="006D7BA6"/>
    <w:rsid w:val="006E0C0D"/>
    <w:rsid w:val="006E1CDD"/>
    <w:rsid w:val="006E7410"/>
    <w:rsid w:val="006F41D8"/>
    <w:rsid w:val="006F48E2"/>
    <w:rsid w:val="006F51F8"/>
    <w:rsid w:val="006F5DE4"/>
    <w:rsid w:val="006F677E"/>
    <w:rsid w:val="006F71C3"/>
    <w:rsid w:val="006F7E6A"/>
    <w:rsid w:val="007004F6"/>
    <w:rsid w:val="00701E88"/>
    <w:rsid w:val="00706C47"/>
    <w:rsid w:val="00706FA8"/>
    <w:rsid w:val="0070777A"/>
    <w:rsid w:val="00711E37"/>
    <w:rsid w:val="00711E53"/>
    <w:rsid w:val="0071296D"/>
    <w:rsid w:val="00713A5F"/>
    <w:rsid w:val="00713DE9"/>
    <w:rsid w:val="0071522F"/>
    <w:rsid w:val="00715643"/>
    <w:rsid w:val="007161D0"/>
    <w:rsid w:val="007205F6"/>
    <w:rsid w:val="0072090B"/>
    <w:rsid w:val="00723868"/>
    <w:rsid w:val="00726807"/>
    <w:rsid w:val="0072747F"/>
    <w:rsid w:val="00733C07"/>
    <w:rsid w:val="007359E5"/>
    <w:rsid w:val="00740F51"/>
    <w:rsid w:val="0074358C"/>
    <w:rsid w:val="00744344"/>
    <w:rsid w:val="00744E5D"/>
    <w:rsid w:val="0074503D"/>
    <w:rsid w:val="00745852"/>
    <w:rsid w:val="0074591E"/>
    <w:rsid w:val="00750971"/>
    <w:rsid w:val="00751220"/>
    <w:rsid w:val="00752B75"/>
    <w:rsid w:val="00753F8B"/>
    <w:rsid w:val="00754C0F"/>
    <w:rsid w:val="00756080"/>
    <w:rsid w:val="007561DB"/>
    <w:rsid w:val="00762B48"/>
    <w:rsid w:val="00762B70"/>
    <w:rsid w:val="007638CA"/>
    <w:rsid w:val="00765EC7"/>
    <w:rsid w:val="00770056"/>
    <w:rsid w:val="007703AD"/>
    <w:rsid w:val="007703D7"/>
    <w:rsid w:val="00770D36"/>
    <w:rsid w:val="00771190"/>
    <w:rsid w:val="00771F92"/>
    <w:rsid w:val="00777476"/>
    <w:rsid w:val="00780176"/>
    <w:rsid w:val="00782BD9"/>
    <w:rsid w:val="0078396F"/>
    <w:rsid w:val="00783A42"/>
    <w:rsid w:val="007844E0"/>
    <w:rsid w:val="00790AFA"/>
    <w:rsid w:val="00790C2E"/>
    <w:rsid w:val="00790CF0"/>
    <w:rsid w:val="00792F64"/>
    <w:rsid w:val="007944DE"/>
    <w:rsid w:val="007A00EA"/>
    <w:rsid w:val="007A47C9"/>
    <w:rsid w:val="007A5473"/>
    <w:rsid w:val="007A56D3"/>
    <w:rsid w:val="007A5F6E"/>
    <w:rsid w:val="007A69CB"/>
    <w:rsid w:val="007A7B27"/>
    <w:rsid w:val="007A7CC6"/>
    <w:rsid w:val="007B740F"/>
    <w:rsid w:val="007B768A"/>
    <w:rsid w:val="007C5030"/>
    <w:rsid w:val="007C6FAF"/>
    <w:rsid w:val="007D0702"/>
    <w:rsid w:val="007D1447"/>
    <w:rsid w:val="007D1B51"/>
    <w:rsid w:val="007D319E"/>
    <w:rsid w:val="007E1E09"/>
    <w:rsid w:val="007E3C7D"/>
    <w:rsid w:val="007E6B57"/>
    <w:rsid w:val="007E7576"/>
    <w:rsid w:val="007F149F"/>
    <w:rsid w:val="007F44C2"/>
    <w:rsid w:val="007F577F"/>
    <w:rsid w:val="007F691B"/>
    <w:rsid w:val="00801982"/>
    <w:rsid w:val="00802C5E"/>
    <w:rsid w:val="00803850"/>
    <w:rsid w:val="00805842"/>
    <w:rsid w:val="008058B3"/>
    <w:rsid w:val="00807D4A"/>
    <w:rsid w:val="00811E4D"/>
    <w:rsid w:val="00812FB3"/>
    <w:rsid w:val="00814B55"/>
    <w:rsid w:val="00814BC8"/>
    <w:rsid w:val="0081714B"/>
    <w:rsid w:val="008175A8"/>
    <w:rsid w:val="00817B08"/>
    <w:rsid w:val="00821612"/>
    <w:rsid w:val="00822952"/>
    <w:rsid w:val="0082305A"/>
    <w:rsid w:val="00825262"/>
    <w:rsid w:val="008318A9"/>
    <w:rsid w:val="00832240"/>
    <w:rsid w:val="0083371A"/>
    <w:rsid w:val="00834772"/>
    <w:rsid w:val="00837E71"/>
    <w:rsid w:val="008409F2"/>
    <w:rsid w:val="00840DCE"/>
    <w:rsid w:val="008447DF"/>
    <w:rsid w:val="00846B1F"/>
    <w:rsid w:val="00846C61"/>
    <w:rsid w:val="00852D2D"/>
    <w:rsid w:val="00853381"/>
    <w:rsid w:val="008541C6"/>
    <w:rsid w:val="008550FC"/>
    <w:rsid w:val="008558B8"/>
    <w:rsid w:val="0086051E"/>
    <w:rsid w:val="00860AB9"/>
    <w:rsid w:val="00861E77"/>
    <w:rsid w:val="00865FFF"/>
    <w:rsid w:val="00866CC6"/>
    <w:rsid w:val="008674B9"/>
    <w:rsid w:val="00867D55"/>
    <w:rsid w:val="00873511"/>
    <w:rsid w:val="00873C2E"/>
    <w:rsid w:val="00873F19"/>
    <w:rsid w:val="0087680D"/>
    <w:rsid w:val="008846A7"/>
    <w:rsid w:val="00884953"/>
    <w:rsid w:val="008854A9"/>
    <w:rsid w:val="0088560A"/>
    <w:rsid w:val="00892E01"/>
    <w:rsid w:val="00894D6D"/>
    <w:rsid w:val="00895008"/>
    <w:rsid w:val="00895E1F"/>
    <w:rsid w:val="008A0059"/>
    <w:rsid w:val="008A0EBE"/>
    <w:rsid w:val="008A1D05"/>
    <w:rsid w:val="008A231A"/>
    <w:rsid w:val="008A5AFA"/>
    <w:rsid w:val="008A6557"/>
    <w:rsid w:val="008B20FD"/>
    <w:rsid w:val="008B5605"/>
    <w:rsid w:val="008C0B5E"/>
    <w:rsid w:val="008C7CDE"/>
    <w:rsid w:val="008D183E"/>
    <w:rsid w:val="008D3C1A"/>
    <w:rsid w:val="008D3DE5"/>
    <w:rsid w:val="008D3F6A"/>
    <w:rsid w:val="008D6A54"/>
    <w:rsid w:val="008D70BE"/>
    <w:rsid w:val="008D7C6A"/>
    <w:rsid w:val="008E022F"/>
    <w:rsid w:val="008E2A0C"/>
    <w:rsid w:val="008F1BAF"/>
    <w:rsid w:val="008F4672"/>
    <w:rsid w:val="008F4E7C"/>
    <w:rsid w:val="008F6B43"/>
    <w:rsid w:val="008F6DB8"/>
    <w:rsid w:val="009013CA"/>
    <w:rsid w:val="009023D1"/>
    <w:rsid w:val="009029CD"/>
    <w:rsid w:val="00903107"/>
    <w:rsid w:val="009038E8"/>
    <w:rsid w:val="00912449"/>
    <w:rsid w:val="00912502"/>
    <w:rsid w:val="009128D2"/>
    <w:rsid w:val="00913EBE"/>
    <w:rsid w:val="00914273"/>
    <w:rsid w:val="009214F1"/>
    <w:rsid w:val="0092211B"/>
    <w:rsid w:val="00922AAE"/>
    <w:rsid w:val="009247AC"/>
    <w:rsid w:val="00931B64"/>
    <w:rsid w:val="00932237"/>
    <w:rsid w:val="00932893"/>
    <w:rsid w:val="009357C3"/>
    <w:rsid w:val="00936A77"/>
    <w:rsid w:val="009403E8"/>
    <w:rsid w:val="00941E2F"/>
    <w:rsid w:val="0094556D"/>
    <w:rsid w:val="009531BB"/>
    <w:rsid w:val="0095322F"/>
    <w:rsid w:val="00954428"/>
    <w:rsid w:val="009559C0"/>
    <w:rsid w:val="00960852"/>
    <w:rsid w:val="00961808"/>
    <w:rsid w:val="00961822"/>
    <w:rsid w:val="0096187B"/>
    <w:rsid w:val="0096404C"/>
    <w:rsid w:val="00965C87"/>
    <w:rsid w:val="00966A0B"/>
    <w:rsid w:val="009701A1"/>
    <w:rsid w:val="00971B64"/>
    <w:rsid w:val="00972402"/>
    <w:rsid w:val="00972CEF"/>
    <w:rsid w:val="00973F0D"/>
    <w:rsid w:val="00974204"/>
    <w:rsid w:val="009745CB"/>
    <w:rsid w:val="00974F0D"/>
    <w:rsid w:val="0098038D"/>
    <w:rsid w:val="009815C2"/>
    <w:rsid w:val="00992EB3"/>
    <w:rsid w:val="00994993"/>
    <w:rsid w:val="009959A9"/>
    <w:rsid w:val="009967A8"/>
    <w:rsid w:val="00996B60"/>
    <w:rsid w:val="00997BAD"/>
    <w:rsid w:val="009A1212"/>
    <w:rsid w:val="009A1994"/>
    <w:rsid w:val="009A316E"/>
    <w:rsid w:val="009A4DF8"/>
    <w:rsid w:val="009A7236"/>
    <w:rsid w:val="009B2777"/>
    <w:rsid w:val="009B2C9A"/>
    <w:rsid w:val="009B2D75"/>
    <w:rsid w:val="009B4666"/>
    <w:rsid w:val="009B5D6F"/>
    <w:rsid w:val="009B7938"/>
    <w:rsid w:val="009C063B"/>
    <w:rsid w:val="009C1CE2"/>
    <w:rsid w:val="009C2D84"/>
    <w:rsid w:val="009D0314"/>
    <w:rsid w:val="009D1A32"/>
    <w:rsid w:val="009D2396"/>
    <w:rsid w:val="009D3056"/>
    <w:rsid w:val="009D543F"/>
    <w:rsid w:val="009D578D"/>
    <w:rsid w:val="009D629C"/>
    <w:rsid w:val="009D7280"/>
    <w:rsid w:val="009D7C33"/>
    <w:rsid w:val="009D7DC5"/>
    <w:rsid w:val="009E200E"/>
    <w:rsid w:val="009E2576"/>
    <w:rsid w:val="009E285E"/>
    <w:rsid w:val="009E2B7E"/>
    <w:rsid w:val="009E5EE7"/>
    <w:rsid w:val="009F2CD2"/>
    <w:rsid w:val="009F4924"/>
    <w:rsid w:val="009F5F60"/>
    <w:rsid w:val="009F767D"/>
    <w:rsid w:val="00A00BF7"/>
    <w:rsid w:val="00A03A9E"/>
    <w:rsid w:val="00A069E9"/>
    <w:rsid w:val="00A07DA5"/>
    <w:rsid w:val="00A11C4A"/>
    <w:rsid w:val="00A12228"/>
    <w:rsid w:val="00A1459F"/>
    <w:rsid w:val="00A1704E"/>
    <w:rsid w:val="00A201C3"/>
    <w:rsid w:val="00A204A9"/>
    <w:rsid w:val="00A22BC9"/>
    <w:rsid w:val="00A237B9"/>
    <w:rsid w:val="00A25974"/>
    <w:rsid w:val="00A267B8"/>
    <w:rsid w:val="00A27587"/>
    <w:rsid w:val="00A31FBE"/>
    <w:rsid w:val="00A330DD"/>
    <w:rsid w:val="00A33FD6"/>
    <w:rsid w:val="00A34044"/>
    <w:rsid w:val="00A3688E"/>
    <w:rsid w:val="00A374E0"/>
    <w:rsid w:val="00A402B4"/>
    <w:rsid w:val="00A40A0B"/>
    <w:rsid w:val="00A42943"/>
    <w:rsid w:val="00A441BE"/>
    <w:rsid w:val="00A445B0"/>
    <w:rsid w:val="00A46CDD"/>
    <w:rsid w:val="00A47957"/>
    <w:rsid w:val="00A502D9"/>
    <w:rsid w:val="00A54964"/>
    <w:rsid w:val="00A554B2"/>
    <w:rsid w:val="00A56D04"/>
    <w:rsid w:val="00A56E1C"/>
    <w:rsid w:val="00A57109"/>
    <w:rsid w:val="00A578D0"/>
    <w:rsid w:val="00A61F56"/>
    <w:rsid w:val="00A65C4A"/>
    <w:rsid w:val="00A7147D"/>
    <w:rsid w:val="00A7454D"/>
    <w:rsid w:val="00A751DE"/>
    <w:rsid w:val="00A75E60"/>
    <w:rsid w:val="00A81B46"/>
    <w:rsid w:val="00A83C1B"/>
    <w:rsid w:val="00A868B0"/>
    <w:rsid w:val="00A8696F"/>
    <w:rsid w:val="00A900A6"/>
    <w:rsid w:val="00A9239F"/>
    <w:rsid w:val="00A94E59"/>
    <w:rsid w:val="00AA1A82"/>
    <w:rsid w:val="00AA27C3"/>
    <w:rsid w:val="00AA2F64"/>
    <w:rsid w:val="00AA406D"/>
    <w:rsid w:val="00AA48A2"/>
    <w:rsid w:val="00AB05F6"/>
    <w:rsid w:val="00AB0D6B"/>
    <w:rsid w:val="00AB1836"/>
    <w:rsid w:val="00AB1C99"/>
    <w:rsid w:val="00AB2B4D"/>
    <w:rsid w:val="00AB6801"/>
    <w:rsid w:val="00AB714F"/>
    <w:rsid w:val="00AB79F8"/>
    <w:rsid w:val="00AC0F0D"/>
    <w:rsid w:val="00AC3752"/>
    <w:rsid w:val="00AC3A1C"/>
    <w:rsid w:val="00AC47C3"/>
    <w:rsid w:val="00AC69D9"/>
    <w:rsid w:val="00AC6F57"/>
    <w:rsid w:val="00AD2DFE"/>
    <w:rsid w:val="00AD4BE4"/>
    <w:rsid w:val="00AD5CF3"/>
    <w:rsid w:val="00AD61F3"/>
    <w:rsid w:val="00AD6A96"/>
    <w:rsid w:val="00AE27CD"/>
    <w:rsid w:val="00AE3AA3"/>
    <w:rsid w:val="00AE3CCF"/>
    <w:rsid w:val="00AE51FB"/>
    <w:rsid w:val="00AE649D"/>
    <w:rsid w:val="00AE780E"/>
    <w:rsid w:val="00AF0228"/>
    <w:rsid w:val="00AF166F"/>
    <w:rsid w:val="00AF1753"/>
    <w:rsid w:val="00AF20EB"/>
    <w:rsid w:val="00AF24CD"/>
    <w:rsid w:val="00AF2DEE"/>
    <w:rsid w:val="00AF5283"/>
    <w:rsid w:val="00AF6CE5"/>
    <w:rsid w:val="00B00A25"/>
    <w:rsid w:val="00B05228"/>
    <w:rsid w:val="00B053F5"/>
    <w:rsid w:val="00B07AD5"/>
    <w:rsid w:val="00B12AE4"/>
    <w:rsid w:val="00B1558B"/>
    <w:rsid w:val="00B1667E"/>
    <w:rsid w:val="00B17B2B"/>
    <w:rsid w:val="00B211A0"/>
    <w:rsid w:val="00B21F0E"/>
    <w:rsid w:val="00B238B3"/>
    <w:rsid w:val="00B251A9"/>
    <w:rsid w:val="00B261FE"/>
    <w:rsid w:val="00B264F9"/>
    <w:rsid w:val="00B27267"/>
    <w:rsid w:val="00B276ED"/>
    <w:rsid w:val="00B303CD"/>
    <w:rsid w:val="00B406C2"/>
    <w:rsid w:val="00B40C8D"/>
    <w:rsid w:val="00B42F48"/>
    <w:rsid w:val="00B451C6"/>
    <w:rsid w:val="00B463F7"/>
    <w:rsid w:val="00B51622"/>
    <w:rsid w:val="00B51EB7"/>
    <w:rsid w:val="00B5381C"/>
    <w:rsid w:val="00B55A40"/>
    <w:rsid w:val="00B577E4"/>
    <w:rsid w:val="00B57806"/>
    <w:rsid w:val="00B57C65"/>
    <w:rsid w:val="00B57C67"/>
    <w:rsid w:val="00B609A8"/>
    <w:rsid w:val="00B62CE0"/>
    <w:rsid w:val="00B632D8"/>
    <w:rsid w:val="00B63471"/>
    <w:rsid w:val="00B6386D"/>
    <w:rsid w:val="00B646D5"/>
    <w:rsid w:val="00B6512D"/>
    <w:rsid w:val="00B6767C"/>
    <w:rsid w:val="00B72996"/>
    <w:rsid w:val="00B771BE"/>
    <w:rsid w:val="00B80216"/>
    <w:rsid w:val="00B8025A"/>
    <w:rsid w:val="00B83868"/>
    <w:rsid w:val="00B861A4"/>
    <w:rsid w:val="00B86F82"/>
    <w:rsid w:val="00B904BD"/>
    <w:rsid w:val="00B90CBA"/>
    <w:rsid w:val="00B92E60"/>
    <w:rsid w:val="00B934B6"/>
    <w:rsid w:val="00B94705"/>
    <w:rsid w:val="00B96147"/>
    <w:rsid w:val="00B97181"/>
    <w:rsid w:val="00BA021D"/>
    <w:rsid w:val="00BA13D8"/>
    <w:rsid w:val="00BA2D68"/>
    <w:rsid w:val="00BA4006"/>
    <w:rsid w:val="00BA65A5"/>
    <w:rsid w:val="00BB091D"/>
    <w:rsid w:val="00BB3799"/>
    <w:rsid w:val="00BB434E"/>
    <w:rsid w:val="00BB68D9"/>
    <w:rsid w:val="00BC1545"/>
    <w:rsid w:val="00BC301F"/>
    <w:rsid w:val="00BC3597"/>
    <w:rsid w:val="00BC3D67"/>
    <w:rsid w:val="00BC48B1"/>
    <w:rsid w:val="00BC4EA7"/>
    <w:rsid w:val="00BC4F31"/>
    <w:rsid w:val="00BC6088"/>
    <w:rsid w:val="00BC7F02"/>
    <w:rsid w:val="00BD11CC"/>
    <w:rsid w:val="00BD2DEC"/>
    <w:rsid w:val="00BD3530"/>
    <w:rsid w:val="00BD43A4"/>
    <w:rsid w:val="00BD50FD"/>
    <w:rsid w:val="00BE13DF"/>
    <w:rsid w:val="00BE3AE8"/>
    <w:rsid w:val="00BE5E52"/>
    <w:rsid w:val="00BE5F07"/>
    <w:rsid w:val="00BE7A5B"/>
    <w:rsid w:val="00BF0325"/>
    <w:rsid w:val="00BF1275"/>
    <w:rsid w:val="00BF4E02"/>
    <w:rsid w:val="00BF5328"/>
    <w:rsid w:val="00BF54DC"/>
    <w:rsid w:val="00BF5E46"/>
    <w:rsid w:val="00BF5ED8"/>
    <w:rsid w:val="00BF68CD"/>
    <w:rsid w:val="00BF69A1"/>
    <w:rsid w:val="00BF6E43"/>
    <w:rsid w:val="00C0447D"/>
    <w:rsid w:val="00C04ACF"/>
    <w:rsid w:val="00C04C66"/>
    <w:rsid w:val="00C1154C"/>
    <w:rsid w:val="00C11ECA"/>
    <w:rsid w:val="00C17309"/>
    <w:rsid w:val="00C17339"/>
    <w:rsid w:val="00C23872"/>
    <w:rsid w:val="00C304B9"/>
    <w:rsid w:val="00C31189"/>
    <w:rsid w:val="00C32FAA"/>
    <w:rsid w:val="00C34CA3"/>
    <w:rsid w:val="00C34D80"/>
    <w:rsid w:val="00C35B6C"/>
    <w:rsid w:val="00C361C0"/>
    <w:rsid w:val="00C50C15"/>
    <w:rsid w:val="00C521EE"/>
    <w:rsid w:val="00C571E8"/>
    <w:rsid w:val="00C578FF"/>
    <w:rsid w:val="00C57975"/>
    <w:rsid w:val="00C57BC6"/>
    <w:rsid w:val="00C605C6"/>
    <w:rsid w:val="00C618BE"/>
    <w:rsid w:val="00C618F6"/>
    <w:rsid w:val="00C62367"/>
    <w:rsid w:val="00C65E0B"/>
    <w:rsid w:val="00C70CD3"/>
    <w:rsid w:val="00C71559"/>
    <w:rsid w:val="00C71E53"/>
    <w:rsid w:val="00C71FD6"/>
    <w:rsid w:val="00C72D1A"/>
    <w:rsid w:val="00C80FB5"/>
    <w:rsid w:val="00C82159"/>
    <w:rsid w:val="00C824A4"/>
    <w:rsid w:val="00C863EC"/>
    <w:rsid w:val="00C86E76"/>
    <w:rsid w:val="00C871D0"/>
    <w:rsid w:val="00C9183E"/>
    <w:rsid w:val="00C92327"/>
    <w:rsid w:val="00C9258C"/>
    <w:rsid w:val="00C9312B"/>
    <w:rsid w:val="00C93D3C"/>
    <w:rsid w:val="00C94EA0"/>
    <w:rsid w:val="00C9553E"/>
    <w:rsid w:val="00C95573"/>
    <w:rsid w:val="00C979D2"/>
    <w:rsid w:val="00C97B5F"/>
    <w:rsid w:val="00CA28B7"/>
    <w:rsid w:val="00CA2E68"/>
    <w:rsid w:val="00CA42F9"/>
    <w:rsid w:val="00CA4EBF"/>
    <w:rsid w:val="00CA5527"/>
    <w:rsid w:val="00CA6D7B"/>
    <w:rsid w:val="00CB0E3B"/>
    <w:rsid w:val="00CB1562"/>
    <w:rsid w:val="00CB1C6F"/>
    <w:rsid w:val="00CB3898"/>
    <w:rsid w:val="00CB6210"/>
    <w:rsid w:val="00CB629F"/>
    <w:rsid w:val="00CB65FE"/>
    <w:rsid w:val="00CB73D4"/>
    <w:rsid w:val="00CB7C70"/>
    <w:rsid w:val="00CC5D1D"/>
    <w:rsid w:val="00CD6EC3"/>
    <w:rsid w:val="00CD74C2"/>
    <w:rsid w:val="00CD7B96"/>
    <w:rsid w:val="00CE098A"/>
    <w:rsid w:val="00CE233B"/>
    <w:rsid w:val="00CE3992"/>
    <w:rsid w:val="00CE474C"/>
    <w:rsid w:val="00CE63C1"/>
    <w:rsid w:val="00CF1B54"/>
    <w:rsid w:val="00CF2045"/>
    <w:rsid w:val="00CF233D"/>
    <w:rsid w:val="00CF2D36"/>
    <w:rsid w:val="00CF6854"/>
    <w:rsid w:val="00CF744C"/>
    <w:rsid w:val="00D03EA4"/>
    <w:rsid w:val="00D06B78"/>
    <w:rsid w:val="00D079F1"/>
    <w:rsid w:val="00D1041B"/>
    <w:rsid w:val="00D15FC8"/>
    <w:rsid w:val="00D168C5"/>
    <w:rsid w:val="00D174EE"/>
    <w:rsid w:val="00D20F02"/>
    <w:rsid w:val="00D22A6E"/>
    <w:rsid w:val="00D239E9"/>
    <w:rsid w:val="00D24C3E"/>
    <w:rsid w:val="00D35D87"/>
    <w:rsid w:val="00D35F0B"/>
    <w:rsid w:val="00D36B56"/>
    <w:rsid w:val="00D3710A"/>
    <w:rsid w:val="00D37A40"/>
    <w:rsid w:val="00D41336"/>
    <w:rsid w:val="00D43F4B"/>
    <w:rsid w:val="00D44BC6"/>
    <w:rsid w:val="00D45D8B"/>
    <w:rsid w:val="00D50161"/>
    <w:rsid w:val="00D50648"/>
    <w:rsid w:val="00D50942"/>
    <w:rsid w:val="00D50DC1"/>
    <w:rsid w:val="00D51DB2"/>
    <w:rsid w:val="00D55DC0"/>
    <w:rsid w:val="00D602EA"/>
    <w:rsid w:val="00D61C06"/>
    <w:rsid w:val="00D62362"/>
    <w:rsid w:val="00D6297A"/>
    <w:rsid w:val="00D632E0"/>
    <w:rsid w:val="00D661F7"/>
    <w:rsid w:val="00D70159"/>
    <w:rsid w:val="00D710B8"/>
    <w:rsid w:val="00D71198"/>
    <w:rsid w:val="00D71CF1"/>
    <w:rsid w:val="00D72CFC"/>
    <w:rsid w:val="00D73283"/>
    <w:rsid w:val="00D76020"/>
    <w:rsid w:val="00D7683B"/>
    <w:rsid w:val="00D772A3"/>
    <w:rsid w:val="00D80EA1"/>
    <w:rsid w:val="00D80EF1"/>
    <w:rsid w:val="00D839CF"/>
    <w:rsid w:val="00D85B1D"/>
    <w:rsid w:val="00D866B9"/>
    <w:rsid w:val="00D867BC"/>
    <w:rsid w:val="00D879E6"/>
    <w:rsid w:val="00D9109C"/>
    <w:rsid w:val="00D917E4"/>
    <w:rsid w:val="00D918DC"/>
    <w:rsid w:val="00D92D26"/>
    <w:rsid w:val="00D93913"/>
    <w:rsid w:val="00D95D26"/>
    <w:rsid w:val="00D968D6"/>
    <w:rsid w:val="00D97376"/>
    <w:rsid w:val="00D976B8"/>
    <w:rsid w:val="00DA237C"/>
    <w:rsid w:val="00DA2D4C"/>
    <w:rsid w:val="00DA2EA2"/>
    <w:rsid w:val="00DA591E"/>
    <w:rsid w:val="00DA7D04"/>
    <w:rsid w:val="00DB2B84"/>
    <w:rsid w:val="00DB2FD2"/>
    <w:rsid w:val="00DB4738"/>
    <w:rsid w:val="00DB5B52"/>
    <w:rsid w:val="00DB67E3"/>
    <w:rsid w:val="00DC0A71"/>
    <w:rsid w:val="00DC1DDD"/>
    <w:rsid w:val="00DC2B90"/>
    <w:rsid w:val="00DC4CB6"/>
    <w:rsid w:val="00DD11F5"/>
    <w:rsid w:val="00DD17C3"/>
    <w:rsid w:val="00DD4701"/>
    <w:rsid w:val="00DD52E3"/>
    <w:rsid w:val="00DD789B"/>
    <w:rsid w:val="00DE1B12"/>
    <w:rsid w:val="00DE45B2"/>
    <w:rsid w:val="00DE48A5"/>
    <w:rsid w:val="00DE4DD3"/>
    <w:rsid w:val="00DE5483"/>
    <w:rsid w:val="00DF0439"/>
    <w:rsid w:val="00DF102F"/>
    <w:rsid w:val="00DF3E94"/>
    <w:rsid w:val="00DF6069"/>
    <w:rsid w:val="00DF66CC"/>
    <w:rsid w:val="00E04D9C"/>
    <w:rsid w:val="00E060BB"/>
    <w:rsid w:val="00E063F9"/>
    <w:rsid w:val="00E119B4"/>
    <w:rsid w:val="00E13C71"/>
    <w:rsid w:val="00E140BD"/>
    <w:rsid w:val="00E158FF"/>
    <w:rsid w:val="00E1642D"/>
    <w:rsid w:val="00E16AE1"/>
    <w:rsid w:val="00E23C36"/>
    <w:rsid w:val="00E268B0"/>
    <w:rsid w:val="00E26F9F"/>
    <w:rsid w:val="00E32639"/>
    <w:rsid w:val="00E328B3"/>
    <w:rsid w:val="00E3347F"/>
    <w:rsid w:val="00E34FAD"/>
    <w:rsid w:val="00E36E19"/>
    <w:rsid w:val="00E403F9"/>
    <w:rsid w:val="00E41145"/>
    <w:rsid w:val="00E42250"/>
    <w:rsid w:val="00E437F2"/>
    <w:rsid w:val="00E4478E"/>
    <w:rsid w:val="00E45BDA"/>
    <w:rsid w:val="00E50BE1"/>
    <w:rsid w:val="00E5148B"/>
    <w:rsid w:val="00E61648"/>
    <w:rsid w:val="00E62DE7"/>
    <w:rsid w:val="00E63203"/>
    <w:rsid w:val="00E638FF"/>
    <w:rsid w:val="00E65A9E"/>
    <w:rsid w:val="00E665B8"/>
    <w:rsid w:val="00E705EE"/>
    <w:rsid w:val="00E710BA"/>
    <w:rsid w:val="00E73FD4"/>
    <w:rsid w:val="00E7734D"/>
    <w:rsid w:val="00E82C42"/>
    <w:rsid w:val="00E83E7A"/>
    <w:rsid w:val="00E86E19"/>
    <w:rsid w:val="00E90703"/>
    <w:rsid w:val="00E90E4C"/>
    <w:rsid w:val="00E90F09"/>
    <w:rsid w:val="00E92B28"/>
    <w:rsid w:val="00E94EA2"/>
    <w:rsid w:val="00E95554"/>
    <w:rsid w:val="00E96162"/>
    <w:rsid w:val="00E9638A"/>
    <w:rsid w:val="00EA0BC9"/>
    <w:rsid w:val="00EA135B"/>
    <w:rsid w:val="00EA20DA"/>
    <w:rsid w:val="00EA3AFE"/>
    <w:rsid w:val="00EA53BE"/>
    <w:rsid w:val="00EA581C"/>
    <w:rsid w:val="00EA5A3A"/>
    <w:rsid w:val="00EA5FBC"/>
    <w:rsid w:val="00EB00AD"/>
    <w:rsid w:val="00EB0154"/>
    <w:rsid w:val="00EB4543"/>
    <w:rsid w:val="00EB6BD6"/>
    <w:rsid w:val="00EC12A2"/>
    <w:rsid w:val="00EC32AA"/>
    <w:rsid w:val="00EC4CA9"/>
    <w:rsid w:val="00EC5ED4"/>
    <w:rsid w:val="00ED1D6A"/>
    <w:rsid w:val="00ED2F89"/>
    <w:rsid w:val="00ED3BB9"/>
    <w:rsid w:val="00ED46CD"/>
    <w:rsid w:val="00ED4889"/>
    <w:rsid w:val="00ED6A1B"/>
    <w:rsid w:val="00ED738C"/>
    <w:rsid w:val="00ED751C"/>
    <w:rsid w:val="00EE6154"/>
    <w:rsid w:val="00EE66F0"/>
    <w:rsid w:val="00EE6C5E"/>
    <w:rsid w:val="00EE7012"/>
    <w:rsid w:val="00EE7C0F"/>
    <w:rsid w:val="00EF57E9"/>
    <w:rsid w:val="00EF67CA"/>
    <w:rsid w:val="00EF6CBB"/>
    <w:rsid w:val="00F04740"/>
    <w:rsid w:val="00F138F1"/>
    <w:rsid w:val="00F16FFC"/>
    <w:rsid w:val="00F220B7"/>
    <w:rsid w:val="00F220E7"/>
    <w:rsid w:val="00F2654D"/>
    <w:rsid w:val="00F30D0E"/>
    <w:rsid w:val="00F3108E"/>
    <w:rsid w:val="00F31845"/>
    <w:rsid w:val="00F31F1F"/>
    <w:rsid w:val="00F34562"/>
    <w:rsid w:val="00F41373"/>
    <w:rsid w:val="00F423EA"/>
    <w:rsid w:val="00F470FB"/>
    <w:rsid w:val="00F5047F"/>
    <w:rsid w:val="00F509DB"/>
    <w:rsid w:val="00F54182"/>
    <w:rsid w:val="00F54AAD"/>
    <w:rsid w:val="00F63D31"/>
    <w:rsid w:val="00F66EF3"/>
    <w:rsid w:val="00F70430"/>
    <w:rsid w:val="00F70781"/>
    <w:rsid w:val="00F70935"/>
    <w:rsid w:val="00F70B7C"/>
    <w:rsid w:val="00F712CC"/>
    <w:rsid w:val="00F7171D"/>
    <w:rsid w:val="00F7365F"/>
    <w:rsid w:val="00F736EF"/>
    <w:rsid w:val="00F74CE7"/>
    <w:rsid w:val="00F74F74"/>
    <w:rsid w:val="00F7671D"/>
    <w:rsid w:val="00F777ED"/>
    <w:rsid w:val="00F90272"/>
    <w:rsid w:val="00F91247"/>
    <w:rsid w:val="00F95245"/>
    <w:rsid w:val="00F96132"/>
    <w:rsid w:val="00F97225"/>
    <w:rsid w:val="00FA0F62"/>
    <w:rsid w:val="00FA19F1"/>
    <w:rsid w:val="00FA1E45"/>
    <w:rsid w:val="00FA1F4A"/>
    <w:rsid w:val="00FA2F58"/>
    <w:rsid w:val="00FA4708"/>
    <w:rsid w:val="00FA4999"/>
    <w:rsid w:val="00FA4B07"/>
    <w:rsid w:val="00FA4D9F"/>
    <w:rsid w:val="00FB05E7"/>
    <w:rsid w:val="00FB0C3C"/>
    <w:rsid w:val="00FB15BD"/>
    <w:rsid w:val="00FB1BEE"/>
    <w:rsid w:val="00FB20E5"/>
    <w:rsid w:val="00FB28F2"/>
    <w:rsid w:val="00FB45D9"/>
    <w:rsid w:val="00FB5EFF"/>
    <w:rsid w:val="00FC0DF7"/>
    <w:rsid w:val="00FC1A3E"/>
    <w:rsid w:val="00FC1ECF"/>
    <w:rsid w:val="00FC7DB5"/>
    <w:rsid w:val="00FD27E3"/>
    <w:rsid w:val="00FD2B0C"/>
    <w:rsid w:val="00FD4096"/>
    <w:rsid w:val="00FD6D3D"/>
    <w:rsid w:val="00FD71F5"/>
    <w:rsid w:val="00FE0334"/>
    <w:rsid w:val="00FE29AB"/>
    <w:rsid w:val="00FE3475"/>
    <w:rsid w:val="00FE47BA"/>
    <w:rsid w:val="00FE5066"/>
    <w:rsid w:val="00FE58D4"/>
    <w:rsid w:val="00FE6813"/>
    <w:rsid w:val="00FF0DB6"/>
    <w:rsid w:val="00FF1ECA"/>
    <w:rsid w:val="00FF25EA"/>
    <w:rsid w:val="00FF3038"/>
    <w:rsid w:val="00FF53DE"/>
    <w:rsid w:val="00FF6EA4"/>
    <w:rsid w:val="00FF7E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E99491F"/>
  <w15:docId w15:val="{44EB7FA2-6BAB-4ED1-8C52-1AB26B1FF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96147"/>
    <w:pPr>
      <w:spacing w:after="0" w:line="240" w:lineRule="auto"/>
    </w:pPr>
    <w:rPr>
      <w:rFonts w:ascii="Times New Roman" w:eastAsia="Times New Roman" w:hAnsi="Times New Roman" w:cs="Times New Roman"/>
      <w:sz w:val="24"/>
      <w:szCs w:val="20"/>
      <w:lang w:val="es-ES_tradnl"/>
    </w:rPr>
  </w:style>
  <w:style w:type="paragraph" w:styleId="Heading1">
    <w:name w:val="heading 1"/>
    <w:basedOn w:val="Normal"/>
    <w:next w:val="Normal"/>
    <w:link w:val="Heading1Char"/>
    <w:qFormat/>
    <w:rsid w:val="00DD17C3"/>
    <w:pPr>
      <w:keepNext/>
      <w:tabs>
        <w:tab w:val="num" w:pos="360"/>
      </w:tabs>
      <w:spacing w:before="240" w:after="60"/>
      <w:outlineLvl w:val="0"/>
    </w:pPr>
    <w:rPr>
      <w:rFonts w:ascii="Arial" w:hAnsi="Arial"/>
      <w:b/>
      <w:kern w:val="28"/>
      <w:sz w:val="28"/>
    </w:rPr>
  </w:style>
  <w:style w:type="paragraph" w:styleId="Heading2">
    <w:name w:val="heading 2"/>
    <w:basedOn w:val="Normal"/>
    <w:next w:val="Normal"/>
    <w:link w:val="Heading2Char"/>
    <w:qFormat/>
    <w:rsid w:val="00DD17C3"/>
    <w:pPr>
      <w:keepNext/>
      <w:tabs>
        <w:tab w:val="num" w:pos="1080"/>
      </w:tabs>
      <w:spacing w:before="240" w:after="60"/>
      <w:ind w:left="720"/>
      <w:outlineLvl w:val="1"/>
    </w:pPr>
    <w:rPr>
      <w:rFonts w:ascii="Arial" w:hAnsi="Arial"/>
      <w:b/>
      <w:i/>
    </w:rPr>
  </w:style>
  <w:style w:type="paragraph" w:styleId="Heading3">
    <w:name w:val="heading 3"/>
    <w:basedOn w:val="Normal"/>
    <w:next w:val="Normal"/>
    <w:link w:val="Heading3Char"/>
    <w:qFormat/>
    <w:rsid w:val="003474DA"/>
    <w:pPr>
      <w:keepNext/>
      <w:spacing w:before="240" w:after="60"/>
      <w:outlineLvl w:val="2"/>
    </w:pPr>
    <w:rPr>
      <w:rFonts w:ascii="Arial" w:hAnsi="Arial"/>
    </w:rPr>
  </w:style>
  <w:style w:type="paragraph" w:styleId="Heading4">
    <w:name w:val="heading 4"/>
    <w:basedOn w:val="Normal"/>
    <w:next w:val="Normal"/>
    <w:link w:val="Heading4Char"/>
    <w:qFormat/>
    <w:rsid w:val="003474DA"/>
    <w:pPr>
      <w:keepNext/>
      <w:spacing w:before="240" w:after="60"/>
      <w:outlineLvl w:val="3"/>
    </w:pPr>
    <w:rPr>
      <w:rFonts w:ascii="Arial" w:hAnsi="Arial"/>
      <w:b/>
    </w:rPr>
  </w:style>
  <w:style w:type="paragraph" w:styleId="Heading5">
    <w:name w:val="heading 5"/>
    <w:aliases w:val="Heading 5.(i)"/>
    <w:basedOn w:val="Normal"/>
    <w:next w:val="Normal"/>
    <w:link w:val="Heading5Char"/>
    <w:unhideWhenUsed/>
    <w:qFormat/>
    <w:rsid w:val="00EB015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EB015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EB015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EB0154"/>
    <w:pPr>
      <w:keepNext/>
      <w:keepLines/>
      <w:numPr>
        <w:ilvl w:val="7"/>
        <w:numId w:val="1"/>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qFormat/>
    <w:rsid w:val="00EB015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ED751C"/>
    <w:rPr>
      <w:caps/>
    </w:rPr>
  </w:style>
  <w:style w:type="paragraph" w:customStyle="1" w:styleId="ABBR">
    <w:name w:val="ABBR"/>
    <w:basedOn w:val="Annex"/>
    <w:rsid w:val="00ED751C"/>
  </w:style>
  <w:style w:type="paragraph" w:customStyle="1" w:styleId="AbbrDesc">
    <w:name w:val="AbbrDesc"/>
    <w:basedOn w:val="Normal"/>
    <w:rsid w:val="00ED751C"/>
    <w:pPr>
      <w:tabs>
        <w:tab w:val="left" w:pos="3060"/>
      </w:tabs>
      <w:jc w:val="both"/>
    </w:pPr>
  </w:style>
  <w:style w:type="paragraph" w:styleId="BodyText">
    <w:name w:val="Body Text"/>
    <w:basedOn w:val="Normal"/>
    <w:link w:val="BodyTextChar"/>
    <w:rsid w:val="00ED751C"/>
    <w:pPr>
      <w:tabs>
        <w:tab w:val="left" w:pos="3060"/>
      </w:tabs>
      <w:jc w:val="center"/>
    </w:pPr>
  </w:style>
  <w:style w:type="character" w:customStyle="1" w:styleId="BodyTextChar">
    <w:name w:val="Body Text Char"/>
    <w:basedOn w:val="DefaultParagraphFont"/>
    <w:link w:val="BodyText"/>
    <w:rsid w:val="00ED751C"/>
    <w:rPr>
      <w:rFonts w:ascii="Times New Roman" w:eastAsia="Times New Roman" w:hAnsi="Times New Roman" w:cs="Times New Roman"/>
      <w:sz w:val="24"/>
      <w:szCs w:val="20"/>
    </w:rPr>
  </w:style>
  <w:style w:type="paragraph" w:customStyle="1" w:styleId="Chapter">
    <w:name w:val="Chapter"/>
    <w:basedOn w:val="Normal"/>
    <w:next w:val="Normal"/>
    <w:rsid w:val="00EB0154"/>
    <w:pPr>
      <w:keepNext/>
      <w:numPr>
        <w:numId w:val="2"/>
      </w:numPr>
      <w:tabs>
        <w:tab w:val="left" w:pos="1440"/>
      </w:tabs>
      <w:spacing w:before="240" w:after="240"/>
      <w:jc w:val="center"/>
    </w:pPr>
    <w:rPr>
      <w:b/>
      <w:smallCaps/>
      <w:lang w:val="es-ES"/>
    </w:rPr>
  </w:style>
  <w:style w:type="paragraph" w:customStyle="1" w:styleId="FirstHeading">
    <w:name w:val="FirstHeading"/>
    <w:basedOn w:val="Normal"/>
    <w:next w:val="Normal"/>
    <w:rsid w:val="00EB0154"/>
    <w:pPr>
      <w:keepNext/>
      <w:numPr>
        <w:numId w:val="1"/>
      </w:numPr>
      <w:tabs>
        <w:tab w:val="left" w:pos="0"/>
        <w:tab w:val="left" w:pos="86"/>
      </w:tabs>
      <w:spacing w:before="120" w:after="120"/>
    </w:pPr>
    <w:rPr>
      <w:b/>
      <w:lang w:val="es-ES"/>
    </w:rPr>
  </w:style>
  <w:style w:type="paragraph" w:styleId="Footer">
    <w:name w:val="footer"/>
    <w:basedOn w:val="Normal"/>
    <w:link w:val="FooterChar"/>
    <w:rsid w:val="00ED751C"/>
    <w:pPr>
      <w:tabs>
        <w:tab w:val="center" w:pos="4320"/>
        <w:tab w:val="right" w:pos="8640"/>
      </w:tabs>
    </w:pPr>
  </w:style>
  <w:style w:type="character" w:customStyle="1" w:styleId="FooterChar">
    <w:name w:val="Footer Char"/>
    <w:basedOn w:val="DefaultParagraphFont"/>
    <w:link w:val="Footer"/>
    <w:rsid w:val="00ED751C"/>
    <w:rPr>
      <w:rFonts w:ascii="Times New Roman" w:eastAsia="Times New Roman" w:hAnsi="Times New Roman" w:cs="Times New Roman"/>
      <w:sz w:val="24"/>
      <w:szCs w:val="20"/>
    </w:rPr>
  </w:style>
  <w:style w:type="paragraph" w:styleId="FootnoteText">
    <w:name w:val="footnote text"/>
    <w:aliases w:val="fn,Texto de rodapé,nota_rodapé,nota de rodapé,footnote,single space,FOOTNOTES,footnote text,Footnote Text Char Char,foottextfra,ADB,Footnote Text Char Char Char Char Char Char Char,Footnote Text Char Char Char Char Char,F,Style 25,ft"/>
    <w:basedOn w:val="Normal"/>
    <w:link w:val="FootnoteTextChar"/>
    <w:uiPriority w:val="99"/>
    <w:qFormat/>
    <w:rsid w:val="00ED751C"/>
    <w:pPr>
      <w:keepNext/>
      <w:keepLines/>
      <w:spacing w:after="120"/>
      <w:ind w:left="288" w:hanging="288"/>
      <w:jc w:val="both"/>
    </w:pPr>
    <w:rPr>
      <w:spacing w:val="-3"/>
      <w:sz w:val="20"/>
    </w:rPr>
  </w:style>
  <w:style w:type="character" w:customStyle="1" w:styleId="FootnoteTextChar">
    <w:name w:val="Footnote Text Char"/>
    <w:aliases w:val="fn Char,Texto de rodapé Char,nota_rodapé Char,nota de rodapé Char,footnote Char,single space Char,FOOTNOTES Char,footnote text Char,Footnote Text Char Char Char,foottextfra Char,ADB Char,Footnote Text Char Char Char Char Char Char"/>
    <w:basedOn w:val="DefaultParagraphFont"/>
    <w:link w:val="FootnoteText"/>
    <w:uiPriority w:val="99"/>
    <w:rsid w:val="00ED751C"/>
    <w:rPr>
      <w:rFonts w:ascii="Times New Roman" w:eastAsia="Times New Roman" w:hAnsi="Times New Roman" w:cs="Times New Roman"/>
      <w:spacing w:val="-3"/>
      <w:sz w:val="20"/>
      <w:szCs w:val="20"/>
      <w:lang w:val="es-ES_tradnl"/>
    </w:rPr>
  </w:style>
  <w:style w:type="paragraph" w:styleId="Header">
    <w:name w:val="header"/>
    <w:basedOn w:val="Normal"/>
    <w:link w:val="HeaderChar"/>
    <w:rsid w:val="00ED751C"/>
    <w:pPr>
      <w:tabs>
        <w:tab w:val="center" w:pos="4320"/>
        <w:tab w:val="right" w:pos="8640"/>
      </w:tabs>
    </w:pPr>
  </w:style>
  <w:style w:type="character" w:customStyle="1" w:styleId="HeaderChar">
    <w:name w:val="Header Char"/>
    <w:basedOn w:val="DefaultParagraphFont"/>
    <w:link w:val="Header"/>
    <w:rsid w:val="00ED751C"/>
    <w:rPr>
      <w:rFonts w:ascii="Times New Roman" w:eastAsia="Times New Roman" w:hAnsi="Times New Roman" w:cs="Times New Roman"/>
      <w:sz w:val="24"/>
      <w:szCs w:val="20"/>
    </w:rPr>
  </w:style>
  <w:style w:type="paragraph" w:customStyle="1" w:styleId="Newpage">
    <w:name w:val="Newpage"/>
    <w:basedOn w:val="Chapter"/>
    <w:rsid w:val="00ED751C"/>
    <w:pPr>
      <w:numPr>
        <w:numId w:val="0"/>
      </w:numPr>
      <w:tabs>
        <w:tab w:val="clear" w:pos="1440"/>
        <w:tab w:val="left" w:pos="3060"/>
      </w:tabs>
      <w:spacing w:after="0"/>
    </w:pPr>
  </w:style>
  <w:style w:type="character" w:styleId="PageNumber">
    <w:name w:val="page number"/>
    <w:basedOn w:val="DefaultParagraphFont"/>
    <w:rsid w:val="00ED751C"/>
  </w:style>
  <w:style w:type="paragraph" w:customStyle="1" w:styleId="Paragraph">
    <w:name w:val="Paragraph"/>
    <w:aliases w:val="paragraph,p,PARAGRAPH,PG,pa,at"/>
    <w:basedOn w:val="BodyTextIndent"/>
    <w:link w:val="ParagraphChar"/>
    <w:qFormat/>
    <w:rsid w:val="00EB0154"/>
    <w:pPr>
      <w:spacing w:before="120"/>
      <w:ind w:left="0"/>
      <w:jc w:val="both"/>
      <w:outlineLvl w:val="1"/>
    </w:pPr>
    <w:rPr>
      <w:lang w:val="es-ES"/>
    </w:rPr>
  </w:style>
  <w:style w:type="paragraph" w:customStyle="1" w:styleId="RegheadTab">
    <w:name w:val="RegheadTab"/>
    <w:basedOn w:val="FirstHeading"/>
    <w:rsid w:val="00ED751C"/>
    <w:pPr>
      <w:numPr>
        <w:numId w:val="0"/>
      </w:numPr>
      <w:tabs>
        <w:tab w:val="num" w:pos="504"/>
      </w:tabs>
      <w:spacing w:after="0"/>
      <w:ind w:left="504" w:hanging="504"/>
      <w:jc w:val="center"/>
    </w:pPr>
  </w:style>
  <w:style w:type="paragraph" w:customStyle="1" w:styleId="SecHeading">
    <w:name w:val="SecHeading"/>
    <w:basedOn w:val="Normal"/>
    <w:next w:val="Paragraph"/>
    <w:rsid w:val="00EB0154"/>
    <w:pPr>
      <w:keepNext/>
      <w:numPr>
        <w:ilvl w:val="1"/>
        <w:numId w:val="1"/>
      </w:numPr>
      <w:tabs>
        <w:tab w:val="clear" w:pos="5400"/>
        <w:tab w:val="num" w:pos="1296"/>
      </w:tabs>
      <w:spacing w:before="120" w:after="120"/>
      <w:ind w:left="1296"/>
    </w:pPr>
    <w:rPr>
      <w:b/>
    </w:rPr>
  </w:style>
  <w:style w:type="paragraph" w:customStyle="1" w:styleId="SubHeading1">
    <w:name w:val="SubHeading1"/>
    <w:basedOn w:val="SecHeading"/>
    <w:rsid w:val="00EB0154"/>
    <w:pPr>
      <w:numPr>
        <w:ilvl w:val="2"/>
      </w:numPr>
      <w:tabs>
        <w:tab w:val="clear" w:pos="5976"/>
        <w:tab w:val="num" w:pos="1872"/>
      </w:tabs>
      <w:ind w:left="1872"/>
    </w:pPr>
  </w:style>
  <w:style w:type="paragraph" w:customStyle="1" w:styleId="Subheading2">
    <w:name w:val="Subheading2"/>
    <w:basedOn w:val="SecHeading"/>
    <w:rsid w:val="00EB0154"/>
    <w:pPr>
      <w:numPr>
        <w:ilvl w:val="3"/>
      </w:numPr>
      <w:tabs>
        <w:tab w:val="clear" w:pos="6480"/>
        <w:tab w:val="num" w:pos="2376"/>
      </w:tabs>
      <w:ind w:left="2376"/>
    </w:pPr>
  </w:style>
  <w:style w:type="paragraph" w:customStyle="1" w:styleId="subpar">
    <w:name w:val="subpar"/>
    <w:basedOn w:val="BodyTextIndent3"/>
    <w:rsid w:val="00EB0154"/>
    <w:pPr>
      <w:numPr>
        <w:ilvl w:val="2"/>
        <w:numId w:val="2"/>
      </w:numPr>
      <w:spacing w:before="120"/>
      <w:jc w:val="both"/>
      <w:outlineLvl w:val="2"/>
    </w:pPr>
    <w:rPr>
      <w:szCs w:val="20"/>
    </w:rPr>
  </w:style>
  <w:style w:type="paragraph" w:customStyle="1" w:styleId="SubSubPar">
    <w:name w:val="SubSubPar"/>
    <w:basedOn w:val="subpar"/>
    <w:rsid w:val="00EB0154"/>
    <w:pPr>
      <w:numPr>
        <w:ilvl w:val="3"/>
      </w:numPr>
      <w:tabs>
        <w:tab w:val="clear" w:pos="2736"/>
        <w:tab w:val="left" w:pos="0"/>
        <w:tab w:val="num" w:pos="1296"/>
      </w:tabs>
    </w:pPr>
  </w:style>
  <w:style w:type="paragraph" w:styleId="TOC1">
    <w:name w:val="toc 1"/>
    <w:basedOn w:val="Normal"/>
    <w:next w:val="Normal"/>
    <w:autoRedefine/>
    <w:uiPriority w:val="39"/>
    <w:rsid w:val="008175A8"/>
    <w:pPr>
      <w:tabs>
        <w:tab w:val="left" w:pos="540"/>
        <w:tab w:val="right" w:leader="dot" w:pos="8741"/>
      </w:tabs>
      <w:spacing w:before="240" w:after="240"/>
      <w:ind w:left="547" w:hanging="547"/>
    </w:pPr>
    <w:rPr>
      <w:rFonts w:ascii="Gotham Book" w:hAnsi="Gotham Book"/>
      <w:b/>
      <w:smallCaps/>
      <w:noProof/>
      <w:sz w:val="22"/>
      <w:szCs w:val="22"/>
    </w:rPr>
  </w:style>
  <w:style w:type="paragraph" w:styleId="TOC2">
    <w:name w:val="toc 2"/>
    <w:basedOn w:val="Normal"/>
    <w:next w:val="Normal"/>
    <w:autoRedefine/>
    <w:uiPriority w:val="39"/>
    <w:rsid w:val="00ED751C"/>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ED751C"/>
    <w:pPr>
      <w:tabs>
        <w:tab w:val="left" w:pos="1728"/>
      </w:tabs>
      <w:ind w:left="1714" w:hanging="562"/>
    </w:pPr>
    <w:rPr>
      <w:lang w:val="es-ES"/>
    </w:rPr>
  </w:style>
  <w:style w:type="character" w:styleId="Hyperlink">
    <w:name w:val="Hyperlink"/>
    <w:basedOn w:val="DefaultParagraphFont"/>
    <w:rsid w:val="00ED751C"/>
    <w:rPr>
      <w:color w:val="0000FF"/>
      <w:u w:val="single"/>
    </w:rPr>
  </w:style>
  <w:style w:type="character" w:styleId="FootnoteReference">
    <w:name w:val="footnote reference"/>
    <w:aliases w:val="Footnote Referencefra,titulo 2,Style 24,pie pddes,referencia nota al pie,Fußnotenzeichen DISS,16 Point,Superscript 6 Point,ftref,FC"/>
    <w:basedOn w:val="DefaultParagraphFont"/>
    <w:uiPriority w:val="99"/>
    <w:rsid w:val="00ED751C"/>
    <w:rPr>
      <w:vertAlign w:val="superscript"/>
    </w:rPr>
  </w:style>
  <w:style w:type="paragraph" w:styleId="BodyTextIndent">
    <w:name w:val="Body Text Indent"/>
    <w:basedOn w:val="Normal"/>
    <w:link w:val="BodyTextIndentChar"/>
    <w:uiPriority w:val="99"/>
    <w:semiHidden/>
    <w:unhideWhenUsed/>
    <w:rsid w:val="00ED751C"/>
    <w:pPr>
      <w:spacing w:after="120"/>
      <w:ind w:left="360"/>
    </w:pPr>
  </w:style>
  <w:style w:type="character" w:customStyle="1" w:styleId="BodyTextIndentChar">
    <w:name w:val="Body Text Indent Char"/>
    <w:basedOn w:val="DefaultParagraphFont"/>
    <w:link w:val="BodyTextIndent"/>
    <w:uiPriority w:val="99"/>
    <w:semiHidden/>
    <w:rsid w:val="00ED751C"/>
    <w:rPr>
      <w:rFonts w:ascii="Times New Roman" w:eastAsia="Times New Roman" w:hAnsi="Times New Roman" w:cs="Times New Roman"/>
      <w:sz w:val="24"/>
      <w:szCs w:val="20"/>
      <w:lang w:val="es-ES_tradnl"/>
    </w:rPr>
  </w:style>
  <w:style w:type="paragraph" w:styleId="BodyTextIndent3">
    <w:name w:val="Body Text Indent 3"/>
    <w:basedOn w:val="Normal"/>
    <w:link w:val="BodyTextIndent3Char"/>
    <w:uiPriority w:val="99"/>
    <w:semiHidden/>
    <w:unhideWhenUsed/>
    <w:rsid w:val="00ED751C"/>
    <w:pPr>
      <w:spacing w:after="120"/>
      <w:ind w:left="360"/>
    </w:pPr>
    <w:rPr>
      <w:szCs w:val="16"/>
    </w:rPr>
  </w:style>
  <w:style w:type="character" w:customStyle="1" w:styleId="BodyTextIndent3Char">
    <w:name w:val="Body Text Indent 3 Char"/>
    <w:basedOn w:val="DefaultParagraphFont"/>
    <w:link w:val="BodyTextIndent3"/>
    <w:uiPriority w:val="99"/>
    <w:semiHidden/>
    <w:rsid w:val="00ED751C"/>
    <w:rPr>
      <w:rFonts w:ascii="Times New Roman" w:eastAsia="Times New Roman" w:hAnsi="Times New Roman" w:cs="Times New Roman"/>
      <w:sz w:val="24"/>
      <w:szCs w:val="16"/>
      <w:lang w:val="es-ES_tradnl"/>
    </w:rPr>
  </w:style>
  <w:style w:type="paragraph" w:customStyle="1" w:styleId="Regtable">
    <w:name w:val="Regtable"/>
    <w:basedOn w:val="Normal"/>
    <w:link w:val="RegtableChar"/>
    <w:rsid w:val="00EB0154"/>
    <w:pPr>
      <w:keepLines/>
      <w:framePr w:wrap="around" w:vAnchor="text" w:hAnchor="text" w:y="1"/>
      <w:spacing w:before="20" w:after="20"/>
    </w:pPr>
    <w:rPr>
      <w:sz w:val="20"/>
    </w:rPr>
  </w:style>
  <w:style w:type="character" w:customStyle="1" w:styleId="RegtableChar">
    <w:name w:val="Regtable Char"/>
    <w:basedOn w:val="DefaultParagraphFont"/>
    <w:link w:val="Regtable"/>
    <w:rsid w:val="00EB0154"/>
    <w:rPr>
      <w:rFonts w:ascii="Times New Roman" w:eastAsia="Times New Roman" w:hAnsi="Times New Roman" w:cs="Times New Roman"/>
      <w:sz w:val="20"/>
      <w:szCs w:val="20"/>
      <w:lang w:val="es-ES_tradnl"/>
    </w:rPr>
  </w:style>
  <w:style w:type="paragraph" w:customStyle="1" w:styleId="TableTitle">
    <w:name w:val="TableTitle"/>
    <w:basedOn w:val="Normal"/>
    <w:link w:val="TableTitleChar"/>
    <w:rsid w:val="00EB0154"/>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EB0154"/>
    <w:rPr>
      <w:rFonts w:ascii="Times New Roman Bold" w:eastAsia="Times New Roman" w:hAnsi="Times New Roman Bold" w:cs="Times New Roman"/>
      <w:b/>
      <w:spacing w:val="-3"/>
      <w:sz w:val="20"/>
      <w:szCs w:val="20"/>
      <w:lang w:val="es-ES_tradnl"/>
    </w:rPr>
  </w:style>
  <w:style w:type="character" w:customStyle="1" w:styleId="Heading5Char">
    <w:name w:val="Heading 5 Char"/>
    <w:aliases w:val="Heading 5.(i) Char"/>
    <w:basedOn w:val="DefaultParagraphFont"/>
    <w:link w:val="Heading5"/>
    <w:rsid w:val="00EB0154"/>
    <w:rPr>
      <w:rFonts w:asciiTheme="majorHAnsi" w:eastAsiaTheme="majorEastAsia" w:hAnsiTheme="majorHAnsi" w:cstheme="majorBidi"/>
      <w:color w:val="243F60" w:themeColor="accent1" w:themeShade="7F"/>
      <w:sz w:val="24"/>
      <w:szCs w:val="20"/>
      <w:lang w:val="es-ES_tradnl"/>
    </w:rPr>
  </w:style>
  <w:style w:type="character" w:customStyle="1" w:styleId="Heading6Char">
    <w:name w:val="Heading 6 Char"/>
    <w:basedOn w:val="DefaultParagraphFont"/>
    <w:link w:val="Heading6"/>
    <w:uiPriority w:val="9"/>
    <w:rsid w:val="00EB0154"/>
    <w:rPr>
      <w:rFonts w:asciiTheme="majorHAnsi" w:eastAsiaTheme="majorEastAsia" w:hAnsiTheme="majorHAnsi" w:cstheme="majorBidi"/>
      <w:i/>
      <w:iCs/>
      <w:color w:val="243F60" w:themeColor="accent1" w:themeShade="7F"/>
      <w:sz w:val="24"/>
      <w:szCs w:val="20"/>
      <w:lang w:val="es-ES_tradnl"/>
    </w:rPr>
  </w:style>
  <w:style w:type="character" w:customStyle="1" w:styleId="Heading7Char">
    <w:name w:val="Heading 7 Char"/>
    <w:basedOn w:val="DefaultParagraphFont"/>
    <w:link w:val="Heading7"/>
    <w:uiPriority w:val="9"/>
    <w:rsid w:val="00EB0154"/>
    <w:rPr>
      <w:rFonts w:asciiTheme="majorHAnsi" w:eastAsiaTheme="majorEastAsia" w:hAnsiTheme="majorHAnsi" w:cstheme="majorBidi"/>
      <w:i/>
      <w:iCs/>
      <w:color w:val="404040" w:themeColor="text1" w:themeTint="BF"/>
      <w:sz w:val="24"/>
      <w:szCs w:val="20"/>
      <w:lang w:val="es-ES_tradnl"/>
    </w:rPr>
  </w:style>
  <w:style w:type="character" w:customStyle="1" w:styleId="Heading8Char">
    <w:name w:val="Heading 8 Char"/>
    <w:basedOn w:val="DefaultParagraphFont"/>
    <w:link w:val="Heading8"/>
    <w:uiPriority w:val="9"/>
    <w:rsid w:val="00EB0154"/>
    <w:rPr>
      <w:rFonts w:asciiTheme="majorHAnsi" w:eastAsiaTheme="majorEastAsia" w:hAnsiTheme="majorHAnsi" w:cstheme="majorBidi"/>
      <w:color w:val="404040" w:themeColor="text1" w:themeTint="BF"/>
      <w:sz w:val="20"/>
      <w:szCs w:val="20"/>
      <w:lang w:val="es-ES_tradnl"/>
    </w:rPr>
  </w:style>
  <w:style w:type="character" w:customStyle="1" w:styleId="Heading9Char">
    <w:name w:val="Heading 9 Char"/>
    <w:basedOn w:val="DefaultParagraphFont"/>
    <w:link w:val="Heading9"/>
    <w:uiPriority w:val="9"/>
    <w:rsid w:val="00EB0154"/>
    <w:rPr>
      <w:rFonts w:asciiTheme="majorHAnsi" w:eastAsiaTheme="majorEastAsia" w:hAnsiTheme="majorHAnsi" w:cstheme="majorBidi"/>
      <w:i/>
      <w:iCs/>
      <w:color w:val="404040" w:themeColor="text1" w:themeTint="BF"/>
      <w:sz w:val="20"/>
      <w:szCs w:val="20"/>
      <w:lang w:val="es-ES_tradnl"/>
    </w:rPr>
  </w:style>
  <w:style w:type="character" w:customStyle="1" w:styleId="Heading1Char">
    <w:name w:val="Heading 1 Char"/>
    <w:basedOn w:val="DefaultParagraphFont"/>
    <w:link w:val="Heading1"/>
    <w:rsid w:val="00DD17C3"/>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DD17C3"/>
    <w:rPr>
      <w:rFonts w:ascii="Arial" w:eastAsia="Times New Roman" w:hAnsi="Arial" w:cs="Times New Roman"/>
      <w:b/>
      <w:i/>
      <w:sz w:val="24"/>
      <w:szCs w:val="20"/>
    </w:rPr>
  </w:style>
  <w:style w:type="character" w:customStyle="1" w:styleId="Heading3Char">
    <w:name w:val="Heading 3 Char"/>
    <w:basedOn w:val="DefaultParagraphFont"/>
    <w:link w:val="Heading3"/>
    <w:rsid w:val="003474DA"/>
    <w:rPr>
      <w:rFonts w:ascii="Arial" w:eastAsia="Times New Roman" w:hAnsi="Arial" w:cs="Times New Roman"/>
      <w:sz w:val="24"/>
      <w:szCs w:val="20"/>
      <w:lang w:val="es-ES_tradnl"/>
    </w:rPr>
  </w:style>
  <w:style w:type="character" w:customStyle="1" w:styleId="Heading4Char">
    <w:name w:val="Heading 4 Char"/>
    <w:basedOn w:val="DefaultParagraphFont"/>
    <w:link w:val="Heading4"/>
    <w:rsid w:val="003474DA"/>
    <w:rPr>
      <w:rFonts w:ascii="Arial" w:eastAsia="Times New Roman" w:hAnsi="Arial" w:cs="Times New Roman"/>
      <w:b/>
      <w:sz w:val="24"/>
      <w:szCs w:val="20"/>
      <w:lang w:val="es-ES_tradnl"/>
    </w:rPr>
  </w:style>
  <w:style w:type="paragraph" w:styleId="ListParagraph">
    <w:name w:val="List Paragraph"/>
    <w:aliases w:val="Bullets,References,titulo 5,Párrafo de lista1"/>
    <w:basedOn w:val="Normal"/>
    <w:link w:val="ListParagraphChar"/>
    <w:uiPriority w:val="34"/>
    <w:qFormat/>
    <w:rsid w:val="00F138F1"/>
    <w:pPr>
      <w:ind w:left="720"/>
      <w:contextualSpacing/>
    </w:pPr>
  </w:style>
  <w:style w:type="paragraph" w:customStyle="1" w:styleId="xl29">
    <w:name w:val="xl29"/>
    <w:basedOn w:val="Normal"/>
    <w:rsid w:val="00E50BE1"/>
    <w:pPr>
      <w:pBdr>
        <w:left w:val="single" w:sz="4" w:space="0" w:color="auto"/>
        <w:bottom w:val="single" w:sz="4" w:space="0" w:color="auto"/>
      </w:pBdr>
      <w:spacing w:before="100" w:beforeAutospacing="1" w:after="100" w:afterAutospacing="1"/>
      <w:jc w:val="center"/>
    </w:pPr>
    <w:rPr>
      <w:rFonts w:ascii="Arial" w:eastAsia="Arial Unicode MS" w:hAnsi="Arial" w:cs="Arial"/>
      <w:b/>
      <w:bCs/>
      <w:szCs w:val="24"/>
      <w:lang w:val="en-US"/>
    </w:rPr>
  </w:style>
  <w:style w:type="table" w:styleId="TableGrid">
    <w:name w:val="Table Grid"/>
    <w:basedOn w:val="TableNormal"/>
    <w:uiPriority w:val="59"/>
    <w:rsid w:val="005161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414E3"/>
    <w:rPr>
      <w:rFonts w:ascii="Tahoma" w:hAnsi="Tahoma" w:cs="Tahoma"/>
      <w:sz w:val="16"/>
      <w:szCs w:val="16"/>
    </w:rPr>
  </w:style>
  <w:style w:type="character" w:customStyle="1" w:styleId="BalloonTextChar">
    <w:name w:val="Balloon Text Char"/>
    <w:basedOn w:val="DefaultParagraphFont"/>
    <w:link w:val="BalloonText"/>
    <w:uiPriority w:val="99"/>
    <w:semiHidden/>
    <w:rsid w:val="003414E3"/>
    <w:rPr>
      <w:rFonts w:ascii="Tahoma" w:eastAsia="Times New Roman" w:hAnsi="Tahoma" w:cs="Tahoma"/>
      <w:sz w:val="16"/>
      <w:szCs w:val="16"/>
      <w:lang w:val="es-ES_tradnl"/>
    </w:rPr>
  </w:style>
  <w:style w:type="character" w:customStyle="1" w:styleId="ParagraphChar">
    <w:name w:val="Paragraph Char"/>
    <w:aliases w:val="paragraph Char,p Char,PARAGRAPH Char,PG Char,pa Char,at Char"/>
    <w:link w:val="Paragraph"/>
    <w:locked/>
    <w:rsid w:val="00D71198"/>
    <w:rPr>
      <w:rFonts w:ascii="Times New Roman" w:eastAsia="Times New Roman" w:hAnsi="Times New Roman" w:cs="Times New Roman"/>
      <w:sz w:val="24"/>
      <w:szCs w:val="20"/>
      <w:lang w:val="es-ES"/>
    </w:rPr>
  </w:style>
  <w:style w:type="character" w:styleId="Mention">
    <w:name w:val="Mention"/>
    <w:basedOn w:val="DefaultParagraphFont"/>
    <w:uiPriority w:val="99"/>
    <w:semiHidden/>
    <w:unhideWhenUsed/>
    <w:rsid w:val="002169EB"/>
    <w:rPr>
      <w:color w:val="2B579A"/>
      <w:shd w:val="clear" w:color="auto" w:fill="E6E6E6"/>
    </w:rPr>
  </w:style>
  <w:style w:type="character" w:styleId="FollowedHyperlink">
    <w:name w:val="FollowedHyperlink"/>
    <w:basedOn w:val="DefaultParagraphFont"/>
    <w:uiPriority w:val="99"/>
    <w:semiHidden/>
    <w:unhideWhenUsed/>
    <w:rsid w:val="00FE5066"/>
    <w:rPr>
      <w:color w:val="800080" w:themeColor="followedHyperlink"/>
      <w:u w:val="single"/>
    </w:rPr>
  </w:style>
  <w:style w:type="character" w:styleId="CommentReference">
    <w:name w:val="annotation reference"/>
    <w:basedOn w:val="DefaultParagraphFont"/>
    <w:uiPriority w:val="99"/>
    <w:semiHidden/>
    <w:unhideWhenUsed/>
    <w:rsid w:val="003944F9"/>
    <w:rPr>
      <w:sz w:val="16"/>
      <w:szCs w:val="16"/>
    </w:rPr>
  </w:style>
  <w:style w:type="paragraph" w:styleId="CommentText">
    <w:name w:val="annotation text"/>
    <w:basedOn w:val="Normal"/>
    <w:link w:val="CommentTextChar"/>
    <w:uiPriority w:val="99"/>
    <w:semiHidden/>
    <w:unhideWhenUsed/>
    <w:rsid w:val="003944F9"/>
    <w:rPr>
      <w:sz w:val="20"/>
    </w:rPr>
  </w:style>
  <w:style w:type="character" w:customStyle="1" w:styleId="CommentTextChar">
    <w:name w:val="Comment Text Char"/>
    <w:basedOn w:val="DefaultParagraphFont"/>
    <w:link w:val="CommentText"/>
    <w:uiPriority w:val="99"/>
    <w:semiHidden/>
    <w:rsid w:val="003944F9"/>
    <w:rPr>
      <w:rFonts w:ascii="Times New Roman" w:eastAsia="Times New Roman" w:hAnsi="Times New Roman" w:cs="Times New Roman"/>
      <w:sz w:val="20"/>
      <w:szCs w:val="20"/>
      <w:lang w:val="es-ES_tradnl"/>
    </w:rPr>
  </w:style>
  <w:style w:type="paragraph" w:styleId="CommentSubject">
    <w:name w:val="annotation subject"/>
    <w:basedOn w:val="CommentText"/>
    <w:next w:val="CommentText"/>
    <w:link w:val="CommentSubjectChar"/>
    <w:uiPriority w:val="99"/>
    <w:semiHidden/>
    <w:unhideWhenUsed/>
    <w:rsid w:val="003944F9"/>
    <w:rPr>
      <w:b/>
      <w:bCs/>
    </w:rPr>
  </w:style>
  <w:style w:type="character" w:customStyle="1" w:styleId="CommentSubjectChar">
    <w:name w:val="Comment Subject Char"/>
    <w:basedOn w:val="CommentTextChar"/>
    <w:link w:val="CommentSubject"/>
    <w:uiPriority w:val="99"/>
    <w:semiHidden/>
    <w:rsid w:val="003944F9"/>
    <w:rPr>
      <w:rFonts w:ascii="Times New Roman" w:eastAsia="Times New Roman" w:hAnsi="Times New Roman" w:cs="Times New Roman"/>
      <w:b/>
      <w:bCs/>
      <w:sz w:val="20"/>
      <w:szCs w:val="20"/>
      <w:lang w:val="es-ES_tradnl"/>
    </w:rPr>
  </w:style>
  <w:style w:type="paragraph" w:styleId="Revision">
    <w:name w:val="Revision"/>
    <w:hidden/>
    <w:uiPriority w:val="99"/>
    <w:semiHidden/>
    <w:rsid w:val="0001519E"/>
    <w:pPr>
      <w:spacing w:after="0" w:line="240" w:lineRule="auto"/>
    </w:pPr>
    <w:rPr>
      <w:rFonts w:ascii="Times New Roman" w:eastAsia="Times New Roman" w:hAnsi="Times New Roman" w:cs="Times New Roman"/>
      <w:sz w:val="24"/>
      <w:szCs w:val="20"/>
      <w:lang w:val="es-ES_tradnl"/>
    </w:rPr>
  </w:style>
  <w:style w:type="paragraph" w:styleId="NormalWeb">
    <w:name w:val="Normal (Web)"/>
    <w:basedOn w:val="Normal"/>
    <w:uiPriority w:val="99"/>
    <w:semiHidden/>
    <w:unhideWhenUsed/>
    <w:rsid w:val="00C11ECA"/>
    <w:rPr>
      <w:szCs w:val="24"/>
    </w:rPr>
  </w:style>
  <w:style w:type="character" w:customStyle="1" w:styleId="apple-converted-space">
    <w:name w:val="apple-converted-space"/>
    <w:basedOn w:val="DefaultParagraphFont"/>
    <w:rsid w:val="00586D57"/>
  </w:style>
  <w:style w:type="character" w:customStyle="1" w:styleId="ListParagraphChar">
    <w:name w:val="List Paragraph Char"/>
    <w:aliases w:val="Bullets Char,References Char,titulo 5 Char,Párrafo de lista1 Char"/>
    <w:basedOn w:val="DefaultParagraphFont"/>
    <w:link w:val="ListParagraph"/>
    <w:uiPriority w:val="34"/>
    <w:rsid w:val="00EB00AD"/>
    <w:rPr>
      <w:rFonts w:ascii="Times New Roman" w:eastAsia="Times New Roman" w:hAnsi="Times New Roman" w:cs="Times New Roman"/>
      <w:sz w:val="24"/>
      <w:szCs w:val="20"/>
      <w:lang w:val="es-ES_tradnl"/>
    </w:rPr>
  </w:style>
  <w:style w:type="paragraph" w:styleId="TOC5">
    <w:name w:val="toc 5"/>
    <w:basedOn w:val="Normal"/>
    <w:next w:val="Normal"/>
    <w:autoRedefine/>
    <w:uiPriority w:val="39"/>
    <w:semiHidden/>
    <w:unhideWhenUsed/>
    <w:rsid w:val="00581017"/>
    <w:pPr>
      <w:spacing w:after="100"/>
      <w:ind w:left="960"/>
    </w:pPr>
  </w:style>
  <w:style w:type="paragraph" w:styleId="Title">
    <w:name w:val="Title"/>
    <w:basedOn w:val="Normal"/>
    <w:link w:val="TitleChar"/>
    <w:qFormat/>
    <w:rsid w:val="00581017"/>
    <w:pPr>
      <w:spacing w:after="480"/>
      <w:jc w:val="center"/>
    </w:pPr>
    <w:rPr>
      <w:rFonts w:ascii="Arial" w:hAnsi="Arial"/>
      <w:b/>
      <w:sz w:val="28"/>
      <w:lang w:val="es-MX" w:eastAsia="es-CO"/>
    </w:rPr>
  </w:style>
  <w:style w:type="character" w:customStyle="1" w:styleId="TitleChar">
    <w:name w:val="Title Char"/>
    <w:basedOn w:val="DefaultParagraphFont"/>
    <w:link w:val="Title"/>
    <w:rsid w:val="00581017"/>
    <w:rPr>
      <w:rFonts w:ascii="Arial" w:eastAsia="Times New Roman" w:hAnsi="Arial" w:cs="Times New Roman"/>
      <w:b/>
      <w:sz w:val="28"/>
      <w:szCs w:val="20"/>
      <w:lang w:val="es-MX"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1476636">
      <w:bodyDiv w:val="1"/>
      <w:marLeft w:val="0"/>
      <w:marRight w:val="0"/>
      <w:marTop w:val="0"/>
      <w:marBottom w:val="0"/>
      <w:divBdr>
        <w:top w:val="none" w:sz="0" w:space="0" w:color="auto"/>
        <w:left w:val="none" w:sz="0" w:space="0" w:color="auto"/>
        <w:bottom w:val="none" w:sz="0" w:space="0" w:color="auto"/>
        <w:right w:val="none" w:sz="0" w:space="0" w:color="auto"/>
      </w:divBdr>
      <w:divsChild>
        <w:div w:id="1007443655">
          <w:marLeft w:val="0"/>
          <w:marRight w:val="0"/>
          <w:marTop w:val="0"/>
          <w:marBottom w:val="0"/>
          <w:divBdr>
            <w:top w:val="none" w:sz="0" w:space="0" w:color="auto"/>
            <w:left w:val="none" w:sz="0" w:space="0" w:color="auto"/>
            <w:bottom w:val="none" w:sz="0" w:space="0" w:color="auto"/>
            <w:right w:val="none" w:sz="0" w:space="0" w:color="auto"/>
          </w:divBdr>
          <w:divsChild>
            <w:div w:id="1574924501">
              <w:marLeft w:val="0"/>
              <w:marRight w:val="0"/>
              <w:marTop w:val="0"/>
              <w:marBottom w:val="0"/>
              <w:divBdr>
                <w:top w:val="none" w:sz="0" w:space="0" w:color="auto"/>
                <w:left w:val="none" w:sz="0" w:space="0" w:color="auto"/>
                <w:bottom w:val="none" w:sz="0" w:space="0" w:color="auto"/>
                <w:right w:val="none" w:sz="0" w:space="0" w:color="auto"/>
              </w:divBdr>
              <w:divsChild>
                <w:div w:id="1262101699">
                  <w:marLeft w:val="0"/>
                  <w:marRight w:val="0"/>
                  <w:marTop w:val="0"/>
                  <w:marBottom w:val="0"/>
                  <w:divBdr>
                    <w:top w:val="none" w:sz="0" w:space="0" w:color="auto"/>
                    <w:left w:val="none" w:sz="0" w:space="0" w:color="auto"/>
                    <w:bottom w:val="none" w:sz="0" w:space="0" w:color="auto"/>
                    <w:right w:val="none" w:sz="0" w:space="0" w:color="auto"/>
                  </w:divBdr>
                  <w:divsChild>
                    <w:div w:id="1493527978">
                      <w:marLeft w:val="0"/>
                      <w:marRight w:val="0"/>
                      <w:marTop w:val="0"/>
                      <w:marBottom w:val="0"/>
                      <w:divBdr>
                        <w:top w:val="none" w:sz="0" w:space="0" w:color="auto"/>
                        <w:left w:val="none" w:sz="0" w:space="0" w:color="auto"/>
                        <w:bottom w:val="none" w:sz="0" w:space="0" w:color="auto"/>
                        <w:right w:val="none" w:sz="0" w:space="0" w:color="auto"/>
                      </w:divBdr>
                      <w:divsChild>
                        <w:div w:id="1974559853">
                          <w:marLeft w:val="0"/>
                          <w:marRight w:val="0"/>
                          <w:marTop w:val="0"/>
                          <w:marBottom w:val="0"/>
                          <w:divBdr>
                            <w:top w:val="none" w:sz="0" w:space="0" w:color="auto"/>
                            <w:left w:val="none" w:sz="0" w:space="0" w:color="auto"/>
                            <w:bottom w:val="none" w:sz="0" w:space="0" w:color="auto"/>
                            <w:right w:val="none" w:sz="0" w:space="0" w:color="auto"/>
                          </w:divBdr>
                          <w:divsChild>
                            <w:div w:id="2123302892">
                              <w:marLeft w:val="0"/>
                              <w:marRight w:val="0"/>
                              <w:marTop w:val="0"/>
                              <w:marBottom w:val="0"/>
                              <w:divBdr>
                                <w:top w:val="none" w:sz="0" w:space="0" w:color="auto"/>
                                <w:left w:val="none" w:sz="0" w:space="0" w:color="auto"/>
                                <w:bottom w:val="none" w:sz="0" w:space="0" w:color="auto"/>
                                <w:right w:val="none" w:sz="0" w:space="0" w:color="auto"/>
                              </w:divBdr>
                              <w:divsChild>
                                <w:div w:id="853540870">
                                  <w:marLeft w:val="0"/>
                                  <w:marRight w:val="0"/>
                                  <w:marTop w:val="0"/>
                                  <w:marBottom w:val="0"/>
                                  <w:divBdr>
                                    <w:top w:val="none" w:sz="0" w:space="0" w:color="auto"/>
                                    <w:left w:val="none" w:sz="0" w:space="0" w:color="auto"/>
                                    <w:bottom w:val="none" w:sz="0" w:space="0" w:color="auto"/>
                                    <w:right w:val="none" w:sz="0" w:space="0" w:color="auto"/>
                                  </w:divBdr>
                                  <w:divsChild>
                                    <w:div w:id="48269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27718822">
      <w:bodyDiv w:val="1"/>
      <w:marLeft w:val="0"/>
      <w:marRight w:val="0"/>
      <w:marTop w:val="0"/>
      <w:marBottom w:val="0"/>
      <w:divBdr>
        <w:top w:val="none" w:sz="0" w:space="0" w:color="auto"/>
        <w:left w:val="none" w:sz="0" w:space="0" w:color="auto"/>
        <w:bottom w:val="none" w:sz="0" w:space="0" w:color="auto"/>
        <w:right w:val="none" w:sz="0" w:space="0" w:color="auto"/>
      </w:divBdr>
    </w:div>
    <w:div w:id="554661149">
      <w:bodyDiv w:val="1"/>
      <w:marLeft w:val="0"/>
      <w:marRight w:val="0"/>
      <w:marTop w:val="0"/>
      <w:marBottom w:val="0"/>
      <w:divBdr>
        <w:top w:val="none" w:sz="0" w:space="0" w:color="auto"/>
        <w:left w:val="none" w:sz="0" w:space="0" w:color="auto"/>
        <w:bottom w:val="none" w:sz="0" w:space="0" w:color="auto"/>
        <w:right w:val="none" w:sz="0" w:space="0" w:color="auto"/>
      </w:divBdr>
      <w:divsChild>
        <w:div w:id="1751465399">
          <w:marLeft w:val="0"/>
          <w:marRight w:val="0"/>
          <w:marTop w:val="150"/>
          <w:marBottom w:val="0"/>
          <w:divBdr>
            <w:top w:val="single" w:sz="6" w:space="0" w:color="303774"/>
            <w:left w:val="single" w:sz="6" w:space="0" w:color="303774"/>
            <w:bottom w:val="single" w:sz="6" w:space="0" w:color="303774"/>
            <w:right w:val="single" w:sz="6" w:space="0" w:color="303774"/>
          </w:divBdr>
          <w:divsChild>
            <w:div w:id="772555079">
              <w:marLeft w:val="0"/>
              <w:marRight w:val="0"/>
              <w:marTop w:val="100"/>
              <w:marBottom w:val="100"/>
              <w:divBdr>
                <w:top w:val="none" w:sz="0" w:space="0" w:color="auto"/>
                <w:left w:val="none" w:sz="0" w:space="0" w:color="auto"/>
                <w:bottom w:val="none" w:sz="0" w:space="0" w:color="auto"/>
                <w:right w:val="none" w:sz="0" w:space="0" w:color="auto"/>
              </w:divBdr>
              <w:divsChild>
                <w:div w:id="1795715298">
                  <w:marLeft w:val="0"/>
                  <w:marRight w:val="0"/>
                  <w:marTop w:val="0"/>
                  <w:marBottom w:val="0"/>
                  <w:divBdr>
                    <w:top w:val="none" w:sz="0" w:space="0" w:color="auto"/>
                    <w:left w:val="none" w:sz="0" w:space="0" w:color="auto"/>
                    <w:bottom w:val="none" w:sz="0" w:space="0" w:color="auto"/>
                    <w:right w:val="none" w:sz="0" w:space="0" w:color="auto"/>
                  </w:divBdr>
                  <w:divsChild>
                    <w:div w:id="2020619540">
                      <w:marLeft w:val="0"/>
                      <w:marRight w:val="0"/>
                      <w:marTop w:val="0"/>
                      <w:marBottom w:val="0"/>
                      <w:divBdr>
                        <w:top w:val="double" w:sz="6" w:space="0" w:color="FFFFFF"/>
                        <w:left w:val="double" w:sz="6" w:space="0" w:color="FFFFFF"/>
                        <w:bottom w:val="double" w:sz="6" w:space="0" w:color="FFFFFF"/>
                        <w:right w:val="double" w:sz="6" w:space="0" w:color="FFFFFF"/>
                      </w:divBdr>
                      <w:divsChild>
                        <w:div w:id="646085487">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 w:id="1102917023">
      <w:bodyDiv w:val="1"/>
      <w:marLeft w:val="0"/>
      <w:marRight w:val="0"/>
      <w:marTop w:val="0"/>
      <w:marBottom w:val="0"/>
      <w:divBdr>
        <w:top w:val="none" w:sz="0" w:space="0" w:color="auto"/>
        <w:left w:val="none" w:sz="0" w:space="0" w:color="auto"/>
        <w:bottom w:val="none" w:sz="0" w:space="0" w:color="auto"/>
        <w:right w:val="none" w:sz="0" w:space="0" w:color="auto"/>
      </w:divBdr>
    </w:div>
    <w:div w:id="1409691554">
      <w:bodyDiv w:val="1"/>
      <w:marLeft w:val="0"/>
      <w:marRight w:val="0"/>
      <w:marTop w:val="0"/>
      <w:marBottom w:val="0"/>
      <w:divBdr>
        <w:top w:val="none" w:sz="0" w:space="0" w:color="auto"/>
        <w:left w:val="none" w:sz="0" w:space="0" w:color="auto"/>
        <w:bottom w:val="none" w:sz="0" w:space="0" w:color="auto"/>
        <w:right w:val="none" w:sz="0" w:space="0" w:color="auto"/>
      </w:divBdr>
    </w:div>
    <w:div w:id="1943342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4.xml"/><Relationship Id="rId26"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3.xml"/><Relationship Id="rId25" Type="http://schemas.openxmlformats.org/officeDocument/2006/relationships/image" Target="media/image2.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2.xm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1.emf"/><Relationship Id="rId32" Type="http://schemas.openxmlformats.org/officeDocument/2006/relationships/header" Target="header9.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idbdocs.iadb.org/wsdocs/getDocument.aspx?DOCNUM=38029253" TargetMode="External"/><Relationship Id="rId28" Type="http://schemas.openxmlformats.org/officeDocument/2006/relationships/image" Target="media/image5.png"/><Relationship Id="rId10" Type="http://schemas.openxmlformats.org/officeDocument/2006/relationships/settings" Target="settings.xml"/><Relationship Id="rId19" Type="http://schemas.openxmlformats.org/officeDocument/2006/relationships/header" Target="header5.xm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header" Target="header6.xml"/><Relationship Id="rId27" Type="http://schemas.openxmlformats.org/officeDocument/2006/relationships/image" Target="media/image4.png"/><Relationship Id="rId30"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Confidential</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IDBDocs_x0020_Number xmlns="cdc7663a-08f0-4737-9e8c-148ce897a09c" xsi:nil="true"/>
    <Division_x0020_or_x0020_Unit xmlns="cdc7663a-08f0-4737-9e8c-148ce897a09c">INE/ENE</Division_x0020_or_x0020_Unit>
    <From_x003a_ xmlns="cdc7663a-08f0-4737-9e8c-148ce897a09c" xsi:nil="true"/>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Nancy Jesurun-Clements</Other_x0020_Author>
    <Migration_x0020_Info xmlns="cdc7663a-08f0-4737-9e8c-148ce897a09c" xsi:nil="true"/>
    <Approval_x0020_Number xmlns="cdc7663a-08f0-4737-9e8c-148ce897a09c" xsi:nil="true"/>
    <Phase xmlns="cdc7663a-08f0-4737-9e8c-148ce897a09c" xsi:nil="true"/>
    <Document_x0020_Author xmlns="cdc7663a-08f0-4737-9e8c-148ce897a09c">Jacome Montenegro, Carlos Alberto</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RURAL ELECTRIFICATION</TermName>
          <TermId xmlns="http://schemas.microsoft.com/office/infopath/2007/PartnerControls">90b0719d-742a-4d45-b8c2-5e51d3fda218</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GRF</TermName>
          <TermId xmlns="http://schemas.microsoft.com/office/infopath/2007/PartnerControls">91c131c5-8288-4ee4-8c9c-34395b8e8fd9</TermId>
        </TermInfo>
      </Terms>
    </g511464f9e53401d84b16fa9b379a574>
    <TaxCatchAll xmlns="cdc7663a-08f0-4737-9e8c-148ce897a09c">
      <Value>48</Value>
      <Value>47</Value>
      <Value>30</Value>
      <Value>2</Value>
      <Value>36</Value>
    </TaxCatchAll>
    <Operation_x0020_Type xmlns="cdc7663a-08f0-4737-9e8c-148ce897a09c" xsi:nil="true"/>
    <Package_x0020_Code xmlns="cdc7663a-08f0-4737-9e8c-148ce897a09c" xsi:nil="true"/>
    <To_x003a_ xmlns="cdc7663a-08f0-4737-9e8c-148ce897a09c" xsi:nil="true"/>
    <Identifier xmlns="cdc7663a-08f0-4737-9e8c-148ce897a09c" xsi:nil="true"/>
    <Project_x0020_Number xmlns="cdc7663a-08f0-4737-9e8c-148ce897a09c">HO-G1247;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R0000034856</Record_x0020_Number>
    <_dlc_DocId xmlns="cdc7663a-08f0-4737-9e8c-148ce897a09c">EZSHARE-256520755-45</_dlc_DocId>
    <_dlc_DocIdUrl xmlns="cdc7663a-08f0-4737-9e8c-148ce897a09c">
      <Url>https://idbg.sharepoint.com/teams/EZ-HO-IGR/HO-G1247/_layouts/15/DocIdRedir.aspx?ID=EZSHARE-256520755-45</Url>
      <Description>EZSHARE-256520755-45</Description>
    </_dlc_DocIdUrl>
  </documentManagement>
</p:properties>
</file>

<file path=customXml/item2.xml><?xml version="1.0" encoding="utf-8"?>
<?mso-contentType ?>
<FormUrls xmlns="http://schemas.microsoft.com/sharepoint/v3/contenttype/forms/url">
  <Display>_catalogs/masterpage/ECMForms/OperationsCT/View.aspx</Display>
  <Edit>_catalogs/masterpage/ECMForms/OperationsCT/Edit.aspx</Edit>
</FormUrls>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AFAF10C8BBFA864F97A8A2FB604FD7B7" ma:contentTypeVersion="17" ma:contentTypeDescription="The base project type from which other project content types inherit their information." ma:contentTypeScope="" ma:versionID="bf964e835b256be7d514e7916c391f8a">
  <xsd:schema xmlns:xsd="http://www.w3.org/2001/XMLSchema" xmlns:xs="http://www.w3.org/2001/XMLSchema" xmlns:p="http://schemas.microsoft.com/office/2006/metadata/properties" xmlns:ns2="cdc7663a-08f0-4737-9e8c-148ce897a09c" targetNamespace="http://schemas.microsoft.com/office/2006/metadata/properties" ma:root="true" ma:fieldsID="f999e881e15e4ad31e626ab70ba37c3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ae61f9b1-e23d-4f49-b3d7-56b991556c4b" ContentTypeId="0x010100ACF722E9F6B0B149B0CD8BE2560A6672" PreviousValue="false"/>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8BF5AF-7F87-4F38-AD09-DC10A9356FCC}">
  <ds:schemaRefs>
    <ds:schemaRef ds:uri="http://purl.org/dc/dcmitype/"/>
    <ds:schemaRef ds:uri="http://www.w3.org/XML/1998/namespace"/>
    <ds:schemaRef ds:uri="http://purl.org/dc/elements/1.1/"/>
    <ds:schemaRef ds:uri="http://schemas.microsoft.com/office/2006/metadata/properties"/>
    <ds:schemaRef ds:uri="cdc7663a-08f0-4737-9e8c-148ce897a09c"/>
    <ds:schemaRef ds:uri="http://schemas.openxmlformats.org/package/2006/metadata/core-properties"/>
    <ds:schemaRef ds:uri="http://schemas.microsoft.com/office/2006/documentManagement/types"/>
    <ds:schemaRef ds:uri="http://schemas.microsoft.com/office/infopath/2007/PartnerControls"/>
    <ds:schemaRef ds:uri="http://purl.org/dc/terms/"/>
  </ds:schemaRefs>
</ds:datastoreItem>
</file>

<file path=customXml/itemProps2.xml><?xml version="1.0" encoding="utf-8"?>
<ds:datastoreItem xmlns:ds="http://schemas.openxmlformats.org/officeDocument/2006/customXml" ds:itemID="{53FA6B9F-47C3-47D5-9B32-AD88AA29DD33}">
  <ds:schemaRefs>
    <ds:schemaRef ds:uri="http://schemas.microsoft.com/sharepoint/v3/contenttype/forms/url"/>
  </ds:schemaRefs>
</ds:datastoreItem>
</file>

<file path=customXml/itemProps3.xml><?xml version="1.0" encoding="utf-8"?>
<ds:datastoreItem xmlns:ds="http://schemas.openxmlformats.org/officeDocument/2006/customXml" ds:itemID="{3A54E97F-E10A-4FDF-AEB6-76B7ECE2FB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8AF1BC-4F53-4E1E-B2BB-D6CD745E3DC2}">
  <ds:schemaRefs>
    <ds:schemaRef ds:uri="http://schemas.microsoft.com/sharepoint/v3/contenttype/forms"/>
  </ds:schemaRefs>
</ds:datastoreItem>
</file>

<file path=customXml/itemProps5.xml><?xml version="1.0" encoding="utf-8"?>
<ds:datastoreItem xmlns:ds="http://schemas.openxmlformats.org/officeDocument/2006/customXml" ds:itemID="{D30E6165-B7BA-45F7-93F3-9D5271CD70BF}">
  <ds:schemaRefs>
    <ds:schemaRef ds:uri="http://schemas.microsoft.com/sharepoint/events"/>
  </ds:schemaRefs>
</ds:datastoreItem>
</file>

<file path=customXml/itemProps6.xml><?xml version="1.0" encoding="utf-8"?>
<ds:datastoreItem xmlns:ds="http://schemas.openxmlformats.org/officeDocument/2006/customXml" ds:itemID="{6F98F946-2C27-438D-A8C3-2C54DCA289AB}">
  <ds:schemaRefs>
    <ds:schemaRef ds:uri="Microsoft.SharePoint.Taxonomy.ContentTypeSync"/>
  </ds:schemaRefs>
</ds:datastoreItem>
</file>

<file path=customXml/itemProps7.xml><?xml version="1.0" encoding="utf-8"?>
<ds:datastoreItem xmlns:ds="http://schemas.openxmlformats.org/officeDocument/2006/customXml" ds:itemID="{F7BEF7AC-9FFA-4596-9455-ADFE92CC7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821</TotalTime>
  <Pages>15</Pages>
  <Words>3935</Words>
  <Characters>22433</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26316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claudiacox</dc:creator>
  <cp:keywords/>
  <cp:lastModifiedBy>Aragon Salinas, Rodrigo Nicolas</cp:lastModifiedBy>
  <cp:revision>107</cp:revision>
  <cp:lastPrinted>2015-03-30T19:43:00Z</cp:lastPrinted>
  <dcterms:created xsi:type="dcterms:W3CDTF">2017-05-15T13:14:00Z</dcterms:created>
  <dcterms:modified xsi:type="dcterms:W3CDTF">2017-05-31T15:24:00Z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0x010100ACF722E9F6B0B149B0CD8BE2560A667200AFAF10C8BBFA864F97A8A2FB604FD7B7</vt:lpwstr>
  </property>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47;#RURAL ELECTRIFICATION|90b0719d-742a-4d45-b8c2-5e51d3fda218</vt:lpwstr>
  </property>
  <property fmtid="{D5CDD505-2E9C-101B-9397-08002B2CF9AE}" pid="7" name="Fund IDB">
    <vt:lpwstr>48;#GRF|91c131c5-8288-4ee4-8c9c-34395b8e8fd9</vt:lpwstr>
  </property>
  <property fmtid="{D5CDD505-2E9C-101B-9397-08002B2CF9AE}" pid="8" name="Country">
    <vt:lpwstr>30;#Honduras|0dd9f989-602d-4742-8212-5c1b8b0b74d5</vt:lpwstr>
  </property>
  <property fmtid="{D5CDD505-2E9C-101B-9397-08002B2CF9AE}" pid="9" name="Sector IDB">
    <vt:lpwstr>36;#ENERGY|4fed196a-cd0b-4970-87de-42da17f9b203</vt:lpwstr>
  </property>
  <property fmtid="{D5CDD505-2E9C-101B-9397-08002B2CF9AE}" pid="10" name="Function Operations IDB">
    <vt:lpwstr>2;#Monitoring and Reporting|df3c2aa1-d63e-41aa-b1f5-bb15dee691ca</vt:lpwstr>
  </property>
  <property fmtid="{D5CDD505-2E9C-101B-9397-08002B2CF9AE}" pid="11" name="_dlc_DocIdItemGuid">
    <vt:lpwstr>760b70ef-6d50-4ff5-a23c-841e796fa1be</vt:lpwstr>
  </property>
  <property fmtid="{D5CDD505-2E9C-101B-9397-08002B2CF9AE}" pid="12" name="SharedWithUsers">
    <vt:lpwstr>34;#Jacome Montenegro, Carlos Alberto;#107;#Vanegas, Wilkferg Rico;#154;#Aragon Salinas, Rodrigo Nicolas;#108;#Jesurun-Clements, Nancy</vt:lpwstr>
  </property>
</Properties>
</file>