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13A54" w14:textId="6F19BA4C" w:rsidR="00D509DD" w:rsidRPr="003E789B" w:rsidRDefault="004E5B47" w:rsidP="003E789B">
      <w:pPr>
        <w:spacing w:line="240" w:lineRule="auto"/>
        <w:jc w:val="right"/>
        <w:rPr>
          <w:rFonts w:ascii="Times New Roman" w:hAnsi="Times New Roman"/>
          <w:b/>
          <w:color w:val="000000"/>
          <w:sz w:val="24"/>
          <w:szCs w:val="24"/>
          <w:u w:val="single"/>
          <w:lang w:val="es-ES_tradnl"/>
        </w:rPr>
      </w:pPr>
      <w:r>
        <w:rPr>
          <w:rFonts w:ascii="Times New Roman" w:hAnsi="Times New Roman"/>
          <w:b/>
          <w:color w:val="000000"/>
          <w:sz w:val="24"/>
          <w:szCs w:val="24"/>
          <w:u w:val="single"/>
          <w:lang w:val="es-ES_tradnl"/>
        </w:rPr>
        <w:t>NOTA SECTORIAL</w:t>
      </w:r>
      <w:r w:rsidR="0014461E">
        <w:rPr>
          <w:rFonts w:ascii="Times New Roman" w:hAnsi="Times New Roman"/>
          <w:b/>
          <w:color w:val="000000"/>
          <w:sz w:val="24"/>
          <w:szCs w:val="24"/>
          <w:u w:val="single"/>
          <w:lang w:val="es-ES_tradnl"/>
        </w:rPr>
        <w:t xml:space="preserve"> CONFIDENCIAL</w:t>
      </w:r>
    </w:p>
    <w:p w14:paraId="33213A55" w14:textId="77777777" w:rsidR="00D509DD" w:rsidRPr="008E4FE8" w:rsidRDefault="00D509DD" w:rsidP="003E789B">
      <w:pPr>
        <w:spacing w:line="240" w:lineRule="auto"/>
        <w:jc w:val="center"/>
        <w:rPr>
          <w:rFonts w:ascii="Times New Roman" w:hAnsi="Times New Roman"/>
          <w:b/>
          <w:color w:val="000000"/>
          <w:sz w:val="28"/>
          <w:szCs w:val="24"/>
          <w:lang w:val="es-ES_tradnl"/>
        </w:rPr>
      </w:pPr>
      <w:r w:rsidRPr="008E4FE8">
        <w:rPr>
          <w:rFonts w:ascii="Times New Roman" w:hAnsi="Times New Roman"/>
          <w:b/>
          <w:color w:val="000000"/>
          <w:sz w:val="28"/>
          <w:szCs w:val="24"/>
          <w:lang w:val="es-ES_tradnl"/>
        </w:rPr>
        <w:t>HONDURAS</w:t>
      </w:r>
    </w:p>
    <w:p w14:paraId="33213A56" w14:textId="65FC910B" w:rsidR="00F446BA" w:rsidRPr="008E4FE8" w:rsidRDefault="00A3399E">
      <w:pPr>
        <w:spacing w:line="240" w:lineRule="auto"/>
        <w:jc w:val="center"/>
        <w:rPr>
          <w:rFonts w:ascii="Times New Roman" w:hAnsi="Times New Roman"/>
          <w:b/>
          <w:color w:val="000000"/>
          <w:sz w:val="28"/>
          <w:szCs w:val="24"/>
          <w:lang w:val="es-ES_tradnl"/>
        </w:rPr>
      </w:pPr>
      <w:r>
        <w:rPr>
          <w:rFonts w:ascii="Times New Roman" w:hAnsi="Times New Roman"/>
          <w:b/>
          <w:color w:val="000000"/>
          <w:sz w:val="28"/>
          <w:szCs w:val="24"/>
          <w:lang w:val="es-ES_tradnl"/>
        </w:rPr>
        <w:t xml:space="preserve">SITUACIÓN DEL </w:t>
      </w:r>
      <w:r w:rsidR="004D083D">
        <w:rPr>
          <w:rFonts w:ascii="Times New Roman" w:hAnsi="Times New Roman"/>
          <w:b/>
          <w:color w:val="000000"/>
          <w:sz w:val="28"/>
          <w:szCs w:val="24"/>
          <w:lang w:val="es-ES_tradnl"/>
        </w:rPr>
        <w:t>SUB</w:t>
      </w:r>
      <w:r w:rsidR="00F446BA" w:rsidRPr="008E4FE8">
        <w:rPr>
          <w:rFonts w:ascii="Times New Roman" w:hAnsi="Times New Roman"/>
          <w:b/>
          <w:color w:val="000000"/>
          <w:sz w:val="28"/>
          <w:szCs w:val="24"/>
          <w:lang w:val="es-ES_tradnl"/>
        </w:rPr>
        <w:t xml:space="preserve">SECTOR </w:t>
      </w:r>
      <w:r w:rsidR="00D509DD" w:rsidRPr="008E4FE8">
        <w:rPr>
          <w:rFonts w:ascii="Times New Roman" w:hAnsi="Times New Roman"/>
          <w:b/>
          <w:color w:val="000000"/>
          <w:sz w:val="28"/>
          <w:szCs w:val="24"/>
          <w:lang w:val="es-ES_tradnl"/>
        </w:rPr>
        <w:t>ELÉCTRICO</w:t>
      </w:r>
      <w:r w:rsidR="003A5E59" w:rsidRPr="008E4FE8">
        <w:rPr>
          <w:rFonts w:ascii="Times New Roman" w:hAnsi="Times New Roman"/>
          <w:b/>
          <w:color w:val="000000"/>
          <w:sz w:val="28"/>
          <w:szCs w:val="24"/>
          <w:lang w:val="es-ES_tradnl"/>
        </w:rPr>
        <w:t xml:space="preserve"> </w:t>
      </w:r>
    </w:p>
    <w:p w14:paraId="33213A57" w14:textId="77777777" w:rsidR="00D509DD" w:rsidRPr="003E789B" w:rsidRDefault="00D509DD">
      <w:pPr>
        <w:tabs>
          <w:tab w:val="left" w:pos="540"/>
        </w:tabs>
        <w:spacing w:line="240" w:lineRule="auto"/>
        <w:jc w:val="both"/>
        <w:rPr>
          <w:rFonts w:ascii="Times New Roman" w:hAnsi="Times New Roman"/>
          <w:color w:val="000000"/>
          <w:sz w:val="24"/>
          <w:szCs w:val="24"/>
          <w:lang w:val="es-ES_tradnl"/>
        </w:rPr>
      </w:pPr>
    </w:p>
    <w:p w14:paraId="33213A58" w14:textId="77777777" w:rsidR="00D509DD" w:rsidRPr="003E789B" w:rsidRDefault="00891716">
      <w:pPr>
        <w:pStyle w:val="ListParagraph"/>
        <w:numPr>
          <w:ilvl w:val="0"/>
          <w:numId w:val="9"/>
        </w:numPr>
        <w:tabs>
          <w:tab w:val="left" w:pos="540"/>
        </w:tabs>
        <w:spacing w:line="240" w:lineRule="auto"/>
        <w:jc w:val="both"/>
        <w:rPr>
          <w:rFonts w:ascii="Times New Roman" w:hAnsi="Times New Roman"/>
          <w:b/>
          <w:color w:val="000000"/>
          <w:sz w:val="24"/>
          <w:szCs w:val="24"/>
          <w:lang w:val="es-ES_tradnl"/>
        </w:rPr>
      </w:pPr>
      <w:r w:rsidRPr="003E789B">
        <w:rPr>
          <w:rFonts w:ascii="Times New Roman" w:hAnsi="Times New Roman"/>
          <w:b/>
          <w:color w:val="000000"/>
          <w:sz w:val="24"/>
          <w:szCs w:val="24"/>
          <w:lang w:val="es-ES_tradnl"/>
        </w:rPr>
        <w:t>Introducción</w:t>
      </w:r>
      <w:r w:rsidR="00D509DD" w:rsidRPr="003E789B">
        <w:rPr>
          <w:rFonts w:ascii="Times New Roman" w:hAnsi="Times New Roman"/>
          <w:b/>
          <w:color w:val="000000"/>
          <w:sz w:val="24"/>
          <w:szCs w:val="24"/>
          <w:lang w:val="es-ES_tradnl"/>
        </w:rPr>
        <w:t>:</w:t>
      </w:r>
    </w:p>
    <w:p w14:paraId="33213A59" w14:textId="5AFBECB3" w:rsidR="00891716" w:rsidRPr="003E789B" w:rsidRDefault="00891716" w:rsidP="008E4FE8">
      <w:pPr>
        <w:tabs>
          <w:tab w:val="left" w:pos="540"/>
        </w:tabs>
        <w:spacing w:after="120" w:line="240" w:lineRule="auto"/>
        <w:jc w:val="both"/>
        <w:rPr>
          <w:rFonts w:ascii="Times New Roman" w:hAnsi="Times New Roman"/>
          <w:color w:val="000000"/>
          <w:sz w:val="24"/>
          <w:szCs w:val="24"/>
          <w:lang w:val="es-ES_tradnl"/>
        </w:rPr>
      </w:pPr>
      <w:r w:rsidRPr="003E789B">
        <w:rPr>
          <w:rFonts w:ascii="Times New Roman" w:hAnsi="Times New Roman"/>
          <w:color w:val="000000"/>
          <w:sz w:val="24"/>
          <w:szCs w:val="24"/>
          <w:lang w:val="es-ES_tradnl"/>
        </w:rPr>
        <w:t xml:space="preserve">La presente Nota resume la situación </w:t>
      </w:r>
      <w:r w:rsidR="00C25F88">
        <w:rPr>
          <w:rFonts w:ascii="Times New Roman" w:hAnsi="Times New Roman"/>
          <w:color w:val="000000"/>
          <w:sz w:val="24"/>
          <w:szCs w:val="24"/>
          <w:lang w:val="es-ES_tradnl"/>
        </w:rPr>
        <w:t xml:space="preserve">del Sector eléctrico </w:t>
      </w:r>
      <w:r w:rsidRPr="003E789B">
        <w:rPr>
          <w:rFonts w:ascii="Times New Roman" w:hAnsi="Times New Roman"/>
          <w:color w:val="000000"/>
          <w:sz w:val="24"/>
          <w:szCs w:val="24"/>
          <w:lang w:val="es-ES_tradnl"/>
        </w:rPr>
        <w:t xml:space="preserve">a </w:t>
      </w:r>
      <w:r w:rsidR="00A3399E">
        <w:rPr>
          <w:rFonts w:ascii="Times New Roman" w:hAnsi="Times New Roman"/>
          <w:color w:val="000000"/>
          <w:sz w:val="24"/>
          <w:szCs w:val="24"/>
          <w:lang w:val="es-ES_tradnl"/>
        </w:rPr>
        <w:t>mayo</w:t>
      </w:r>
      <w:r w:rsidR="00C25F88">
        <w:rPr>
          <w:rFonts w:ascii="Times New Roman" w:hAnsi="Times New Roman"/>
          <w:color w:val="000000"/>
          <w:sz w:val="24"/>
          <w:szCs w:val="24"/>
          <w:lang w:val="es-ES_tradnl"/>
        </w:rPr>
        <w:t xml:space="preserve"> del 201</w:t>
      </w:r>
      <w:r w:rsidR="00A3399E">
        <w:rPr>
          <w:rFonts w:ascii="Times New Roman" w:hAnsi="Times New Roman"/>
          <w:color w:val="000000"/>
          <w:sz w:val="24"/>
          <w:szCs w:val="24"/>
          <w:lang w:val="es-ES_tradnl"/>
        </w:rPr>
        <w:t>7</w:t>
      </w:r>
      <w:r w:rsidRPr="003E789B">
        <w:rPr>
          <w:rFonts w:ascii="Times New Roman" w:hAnsi="Times New Roman"/>
          <w:color w:val="000000"/>
          <w:sz w:val="24"/>
          <w:szCs w:val="24"/>
          <w:lang w:val="es-ES_tradnl"/>
        </w:rPr>
        <w:t xml:space="preserve"> </w:t>
      </w:r>
      <w:r w:rsidR="00C25F88">
        <w:rPr>
          <w:rFonts w:ascii="Times New Roman" w:hAnsi="Times New Roman"/>
          <w:color w:val="000000"/>
          <w:sz w:val="24"/>
          <w:szCs w:val="24"/>
          <w:lang w:val="es-ES_tradnl"/>
        </w:rPr>
        <w:t xml:space="preserve">tomando en consideración </w:t>
      </w:r>
      <w:r w:rsidRPr="003E789B">
        <w:rPr>
          <w:rFonts w:ascii="Times New Roman" w:hAnsi="Times New Roman"/>
          <w:color w:val="000000"/>
          <w:sz w:val="24"/>
          <w:szCs w:val="24"/>
          <w:lang w:val="es-ES_tradnl"/>
        </w:rPr>
        <w:t xml:space="preserve">los avances presentados en el </w:t>
      </w:r>
      <w:r w:rsidR="00C25F88">
        <w:rPr>
          <w:rFonts w:ascii="Times New Roman" w:hAnsi="Times New Roman"/>
          <w:color w:val="000000"/>
          <w:sz w:val="24"/>
          <w:szCs w:val="24"/>
          <w:lang w:val="es-ES_tradnl"/>
        </w:rPr>
        <w:t xml:space="preserve">proceso de reforma del </w:t>
      </w:r>
      <w:r w:rsidRPr="003E789B">
        <w:rPr>
          <w:rFonts w:ascii="Times New Roman" w:hAnsi="Times New Roman"/>
          <w:color w:val="000000"/>
          <w:sz w:val="24"/>
          <w:szCs w:val="24"/>
          <w:lang w:val="es-ES_tradnl"/>
        </w:rPr>
        <w:t xml:space="preserve">sector desde </w:t>
      </w:r>
      <w:r w:rsidR="008475F0" w:rsidRPr="003E789B">
        <w:rPr>
          <w:rFonts w:ascii="Times New Roman" w:hAnsi="Times New Roman"/>
          <w:color w:val="000000"/>
          <w:sz w:val="24"/>
          <w:szCs w:val="24"/>
          <w:lang w:val="es-ES_tradnl"/>
        </w:rPr>
        <w:t>la aprobación</w:t>
      </w:r>
      <w:r w:rsidRPr="003E789B">
        <w:rPr>
          <w:rFonts w:ascii="Times New Roman" w:hAnsi="Times New Roman"/>
          <w:color w:val="000000"/>
          <w:sz w:val="24"/>
          <w:szCs w:val="24"/>
          <w:lang w:val="es-ES_tradnl"/>
        </w:rPr>
        <w:t xml:space="preserve"> de la </w:t>
      </w:r>
      <w:r w:rsidR="00C25F88">
        <w:rPr>
          <w:rFonts w:ascii="Times New Roman" w:hAnsi="Times New Roman"/>
          <w:color w:val="000000"/>
          <w:sz w:val="24"/>
          <w:szCs w:val="24"/>
          <w:lang w:val="es-ES_tradnl"/>
        </w:rPr>
        <w:t>“Estrategia de País del BID 2015-2018</w:t>
      </w:r>
      <w:r w:rsidRPr="003E789B">
        <w:rPr>
          <w:rFonts w:ascii="Times New Roman" w:hAnsi="Times New Roman"/>
          <w:color w:val="000000"/>
          <w:sz w:val="24"/>
          <w:szCs w:val="24"/>
          <w:lang w:val="es-ES_tradnl"/>
        </w:rPr>
        <w:t xml:space="preserve"> </w:t>
      </w:r>
      <w:r w:rsidRPr="00FC51D5">
        <w:rPr>
          <w:rFonts w:ascii="Times New Roman" w:hAnsi="Times New Roman"/>
          <w:color w:val="000000"/>
          <w:sz w:val="24"/>
          <w:szCs w:val="24"/>
          <w:lang w:val="es-ES_tradnl"/>
        </w:rPr>
        <w:t>– (</w:t>
      </w:r>
      <w:r w:rsidR="00FC51D5" w:rsidRPr="00FC51D5">
        <w:rPr>
          <w:rFonts w:ascii="Times New Roman" w:hAnsi="Times New Roman"/>
          <w:color w:val="000000"/>
          <w:sz w:val="24"/>
          <w:szCs w:val="24"/>
          <w:lang w:val="es-ES_tradnl"/>
        </w:rPr>
        <w:t>GN-2796</w:t>
      </w:r>
      <w:r w:rsidRPr="003E789B">
        <w:rPr>
          <w:rFonts w:ascii="Times New Roman" w:hAnsi="Times New Roman"/>
          <w:color w:val="000000"/>
          <w:sz w:val="24"/>
          <w:szCs w:val="24"/>
          <w:lang w:val="es-ES_tradnl"/>
        </w:rPr>
        <w:t xml:space="preserve">) el </w:t>
      </w:r>
      <w:r w:rsidR="00C25F88">
        <w:rPr>
          <w:rFonts w:ascii="Times New Roman" w:hAnsi="Times New Roman"/>
          <w:color w:val="000000"/>
          <w:sz w:val="24"/>
          <w:szCs w:val="24"/>
          <w:lang w:val="es-ES_tradnl"/>
        </w:rPr>
        <w:t>10 de diciembre del 2014</w:t>
      </w:r>
      <w:r w:rsidRPr="003E789B">
        <w:rPr>
          <w:rFonts w:ascii="Times New Roman" w:hAnsi="Times New Roman"/>
          <w:color w:val="000000"/>
          <w:sz w:val="24"/>
          <w:szCs w:val="24"/>
          <w:lang w:val="es-ES_tradnl"/>
        </w:rPr>
        <w:t>. En dicho documento se estableció:</w:t>
      </w:r>
    </w:p>
    <w:p w14:paraId="33213A5A" w14:textId="77777777" w:rsidR="00C25F88" w:rsidRPr="00C25F88" w:rsidRDefault="00C25F88" w:rsidP="00C25F88">
      <w:pPr>
        <w:autoSpaceDE w:val="0"/>
        <w:autoSpaceDN w:val="0"/>
        <w:adjustRightInd w:val="0"/>
        <w:spacing w:after="0" w:line="240" w:lineRule="auto"/>
        <w:rPr>
          <w:rFonts w:ascii="Times New Roman" w:eastAsiaTheme="minorHAnsi" w:hAnsi="Times New Roman"/>
          <w:color w:val="000000"/>
          <w:sz w:val="24"/>
          <w:szCs w:val="24"/>
          <w:lang w:val="es-HN"/>
        </w:rPr>
      </w:pPr>
    </w:p>
    <w:p w14:paraId="33213A5B" w14:textId="77777777" w:rsidR="00C25F88" w:rsidRPr="00C25F88" w:rsidRDefault="00C25F88" w:rsidP="00C25F88">
      <w:pPr>
        <w:pStyle w:val="Default"/>
        <w:ind w:left="1080" w:hanging="720"/>
        <w:jc w:val="both"/>
        <w:rPr>
          <w:i/>
          <w:lang w:val="es-ES_tradnl"/>
        </w:rPr>
      </w:pPr>
      <w:r>
        <w:rPr>
          <w:i/>
          <w:lang w:val="es-ES_tradnl"/>
        </w:rPr>
        <w:t>3.14</w:t>
      </w:r>
      <w:r>
        <w:rPr>
          <w:i/>
          <w:lang w:val="es-ES_tradnl"/>
        </w:rPr>
        <w:tab/>
      </w:r>
      <w:r w:rsidRPr="00C25F88">
        <w:rPr>
          <w:i/>
          <w:lang w:val="es-ES_tradnl"/>
        </w:rPr>
        <w:t>El trabajo del Banco tendrá como objetivo central apoyar la consolidación del proceso de reforma del sector electricidad, particularmente la nueva Ley General de la Industria Eléctrica</w:t>
      </w:r>
      <w:r w:rsidR="00FC51D5">
        <w:rPr>
          <w:i/>
          <w:lang w:val="es-ES_tradnl"/>
        </w:rPr>
        <w:t xml:space="preserve"> LGIE</w:t>
      </w:r>
      <w:r w:rsidRPr="00C25F88">
        <w:rPr>
          <w:i/>
          <w:lang w:val="es-ES_tradnl"/>
        </w:rPr>
        <w:t xml:space="preserve">. Específicamente, el Banco buscará, en paralelo: (i) mejorar la eficiencia, calidad del servicio eléctrico y diversificación de la matriz de generación; e (ii) incrementar el acceso al servicio de electricidad. En ambos casos, el Banco apoyará la implementación de reformas mediante soporte financiero y técnico;49 así como por intermedio de operaciones de financiamiento con Garantía Soberana y/o cofinanciamiento de APP50. Las inversiones en el sector (tanto SG como NSG) se darán en la medida en que se avance en la implementación de las reformas que permitan la eficiencia y sostenibilidad financiera del sector </w:t>
      </w:r>
    </w:p>
    <w:p w14:paraId="33213A5C" w14:textId="77777777" w:rsidR="00C25F88" w:rsidRPr="00C25F88" w:rsidRDefault="00C25F88" w:rsidP="00C25F88">
      <w:pPr>
        <w:autoSpaceDE w:val="0"/>
        <w:autoSpaceDN w:val="0"/>
        <w:adjustRightInd w:val="0"/>
        <w:spacing w:after="0" w:line="240" w:lineRule="auto"/>
        <w:rPr>
          <w:rFonts w:ascii="Times New Roman" w:eastAsiaTheme="minorHAnsi" w:hAnsi="Times New Roman"/>
          <w:i/>
          <w:color w:val="000000"/>
          <w:sz w:val="24"/>
          <w:szCs w:val="24"/>
          <w:lang w:val="es-ES_tradnl"/>
        </w:rPr>
      </w:pPr>
    </w:p>
    <w:p w14:paraId="33213A5D" w14:textId="77777777" w:rsidR="00C25F88" w:rsidRPr="00C25F88" w:rsidRDefault="00C25F88" w:rsidP="00C25F88">
      <w:pPr>
        <w:autoSpaceDE w:val="0"/>
        <w:autoSpaceDN w:val="0"/>
        <w:adjustRightInd w:val="0"/>
        <w:spacing w:after="0" w:line="240" w:lineRule="auto"/>
        <w:rPr>
          <w:rFonts w:ascii="Times New Roman" w:eastAsiaTheme="minorHAnsi" w:hAnsi="Times New Roman"/>
          <w:color w:val="000000"/>
          <w:sz w:val="23"/>
          <w:szCs w:val="23"/>
          <w:lang w:val="es-HN"/>
        </w:rPr>
      </w:pPr>
    </w:p>
    <w:p w14:paraId="33213A5E" w14:textId="77777777" w:rsidR="00891716" w:rsidRPr="003E789B" w:rsidRDefault="00B20927">
      <w:pPr>
        <w:pStyle w:val="ListParagraph"/>
        <w:numPr>
          <w:ilvl w:val="0"/>
          <w:numId w:val="9"/>
        </w:numPr>
        <w:tabs>
          <w:tab w:val="left" w:pos="540"/>
        </w:tabs>
        <w:spacing w:line="240" w:lineRule="auto"/>
        <w:jc w:val="both"/>
        <w:rPr>
          <w:rFonts w:ascii="Times New Roman" w:hAnsi="Times New Roman"/>
          <w:b/>
          <w:color w:val="000000"/>
          <w:sz w:val="24"/>
          <w:szCs w:val="24"/>
          <w:lang w:val="es-ES_tradnl"/>
        </w:rPr>
      </w:pPr>
      <w:r>
        <w:rPr>
          <w:rFonts w:ascii="Times New Roman" w:hAnsi="Times New Roman"/>
          <w:b/>
          <w:color w:val="000000"/>
          <w:sz w:val="24"/>
          <w:szCs w:val="24"/>
          <w:lang w:val="es-ES_tradnl"/>
        </w:rPr>
        <w:t>Avances del proceso de reformas del Sector Eléctrico</w:t>
      </w:r>
      <w:r w:rsidR="00891716" w:rsidRPr="003E789B">
        <w:rPr>
          <w:rFonts w:ascii="Times New Roman" w:hAnsi="Times New Roman"/>
          <w:b/>
          <w:color w:val="000000"/>
          <w:sz w:val="24"/>
          <w:szCs w:val="24"/>
          <w:lang w:val="es-ES_tradnl"/>
        </w:rPr>
        <w:t xml:space="preserve"> de Honduras:</w:t>
      </w:r>
    </w:p>
    <w:p w14:paraId="33213A5F" w14:textId="34273987" w:rsidR="00B20927" w:rsidRDefault="00F918E0" w:rsidP="008E4FE8">
      <w:pPr>
        <w:tabs>
          <w:tab w:val="left" w:pos="540"/>
        </w:tabs>
        <w:spacing w:after="120" w:line="240" w:lineRule="auto"/>
        <w:contextualSpacing/>
        <w:jc w:val="both"/>
        <w:rPr>
          <w:rFonts w:ascii="Times New Roman" w:hAnsi="Times New Roman"/>
          <w:color w:val="000000"/>
          <w:sz w:val="24"/>
          <w:szCs w:val="24"/>
          <w:lang w:val="es-ES_tradnl"/>
        </w:rPr>
      </w:pPr>
      <w:r>
        <w:rPr>
          <w:rFonts w:ascii="Times New Roman" w:hAnsi="Times New Roman"/>
          <w:color w:val="000000"/>
          <w:sz w:val="24"/>
          <w:szCs w:val="24"/>
          <w:lang w:val="es-ES_tradnl"/>
        </w:rPr>
        <w:t xml:space="preserve">Considerando el cumplimiento a las condiciones de la matriz de política de la primera </w:t>
      </w:r>
      <w:r w:rsidR="009869E4">
        <w:rPr>
          <w:rFonts w:ascii="Times New Roman" w:hAnsi="Times New Roman"/>
          <w:color w:val="000000"/>
          <w:sz w:val="24"/>
          <w:szCs w:val="24"/>
          <w:lang w:val="es-ES_tradnl"/>
        </w:rPr>
        <w:t xml:space="preserve">y segunda </w:t>
      </w:r>
      <w:r>
        <w:rPr>
          <w:rFonts w:ascii="Times New Roman" w:hAnsi="Times New Roman"/>
          <w:color w:val="000000"/>
          <w:sz w:val="24"/>
          <w:szCs w:val="24"/>
          <w:lang w:val="es-ES_tradnl"/>
        </w:rPr>
        <w:t xml:space="preserve">etapa del apoyo programático a la Agenda de Reformas Estructurales del Sector Eléctrico, a continuación se reportan las acciones que se han tomado por parte del </w:t>
      </w:r>
      <w:r w:rsidRPr="003E789B">
        <w:rPr>
          <w:rFonts w:ascii="Times New Roman" w:hAnsi="Times New Roman"/>
          <w:color w:val="000000"/>
          <w:sz w:val="24"/>
          <w:szCs w:val="24"/>
          <w:lang w:val="es-ES_tradnl"/>
        </w:rPr>
        <w:t xml:space="preserve">Gobierno de Honduras (GdH) </w:t>
      </w:r>
      <w:r w:rsidR="0019582B">
        <w:rPr>
          <w:rFonts w:ascii="Times New Roman" w:hAnsi="Times New Roman"/>
          <w:color w:val="000000"/>
          <w:sz w:val="24"/>
          <w:szCs w:val="24"/>
          <w:lang w:val="es-ES_tradnl"/>
        </w:rPr>
        <w:t>y</w:t>
      </w:r>
      <w:r w:rsidR="009D3D82" w:rsidRPr="003E789B">
        <w:rPr>
          <w:rFonts w:ascii="Times New Roman" w:hAnsi="Times New Roman"/>
          <w:color w:val="000000"/>
          <w:sz w:val="24"/>
          <w:szCs w:val="24"/>
          <w:lang w:val="es-ES_tradnl"/>
        </w:rPr>
        <w:t xml:space="preserve"> </w:t>
      </w:r>
      <w:r w:rsidR="001106A4">
        <w:rPr>
          <w:rFonts w:ascii="Times New Roman" w:hAnsi="Times New Roman"/>
          <w:color w:val="000000"/>
          <w:sz w:val="24"/>
          <w:szCs w:val="24"/>
          <w:lang w:val="es-ES_tradnl"/>
        </w:rPr>
        <w:t>que se describen a continuación.</w:t>
      </w:r>
    </w:p>
    <w:p w14:paraId="395A4AA1" w14:textId="32ADBE1B" w:rsidR="001106A4" w:rsidRDefault="001106A4" w:rsidP="008E4FE8">
      <w:pPr>
        <w:tabs>
          <w:tab w:val="left" w:pos="540"/>
        </w:tabs>
        <w:spacing w:after="120" w:line="240" w:lineRule="auto"/>
        <w:contextualSpacing/>
        <w:jc w:val="both"/>
        <w:rPr>
          <w:rFonts w:ascii="Times New Roman" w:hAnsi="Times New Roman"/>
          <w:color w:val="000000"/>
          <w:sz w:val="24"/>
          <w:szCs w:val="24"/>
          <w:lang w:val="es-ES_tradnl"/>
        </w:rPr>
      </w:pPr>
    </w:p>
    <w:p w14:paraId="4E62DACA" w14:textId="25C70890" w:rsidR="001106A4" w:rsidRDefault="001106A4" w:rsidP="004D5202">
      <w:pPr>
        <w:spacing w:after="120" w:line="240" w:lineRule="auto"/>
        <w:jc w:val="both"/>
        <w:rPr>
          <w:rFonts w:ascii="Times New Roman" w:hAnsi="Times New Roman"/>
          <w:color w:val="000000"/>
          <w:sz w:val="24"/>
          <w:szCs w:val="24"/>
          <w:lang w:val="es-ES_tradnl"/>
        </w:rPr>
      </w:pPr>
      <w:r>
        <w:rPr>
          <w:rFonts w:ascii="Times New Roman" w:hAnsi="Times New Roman"/>
          <w:color w:val="000000"/>
          <w:sz w:val="24"/>
          <w:szCs w:val="24"/>
          <w:lang w:val="es-ES_tradnl"/>
        </w:rPr>
        <w:t>Es importante resaltar que d</w:t>
      </w:r>
      <w:r w:rsidRPr="001106A4">
        <w:rPr>
          <w:rFonts w:ascii="Times New Roman" w:hAnsi="Times New Roman"/>
          <w:color w:val="000000"/>
          <w:sz w:val="24"/>
          <w:szCs w:val="24"/>
          <w:lang w:val="es-ES_tradnl"/>
        </w:rPr>
        <w:t xml:space="preserve">ebido </w:t>
      </w:r>
      <w:r>
        <w:rPr>
          <w:rFonts w:ascii="Times New Roman" w:hAnsi="Times New Roman"/>
          <w:color w:val="000000"/>
          <w:sz w:val="24"/>
          <w:szCs w:val="24"/>
          <w:lang w:val="es-ES_tradnl"/>
        </w:rPr>
        <w:t>a la i</w:t>
      </w:r>
      <w:r w:rsidRPr="001106A4">
        <w:rPr>
          <w:rFonts w:ascii="Times New Roman" w:hAnsi="Times New Roman"/>
          <w:color w:val="000000"/>
          <w:sz w:val="24"/>
          <w:szCs w:val="24"/>
          <w:lang w:val="es-ES_tradnl"/>
        </w:rPr>
        <w:t xml:space="preserve">mportancia del sector eléctrico </w:t>
      </w:r>
      <w:r>
        <w:rPr>
          <w:rFonts w:ascii="Times New Roman" w:hAnsi="Times New Roman"/>
          <w:color w:val="000000"/>
          <w:sz w:val="24"/>
          <w:szCs w:val="24"/>
          <w:lang w:val="es-ES_tradnl"/>
        </w:rPr>
        <w:t xml:space="preserve">en el país </w:t>
      </w:r>
      <w:r w:rsidRPr="001106A4">
        <w:rPr>
          <w:rFonts w:ascii="Times New Roman" w:hAnsi="Times New Roman"/>
          <w:color w:val="000000"/>
          <w:sz w:val="24"/>
          <w:szCs w:val="24"/>
          <w:lang w:val="es-ES_tradnl"/>
        </w:rPr>
        <w:t xml:space="preserve">a partir de </w:t>
      </w:r>
      <w:r w:rsidR="002E2441">
        <w:rPr>
          <w:rFonts w:ascii="Times New Roman" w:hAnsi="Times New Roman"/>
          <w:color w:val="000000"/>
          <w:sz w:val="24"/>
          <w:szCs w:val="24"/>
          <w:lang w:val="es-ES_tradnl"/>
        </w:rPr>
        <w:t>o</w:t>
      </w:r>
      <w:r w:rsidRPr="001106A4">
        <w:rPr>
          <w:rFonts w:ascii="Times New Roman" w:hAnsi="Times New Roman"/>
          <w:color w:val="000000"/>
          <w:sz w:val="24"/>
          <w:szCs w:val="24"/>
          <w:lang w:val="es-ES_tradnl"/>
        </w:rPr>
        <w:t>ctubre 2016 la Secretaría de Coordinación General de Gobierno SCGG lleva adelante un proceso de monitoreo a los avances del proc</w:t>
      </w:r>
      <w:r>
        <w:rPr>
          <w:rFonts w:ascii="Times New Roman" w:hAnsi="Times New Roman"/>
          <w:color w:val="000000"/>
          <w:sz w:val="24"/>
          <w:szCs w:val="24"/>
          <w:lang w:val="es-ES_tradnl"/>
        </w:rPr>
        <w:t>eso de refo</w:t>
      </w:r>
      <w:r w:rsidRPr="001106A4">
        <w:rPr>
          <w:rFonts w:ascii="Times New Roman" w:hAnsi="Times New Roman"/>
          <w:color w:val="000000"/>
          <w:sz w:val="24"/>
          <w:szCs w:val="24"/>
          <w:lang w:val="es-ES_tradnl"/>
        </w:rPr>
        <w:t>rma y a partir de</w:t>
      </w:r>
      <w:r>
        <w:rPr>
          <w:rFonts w:ascii="Times New Roman" w:hAnsi="Times New Roman"/>
          <w:color w:val="000000"/>
          <w:sz w:val="24"/>
          <w:szCs w:val="24"/>
          <w:lang w:val="es-ES_tradnl"/>
        </w:rPr>
        <w:t xml:space="preserve">l 20 marzo se constituyó una Secretaria técnica para dar seguimiento </w:t>
      </w:r>
      <w:r w:rsidR="004D5202">
        <w:rPr>
          <w:rFonts w:ascii="Times New Roman" w:hAnsi="Times New Roman"/>
          <w:color w:val="000000"/>
          <w:sz w:val="24"/>
          <w:szCs w:val="24"/>
          <w:lang w:val="es-ES_tradnl"/>
        </w:rPr>
        <w:t>a las principales actividades definidas por el gobierno.</w:t>
      </w:r>
    </w:p>
    <w:p w14:paraId="33213A60" w14:textId="77777777" w:rsidR="00B20927" w:rsidRDefault="00B20927" w:rsidP="008E4FE8">
      <w:pPr>
        <w:tabs>
          <w:tab w:val="left" w:pos="540"/>
        </w:tabs>
        <w:spacing w:after="120" w:line="240" w:lineRule="auto"/>
        <w:contextualSpacing/>
        <w:jc w:val="both"/>
        <w:rPr>
          <w:rFonts w:ascii="Times New Roman" w:hAnsi="Times New Roman"/>
          <w:color w:val="000000"/>
          <w:sz w:val="24"/>
          <w:szCs w:val="24"/>
          <w:lang w:val="es-ES_tradnl"/>
        </w:rPr>
      </w:pPr>
    </w:p>
    <w:p w14:paraId="33213A61" w14:textId="77777777" w:rsidR="00F918E0" w:rsidRDefault="00F918E0" w:rsidP="008E4FE8">
      <w:pPr>
        <w:pStyle w:val="ListParagraph"/>
        <w:numPr>
          <w:ilvl w:val="0"/>
          <w:numId w:val="11"/>
        </w:numPr>
        <w:spacing w:after="120" w:line="240" w:lineRule="auto"/>
        <w:contextualSpacing w:val="0"/>
        <w:jc w:val="both"/>
        <w:rPr>
          <w:rFonts w:ascii="Times New Roman" w:hAnsi="Times New Roman"/>
          <w:b/>
          <w:color w:val="000000"/>
          <w:sz w:val="24"/>
          <w:szCs w:val="24"/>
          <w:lang w:val="es-ES_tradnl"/>
        </w:rPr>
      </w:pPr>
      <w:r>
        <w:rPr>
          <w:rFonts w:ascii="Times New Roman" w:hAnsi="Times New Roman"/>
          <w:b/>
          <w:color w:val="000000"/>
          <w:sz w:val="24"/>
          <w:szCs w:val="24"/>
          <w:lang w:val="es-ES_tradnl"/>
        </w:rPr>
        <w:t xml:space="preserve">Implementación de un </w:t>
      </w:r>
      <w:r w:rsidRPr="00F918E0">
        <w:rPr>
          <w:rFonts w:ascii="Times New Roman" w:hAnsi="Times New Roman"/>
          <w:b/>
          <w:color w:val="000000"/>
          <w:sz w:val="24"/>
          <w:szCs w:val="24"/>
          <w:lang w:val="es-ES_tradnl"/>
        </w:rPr>
        <w:t xml:space="preserve">Marco Legal, Regulatorio </w:t>
      </w:r>
      <w:r>
        <w:rPr>
          <w:rFonts w:ascii="Times New Roman" w:hAnsi="Times New Roman"/>
          <w:b/>
          <w:color w:val="000000"/>
          <w:sz w:val="24"/>
          <w:szCs w:val="24"/>
          <w:lang w:val="es-ES_tradnl"/>
        </w:rPr>
        <w:t>e</w:t>
      </w:r>
      <w:r w:rsidRPr="00F918E0">
        <w:rPr>
          <w:rFonts w:ascii="Times New Roman" w:hAnsi="Times New Roman"/>
          <w:b/>
          <w:color w:val="000000"/>
          <w:sz w:val="24"/>
          <w:szCs w:val="24"/>
          <w:lang w:val="es-ES_tradnl"/>
        </w:rPr>
        <w:t xml:space="preserve"> Institucional Adecuado Para El Sector Eléctrico</w:t>
      </w:r>
    </w:p>
    <w:p w14:paraId="7E0B4934" w14:textId="257581C5" w:rsidR="00D22F1E" w:rsidRDefault="004D5202" w:rsidP="00F918E0">
      <w:pPr>
        <w:pStyle w:val="ListParagraph"/>
        <w:spacing w:after="120" w:line="240" w:lineRule="auto"/>
        <w:ind w:left="360"/>
        <w:contextualSpacing w:val="0"/>
        <w:jc w:val="both"/>
        <w:rPr>
          <w:rFonts w:ascii="Times New Roman" w:hAnsi="Times New Roman"/>
          <w:color w:val="000000"/>
          <w:sz w:val="24"/>
          <w:szCs w:val="24"/>
          <w:lang w:val="es-ES_tradnl"/>
        </w:rPr>
      </w:pPr>
      <w:r>
        <w:rPr>
          <w:rFonts w:ascii="Times New Roman" w:hAnsi="Times New Roman"/>
          <w:color w:val="000000"/>
          <w:sz w:val="24"/>
          <w:szCs w:val="24"/>
          <w:lang w:val="es-ES_tradnl"/>
        </w:rPr>
        <w:t>A partir de la creación de la LGIE se han producido avances en la conformac</w:t>
      </w:r>
      <w:r w:rsidR="00F7154F">
        <w:rPr>
          <w:rFonts w:ascii="Times New Roman" w:hAnsi="Times New Roman"/>
          <w:color w:val="000000"/>
          <w:sz w:val="24"/>
          <w:szCs w:val="24"/>
          <w:lang w:val="es-ES_tradnl"/>
        </w:rPr>
        <w:t xml:space="preserve">ión de la Comisión reguladora de energía eléctrica – CREE, que ha emitido el Reglamento general de la </w:t>
      </w:r>
      <w:r w:rsidR="00FC51D5" w:rsidRPr="00FC51D5">
        <w:rPr>
          <w:rFonts w:ascii="Times New Roman" w:hAnsi="Times New Roman"/>
          <w:color w:val="000000"/>
          <w:sz w:val="24"/>
          <w:szCs w:val="24"/>
          <w:lang w:val="es-ES_tradnl"/>
        </w:rPr>
        <w:t>LGIE</w:t>
      </w:r>
      <w:r w:rsidR="003D0945">
        <w:rPr>
          <w:rFonts w:ascii="Times New Roman" w:hAnsi="Times New Roman"/>
          <w:color w:val="000000"/>
          <w:sz w:val="24"/>
          <w:szCs w:val="24"/>
          <w:lang w:val="es-ES_tradnl"/>
        </w:rPr>
        <w:t>, de operación y administración del mercado eléctrico, de compra de capacidad firme y energía</w:t>
      </w:r>
      <w:r w:rsidR="00935CDE">
        <w:rPr>
          <w:rFonts w:ascii="Times New Roman" w:hAnsi="Times New Roman"/>
          <w:color w:val="000000"/>
          <w:sz w:val="24"/>
          <w:szCs w:val="24"/>
          <w:lang w:val="es-ES_tradnl"/>
        </w:rPr>
        <w:t xml:space="preserve"> </w:t>
      </w:r>
      <w:r w:rsidR="00D22F1E">
        <w:rPr>
          <w:rFonts w:ascii="Times New Roman" w:hAnsi="Times New Roman"/>
          <w:color w:val="000000"/>
          <w:sz w:val="24"/>
          <w:szCs w:val="24"/>
          <w:lang w:val="es-ES_tradnl"/>
        </w:rPr>
        <w:t>y finalmente el reglamento de tarifas eléctricas. La CREE se encuentra en proce</w:t>
      </w:r>
      <w:r w:rsidR="0014461E">
        <w:rPr>
          <w:rFonts w:ascii="Times New Roman" w:hAnsi="Times New Roman"/>
          <w:color w:val="000000"/>
          <w:sz w:val="24"/>
          <w:szCs w:val="24"/>
          <w:lang w:val="es-ES_tradnl"/>
        </w:rPr>
        <w:t>so de contratación de personal. Se han privado retrasos en la contratación de personal producto de los retrasos en la asignación de presupuesto pero también en la gobernanza de la institución producto de que las decisiones de la institución se toman por consenso de parte del cuerpo colegiado de la CREE.</w:t>
      </w:r>
    </w:p>
    <w:p w14:paraId="70C79396" w14:textId="1419031D" w:rsidR="00D22F1E" w:rsidRPr="0014461E" w:rsidRDefault="00D22F1E" w:rsidP="0014461E">
      <w:pPr>
        <w:pStyle w:val="ListParagraph"/>
        <w:spacing w:after="120" w:line="240" w:lineRule="auto"/>
        <w:ind w:left="360"/>
        <w:contextualSpacing w:val="0"/>
        <w:jc w:val="both"/>
        <w:rPr>
          <w:rFonts w:ascii="Times New Roman" w:hAnsi="Times New Roman"/>
          <w:color w:val="000000"/>
          <w:sz w:val="24"/>
          <w:szCs w:val="24"/>
          <w:lang w:val="es-ES_tradnl"/>
        </w:rPr>
      </w:pPr>
      <w:r>
        <w:rPr>
          <w:rFonts w:ascii="Times New Roman" w:hAnsi="Times New Roman"/>
          <w:color w:val="000000"/>
          <w:sz w:val="24"/>
          <w:szCs w:val="24"/>
          <w:lang w:val="es-ES_tradnl"/>
        </w:rPr>
        <w:t xml:space="preserve">Con relación al Operador del </w:t>
      </w:r>
      <w:r w:rsidR="0014461E">
        <w:rPr>
          <w:rFonts w:ascii="Times New Roman" w:hAnsi="Times New Roman"/>
          <w:color w:val="000000"/>
          <w:sz w:val="24"/>
          <w:szCs w:val="24"/>
          <w:lang w:val="es-ES_tradnl"/>
        </w:rPr>
        <w:t>S</w:t>
      </w:r>
      <w:r>
        <w:rPr>
          <w:rFonts w:ascii="Times New Roman" w:hAnsi="Times New Roman"/>
          <w:color w:val="000000"/>
          <w:sz w:val="24"/>
          <w:szCs w:val="24"/>
          <w:lang w:val="es-ES_tradnl"/>
        </w:rPr>
        <w:t xml:space="preserve">istema </w:t>
      </w:r>
      <w:r w:rsidR="0014461E">
        <w:rPr>
          <w:rFonts w:ascii="Times New Roman" w:hAnsi="Times New Roman"/>
          <w:color w:val="000000"/>
          <w:sz w:val="24"/>
          <w:szCs w:val="24"/>
          <w:lang w:val="es-ES_tradnl"/>
        </w:rPr>
        <w:t xml:space="preserve">en Noviembre 2016 se reconoce la figura Jurídica del Operador del Sistema Eléctrico Nacional por parte de la Secretaria de Derechos Humanos, Justicia, Gobernación yd descentralización y la Unidad de registro y seguimiento de asociaciones civiles URSAC extiende la constancia de la inscripción de la Junta Directiva del ODS. </w:t>
      </w:r>
      <w:r w:rsidR="000E05CC" w:rsidRPr="0014461E">
        <w:rPr>
          <w:rFonts w:ascii="Times New Roman" w:hAnsi="Times New Roman"/>
          <w:color w:val="000000"/>
          <w:sz w:val="24"/>
          <w:szCs w:val="24"/>
          <w:lang w:val="es-ES_tradnl"/>
        </w:rPr>
        <w:t xml:space="preserve">La CREE aprobó el presupuesto anual del Operador del sistema. Actualmente </w:t>
      </w:r>
      <w:r w:rsidRPr="0014461E">
        <w:rPr>
          <w:rFonts w:ascii="Times New Roman" w:hAnsi="Times New Roman"/>
          <w:color w:val="000000"/>
          <w:sz w:val="24"/>
          <w:szCs w:val="24"/>
          <w:lang w:val="es-ES_tradnl"/>
        </w:rPr>
        <w:t xml:space="preserve">se encuentra en proceso de selección de </w:t>
      </w:r>
      <w:r w:rsidRPr="0014461E">
        <w:rPr>
          <w:rFonts w:ascii="Times New Roman" w:hAnsi="Times New Roman"/>
          <w:color w:val="000000"/>
          <w:sz w:val="24"/>
          <w:szCs w:val="24"/>
          <w:lang w:val="es-ES_tradnl"/>
        </w:rPr>
        <w:lastRenderedPageBreak/>
        <w:t>su persona</w:t>
      </w:r>
      <w:r w:rsidR="000E05CC" w:rsidRPr="0014461E">
        <w:rPr>
          <w:rFonts w:ascii="Times New Roman" w:hAnsi="Times New Roman"/>
          <w:color w:val="000000"/>
          <w:sz w:val="24"/>
          <w:szCs w:val="24"/>
          <w:lang w:val="es-ES_tradnl"/>
        </w:rPr>
        <w:t>l directivo. P</w:t>
      </w:r>
      <w:r w:rsidRPr="0014461E">
        <w:rPr>
          <w:rFonts w:ascii="Times New Roman" w:hAnsi="Times New Roman"/>
          <w:color w:val="000000"/>
          <w:sz w:val="24"/>
          <w:szCs w:val="24"/>
          <w:lang w:val="es-ES_tradnl"/>
        </w:rPr>
        <w:t>ara el desarrollo de sus actividades comerciales rentará los servicios del Centro nacional de despacho de la ENEE.</w:t>
      </w:r>
    </w:p>
    <w:p w14:paraId="181B1833" w14:textId="77777777" w:rsidR="000E05CC" w:rsidRDefault="000E05CC" w:rsidP="00F918E0">
      <w:pPr>
        <w:pStyle w:val="ListParagraph"/>
        <w:spacing w:after="120" w:line="240" w:lineRule="auto"/>
        <w:ind w:left="360"/>
        <w:contextualSpacing w:val="0"/>
        <w:jc w:val="both"/>
        <w:rPr>
          <w:rFonts w:ascii="Times New Roman" w:hAnsi="Times New Roman"/>
          <w:color w:val="000000"/>
          <w:sz w:val="24"/>
          <w:szCs w:val="24"/>
          <w:lang w:val="es-ES_tradnl"/>
        </w:rPr>
      </w:pPr>
    </w:p>
    <w:p w14:paraId="33213A63" w14:textId="77777777" w:rsidR="00FC51D5" w:rsidRPr="00372496" w:rsidRDefault="00372496" w:rsidP="00372496">
      <w:pPr>
        <w:pStyle w:val="ListParagraph"/>
        <w:numPr>
          <w:ilvl w:val="0"/>
          <w:numId w:val="11"/>
        </w:numPr>
        <w:spacing w:after="120" w:line="240" w:lineRule="auto"/>
        <w:contextualSpacing w:val="0"/>
        <w:jc w:val="both"/>
        <w:rPr>
          <w:rFonts w:ascii="Times New Roman" w:hAnsi="Times New Roman"/>
          <w:b/>
          <w:color w:val="000000"/>
          <w:sz w:val="24"/>
          <w:szCs w:val="24"/>
          <w:lang w:val="es-ES_tradnl"/>
        </w:rPr>
      </w:pPr>
      <w:r>
        <w:rPr>
          <w:rFonts w:ascii="Times New Roman" w:hAnsi="Times New Roman"/>
          <w:b/>
          <w:color w:val="000000"/>
          <w:sz w:val="24"/>
          <w:szCs w:val="24"/>
          <w:lang w:val="es-ES_tradnl"/>
        </w:rPr>
        <w:t>Mejora en la Sostenibilidad Financiera y Eficiencia Operativa d</w:t>
      </w:r>
      <w:r w:rsidRPr="00372496">
        <w:rPr>
          <w:rFonts w:ascii="Times New Roman" w:hAnsi="Times New Roman"/>
          <w:b/>
          <w:color w:val="000000"/>
          <w:sz w:val="24"/>
          <w:szCs w:val="24"/>
          <w:lang w:val="es-ES_tradnl"/>
        </w:rPr>
        <w:t>el Sector Eléctrico</w:t>
      </w:r>
    </w:p>
    <w:p w14:paraId="33213A64" w14:textId="50992E28" w:rsidR="00FC51D5" w:rsidRDefault="00372496" w:rsidP="00F918E0">
      <w:pPr>
        <w:pStyle w:val="ListParagraph"/>
        <w:spacing w:after="120" w:line="240" w:lineRule="auto"/>
        <w:ind w:left="360"/>
        <w:contextualSpacing w:val="0"/>
        <w:jc w:val="both"/>
        <w:rPr>
          <w:rFonts w:ascii="Times New Roman" w:hAnsi="Times New Roman"/>
          <w:color w:val="000000"/>
          <w:sz w:val="24"/>
          <w:szCs w:val="24"/>
          <w:lang w:val="es-ES_tradnl"/>
        </w:rPr>
      </w:pPr>
      <w:r>
        <w:rPr>
          <w:rFonts w:ascii="Times New Roman" w:hAnsi="Times New Roman"/>
          <w:color w:val="000000"/>
          <w:sz w:val="24"/>
          <w:szCs w:val="24"/>
          <w:lang w:val="es-ES_tradnl"/>
        </w:rPr>
        <w:t>En esta sección se han realizado importantes avances considerando las decisiones tomadas por parte del GdH para mejorar la situación financiera de la ENEE.</w:t>
      </w:r>
      <w:r w:rsidR="009869E4">
        <w:rPr>
          <w:rFonts w:ascii="Times New Roman" w:hAnsi="Times New Roman"/>
          <w:color w:val="000000"/>
          <w:sz w:val="24"/>
          <w:szCs w:val="24"/>
          <w:lang w:val="es-ES_tradnl"/>
        </w:rPr>
        <w:t xml:space="preserve"> La siguientes graficas ejemplifican los avances en la recuperación financiera de la Empresa</w:t>
      </w:r>
      <w:r w:rsidR="000E05CC">
        <w:rPr>
          <w:rFonts w:ascii="Times New Roman" w:hAnsi="Times New Roman"/>
          <w:color w:val="000000"/>
          <w:sz w:val="24"/>
          <w:szCs w:val="24"/>
          <w:lang w:val="es-ES_tradnl"/>
        </w:rPr>
        <w:t>.</w:t>
      </w:r>
    </w:p>
    <w:p w14:paraId="1F8C8FDF" w14:textId="77777777" w:rsidR="000E05CC" w:rsidRDefault="000E05CC" w:rsidP="00F918E0">
      <w:pPr>
        <w:pStyle w:val="ListParagraph"/>
        <w:spacing w:after="120" w:line="240" w:lineRule="auto"/>
        <w:ind w:left="360"/>
        <w:contextualSpacing w:val="0"/>
        <w:jc w:val="both"/>
        <w:rPr>
          <w:rFonts w:ascii="Times New Roman" w:hAnsi="Times New Roman"/>
          <w:color w:val="000000"/>
          <w:sz w:val="24"/>
          <w:szCs w:val="24"/>
          <w:lang w:val="es-ES_tradnl"/>
        </w:rPr>
      </w:pPr>
    </w:p>
    <w:tbl>
      <w:tblPr>
        <w:tblStyle w:val="TableGrid"/>
        <w:tblW w:w="0" w:type="auto"/>
        <w:tblInd w:w="360" w:type="dxa"/>
        <w:tblLook w:val="04A0" w:firstRow="1" w:lastRow="0" w:firstColumn="1" w:lastColumn="0" w:noHBand="0" w:noVBand="1"/>
      </w:tblPr>
      <w:tblGrid>
        <w:gridCol w:w="4717"/>
        <w:gridCol w:w="5075"/>
      </w:tblGrid>
      <w:tr w:rsidR="000E05CC" w:rsidRPr="000E05CC" w14:paraId="17E9CC17" w14:textId="77777777" w:rsidTr="000E05CC">
        <w:tc>
          <w:tcPr>
            <w:tcW w:w="5076" w:type="dxa"/>
          </w:tcPr>
          <w:p w14:paraId="2CAFCF56" w14:textId="5FF6E540" w:rsidR="000E05CC" w:rsidRPr="000E05CC" w:rsidRDefault="000E05CC" w:rsidP="000E05CC">
            <w:pPr>
              <w:pStyle w:val="ListParagraph"/>
              <w:spacing w:after="120"/>
              <w:ind w:left="0"/>
              <w:contextualSpacing w:val="0"/>
              <w:jc w:val="center"/>
              <w:rPr>
                <w:rFonts w:ascii="Times New Roman" w:hAnsi="Times New Roman"/>
                <w:b/>
                <w:color w:val="000000"/>
                <w:sz w:val="24"/>
                <w:szCs w:val="24"/>
                <w:lang w:val="es-ES_tradnl"/>
              </w:rPr>
            </w:pPr>
            <w:r w:rsidRPr="000E05CC">
              <w:rPr>
                <w:rFonts w:ascii="Times New Roman" w:hAnsi="Times New Roman"/>
                <w:b/>
                <w:color w:val="000000"/>
                <w:sz w:val="24"/>
                <w:szCs w:val="24"/>
                <w:lang w:val="es-ES_tradnl"/>
              </w:rPr>
              <w:t>Déficit de ENEE función del PIB</w:t>
            </w:r>
          </w:p>
        </w:tc>
        <w:tc>
          <w:tcPr>
            <w:tcW w:w="5076" w:type="dxa"/>
          </w:tcPr>
          <w:p w14:paraId="6FB1ED4E" w14:textId="668BFBCB" w:rsidR="000E05CC" w:rsidRPr="000E05CC" w:rsidRDefault="000E05CC" w:rsidP="000E05CC">
            <w:pPr>
              <w:pStyle w:val="ListParagraph"/>
              <w:spacing w:after="120"/>
              <w:ind w:left="0"/>
              <w:contextualSpacing w:val="0"/>
              <w:jc w:val="center"/>
              <w:rPr>
                <w:rFonts w:ascii="Times New Roman" w:hAnsi="Times New Roman"/>
                <w:b/>
                <w:color w:val="000000"/>
                <w:sz w:val="24"/>
                <w:szCs w:val="24"/>
                <w:lang w:val="es-ES_tradnl"/>
              </w:rPr>
            </w:pPr>
            <w:r w:rsidRPr="000E05CC">
              <w:rPr>
                <w:rFonts w:ascii="Times New Roman" w:hAnsi="Times New Roman"/>
                <w:b/>
                <w:color w:val="000000"/>
                <w:sz w:val="24"/>
                <w:szCs w:val="24"/>
                <w:lang w:val="es-ES_tradnl"/>
              </w:rPr>
              <w:t>Ingresos Operativos vs. Gasto Corriente</w:t>
            </w:r>
          </w:p>
        </w:tc>
      </w:tr>
      <w:tr w:rsidR="000E05CC" w14:paraId="66590C14" w14:textId="77777777" w:rsidTr="000E05CC">
        <w:tc>
          <w:tcPr>
            <w:tcW w:w="5076" w:type="dxa"/>
          </w:tcPr>
          <w:p w14:paraId="7F47407B" w14:textId="5B319A6B" w:rsidR="000E05CC" w:rsidRDefault="000E05CC" w:rsidP="00F918E0">
            <w:pPr>
              <w:pStyle w:val="ListParagraph"/>
              <w:spacing w:after="120"/>
              <w:ind w:left="0"/>
              <w:contextualSpacing w:val="0"/>
              <w:jc w:val="both"/>
              <w:rPr>
                <w:rFonts w:ascii="Times New Roman" w:hAnsi="Times New Roman"/>
                <w:color w:val="000000"/>
                <w:sz w:val="24"/>
                <w:szCs w:val="24"/>
                <w:lang w:val="es-ES_tradnl"/>
              </w:rPr>
            </w:pPr>
            <w:bookmarkStart w:id="0" w:name="_GoBack"/>
            <w:r w:rsidRPr="000E05CC">
              <w:rPr>
                <w:rFonts w:ascii="Times New Roman" w:hAnsi="Times New Roman"/>
                <w:noProof/>
                <w:color w:val="000000"/>
                <w:sz w:val="24"/>
                <w:szCs w:val="24"/>
              </w:rPr>
              <w:drawing>
                <wp:inline distT="0" distB="0" distL="0" distR="0" wp14:anchorId="18FDE4AC" wp14:editId="3C2A97E7">
                  <wp:extent cx="2865120" cy="1764030"/>
                  <wp:effectExtent l="0" t="0" r="11430" b="7620"/>
                  <wp:docPr id="1" name="Chart 1">
                    <a:extLst xmlns:a="http://schemas.openxmlformats.org/drawingml/2006/main">
                      <a:ext uri="{FF2B5EF4-FFF2-40B4-BE49-F238E27FC236}">
                        <a16:creationId xmlns:a16="http://schemas.microsoft.com/office/drawing/2014/main" id="{0E1021FE-2A77-45B1-A303-B1425D2AE1E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End w:id="0"/>
          </w:p>
        </w:tc>
        <w:tc>
          <w:tcPr>
            <w:tcW w:w="5076" w:type="dxa"/>
          </w:tcPr>
          <w:p w14:paraId="6B819C60" w14:textId="716A0D3C" w:rsidR="000E05CC" w:rsidRDefault="000E05CC" w:rsidP="00F918E0">
            <w:pPr>
              <w:pStyle w:val="ListParagraph"/>
              <w:spacing w:after="120"/>
              <w:ind w:left="0"/>
              <w:contextualSpacing w:val="0"/>
              <w:jc w:val="both"/>
              <w:rPr>
                <w:rFonts w:ascii="Times New Roman" w:hAnsi="Times New Roman"/>
                <w:color w:val="000000"/>
                <w:sz w:val="24"/>
                <w:szCs w:val="24"/>
                <w:lang w:val="es-ES_tradnl"/>
              </w:rPr>
            </w:pPr>
            <w:r w:rsidRPr="000E05CC">
              <w:rPr>
                <w:rFonts w:ascii="Times New Roman" w:hAnsi="Times New Roman"/>
                <w:noProof/>
                <w:color w:val="000000"/>
                <w:sz w:val="24"/>
                <w:szCs w:val="24"/>
              </w:rPr>
              <w:drawing>
                <wp:inline distT="0" distB="0" distL="0" distR="0" wp14:anchorId="0C8AA04D" wp14:editId="700E0A73">
                  <wp:extent cx="3098165" cy="1717040"/>
                  <wp:effectExtent l="0" t="0" r="6985" b="16510"/>
                  <wp:docPr id="2" name="Chart 2">
                    <a:extLst xmlns:a="http://schemas.openxmlformats.org/drawingml/2006/main">
                      <a:ext uri="{FF2B5EF4-FFF2-40B4-BE49-F238E27FC236}">
                        <a16:creationId xmlns:a16="http://schemas.microsoft.com/office/drawing/2014/main" id="{7F66B2A8-74B6-40D5-ABA9-5CC9930736B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2FC2432C" w14:textId="77777777" w:rsidR="000E05CC" w:rsidRDefault="000E05CC" w:rsidP="00F918E0">
      <w:pPr>
        <w:pStyle w:val="ListParagraph"/>
        <w:spacing w:after="120" w:line="240" w:lineRule="auto"/>
        <w:ind w:left="360"/>
        <w:contextualSpacing w:val="0"/>
        <w:jc w:val="both"/>
        <w:rPr>
          <w:rFonts w:ascii="Times New Roman" w:hAnsi="Times New Roman"/>
          <w:color w:val="000000"/>
          <w:sz w:val="24"/>
          <w:szCs w:val="24"/>
          <w:lang w:val="es-ES_tradnl"/>
        </w:rPr>
      </w:pPr>
    </w:p>
    <w:p w14:paraId="33213A66" w14:textId="1EC25BFF" w:rsidR="00F50D5F" w:rsidRDefault="005C4BF2" w:rsidP="00F41FD5">
      <w:pPr>
        <w:pStyle w:val="ListParagraph"/>
        <w:spacing w:after="120" w:line="240" w:lineRule="auto"/>
        <w:ind w:left="1080"/>
        <w:contextualSpacing w:val="0"/>
        <w:jc w:val="both"/>
        <w:rPr>
          <w:rFonts w:ascii="Times New Roman" w:hAnsi="Times New Roman"/>
          <w:color w:val="000000"/>
          <w:sz w:val="24"/>
          <w:szCs w:val="24"/>
          <w:lang w:val="es-ES_tradnl"/>
        </w:rPr>
      </w:pPr>
      <w:r>
        <w:rPr>
          <w:rFonts w:ascii="Times New Roman" w:hAnsi="Times New Roman"/>
          <w:color w:val="000000"/>
          <w:sz w:val="24"/>
          <w:szCs w:val="24"/>
          <w:lang w:val="es-ES_tradnl"/>
        </w:rPr>
        <w:t>Entre las diferentes acciones tomadas constan:</w:t>
      </w:r>
    </w:p>
    <w:p w14:paraId="680CA4F5" w14:textId="696308F8" w:rsidR="009869E4" w:rsidRDefault="009869E4" w:rsidP="009869E4">
      <w:pPr>
        <w:pStyle w:val="ListParagraph"/>
        <w:numPr>
          <w:ilvl w:val="1"/>
          <w:numId w:val="11"/>
        </w:numPr>
        <w:tabs>
          <w:tab w:val="left" w:pos="1890"/>
        </w:tabs>
        <w:spacing w:after="120" w:line="240" w:lineRule="auto"/>
        <w:ind w:left="1800" w:hanging="540"/>
        <w:contextualSpacing w:val="0"/>
        <w:jc w:val="both"/>
        <w:rPr>
          <w:rFonts w:ascii="Times New Roman" w:hAnsi="Times New Roman"/>
          <w:color w:val="000000"/>
          <w:sz w:val="24"/>
          <w:szCs w:val="24"/>
          <w:lang w:val="es-HN"/>
        </w:rPr>
      </w:pPr>
      <w:r>
        <w:rPr>
          <w:rFonts w:ascii="Times New Roman" w:hAnsi="Times New Roman"/>
          <w:color w:val="000000"/>
          <w:sz w:val="24"/>
          <w:szCs w:val="24"/>
          <w:lang w:val="es-HN"/>
        </w:rPr>
        <w:t xml:space="preserve">Incremento tarifario producto de la </w:t>
      </w:r>
      <w:r w:rsidR="00A55824">
        <w:rPr>
          <w:rFonts w:ascii="Times New Roman" w:hAnsi="Times New Roman"/>
          <w:color w:val="000000"/>
          <w:sz w:val="24"/>
          <w:szCs w:val="24"/>
          <w:lang w:val="es-HN"/>
        </w:rPr>
        <w:t>implementación</w:t>
      </w:r>
      <w:r>
        <w:rPr>
          <w:rFonts w:ascii="Times New Roman" w:hAnsi="Times New Roman"/>
          <w:color w:val="000000"/>
          <w:sz w:val="24"/>
          <w:szCs w:val="24"/>
          <w:lang w:val="es-HN"/>
        </w:rPr>
        <w:t xml:space="preserve"> de un nuevo reglamento</w:t>
      </w:r>
      <w:r w:rsidR="001E2813">
        <w:rPr>
          <w:rFonts w:ascii="Times New Roman" w:hAnsi="Times New Roman"/>
          <w:color w:val="000000"/>
          <w:sz w:val="24"/>
          <w:szCs w:val="24"/>
          <w:lang w:val="es-HN"/>
        </w:rPr>
        <w:t xml:space="preserve"> de tarifas aprobado el 31 de mayo</w:t>
      </w:r>
      <w:r w:rsidR="00730BB2">
        <w:rPr>
          <w:rFonts w:ascii="Times New Roman" w:hAnsi="Times New Roman"/>
          <w:color w:val="000000"/>
          <w:sz w:val="24"/>
          <w:szCs w:val="24"/>
          <w:lang w:val="es-HN"/>
        </w:rPr>
        <w:t xml:space="preserve"> 2016. El</w:t>
      </w:r>
      <w:r w:rsidR="00627FB0">
        <w:rPr>
          <w:rFonts w:ascii="Times New Roman" w:hAnsi="Times New Roman"/>
          <w:color w:val="000000"/>
          <w:sz w:val="24"/>
          <w:szCs w:val="24"/>
          <w:lang w:val="es-HN"/>
        </w:rPr>
        <w:t xml:space="preserve"> último </w:t>
      </w:r>
      <w:r w:rsidR="00730BB2">
        <w:rPr>
          <w:rFonts w:ascii="Times New Roman" w:hAnsi="Times New Roman"/>
          <w:color w:val="000000"/>
          <w:sz w:val="24"/>
          <w:szCs w:val="24"/>
          <w:lang w:val="es-HN"/>
        </w:rPr>
        <w:t xml:space="preserve">ajuste tarifario </w:t>
      </w:r>
      <w:r w:rsidR="00627FB0">
        <w:rPr>
          <w:rFonts w:ascii="Times New Roman" w:hAnsi="Times New Roman"/>
          <w:color w:val="000000"/>
          <w:sz w:val="24"/>
          <w:szCs w:val="24"/>
          <w:lang w:val="es-HN"/>
        </w:rPr>
        <w:t xml:space="preserve">provocó un incremento </w:t>
      </w:r>
      <w:r w:rsidR="00730BB2">
        <w:rPr>
          <w:rFonts w:ascii="Times New Roman" w:hAnsi="Times New Roman"/>
          <w:color w:val="000000"/>
          <w:sz w:val="24"/>
          <w:szCs w:val="24"/>
          <w:lang w:val="es-HN"/>
        </w:rPr>
        <w:t xml:space="preserve">de la planilla </w:t>
      </w:r>
      <w:r w:rsidR="00627FB0">
        <w:rPr>
          <w:rFonts w:ascii="Times New Roman" w:hAnsi="Times New Roman"/>
          <w:color w:val="000000"/>
          <w:sz w:val="24"/>
          <w:szCs w:val="24"/>
          <w:lang w:val="es-HN"/>
        </w:rPr>
        <w:t>entre el 8 al 22% en el sector residencial</w:t>
      </w:r>
      <w:r w:rsidR="00730BB2">
        <w:rPr>
          <w:rFonts w:ascii="Times New Roman" w:hAnsi="Times New Roman"/>
          <w:color w:val="000000"/>
          <w:sz w:val="24"/>
          <w:szCs w:val="24"/>
          <w:lang w:val="es-HN"/>
        </w:rPr>
        <w:t>. Cabe indicar que el primer ajuste tarifario realizado</w:t>
      </w:r>
      <w:r w:rsidR="0014461E">
        <w:rPr>
          <w:rFonts w:ascii="Times New Roman" w:hAnsi="Times New Roman"/>
          <w:color w:val="000000"/>
          <w:sz w:val="24"/>
          <w:szCs w:val="24"/>
          <w:lang w:val="es-HN"/>
        </w:rPr>
        <w:t xml:space="preserve"> </w:t>
      </w:r>
      <w:r w:rsidR="004B7562">
        <w:rPr>
          <w:rFonts w:ascii="Times New Roman" w:hAnsi="Times New Roman"/>
          <w:color w:val="000000"/>
          <w:sz w:val="24"/>
          <w:szCs w:val="24"/>
          <w:lang w:val="es-HN"/>
        </w:rPr>
        <w:t>en d</w:t>
      </w:r>
      <w:r w:rsidR="0014461E">
        <w:rPr>
          <w:rFonts w:ascii="Times New Roman" w:hAnsi="Times New Roman"/>
          <w:color w:val="000000"/>
          <w:sz w:val="24"/>
          <w:szCs w:val="24"/>
          <w:lang w:val="es-HN"/>
        </w:rPr>
        <w:t>iciembre 2014</w:t>
      </w:r>
      <w:r w:rsidR="00730BB2">
        <w:rPr>
          <w:rFonts w:ascii="Times New Roman" w:hAnsi="Times New Roman"/>
          <w:color w:val="000000"/>
          <w:sz w:val="24"/>
          <w:szCs w:val="24"/>
          <w:lang w:val="es-HN"/>
        </w:rPr>
        <w:t xml:space="preserve"> generó un incremento tarifario del 8.5%.</w:t>
      </w:r>
      <w:r w:rsidR="0014461E">
        <w:rPr>
          <w:rFonts w:ascii="Times New Roman" w:hAnsi="Times New Roman"/>
          <w:color w:val="000000"/>
          <w:sz w:val="24"/>
          <w:szCs w:val="24"/>
          <w:lang w:val="es-HN"/>
        </w:rPr>
        <w:t xml:space="preserve"> De esta manera se ha venido provocando correcciones continuas a la tarifa</w:t>
      </w:r>
      <w:r w:rsidR="004B7562">
        <w:rPr>
          <w:rFonts w:ascii="Times New Roman" w:hAnsi="Times New Roman"/>
          <w:color w:val="000000"/>
          <w:sz w:val="24"/>
          <w:szCs w:val="24"/>
          <w:lang w:val="es-HN"/>
        </w:rPr>
        <w:t>. Si bien se han producido ajustes la caída del precio de petróleo que incide directamente el costo promedio de la electricidad ha contribuido a provocar dichos incrementos sin generar un severo impacto en la población;</w:t>
      </w:r>
    </w:p>
    <w:p w14:paraId="397F42CF" w14:textId="58A2EA92" w:rsidR="001E2813" w:rsidRDefault="001E2813" w:rsidP="009869E4">
      <w:pPr>
        <w:pStyle w:val="ListParagraph"/>
        <w:numPr>
          <w:ilvl w:val="1"/>
          <w:numId w:val="11"/>
        </w:numPr>
        <w:tabs>
          <w:tab w:val="left" w:pos="1890"/>
        </w:tabs>
        <w:spacing w:after="120" w:line="240" w:lineRule="auto"/>
        <w:ind w:left="1800" w:hanging="540"/>
        <w:contextualSpacing w:val="0"/>
        <w:jc w:val="both"/>
        <w:rPr>
          <w:rFonts w:ascii="Times New Roman" w:hAnsi="Times New Roman"/>
          <w:color w:val="000000"/>
          <w:sz w:val="24"/>
          <w:szCs w:val="24"/>
          <w:lang w:val="es-HN"/>
        </w:rPr>
      </w:pPr>
      <w:r>
        <w:rPr>
          <w:rFonts w:ascii="Times New Roman" w:hAnsi="Times New Roman"/>
          <w:color w:val="000000"/>
          <w:sz w:val="24"/>
          <w:szCs w:val="24"/>
          <w:lang w:val="es-HN"/>
        </w:rPr>
        <w:t>Eliminación de subsidios cruzados</w:t>
      </w:r>
    </w:p>
    <w:p w14:paraId="7D0DB827" w14:textId="3083D42B" w:rsidR="001E2813" w:rsidRDefault="001E2813" w:rsidP="009869E4">
      <w:pPr>
        <w:pStyle w:val="ListParagraph"/>
        <w:numPr>
          <w:ilvl w:val="1"/>
          <w:numId w:val="11"/>
        </w:numPr>
        <w:tabs>
          <w:tab w:val="left" w:pos="1890"/>
        </w:tabs>
        <w:spacing w:after="120" w:line="240" w:lineRule="auto"/>
        <w:ind w:left="1800" w:hanging="540"/>
        <w:contextualSpacing w:val="0"/>
        <w:jc w:val="both"/>
        <w:rPr>
          <w:rFonts w:ascii="Times New Roman" w:hAnsi="Times New Roman"/>
          <w:color w:val="000000"/>
          <w:sz w:val="24"/>
          <w:szCs w:val="24"/>
          <w:lang w:val="es-HN"/>
        </w:rPr>
      </w:pPr>
      <w:r>
        <w:rPr>
          <w:rFonts w:ascii="Times New Roman" w:hAnsi="Times New Roman"/>
          <w:color w:val="000000"/>
          <w:sz w:val="24"/>
          <w:szCs w:val="24"/>
          <w:lang w:val="es-HN"/>
        </w:rPr>
        <w:t>Ajuste de la masa salarial</w:t>
      </w:r>
      <w:r w:rsidR="00627FB0">
        <w:rPr>
          <w:rFonts w:ascii="Times New Roman" w:hAnsi="Times New Roman"/>
          <w:color w:val="000000"/>
          <w:sz w:val="24"/>
          <w:szCs w:val="24"/>
          <w:lang w:val="es-HN"/>
        </w:rPr>
        <w:t xml:space="preserve">. El </w:t>
      </w:r>
      <w:r w:rsidR="00730BB2">
        <w:rPr>
          <w:rFonts w:ascii="Times New Roman" w:hAnsi="Times New Roman"/>
          <w:color w:val="000000"/>
          <w:sz w:val="24"/>
          <w:szCs w:val="24"/>
          <w:lang w:val="es-HN"/>
        </w:rPr>
        <w:t>número</w:t>
      </w:r>
      <w:r w:rsidR="00627FB0">
        <w:rPr>
          <w:rFonts w:ascii="Times New Roman" w:hAnsi="Times New Roman"/>
          <w:color w:val="000000"/>
          <w:sz w:val="24"/>
          <w:szCs w:val="24"/>
          <w:lang w:val="es-HN"/>
        </w:rPr>
        <w:t xml:space="preserve"> de empleados se redujo de 4,916 en el 2013 a 2,061 a finales de 2016</w:t>
      </w:r>
      <w:r w:rsidR="0014461E">
        <w:rPr>
          <w:rFonts w:ascii="Times New Roman" w:hAnsi="Times New Roman"/>
          <w:color w:val="000000"/>
          <w:sz w:val="24"/>
          <w:szCs w:val="24"/>
          <w:lang w:val="es-HN"/>
        </w:rPr>
        <w:t>;</w:t>
      </w:r>
    </w:p>
    <w:p w14:paraId="7EFF2415" w14:textId="7661E3D5" w:rsidR="00730BB2" w:rsidRDefault="00730BB2" w:rsidP="009869E4">
      <w:pPr>
        <w:pStyle w:val="ListParagraph"/>
        <w:numPr>
          <w:ilvl w:val="1"/>
          <w:numId w:val="11"/>
        </w:numPr>
        <w:tabs>
          <w:tab w:val="left" w:pos="1890"/>
        </w:tabs>
        <w:spacing w:after="120" w:line="240" w:lineRule="auto"/>
        <w:ind w:left="1800" w:hanging="540"/>
        <w:contextualSpacing w:val="0"/>
        <w:jc w:val="both"/>
        <w:rPr>
          <w:rFonts w:ascii="Times New Roman" w:hAnsi="Times New Roman"/>
          <w:color w:val="000000"/>
          <w:sz w:val="24"/>
          <w:szCs w:val="24"/>
          <w:lang w:val="es-HN"/>
        </w:rPr>
      </w:pPr>
      <w:r>
        <w:rPr>
          <w:rFonts w:ascii="Times New Roman" w:hAnsi="Times New Roman"/>
          <w:color w:val="000000"/>
          <w:sz w:val="24"/>
          <w:szCs w:val="24"/>
          <w:lang w:val="es-HN"/>
        </w:rPr>
        <w:t>Reconversión de deuda en dólares a lempiras en condiciones muy favorables para la ENEE</w:t>
      </w:r>
      <w:r w:rsidR="0014461E">
        <w:rPr>
          <w:rFonts w:ascii="Times New Roman" w:hAnsi="Times New Roman"/>
          <w:color w:val="000000"/>
          <w:sz w:val="24"/>
          <w:szCs w:val="24"/>
          <w:lang w:val="es-HN"/>
        </w:rPr>
        <w:t>;</w:t>
      </w:r>
    </w:p>
    <w:p w14:paraId="51EAED74" w14:textId="4F479250" w:rsidR="00730BB2" w:rsidRDefault="001E2813" w:rsidP="00730BB2">
      <w:pPr>
        <w:pStyle w:val="ListParagraph"/>
        <w:numPr>
          <w:ilvl w:val="1"/>
          <w:numId w:val="11"/>
        </w:numPr>
        <w:tabs>
          <w:tab w:val="left" w:pos="1890"/>
        </w:tabs>
        <w:spacing w:after="120" w:line="240" w:lineRule="auto"/>
        <w:ind w:left="1800" w:hanging="540"/>
        <w:contextualSpacing w:val="0"/>
        <w:jc w:val="both"/>
        <w:rPr>
          <w:rFonts w:ascii="Times New Roman" w:hAnsi="Times New Roman"/>
          <w:color w:val="000000"/>
          <w:sz w:val="24"/>
          <w:szCs w:val="24"/>
          <w:lang w:val="es-HN"/>
        </w:rPr>
      </w:pPr>
      <w:r>
        <w:rPr>
          <w:rFonts w:ascii="Times New Roman" w:hAnsi="Times New Roman"/>
          <w:color w:val="000000"/>
          <w:sz w:val="24"/>
          <w:szCs w:val="24"/>
          <w:lang w:val="es-HN"/>
        </w:rPr>
        <w:t>Readecuació</w:t>
      </w:r>
      <w:r w:rsidR="00730BB2">
        <w:rPr>
          <w:rFonts w:ascii="Times New Roman" w:hAnsi="Times New Roman"/>
          <w:color w:val="000000"/>
          <w:sz w:val="24"/>
          <w:szCs w:val="24"/>
          <w:lang w:val="es-HN"/>
        </w:rPr>
        <w:t xml:space="preserve">n de la deuda bonificada realizando una readecuación de la deuda mediante la colocación de un bono soberano de US$ 700 millones en el mercado internacional en muy buenas condiciones. Con estos recursos se procedió a realizar el pago de deuda a generadores térmicos que se venía arrastrando desde hace varios </w:t>
      </w:r>
      <w:r w:rsidR="0014461E">
        <w:rPr>
          <w:rFonts w:ascii="Times New Roman" w:hAnsi="Times New Roman"/>
          <w:color w:val="000000"/>
          <w:sz w:val="24"/>
          <w:szCs w:val="24"/>
          <w:lang w:val="es-HN"/>
        </w:rPr>
        <w:t>años</w:t>
      </w:r>
      <w:r w:rsidR="00436628">
        <w:rPr>
          <w:rFonts w:ascii="Times New Roman" w:hAnsi="Times New Roman"/>
          <w:color w:val="000000"/>
          <w:sz w:val="24"/>
          <w:szCs w:val="24"/>
          <w:lang w:val="es-HN"/>
        </w:rPr>
        <w:t xml:space="preserve"> y ayuda a mejorar la estructura de duda de corto plazo</w:t>
      </w:r>
      <w:r w:rsidR="0014461E">
        <w:rPr>
          <w:rFonts w:ascii="Times New Roman" w:hAnsi="Times New Roman"/>
          <w:color w:val="000000"/>
          <w:sz w:val="24"/>
          <w:szCs w:val="24"/>
          <w:lang w:val="es-HN"/>
        </w:rPr>
        <w:t>;</w:t>
      </w:r>
    </w:p>
    <w:p w14:paraId="32ACF6DE" w14:textId="77777777" w:rsidR="004B7562" w:rsidRDefault="00730BB2" w:rsidP="004B7562">
      <w:pPr>
        <w:pStyle w:val="ListParagraph"/>
        <w:numPr>
          <w:ilvl w:val="1"/>
          <w:numId w:val="11"/>
        </w:numPr>
        <w:tabs>
          <w:tab w:val="left" w:pos="1890"/>
        </w:tabs>
        <w:spacing w:after="120" w:line="240" w:lineRule="auto"/>
        <w:ind w:left="1800" w:hanging="540"/>
        <w:contextualSpacing w:val="0"/>
        <w:jc w:val="both"/>
        <w:rPr>
          <w:rFonts w:ascii="Times New Roman" w:hAnsi="Times New Roman"/>
          <w:color w:val="000000"/>
          <w:sz w:val="24"/>
          <w:szCs w:val="24"/>
          <w:lang w:val="es-HN"/>
        </w:rPr>
      </w:pPr>
      <w:r>
        <w:rPr>
          <w:rFonts w:ascii="Times New Roman" w:hAnsi="Times New Roman"/>
          <w:color w:val="000000"/>
          <w:sz w:val="24"/>
          <w:szCs w:val="24"/>
          <w:lang w:val="es-HN"/>
        </w:rPr>
        <w:t xml:space="preserve">Se mantiene al día el pago con las empresas que suministran electricidad. Unicamente está pendiente el pago del incentivo de la </w:t>
      </w:r>
      <w:r w:rsidR="004B7562">
        <w:rPr>
          <w:rFonts w:ascii="Times New Roman" w:hAnsi="Times New Roman"/>
          <w:color w:val="000000"/>
          <w:sz w:val="24"/>
          <w:szCs w:val="24"/>
          <w:lang w:val="es-HN"/>
        </w:rPr>
        <w:t xml:space="preserve">energía solar 3 a 3.3 cUS$/kWh; </w:t>
      </w:r>
    </w:p>
    <w:p w14:paraId="46924CB7" w14:textId="1ED49999" w:rsidR="004B7562" w:rsidRDefault="004B7562" w:rsidP="004B7562">
      <w:pPr>
        <w:pStyle w:val="ListParagraph"/>
        <w:numPr>
          <w:ilvl w:val="1"/>
          <w:numId w:val="11"/>
        </w:numPr>
        <w:tabs>
          <w:tab w:val="left" w:pos="1890"/>
        </w:tabs>
        <w:spacing w:after="120" w:line="240" w:lineRule="auto"/>
        <w:ind w:left="1800" w:hanging="540"/>
        <w:contextualSpacing w:val="0"/>
        <w:jc w:val="both"/>
        <w:rPr>
          <w:rFonts w:ascii="Times New Roman" w:hAnsi="Times New Roman"/>
          <w:color w:val="000000"/>
          <w:sz w:val="24"/>
          <w:szCs w:val="24"/>
          <w:lang w:val="es-HN"/>
        </w:rPr>
      </w:pPr>
      <w:r>
        <w:rPr>
          <w:rFonts w:ascii="Times New Roman" w:hAnsi="Times New Roman"/>
          <w:color w:val="000000"/>
          <w:sz w:val="24"/>
          <w:szCs w:val="24"/>
          <w:lang w:val="es-HN"/>
        </w:rPr>
        <w:t>ENEE está planteando una estrategia de negociación con generadores privados renovables que pactaron precios elevados productos de incentivos generosos, que en</w:t>
      </w:r>
      <w:r>
        <w:rPr>
          <w:rFonts w:ascii="Times New Roman" w:hAnsi="Times New Roman"/>
          <w:color w:val="000000"/>
          <w:sz w:val="24"/>
          <w:szCs w:val="24"/>
          <w:lang w:val="es-HN"/>
        </w:rPr>
        <w:t xml:space="preserve"> </w:t>
      </w:r>
      <w:r>
        <w:rPr>
          <w:rFonts w:ascii="Times New Roman" w:hAnsi="Times New Roman"/>
          <w:color w:val="000000"/>
          <w:sz w:val="24"/>
          <w:szCs w:val="24"/>
          <w:lang w:val="es-HN"/>
        </w:rPr>
        <w:t>la actualidad no son aplicables</w:t>
      </w:r>
    </w:p>
    <w:p w14:paraId="47F628C0" w14:textId="2738C89E" w:rsidR="00730BB2" w:rsidRDefault="00730BB2" w:rsidP="009869E4">
      <w:pPr>
        <w:pStyle w:val="ListParagraph"/>
        <w:numPr>
          <w:ilvl w:val="1"/>
          <w:numId w:val="11"/>
        </w:numPr>
        <w:tabs>
          <w:tab w:val="left" w:pos="1890"/>
        </w:tabs>
        <w:spacing w:after="120" w:line="240" w:lineRule="auto"/>
        <w:ind w:left="1800" w:hanging="540"/>
        <w:contextualSpacing w:val="0"/>
        <w:jc w:val="both"/>
        <w:rPr>
          <w:rFonts w:ascii="Times New Roman" w:hAnsi="Times New Roman"/>
          <w:color w:val="000000"/>
          <w:sz w:val="24"/>
          <w:szCs w:val="24"/>
          <w:lang w:val="es-HN"/>
        </w:rPr>
      </w:pPr>
      <w:r>
        <w:rPr>
          <w:rFonts w:ascii="Times New Roman" w:hAnsi="Times New Roman"/>
          <w:color w:val="000000"/>
          <w:sz w:val="24"/>
          <w:szCs w:val="24"/>
          <w:lang w:val="es-HN"/>
        </w:rPr>
        <w:t>Se está trabajando en la optimización de procesos operativos ejecutados por el Sistema de Administración de procesos SAP para colocarlos en interfaz con el Sistema de Administr</w:t>
      </w:r>
      <w:r w:rsidR="004B7562">
        <w:rPr>
          <w:rFonts w:ascii="Times New Roman" w:hAnsi="Times New Roman"/>
          <w:color w:val="000000"/>
          <w:sz w:val="24"/>
          <w:szCs w:val="24"/>
          <w:lang w:val="es-HN"/>
        </w:rPr>
        <w:t>ación Financiera Integrada SIAFI</w:t>
      </w:r>
      <w:r>
        <w:rPr>
          <w:rFonts w:ascii="Times New Roman" w:hAnsi="Times New Roman"/>
          <w:color w:val="000000"/>
          <w:sz w:val="24"/>
          <w:szCs w:val="24"/>
          <w:lang w:val="es-HN"/>
        </w:rPr>
        <w:t xml:space="preserve"> que servirá de base para la toma de decisiones </w:t>
      </w:r>
      <w:r w:rsidR="00436628">
        <w:rPr>
          <w:rFonts w:ascii="Times New Roman" w:hAnsi="Times New Roman"/>
          <w:color w:val="000000"/>
          <w:sz w:val="24"/>
          <w:szCs w:val="24"/>
          <w:lang w:val="es-HN"/>
        </w:rPr>
        <w:t>en la empresa y depurar la información finan</w:t>
      </w:r>
      <w:r w:rsidR="0014461E">
        <w:rPr>
          <w:rFonts w:ascii="Times New Roman" w:hAnsi="Times New Roman"/>
          <w:color w:val="000000"/>
          <w:sz w:val="24"/>
          <w:szCs w:val="24"/>
          <w:lang w:val="es-HN"/>
        </w:rPr>
        <w:t>ci</w:t>
      </w:r>
      <w:r w:rsidR="00436628">
        <w:rPr>
          <w:rFonts w:ascii="Times New Roman" w:hAnsi="Times New Roman"/>
          <w:color w:val="000000"/>
          <w:sz w:val="24"/>
          <w:szCs w:val="24"/>
          <w:lang w:val="es-HN"/>
        </w:rPr>
        <w:t>era.</w:t>
      </w:r>
    </w:p>
    <w:p w14:paraId="24E7B04A" w14:textId="7AA8C095" w:rsidR="000E1650" w:rsidRDefault="000E1650" w:rsidP="009869E4">
      <w:pPr>
        <w:pStyle w:val="ListParagraph"/>
        <w:numPr>
          <w:ilvl w:val="1"/>
          <w:numId w:val="11"/>
        </w:numPr>
        <w:tabs>
          <w:tab w:val="left" w:pos="1890"/>
        </w:tabs>
        <w:spacing w:after="120" w:line="240" w:lineRule="auto"/>
        <w:ind w:left="1800" w:hanging="540"/>
        <w:contextualSpacing w:val="0"/>
        <w:jc w:val="both"/>
        <w:rPr>
          <w:rFonts w:ascii="Times New Roman" w:hAnsi="Times New Roman"/>
          <w:color w:val="000000"/>
          <w:sz w:val="24"/>
          <w:szCs w:val="24"/>
          <w:lang w:val="es-HN"/>
        </w:rPr>
      </w:pPr>
      <w:r>
        <w:rPr>
          <w:rFonts w:ascii="Times New Roman" w:hAnsi="Times New Roman"/>
          <w:color w:val="000000"/>
          <w:sz w:val="24"/>
          <w:szCs w:val="24"/>
          <w:lang w:val="es-HN"/>
        </w:rPr>
        <w:t>Con asistencia técnica del banco la ENEE avanza en la preparación de documentos de licitación para compra de energía térmica</w:t>
      </w:r>
      <w:r w:rsidR="004B7562">
        <w:rPr>
          <w:rFonts w:ascii="Times New Roman" w:hAnsi="Times New Roman"/>
          <w:color w:val="000000"/>
          <w:sz w:val="24"/>
          <w:szCs w:val="24"/>
          <w:lang w:val="es-HN"/>
        </w:rPr>
        <w:t>, aspecto de mucha relevancia considerando el vencimiento de contratos de generación hasta enero de 2018 que son muy beneficiosos para la ENEE,</w:t>
      </w:r>
    </w:p>
    <w:p w14:paraId="33213A68" w14:textId="67726BAE" w:rsidR="00756B3C" w:rsidRDefault="004B7562" w:rsidP="009869E4">
      <w:pPr>
        <w:pStyle w:val="ListParagraph"/>
        <w:numPr>
          <w:ilvl w:val="1"/>
          <w:numId w:val="11"/>
        </w:numPr>
        <w:tabs>
          <w:tab w:val="left" w:pos="1890"/>
        </w:tabs>
        <w:spacing w:after="120" w:line="240" w:lineRule="auto"/>
        <w:ind w:left="1800" w:hanging="540"/>
        <w:contextualSpacing w:val="0"/>
        <w:jc w:val="both"/>
        <w:rPr>
          <w:rFonts w:ascii="Times New Roman" w:hAnsi="Times New Roman"/>
          <w:color w:val="000000"/>
          <w:sz w:val="24"/>
          <w:szCs w:val="24"/>
          <w:lang w:val="es-HN"/>
        </w:rPr>
      </w:pPr>
      <w:r>
        <w:rPr>
          <w:rFonts w:ascii="Times New Roman" w:hAnsi="Times New Roman"/>
          <w:color w:val="000000"/>
          <w:sz w:val="24"/>
          <w:szCs w:val="24"/>
          <w:lang w:val="es-HN"/>
        </w:rPr>
        <w:t>R</w:t>
      </w:r>
      <w:r w:rsidR="00333263" w:rsidRPr="00756B3C">
        <w:rPr>
          <w:rFonts w:ascii="Times New Roman" w:hAnsi="Times New Roman"/>
          <w:color w:val="000000"/>
          <w:sz w:val="24"/>
          <w:szCs w:val="24"/>
          <w:lang w:val="es-HN"/>
        </w:rPr>
        <w:t xml:space="preserve">educción de la deuda </w:t>
      </w:r>
      <w:r w:rsidR="00756B3C" w:rsidRPr="00756B3C">
        <w:rPr>
          <w:rFonts w:ascii="Times New Roman" w:hAnsi="Times New Roman"/>
          <w:color w:val="000000"/>
          <w:sz w:val="24"/>
          <w:szCs w:val="24"/>
          <w:lang w:val="es-ES"/>
        </w:rPr>
        <w:t>flotante de más de 45 días</w:t>
      </w:r>
      <w:r w:rsidR="00756B3C" w:rsidRPr="00756B3C">
        <w:rPr>
          <w:rFonts w:ascii="Times New Roman" w:hAnsi="Times New Roman"/>
          <w:color w:val="000000"/>
          <w:sz w:val="24"/>
          <w:szCs w:val="24"/>
          <w:lang w:val="es-HN"/>
        </w:rPr>
        <w:t xml:space="preserve"> </w:t>
      </w:r>
      <w:r w:rsidR="00333263" w:rsidRPr="00756B3C">
        <w:rPr>
          <w:rFonts w:ascii="Times New Roman" w:hAnsi="Times New Roman"/>
          <w:color w:val="000000"/>
          <w:sz w:val="24"/>
          <w:szCs w:val="24"/>
          <w:lang w:val="es-HN"/>
        </w:rPr>
        <w:t>a los generadores térmicos</w:t>
      </w:r>
      <w:r w:rsidR="00756B3C" w:rsidRPr="00756B3C">
        <w:rPr>
          <w:rFonts w:ascii="Times New Roman" w:hAnsi="Times New Roman"/>
          <w:color w:val="000000"/>
          <w:sz w:val="24"/>
          <w:szCs w:val="24"/>
          <w:lang w:val="es-ES"/>
        </w:rPr>
        <w:t xml:space="preserve">. </w:t>
      </w:r>
      <w:r w:rsidR="00756B3C" w:rsidRPr="00756B3C">
        <w:rPr>
          <w:rFonts w:ascii="Times New Roman" w:hAnsi="Times New Roman"/>
          <w:color w:val="000000"/>
          <w:sz w:val="24"/>
          <w:szCs w:val="24"/>
          <w:lang w:val="es-HN"/>
        </w:rPr>
        <w:t xml:space="preserve">Con la suscripción del acuerdo stand by con el FMI a partir de Noviembre 2014, </w:t>
      </w:r>
      <w:r w:rsidR="00756B3C">
        <w:rPr>
          <w:rFonts w:ascii="Times New Roman" w:hAnsi="Times New Roman"/>
          <w:color w:val="000000"/>
          <w:sz w:val="24"/>
          <w:szCs w:val="24"/>
          <w:lang w:val="es-HN"/>
        </w:rPr>
        <w:t xml:space="preserve">la ENEE cancela toda la planilla nueva emitida por </w:t>
      </w:r>
      <w:r w:rsidR="00756B3C" w:rsidRPr="00756B3C">
        <w:rPr>
          <w:rFonts w:ascii="Times New Roman" w:hAnsi="Times New Roman"/>
          <w:color w:val="000000"/>
          <w:sz w:val="24"/>
          <w:szCs w:val="24"/>
          <w:lang w:val="es-HN"/>
        </w:rPr>
        <w:t xml:space="preserve">las empresas privadas generadoras </w:t>
      </w:r>
      <w:r w:rsidR="00756B3C">
        <w:rPr>
          <w:rFonts w:ascii="Times New Roman" w:hAnsi="Times New Roman"/>
          <w:color w:val="000000"/>
          <w:sz w:val="24"/>
          <w:szCs w:val="24"/>
          <w:lang w:val="es-HN"/>
        </w:rPr>
        <w:t xml:space="preserve">de energía eléctrica. </w:t>
      </w:r>
    </w:p>
    <w:p w14:paraId="2CE74AA1" w14:textId="497E2F4F" w:rsidR="004B7562" w:rsidRDefault="004B7562" w:rsidP="004B7562">
      <w:pPr>
        <w:pStyle w:val="ListParagraph"/>
        <w:numPr>
          <w:ilvl w:val="1"/>
          <w:numId w:val="11"/>
        </w:numPr>
        <w:tabs>
          <w:tab w:val="left" w:pos="1890"/>
        </w:tabs>
        <w:spacing w:after="120" w:line="240" w:lineRule="auto"/>
        <w:ind w:left="1800" w:hanging="540"/>
        <w:contextualSpacing w:val="0"/>
        <w:jc w:val="both"/>
        <w:rPr>
          <w:rFonts w:ascii="Times New Roman" w:hAnsi="Times New Roman"/>
          <w:color w:val="000000"/>
          <w:sz w:val="24"/>
          <w:szCs w:val="24"/>
          <w:lang w:val="es-HN"/>
        </w:rPr>
      </w:pPr>
      <w:r>
        <w:rPr>
          <w:rFonts w:ascii="Times New Roman" w:hAnsi="Times New Roman"/>
          <w:color w:val="000000"/>
          <w:sz w:val="24"/>
          <w:szCs w:val="24"/>
          <w:lang w:val="es-HN"/>
        </w:rPr>
        <w:t xml:space="preserve">Avances Operativos en la construcción de la Subestación la Entrada para potenciar la comercialización de energía en el MER el tramo lado Panaluya (GUA) – San Buenaventura (HON). Avances en la construcción del proyecto hidroeléctrico Patuca, se </w:t>
      </w:r>
      <w:r w:rsidR="00942D0B">
        <w:rPr>
          <w:rFonts w:ascii="Times New Roman" w:hAnsi="Times New Roman"/>
          <w:color w:val="000000"/>
          <w:sz w:val="24"/>
          <w:szCs w:val="24"/>
          <w:lang w:val="es-HN"/>
        </w:rPr>
        <w:t>prevé</w:t>
      </w:r>
      <w:r>
        <w:rPr>
          <w:rFonts w:ascii="Times New Roman" w:hAnsi="Times New Roman"/>
          <w:color w:val="000000"/>
          <w:sz w:val="24"/>
          <w:szCs w:val="24"/>
          <w:lang w:val="es-HN"/>
        </w:rPr>
        <w:t xml:space="preserve"> que el proyecto entre en operación a finales d</w:t>
      </w:r>
      <w:r w:rsidR="00942D0B">
        <w:rPr>
          <w:rFonts w:ascii="Times New Roman" w:hAnsi="Times New Roman"/>
          <w:color w:val="000000"/>
          <w:sz w:val="24"/>
          <w:szCs w:val="24"/>
          <w:lang w:val="es-HN"/>
        </w:rPr>
        <w:t>el 2018.</w:t>
      </w:r>
    </w:p>
    <w:p w14:paraId="33213A6A" w14:textId="004CAA43" w:rsidR="00756B3C" w:rsidRPr="00756B3C" w:rsidRDefault="00206E50" w:rsidP="004B7562">
      <w:pPr>
        <w:pStyle w:val="ListParagraph"/>
        <w:numPr>
          <w:ilvl w:val="1"/>
          <w:numId w:val="11"/>
        </w:numPr>
        <w:tabs>
          <w:tab w:val="left" w:pos="1890"/>
        </w:tabs>
        <w:spacing w:after="120" w:line="240" w:lineRule="auto"/>
        <w:ind w:left="1800" w:hanging="540"/>
        <w:contextualSpacing w:val="0"/>
        <w:jc w:val="both"/>
        <w:rPr>
          <w:rFonts w:ascii="Times New Roman" w:hAnsi="Times New Roman"/>
          <w:color w:val="000000"/>
          <w:sz w:val="24"/>
          <w:szCs w:val="24"/>
          <w:lang w:val="es-HN"/>
        </w:rPr>
      </w:pPr>
      <w:r>
        <w:rPr>
          <w:rFonts w:ascii="Times New Roman" w:hAnsi="Times New Roman"/>
          <w:color w:val="000000"/>
          <w:sz w:val="24"/>
          <w:szCs w:val="24"/>
          <w:lang w:val="es-HN"/>
        </w:rPr>
        <w:t xml:space="preserve">incremento en la compra de energía en el Mercado Eléctrico Regional. </w:t>
      </w:r>
      <w:r w:rsidR="00942D0B">
        <w:rPr>
          <w:rFonts w:ascii="Times New Roman" w:hAnsi="Times New Roman"/>
          <w:color w:val="000000"/>
          <w:sz w:val="24"/>
          <w:szCs w:val="24"/>
          <w:lang w:val="es-HN"/>
        </w:rPr>
        <w:t xml:space="preserve">Honduras es el segundo país de la región que más ha comprado energía en el mercado eléctrico regional desde que se activó la operación comercial el SIEPAC </w:t>
      </w:r>
    </w:p>
    <w:p w14:paraId="33213A6E" w14:textId="77777777" w:rsidR="005C4BF2" w:rsidRPr="004B7562" w:rsidRDefault="005C4BF2" w:rsidP="00942D0B">
      <w:pPr>
        <w:pStyle w:val="ListParagraph"/>
        <w:tabs>
          <w:tab w:val="left" w:pos="1890"/>
        </w:tabs>
        <w:spacing w:after="120" w:line="240" w:lineRule="auto"/>
        <w:ind w:left="1800"/>
        <w:contextualSpacing w:val="0"/>
        <w:jc w:val="both"/>
        <w:rPr>
          <w:rFonts w:ascii="Times New Roman" w:hAnsi="Times New Roman"/>
          <w:color w:val="000000"/>
          <w:sz w:val="24"/>
          <w:szCs w:val="24"/>
          <w:lang w:val="es-HN"/>
        </w:rPr>
      </w:pPr>
    </w:p>
    <w:p w14:paraId="6623881F" w14:textId="09E8BA1F" w:rsidR="003E54F7" w:rsidRPr="00917652" w:rsidRDefault="00CE7768" w:rsidP="00966288">
      <w:pPr>
        <w:pStyle w:val="ListParagraph"/>
        <w:numPr>
          <w:ilvl w:val="0"/>
          <w:numId w:val="11"/>
        </w:numPr>
        <w:autoSpaceDE w:val="0"/>
        <w:autoSpaceDN w:val="0"/>
        <w:adjustRightInd w:val="0"/>
        <w:spacing w:after="0" w:line="240" w:lineRule="auto"/>
        <w:ind w:left="720"/>
        <w:contextualSpacing w:val="0"/>
        <w:jc w:val="both"/>
        <w:rPr>
          <w:rFonts w:ascii="Times New Roman" w:hAnsi="Times New Roman"/>
          <w:color w:val="000000"/>
          <w:sz w:val="24"/>
          <w:szCs w:val="24"/>
          <w:lang w:val="es-ES_tradnl"/>
        </w:rPr>
      </w:pPr>
      <w:r w:rsidRPr="00917652">
        <w:rPr>
          <w:rFonts w:ascii="Times New Roman" w:hAnsi="Times New Roman"/>
          <w:b/>
          <w:color w:val="000000"/>
          <w:sz w:val="24"/>
          <w:szCs w:val="24"/>
          <w:lang w:val="es-ES_tradnl"/>
        </w:rPr>
        <w:t>Acciones encaminadas a la Reducción de Pérdidas Técnicas y No Técnicas</w:t>
      </w:r>
      <w:r w:rsidRPr="00917652">
        <w:rPr>
          <w:rFonts w:ascii="Times New Roman" w:hAnsi="Times New Roman"/>
          <w:color w:val="000000"/>
          <w:sz w:val="24"/>
          <w:szCs w:val="24"/>
          <w:lang w:val="es-ES_tradnl"/>
        </w:rPr>
        <w:t xml:space="preserve">:  </w:t>
      </w:r>
      <w:r w:rsidR="00942D0B" w:rsidRPr="00917652">
        <w:rPr>
          <w:rFonts w:ascii="Times New Roman" w:hAnsi="Times New Roman"/>
          <w:color w:val="000000"/>
          <w:sz w:val="24"/>
          <w:szCs w:val="24"/>
          <w:lang w:val="es-ES_tradnl"/>
        </w:rPr>
        <w:t xml:space="preserve">Con la entrada en vigencia del Contrato del inversionista/ gestor en reducción de pérdidas  Empresa Energía Honduras - EEH a partir de </w:t>
      </w:r>
      <w:r w:rsidR="00DF3479" w:rsidRPr="00917652">
        <w:rPr>
          <w:rFonts w:ascii="Times New Roman" w:hAnsi="Times New Roman"/>
          <w:color w:val="000000"/>
          <w:sz w:val="24"/>
          <w:szCs w:val="24"/>
          <w:lang w:val="es-ES_tradnl"/>
        </w:rPr>
        <w:t>Agosto</w:t>
      </w:r>
      <w:r w:rsidR="00942D0B" w:rsidRPr="00917652">
        <w:rPr>
          <w:rFonts w:ascii="Times New Roman" w:hAnsi="Times New Roman"/>
          <w:color w:val="000000"/>
          <w:sz w:val="24"/>
          <w:szCs w:val="24"/>
          <w:lang w:val="es-ES_tradnl"/>
        </w:rPr>
        <w:t xml:space="preserve"> 2016 el Consorcio Colombiano – Hondureño inicia </w:t>
      </w:r>
      <w:r w:rsidR="00DF3479" w:rsidRPr="00917652">
        <w:rPr>
          <w:rFonts w:ascii="Times New Roman" w:hAnsi="Times New Roman"/>
          <w:color w:val="000000"/>
          <w:sz w:val="24"/>
          <w:szCs w:val="24"/>
          <w:lang w:val="es-ES_tradnl"/>
        </w:rPr>
        <w:t xml:space="preserve">el contrato  para </w:t>
      </w:r>
      <w:r w:rsidR="003E54F7" w:rsidRPr="00917652">
        <w:rPr>
          <w:rFonts w:ascii="Times New Roman" w:hAnsi="Times New Roman"/>
          <w:color w:val="000000"/>
          <w:sz w:val="24"/>
          <w:szCs w:val="24"/>
          <w:lang w:val="es-ES_tradnl"/>
        </w:rPr>
        <w:t>mejorar la eficiencia de las actividades operativas y comerciales que lleva a cabo la ENEE en el área de Distribución,</w:t>
      </w:r>
      <w:r w:rsidR="00917652">
        <w:rPr>
          <w:rFonts w:ascii="Times New Roman" w:hAnsi="Times New Roman"/>
          <w:color w:val="000000"/>
          <w:sz w:val="24"/>
          <w:szCs w:val="24"/>
          <w:lang w:val="es-ES_tradnl"/>
        </w:rPr>
        <w:t xml:space="preserve"> </w:t>
      </w:r>
      <w:r w:rsidR="003E54F7" w:rsidRPr="00917652">
        <w:rPr>
          <w:rFonts w:ascii="Times New Roman" w:hAnsi="Times New Roman"/>
          <w:color w:val="000000"/>
          <w:sz w:val="24"/>
          <w:szCs w:val="24"/>
          <w:lang w:val="es-ES_tradnl"/>
        </w:rPr>
        <w:t>la</w:t>
      </w:r>
      <w:r w:rsidR="003E54F7" w:rsidRPr="00917652">
        <w:rPr>
          <w:rFonts w:ascii="Times New Roman" w:hAnsi="Times New Roman"/>
          <w:color w:val="000000"/>
          <w:sz w:val="24"/>
          <w:szCs w:val="24"/>
          <w:lang w:val="es-ES_tradnl"/>
        </w:rPr>
        <w:t xml:space="preserve"> </w:t>
      </w:r>
      <w:r w:rsidR="00917652">
        <w:rPr>
          <w:rFonts w:ascii="Times New Roman" w:hAnsi="Times New Roman"/>
          <w:color w:val="000000"/>
          <w:sz w:val="24"/>
          <w:szCs w:val="24"/>
          <w:lang w:val="es-ES_tradnl"/>
        </w:rPr>
        <w:t>reducción de las p</w:t>
      </w:r>
      <w:r w:rsidR="003E54F7" w:rsidRPr="00917652">
        <w:rPr>
          <w:rFonts w:ascii="Times New Roman" w:hAnsi="Times New Roman"/>
          <w:color w:val="000000"/>
          <w:sz w:val="24"/>
          <w:szCs w:val="24"/>
          <w:lang w:val="es-ES_tradnl"/>
        </w:rPr>
        <w:t xml:space="preserve">érdidas </w:t>
      </w:r>
      <w:r w:rsidR="00917652">
        <w:rPr>
          <w:rFonts w:ascii="Times New Roman" w:hAnsi="Times New Roman"/>
          <w:color w:val="000000"/>
          <w:sz w:val="24"/>
          <w:szCs w:val="24"/>
          <w:lang w:val="es-ES_tradnl"/>
        </w:rPr>
        <w:t>t</w:t>
      </w:r>
      <w:r w:rsidR="003E54F7" w:rsidRPr="00917652">
        <w:rPr>
          <w:rFonts w:ascii="Times New Roman" w:hAnsi="Times New Roman"/>
          <w:color w:val="000000"/>
          <w:sz w:val="24"/>
          <w:szCs w:val="24"/>
          <w:lang w:val="es-ES_tradnl"/>
        </w:rPr>
        <w:t xml:space="preserve">écnicas </w:t>
      </w:r>
      <w:r w:rsidR="00917652">
        <w:rPr>
          <w:rFonts w:ascii="Times New Roman" w:hAnsi="Times New Roman"/>
          <w:color w:val="000000"/>
          <w:sz w:val="24"/>
          <w:szCs w:val="24"/>
          <w:lang w:val="es-ES_tradnl"/>
        </w:rPr>
        <w:t>y n</w:t>
      </w:r>
      <w:r w:rsidR="003E54F7" w:rsidRPr="00917652">
        <w:rPr>
          <w:rFonts w:ascii="Times New Roman" w:hAnsi="Times New Roman"/>
          <w:color w:val="000000"/>
          <w:sz w:val="24"/>
          <w:szCs w:val="24"/>
          <w:lang w:val="es-ES_tradnl"/>
        </w:rPr>
        <w:t xml:space="preserve">o </w:t>
      </w:r>
      <w:r w:rsidR="00917652">
        <w:rPr>
          <w:rFonts w:ascii="Times New Roman" w:hAnsi="Times New Roman"/>
          <w:color w:val="000000"/>
          <w:sz w:val="24"/>
          <w:szCs w:val="24"/>
          <w:lang w:val="es-ES_tradnl"/>
        </w:rPr>
        <w:t>t</w:t>
      </w:r>
      <w:r w:rsidR="003E54F7" w:rsidRPr="00917652">
        <w:rPr>
          <w:rFonts w:ascii="Times New Roman" w:hAnsi="Times New Roman"/>
          <w:color w:val="000000"/>
          <w:sz w:val="24"/>
          <w:szCs w:val="24"/>
          <w:lang w:val="es-ES_tradnl"/>
        </w:rPr>
        <w:t xml:space="preserve">écnicas de </w:t>
      </w:r>
      <w:r w:rsidR="00917652">
        <w:rPr>
          <w:rFonts w:ascii="Times New Roman" w:hAnsi="Times New Roman"/>
          <w:color w:val="000000"/>
          <w:sz w:val="24"/>
          <w:szCs w:val="24"/>
          <w:lang w:val="es-ES_tradnl"/>
        </w:rPr>
        <w:t>d</w:t>
      </w:r>
      <w:r w:rsidR="003E54F7" w:rsidRPr="00917652">
        <w:rPr>
          <w:rFonts w:ascii="Times New Roman" w:hAnsi="Times New Roman"/>
          <w:color w:val="000000"/>
          <w:sz w:val="24"/>
          <w:szCs w:val="24"/>
          <w:lang w:val="es-ES_tradnl"/>
        </w:rPr>
        <w:t>istribución, hasta llegar a los niveles</w:t>
      </w:r>
      <w:r w:rsidR="003E54F7" w:rsidRPr="00917652">
        <w:rPr>
          <w:rFonts w:ascii="Times New Roman" w:hAnsi="Times New Roman"/>
          <w:color w:val="000000"/>
          <w:sz w:val="24"/>
          <w:szCs w:val="24"/>
          <w:lang w:val="es-ES_tradnl"/>
        </w:rPr>
        <w:t xml:space="preserve"> </w:t>
      </w:r>
      <w:r w:rsidR="00917652">
        <w:rPr>
          <w:rFonts w:ascii="Times New Roman" w:hAnsi="Times New Roman"/>
          <w:color w:val="000000"/>
          <w:sz w:val="24"/>
          <w:szCs w:val="24"/>
          <w:lang w:val="es-ES_tradnl"/>
        </w:rPr>
        <w:t xml:space="preserve">estándares a nivel internacional, </w:t>
      </w:r>
      <w:r w:rsidR="003E54F7" w:rsidRPr="00917652">
        <w:rPr>
          <w:rFonts w:ascii="Times New Roman" w:hAnsi="Times New Roman"/>
          <w:color w:val="000000"/>
          <w:sz w:val="24"/>
          <w:szCs w:val="24"/>
          <w:lang w:val="es-ES_tradnl"/>
        </w:rPr>
        <w:t>la</w:t>
      </w:r>
      <w:r w:rsidR="003E54F7" w:rsidRPr="00917652">
        <w:rPr>
          <w:rFonts w:ascii="Times New Roman" w:hAnsi="Times New Roman"/>
          <w:color w:val="000000"/>
          <w:sz w:val="24"/>
          <w:szCs w:val="24"/>
          <w:lang w:val="es-ES_tradnl"/>
        </w:rPr>
        <w:t xml:space="preserve"> </w:t>
      </w:r>
      <w:r w:rsidR="003E54F7" w:rsidRPr="00917652">
        <w:rPr>
          <w:rFonts w:ascii="Times New Roman" w:hAnsi="Times New Roman"/>
          <w:color w:val="000000"/>
          <w:sz w:val="24"/>
          <w:szCs w:val="24"/>
          <w:lang w:val="es-ES_tradnl"/>
        </w:rPr>
        <w:t xml:space="preserve">medición, facturación y cobro de la energía vendida por el sistema de </w:t>
      </w:r>
      <w:r w:rsidR="00917652">
        <w:rPr>
          <w:rFonts w:ascii="Times New Roman" w:hAnsi="Times New Roman"/>
          <w:color w:val="000000"/>
          <w:sz w:val="24"/>
          <w:szCs w:val="24"/>
          <w:lang w:val="es-ES_tradnl"/>
        </w:rPr>
        <w:t>d</w:t>
      </w:r>
      <w:r w:rsidR="003E54F7" w:rsidRPr="00917652">
        <w:rPr>
          <w:rFonts w:ascii="Times New Roman" w:hAnsi="Times New Roman"/>
          <w:color w:val="000000"/>
          <w:sz w:val="24"/>
          <w:szCs w:val="24"/>
          <w:lang w:val="es-ES_tradnl"/>
        </w:rPr>
        <w:t xml:space="preserve">istribución, la atención a los </w:t>
      </w:r>
      <w:r w:rsidR="00917652">
        <w:rPr>
          <w:rFonts w:ascii="Times New Roman" w:hAnsi="Times New Roman"/>
          <w:color w:val="000000"/>
          <w:sz w:val="24"/>
          <w:szCs w:val="24"/>
          <w:lang w:val="es-ES_tradnl"/>
        </w:rPr>
        <w:t>u</w:t>
      </w:r>
      <w:r w:rsidR="003E54F7" w:rsidRPr="00917652">
        <w:rPr>
          <w:rFonts w:ascii="Times New Roman" w:hAnsi="Times New Roman"/>
          <w:color w:val="000000"/>
          <w:sz w:val="24"/>
          <w:szCs w:val="24"/>
          <w:lang w:val="es-ES_tradnl"/>
        </w:rPr>
        <w:t>suarios, la</w:t>
      </w:r>
      <w:r w:rsidR="003E54F7" w:rsidRPr="00917652">
        <w:rPr>
          <w:rFonts w:ascii="Times New Roman" w:hAnsi="Times New Roman"/>
          <w:color w:val="000000"/>
          <w:sz w:val="24"/>
          <w:szCs w:val="24"/>
          <w:lang w:val="es-ES_tradnl"/>
        </w:rPr>
        <w:t xml:space="preserve"> </w:t>
      </w:r>
      <w:r w:rsidR="003E54F7" w:rsidRPr="00917652">
        <w:rPr>
          <w:rFonts w:ascii="Times New Roman" w:hAnsi="Times New Roman"/>
          <w:color w:val="000000"/>
          <w:sz w:val="24"/>
          <w:szCs w:val="24"/>
          <w:lang w:val="es-ES_tradnl"/>
        </w:rPr>
        <w:t xml:space="preserve">Operación y Mantenimiento del sistema de </w:t>
      </w:r>
      <w:r w:rsidR="00917652">
        <w:rPr>
          <w:rFonts w:ascii="Times New Roman" w:hAnsi="Times New Roman"/>
          <w:color w:val="000000"/>
          <w:sz w:val="24"/>
          <w:szCs w:val="24"/>
          <w:lang w:val="es-ES_tradnl"/>
        </w:rPr>
        <w:t>d</w:t>
      </w:r>
      <w:r w:rsidR="003E54F7" w:rsidRPr="00917652">
        <w:rPr>
          <w:rFonts w:ascii="Times New Roman" w:hAnsi="Times New Roman"/>
          <w:color w:val="000000"/>
          <w:sz w:val="24"/>
          <w:szCs w:val="24"/>
          <w:lang w:val="es-ES_tradnl"/>
        </w:rPr>
        <w:t>istribución</w:t>
      </w:r>
      <w:r w:rsidR="00917652">
        <w:rPr>
          <w:rFonts w:ascii="Times New Roman" w:hAnsi="Times New Roman"/>
          <w:color w:val="000000"/>
          <w:sz w:val="24"/>
          <w:szCs w:val="24"/>
          <w:lang w:val="es-ES_tradnl"/>
        </w:rPr>
        <w:t>. A la fecha se reportan avances en materia de reducción de pérdidas del 30.81% (valor de línea base de Agosto 2016) al 29.71% a la actualidad; tambien se reportan mejoras en la calidad de servicio logrando reducir el tiempo de atención de incidencias, la frecuencia de interrupciones y la duración de las mismas. De acuerdo al Plan de inversiones aprobado por el Fideicomiso para este año la Empresa tiene previsto realizar una inversión de 92 millones de dólares para alcanzar la meta de alcanzar un nivel de pérdidas 26.30% al cierre del presente año.</w:t>
      </w:r>
    </w:p>
    <w:p w14:paraId="6B97A404" w14:textId="0BDDABF0" w:rsidR="003E54F7" w:rsidRPr="003E54F7" w:rsidRDefault="003E54F7" w:rsidP="003E54F7">
      <w:pPr>
        <w:autoSpaceDE w:val="0"/>
        <w:autoSpaceDN w:val="0"/>
        <w:adjustRightInd w:val="0"/>
        <w:spacing w:after="0" w:line="240" w:lineRule="auto"/>
        <w:ind w:left="720"/>
        <w:rPr>
          <w:rFonts w:ascii="Times New Roman" w:hAnsi="Times New Roman"/>
          <w:color w:val="000000"/>
          <w:sz w:val="24"/>
          <w:szCs w:val="24"/>
          <w:lang w:val="es-ES_tradnl"/>
        </w:rPr>
      </w:pPr>
    </w:p>
    <w:p w14:paraId="5219E084" w14:textId="77777777" w:rsidR="003E54F7" w:rsidRPr="003E54F7" w:rsidRDefault="003E54F7" w:rsidP="003E54F7">
      <w:pPr>
        <w:autoSpaceDE w:val="0"/>
        <w:autoSpaceDN w:val="0"/>
        <w:adjustRightInd w:val="0"/>
        <w:spacing w:after="0" w:line="240" w:lineRule="auto"/>
        <w:rPr>
          <w:rFonts w:ascii="Times New Roman" w:hAnsi="Times New Roman"/>
          <w:color w:val="000000"/>
          <w:sz w:val="24"/>
          <w:szCs w:val="24"/>
          <w:lang w:val="es-ES_tradnl"/>
        </w:rPr>
      </w:pPr>
    </w:p>
    <w:p w14:paraId="23705FB4" w14:textId="77777777" w:rsidR="000E1650" w:rsidRDefault="000E1650" w:rsidP="00917652">
      <w:pPr>
        <w:pStyle w:val="ListParagraph"/>
        <w:autoSpaceDE w:val="0"/>
        <w:autoSpaceDN w:val="0"/>
        <w:adjustRightInd w:val="0"/>
        <w:spacing w:after="120" w:line="240" w:lineRule="auto"/>
        <w:ind w:left="1080"/>
        <w:contextualSpacing w:val="0"/>
        <w:jc w:val="both"/>
        <w:rPr>
          <w:rFonts w:ascii="Times New Roman" w:hAnsi="Times New Roman"/>
          <w:color w:val="000000"/>
          <w:sz w:val="24"/>
          <w:szCs w:val="24"/>
          <w:lang w:val="es-ES_tradnl"/>
        </w:rPr>
      </w:pPr>
    </w:p>
    <w:p w14:paraId="7A31CE28" w14:textId="77777777" w:rsidR="00A3399E" w:rsidRDefault="00A3399E" w:rsidP="00A3399E">
      <w:pPr>
        <w:autoSpaceDE w:val="0"/>
        <w:autoSpaceDN w:val="0"/>
        <w:adjustRightInd w:val="0"/>
        <w:spacing w:after="120" w:line="240" w:lineRule="auto"/>
        <w:jc w:val="both"/>
        <w:rPr>
          <w:lang w:val="es-ES_tradnl"/>
        </w:rPr>
      </w:pPr>
    </w:p>
    <w:p w14:paraId="10C63D9D" w14:textId="29794529" w:rsidR="009869E4" w:rsidRPr="009C3987" w:rsidRDefault="009869E4" w:rsidP="009C3987">
      <w:pPr>
        <w:pStyle w:val="ListParagraph"/>
        <w:numPr>
          <w:ilvl w:val="0"/>
          <w:numId w:val="9"/>
        </w:numPr>
        <w:tabs>
          <w:tab w:val="left" w:pos="540"/>
        </w:tabs>
        <w:spacing w:line="240" w:lineRule="auto"/>
        <w:jc w:val="both"/>
        <w:rPr>
          <w:rFonts w:ascii="Times New Roman" w:hAnsi="Times New Roman"/>
          <w:b/>
          <w:color w:val="000000"/>
          <w:sz w:val="24"/>
          <w:szCs w:val="24"/>
          <w:lang w:val="es-ES_tradnl"/>
        </w:rPr>
      </w:pPr>
      <w:r>
        <w:rPr>
          <w:rFonts w:ascii="Times New Roman" w:hAnsi="Times New Roman"/>
          <w:b/>
          <w:color w:val="000000"/>
          <w:sz w:val="24"/>
          <w:szCs w:val="24"/>
          <w:lang w:val="es-ES_tradnl"/>
        </w:rPr>
        <w:t>PRINCIPALES DESAFIOS</w:t>
      </w:r>
    </w:p>
    <w:p w14:paraId="188A5FE0" w14:textId="177FEA66" w:rsidR="00A3399E" w:rsidRDefault="00917652" w:rsidP="00A3399E">
      <w:pPr>
        <w:autoSpaceDE w:val="0"/>
        <w:autoSpaceDN w:val="0"/>
        <w:adjustRightInd w:val="0"/>
        <w:spacing w:after="120" w:line="240" w:lineRule="auto"/>
        <w:jc w:val="both"/>
        <w:rPr>
          <w:rFonts w:ascii="Times New Roman" w:hAnsi="Times New Roman"/>
          <w:color w:val="000000"/>
          <w:sz w:val="24"/>
          <w:szCs w:val="24"/>
          <w:lang w:val="es-ES_tradnl"/>
        </w:rPr>
      </w:pPr>
      <w:r>
        <w:rPr>
          <w:rFonts w:ascii="Times New Roman" w:hAnsi="Times New Roman"/>
          <w:color w:val="000000"/>
          <w:sz w:val="24"/>
          <w:szCs w:val="24"/>
          <w:lang w:val="es-ES_tradnl"/>
        </w:rPr>
        <w:t>A continuación, se citan los principales desafíos:</w:t>
      </w:r>
    </w:p>
    <w:p w14:paraId="376533AE" w14:textId="3F5359A9" w:rsidR="009C3987" w:rsidRPr="00917652" w:rsidRDefault="009C3987" w:rsidP="001952C1">
      <w:pPr>
        <w:pStyle w:val="ListParagraph"/>
        <w:numPr>
          <w:ilvl w:val="0"/>
          <w:numId w:val="29"/>
        </w:numPr>
        <w:autoSpaceDE w:val="0"/>
        <w:autoSpaceDN w:val="0"/>
        <w:adjustRightInd w:val="0"/>
        <w:spacing w:after="240" w:line="240" w:lineRule="auto"/>
        <w:contextualSpacing w:val="0"/>
        <w:jc w:val="both"/>
        <w:rPr>
          <w:rFonts w:ascii="Times New Roman" w:hAnsi="Times New Roman"/>
          <w:color w:val="000000"/>
          <w:sz w:val="24"/>
          <w:szCs w:val="24"/>
          <w:lang w:val="es-ES_tradnl"/>
        </w:rPr>
      </w:pPr>
      <w:r w:rsidRPr="00917652">
        <w:rPr>
          <w:rFonts w:ascii="Times New Roman" w:hAnsi="Times New Roman"/>
          <w:b/>
          <w:i/>
          <w:color w:val="000000"/>
          <w:sz w:val="24"/>
          <w:szCs w:val="24"/>
          <w:lang w:val="es-ES_tradnl"/>
        </w:rPr>
        <w:t>Consolidar el proceso de reforma</w:t>
      </w:r>
      <w:r w:rsidR="00917652" w:rsidRPr="00917652">
        <w:rPr>
          <w:rFonts w:ascii="Times New Roman" w:hAnsi="Times New Roman"/>
          <w:b/>
          <w:i/>
          <w:color w:val="000000"/>
          <w:sz w:val="24"/>
          <w:szCs w:val="24"/>
          <w:lang w:val="es-ES_tradnl"/>
        </w:rPr>
        <w:t>:</w:t>
      </w:r>
      <w:r w:rsidR="00917652">
        <w:rPr>
          <w:rFonts w:ascii="Times New Roman" w:hAnsi="Times New Roman"/>
          <w:color w:val="000000"/>
          <w:sz w:val="24"/>
          <w:szCs w:val="24"/>
          <w:lang w:val="es-ES_tradnl"/>
        </w:rPr>
        <w:t xml:space="preserve"> De manera especial en los aspectos de carácter regulatorio, porque se han provocado retrasos en la preparaci</w:t>
      </w:r>
      <w:r w:rsidR="00E71184">
        <w:rPr>
          <w:rFonts w:ascii="Times New Roman" w:hAnsi="Times New Roman"/>
          <w:color w:val="000000"/>
          <w:sz w:val="24"/>
          <w:szCs w:val="24"/>
          <w:lang w:val="es-ES_tradnl"/>
        </w:rPr>
        <w:t>ón,</w:t>
      </w:r>
      <w:r w:rsidR="00917652">
        <w:rPr>
          <w:rFonts w:ascii="Times New Roman" w:hAnsi="Times New Roman"/>
          <w:color w:val="000000"/>
          <w:sz w:val="24"/>
          <w:szCs w:val="24"/>
          <w:lang w:val="es-ES_tradnl"/>
        </w:rPr>
        <w:t xml:space="preserve"> aprobación </w:t>
      </w:r>
      <w:r w:rsidR="00E71184">
        <w:rPr>
          <w:rFonts w:ascii="Times New Roman" w:hAnsi="Times New Roman"/>
          <w:color w:val="000000"/>
          <w:sz w:val="24"/>
          <w:szCs w:val="24"/>
          <w:lang w:val="es-ES_tradnl"/>
        </w:rPr>
        <w:t xml:space="preserve">y puesta en marcha </w:t>
      </w:r>
      <w:r w:rsidR="00917652">
        <w:rPr>
          <w:rFonts w:ascii="Times New Roman" w:hAnsi="Times New Roman"/>
          <w:color w:val="000000"/>
          <w:sz w:val="24"/>
          <w:szCs w:val="24"/>
          <w:lang w:val="es-ES_tradnl"/>
        </w:rPr>
        <w:t xml:space="preserve">de reglamentos </w:t>
      </w:r>
      <w:r w:rsidR="00E71184">
        <w:rPr>
          <w:rFonts w:ascii="Times New Roman" w:hAnsi="Times New Roman"/>
          <w:color w:val="000000"/>
          <w:sz w:val="24"/>
          <w:szCs w:val="24"/>
          <w:lang w:val="es-ES_tradnl"/>
        </w:rPr>
        <w:t xml:space="preserve">y normativa del subsector. Dichos aspectos son fundamentales </w:t>
      </w:r>
      <w:r w:rsidR="00917652">
        <w:rPr>
          <w:rFonts w:ascii="Times New Roman" w:hAnsi="Times New Roman"/>
          <w:color w:val="000000"/>
          <w:sz w:val="24"/>
          <w:szCs w:val="24"/>
          <w:lang w:val="es-ES_tradnl"/>
        </w:rPr>
        <w:t xml:space="preserve">considerando aspectos de gestión y gobernanza del parte de la Comisión Reguladora de energía Eléctrica. </w:t>
      </w:r>
    </w:p>
    <w:p w14:paraId="43EE0EAB" w14:textId="0088B411" w:rsidR="009C3987" w:rsidRDefault="000E1650" w:rsidP="001952C1">
      <w:pPr>
        <w:pStyle w:val="ListParagraph"/>
        <w:numPr>
          <w:ilvl w:val="0"/>
          <w:numId w:val="29"/>
        </w:numPr>
        <w:autoSpaceDE w:val="0"/>
        <w:autoSpaceDN w:val="0"/>
        <w:adjustRightInd w:val="0"/>
        <w:spacing w:after="240" w:line="240" w:lineRule="auto"/>
        <w:contextualSpacing w:val="0"/>
        <w:jc w:val="both"/>
        <w:rPr>
          <w:rFonts w:ascii="Times New Roman" w:hAnsi="Times New Roman"/>
          <w:color w:val="000000"/>
          <w:sz w:val="24"/>
          <w:szCs w:val="24"/>
          <w:lang w:val="es-ES_tradnl"/>
        </w:rPr>
      </w:pPr>
      <w:r w:rsidRPr="00E71184">
        <w:rPr>
          <w:rFonts w:ascii="Times New Roman" w:hAnsi="Times New Roman"/>
          <w:b/>
          <w:i/>
          <w:color w:val="000000"/>
          <w:sz w:val="24"/>
          <w:szCs w:val="24"/>
          <w:lang w:val="es-ES_tradnl"/>
        </w:rPr>
        <w:t xml:space="preserve">Avanzar con la reducción de </w:t>
      </w:r>
      <w:r w:rsidR="00E71184" w:rsidRPr="00E71184">
        <w:rPr>
          <w:rFonts w:ascii="Times New Roman" w:hAnsi="Times New Roman"/>
          <w:b/>
          <w:i/>
          <w:color w:val="000000"/>
          <w:sz w:val="24"/>
          <w:szCs w:val="24"/>
          <w:lang w:val="es-ES_tradnl"/>
        </w:rPr>
        <w:t>pérdidas</w:t>
      </w:r>
      <w:r w:rsidR="00E71184">
        <w:rPr>
          <w:rFonts w:ascii="Times New Roman" w:hAnsi="Times New Roman"/>
          <w:color w:val="000000"/>
          <w:sz w:val="24"/>
          <w:szCs w:val="24"/>
          <w:lang w:val="es-ES_tradnl"/>
        </w:rPr>
        <w:t xml:space="preserve">: </w:t>
      </w:r>
      <w:r w:rsidR="001952C1">
        <w:rPr>
          <w:rFonts w:ascii="Times New Roman" w:hAnsi="Times New Roman"/>
          <w:color w:val="000000"/>
          <w:sz w:val="24"/>
          <w:szCs w:val="24"/>
          <w:lang w:val="es-ES_tradnl"/>
        </w:rPr>
        <w:t xml:space="preserve">La reducción de pérdidas es un factor clave para la recuperación financiera de la ENEE. </w:t>
      </w:r>
      <w:r w:rsidR="00E71184">
        <w:rPr>
          <w:rFonts w:ascii="Times New Roman" w:hAnsi="Times New Roman"/>
          <w:color w:val="000000"/>
          <w:sz w:val="24"/>
          <w:szCs w:val="24"/>
          <w:lang w:val="es-ES_tradnl"/>
        </w:rPr>
        <w:t>El Gestor / inversionista tienen un gran desafío en lograr reducir las pérdidas totales de energía en los 7 años de gestión a niveles de 13.81% e incrementar los niveles de recaudo. Estos resultados son posibles de conseguir por trabajo coordinado con la ENEE, el Gobierno y de las inversiones que realice el operador. También es importante alcanzar un consenso en la tarifa mensual que la ENEE debe reconocer al consorcio por los servicios.</w:t>
      </w:r>
    </w:p>
    <w:p w14:paraId="752592DA" w14:textId="0405B06B" w:rsidR="00E71184" w:rsidRPr="00917652" w:rsidRDefault="00E71184" w:rsidP="001952C1">
      <w:pPr>
        <w:pStyle w:val="ListParagraph"/>
        <w:numPr>
          <w:ilvl w:val="0"/>
          <w:numId w:val="29"/>
        </w:numPr>
        <w:autoSpaceDE w:val="0"/>
        <w:autoSpaceDN w:val="0"/>
        <w:adjustRightInd w:val="0"/>
        <w:spacing w:after="240" w:line="240" w:lineRule="auto"/>
        <w:contextualSpacing w:val="0"/>
        <w:jc w:val="both"/>
        <w:rPr>
          <w:rFonts w:ascii="Times New Roman" w:hAnsi="Times New Roman"/>
          <w:color w:val="000000"/>
          <w:sz w:val="24"/>
          <w:szCs w:val="24"/>
          <w:lang w:val="es-ES_tradnl"/>
        </w:rPr>
      </w:pPr>
      <w:r w:rsidRPr="00E71184">
        <w:rPr>
          <w:rFonts w:ascii="Times New Roman" w:hAnsi="Times New Roman"/>
          <w:b/>
          <w:i/>
          <w:color w:val="000000"/>
          <w:sz w:val="24"/>
          <w:szCs w:val="24"/>
          <w:lang w:val="es-ES_tradnl"/>
        </w:rPr>
        <w:t>Avanzar con los proyectos de inversión en transmisión</w:t>
      </w:r>
      <w:r>
        <w:rPr>
          <w:rFonts w:ascii="Times New Roman" w:hAnsi="Times New Roman"/>
          <w:color w:val="000000"/>
          <w:sz w:val="24"/>
          <w:szCs w:val="24"/>
          <w:lang w:val="es-ES_tradnl"/>
        </w:rPr>
        <w:t xml:space="preserve"> y los requeridos de manera estratégica en generación de manera paralela al proceso de reforma del sector eléctrico con la finalidad de evitar mayores rezagos de inversión en transmisión, pero a la vez para apoyar a la mejora de la productividad a nivel nacional, apoyar al esfuerzo de reducción de pérdidas técnicas, de cumplimiento de compromisos con el Mercado Eléctrico regional y mejora de la infraestructura nacional para posibilitar que el despacho de energía se realice de manera económica </w:t>
      </w:r>
    </w:p>
    <w:p w14:paraId="44B52C71" w14:textId="4DE24510" w:rsidR="000E1650" w:rsidRDefault="000E1650" w:rsidP="001952C1">
      <w:pPr>
        <w:pStyle w:val="ListParagraph"/>
        <w:numPr>
          <w:ilvl w:val="0"/>
          <w:numId w:val="29"/>
        </w:numPr>
        <w:autoSpaceDE w:val="0"/>
        <w:autoSpaceDN w:val="0"/>
        <w:adjustRightInd w:val="0"/>
        <w:spacing w:after="240" w:line="240" w:lineRule="auto"/>
        <w:contextualSpacing w:val="0"/>
        <w:jc w:val="both"/>
        <w:rPr>
          <w:rFonts w:ascii="Times New Roman" w:hAnsi="Times New Roman"/>
          <w:color w:val="000000"/>
          <w:sz w:val="24"/>
          <w:szCs w:val="24"/>
          <w:lang w:val="es-ES_tradnl"/>
        </w:rPr>
      </w:pPr>
      <w:r w:rsidRPr="001952C1">
        <w:rPr>
          <w:rFonts w:ascii="Times New Roman" w:hAnsi="Times New Roman"/>
          <w:b/>
          <w:i/>
          <w:color w:val="000000"/>
          <w:sz w:val="24"/>
          <w:szCs w:val="24"/>
          <w:lang w:val="es-ES_tradnl"/>
        </w:rPr>
        <w:t xml:space="preserve">Incrementar la cobertura </w:t>
      </w:r>
      <w:r w:rsidR="00E71184" w:rsidRPr="001952C1">
        <w:rPr>
          <w:rFonts w:ascii="Times New Roman" w:hAnsi="Times New Roman"/>
          <w:b/>
          <w:i/>
          <w:color w:val="000000"/>
          <w:sz w:val="24"/>
          <w:szCs w:val="24"/>
          <w:lang w:val="es-ES_tradnl"/>
        </w:rPr>
        <w:t>eléctrica</w:t>
      </w:r>
      <w:r w:rsidR="00E71184">
        <w:rPr>
          <w:rFonts w:ascii="Times New Roman" w:hAnsi="Times New Roman"/>
          <w:color w:val="000000"/>
          <w:sz w:val="24"/>
          <w:szCs w:val="24"/>
          <w:lang w:val="es-ES_tradnl"/>
        </w:rPr>
        <w:t>: A raíz de la publicación del Censo 2015 se pone al descubierto un serio problema de falta de acceso de electricidad del país, ubicándolo en posiciones bajas en la región. Es importante evaluar el trabajo del Banco en este sector y apoyar en el marco de la nueva estrategia en el di</w:t>
      </w:r>
      <w:r w:rsidR="001952C1">
        <w:rPr>
          <w:rFonts w:ascii="Times New Roman" w:hAnsi="Times New Roman"/>
          <w:color w:val="000000"/>
          <w:sz w:val="24"/>
          <w:szCs w:val="24"/>
          <w:lang w:val="es-ES_tradnl"/>
        </w:rPr>
        <w:t>alogo para apoyar al Gobierno en su meta de acceso universal de electricidad.</w:t>
      </w:r>
    </w:p>
    <w:p w14:paraId="7C804D6D" w14:textId="580B598B" w:rsidR="001952C1" w:rsidRDefault="001952C1" w:rsidP="001952C1">
      <w:pPr>
        <w:pStyle w:val="ListParagraph"/>
        <w:numPr>
          <w:ilvl w:val="0"/>
          <w:numId w:val="29"/>
        </w:numPr>
        <w:autoSpaceDE w:val="0"/>
        <w:autoSpaceDN w:val="0"/>
        <w:adjustRightInd w:val="0"/>
        <w:spacing w:after="240" w:line="240" w:lineRule="auto"/>
        <w:contextualSpacing w:val="0"/>
        <w:jc w:val="both"/>
        <w:rPr>
          <w:rFonts w:ascii="Times New Roman" w:hAnsi="Times New Roman"/>
          <w:color w:val="000000"/>
          <w:sz w:val="24"/>
          <w:szCs w:val="24"/>
          <w:lang w:val="es-ES_tradnl"/>
        </w:rPr>
      </w:pPr>
      <w:r w:rsidRPr="001952C1">
        <w:rPr>
          <w:rFonts w:ascii="Times New Roman" w:hAnsi="Times New Roman"/>
          <w:b/>
          <w:i/>
          <w:color w:val="000000"/>
          <w:sz w:val="24"/>
          <w:szCs w:val="24"/>
          <w:lang w:val="es-ES_tradnl"/>
        </w:rPr>
        <w:t xml:space="preserve">Avanzar con procesos de licitación pública internacional competitivos para la compra de energía y potencia </w:t>
      </w:r>
      <w:r>
        <w:rPr>
          <w:rFonts w:ascii="Times New Roman" w:hAnsi="Times New Roman"/>
          <w:color w:val="000000"/>
          <w:sz w:val="24"/>
          <w:szCs w:val="24"/>
          <w:lang w:val="es-ES_tradnl"/>
        </w:rPr>
        <w:t>de contratos que vencen a finales 2017 e inicios de 2018 y para satisfacer las necesidades crecientes de energía en os próximos 5 años. Honduras puede aprovechar esta oportunidad para reducir los costos promedios de generación, diversificar su matriz de generación impulsando la introducción de gas natural, identificar una tecnología compatible para fortalecer la introducción de energía renovable variable y de utilización en otros sectores adicionales al eléctrico.</w:t>
      </w:r>
    </w:p>
    <w:p w14:paraId="46771E16" w14:textId="2A71DA28" w:rsidR="00375A0F" w:rsidRDefault="00375A0F" w:rsidP="001952C1">
      <w:pPr>
        <w:pStyle w:val="ListParagraph"/>
        <w:numPr>
          <w:ilvl w:val="0"/>
          <w:numId w:val="29"/>
        </w:numPr>
        <w:autoSpaceDE w:val="0"/>
        <w:autoSpaceDN w:val="0"/>
        <w:adjustRightInd w:val="0"/>
        <w:spacing w:after="240" w:line="240" w:lineRule="auto"/>
        <w:contextualSpacing w:val="0"/>
        <w:jc w:val="both"/>
        <w:rPr>
          <w:rFonts w:ascii="Times New Roman" w:hAnsi="Times New Roman"/>
          <w:color w:val="000000"/>
          <w:sz w:val="24"/>
          <w:szCs w:val="24"/>
          <w:lang w:val="es-ES_tradnl"/>
        </w:rPr>
      </w:pPr>
      <w:r w:rsidRPr="00375A0F">
        <w:rPr>
          <w:rFonts w:ascii="Times New Roman" w:hAnsi="Times New Roman"/>
          <w:b/>
          <w:i/>
          <w:color w:val="000000"/>
          <w:sz w:val="24"/>
          <w:szCs w:val="24"/>
          <w:lang w:val="es-ES_tradnl"/>
        </w:rPr>
        <w:t>Problemas sociales vinculados al desarrollo de proyectos hidroeléctricos</w:t>
      </w:r>
      <w:r>
        <w:rPr>
          <w:rFonts w:ascii="Times New Roman" w:hAnsi="Times New Roman"/>
          <w:color w:val="000000"/>
          <w:sz w:val="24"/>
          <w:szCs w:val="24"/>
          <w:lang w:val="es-ES_tradnl"/>
        </w:rPr>
        <w:t xml:space="preserve">: Honduras posee un excelente recurso hidroeléctrico, pero existen problemas sociales en el desarrollo de proyectos de generación eléctrica empleando el recurso hídrico realizado por actores privados. Esta problemática se intensifica en lugares con presencia de grupos indígenas. El país necesita desarrollar una estrategia para poder atender esta situación si busca mantener su programa de incremento en la participación de energía renovable en la matriz de generación. </w:t>
      </w:r>
    </w:p>
    <w:p w14:paraId="1C576049" w14:textId="6E482CBD" w:rsidR="00BE45C1" w:rsidRPr="00917652" w:rsidRDefault="00BE45C1" w:rsidP="001952C1">
      <w:pPr>
        <w:pStyle w:val="ListParagraph"/>
        <w:numPr>
          <w:ilvl w:val="0"/>
          <w:numId w:val="29"/>
        </w:numPr>
        <w:autoSpaceDE w:val="0"/>
        <w:autoSpaceDN w:val="0"/>
        <w:adjustRightInd w:val="0"/>
        <w:spacing w:after="240" w:line="240" w:lineRule="auto"/>
        <w:contextualSpacing w:val="0"/>
        <w:jc w:val="both"/>
        <w:rPr>
          <w:rFonts w:ascii="Times New Roman" w:hAnsi="Times New Roman"/>
          <w:color w:val="000000"/>
          <w:sz w:val="24"/>
          <w:szCs w:val="24"/>
          <w:lang w:val="es-ES_tradnl"/>
        </w:rPr>
      </w:pPr>
      <w:r w:rsidRPr="00375A0F">
        <w:rPr>
          <w:rFonts w:ascii="Times New Roman" w:hAnsi="Times New Roman"/>
          <w:b/>
          <w:i/>
          <w:color w:val="000000"/>
          <w:sz w:val="24"/>
          <w:szCs w:val="24"/>
          <w:lang w:val="es-ES_tradnl"/>
        </w:rPr>
        <w:t xml:space="preserve">Sostenibilidad de acciones con el cambio de </w:t>
      </w:r>
      <w:r w:rsidR="00375A0F">
        <w:rPr>
          <w:rFonts w:ascii="Times New Roman" w:hAnsi="Times New Roman"/>
          <w:b/>
          <w:i/>
          <w:color w:val="000000"/>
          <w:sz w:val="24"/>
          <w:szCs w:val="24"/>
          <w:lang w:val="es-ES_tradnl"/>
        </w:rPr>
        <w:t>P</w:t>
      </w:r>
      <w:r w:rsidRPr="00375A0F">
        <w:rPr>
          <w:rFonts w:ascii="Times New Roman" w:hAnsi="Times New Roman"/>
          <w:b/>
          <w:i/>
          <w:color w:val="000000"/>
          <w:sz w:val="24"/>
          <w:szCs w:val="24"/>
          <w:lang w:val="es-ES_tradnl"/>
        </w:rPr>
        <w:t>eriodo Presidencial</w:t>
      </w:r>
      <w:r>
        <w:rPr>
          <w:rFonts w:ascii="Times New Roman" w:hAnsi="Times New Roman"/>
          <w:color w:val="000000"/>
          <w:sz w:val="24"/>
          <w:szCs w:val="24"/>
          <w:lang w:val="es-ES_tradnl"/>
        </w:rPr>
        <w:t xml:space="preserve">. En enero 2018 se termina el periodo Presidencial. El proceso de reforma en el sector ha sido impulsado por la presente administración, y muchas de las acciones tomadas que han demostrado responsabilidad fiscal </w:t>
      </w:r>
      <w:r w:rsidR="00375A0F">
        <w:rPr>
          <w:rFonts w:ascii="Times New Roman" w:hAnsi="Times New Roman"/>
          <w:color w:val="000000"/>
          <w:sz w:val="24"/>
          <w:szCs w:val="24"/>
          <w:lang w:val="es-ES_tradnl"/>
        </w:rPr>
        <w:t xml:space="preserve">pero </w:t>
      </w:r>
      <w:r>
        <w:rPr>
          <w:rFonts w:ascii="Times New Roman" w:hAnsi="Times New Roman"/>
          <w:color w:val="000000"/>
          <w:sz w:val="24"/>
          <w:szCs w:val="24"/>
          <w:lang w:val="es-ES_tradnl"/>
        </w:rPr>
        <w:t xml:space="preserve">no son políticas. </w:t>
      </w:r>
    </w:p>
    <w:sectPr w:rsidR="00BE45C1" w:rsidRPr="00917652" w:rsidSect="005C4BF2">
      <w:footerReference w:type="default" r:id="rId10"/>
      <w:pgSz w:w="12240" w:h="15840"/>
      <w:pgMar w:top="990" w:right="1152" w:bottom="1350" w:left="1152" w:header="720" w:footer="3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13A79" w14:textId="77777777" w:rsidR="00450A22" w:rsidRDefault="00450A22" w:rsidP="00450A22">
      <w:pPr>
        <w:spacing w:after="0" w:line="240" w:lineRule="auto"/>
      </w:pPr>
      <w:r>
        <w:separator/>
      </w:r>
    </w:p>
  </w:endnote>
  <w:endnote w:type="continuationSeparator" w:id="0">
    <w:p w14:paraId="33213A7A" w14:textId="77777777" w:rsidR="00450A22" w:rsidRDefault="00450A22" w:rsidP="00450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Arial"/>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4082649"/>
      <w:docPartObj>
        <w:docPartGallery w:val="Page Numbers (Bottom of Page)"/>
        <w:docPartUnique/>
      </w:docPartObj>
    </w:sdtPr>
    <w:sdtEndPr>
      <w:rPr>
        <w:noProof/>
        <w:sz w:val="18"/>
        <w:szCs w:val="18"/>
      </w:rPr>
    </w:sdtEndPr>
    <w:sdtContent>
      <w:p w14:paraId="33213A7B" w14:textId="77777777" w:rsidR="00FF125A" w:rsidRDefault="00FF125A">
        <w:pPr>
          <w:pStyle w:val="Footer"/>
          <w:jc w:val="right"/>
        </w:pPr>
      </w:p>
      <w:p w14:paraId="33213A7C" w14:textId="34FC9A94" w:rsidR="00FF125A" w:rsidRPr="009A5FA3" w:rsidRDefault="009A5FA3">
        <w:pPr>
          <w:pStyle w:val="Footer"/>
          <w:jc w:val="right"/>
          <w:rPr>
            <w:sz w:val="18"/>
            <w:szCs w:val="18"/>
          </w:rPr>
        </w:pPr>
        <w:r w:rsidRPr="009A5FA3">
          <w:rPr>
            <w:sz w:val="18"/>
            <w:szCs w:val="18"/>
          </w:rPr>
          <w:t xml:space="preserve">INE/ENE – </w:t>
        </w:r>
        <w:r w:rsidR="000E05CC">
          <w:rPr>
            <w:sz w:val="18"/>
            <w:szCs w:val="18"/>
          </w:rPr>
          <w:t>Mayo</w:t>
        </w:r>
        <w:r w:rsidRPr="009A5FA3">
          <w:rPr>
            <w:sz w:val="18"/>
            <w:szCs w:val="18"/>
          </w:rPr>
          <w:t>/</w:t>
        </w:r>
        <w:r>
          <w:rPr>
            <w:sz w:val="18"/>
            <w:szCs w:val="18"/>
          </w:rPr>
          <w:t>201</w:t>
        </w:r>
        <w:r w:rsidR="000E05CC">
          <w:rPr>
            <w:sz w:val="18"/>
            <w:szCs w:val="18"/>
          </w:rPr>
          <w:t>7</w:t>
        </w:r>
        <w:r w:rsidRPr="009A5FA3">
          <w:rPr>
            <w:sz w:val="18"/>
            <w:szCs w:val="18"/>
          </w:rPr>
          <w:tab/>
        </w:r>
        <w:r w:rsidRPr="009A5FA3">
          <w:rPr>
            <w:sz w:val="18"/>
            <w:szCs w:val="18"/>
          </w:rPr>
          <w:tab/>
        </w:r>
        <w:r w:rsidRPr="009A5FA3">
          <w:rPr>
            <w:sz w:val="18"/>
            <w:szCs w:val="18"/>
          </w:rPr>
          <w:tab/>
        </w:r>
        <w:r w:rsidR="00FF125A" w:rsidRPr="009A5FA3">
          <w:rPr>
            <w:sz w:val="18"/>
            <w:szCs w:val="18"/>
          </w:rPr>
          <w:fldChar w:fldCharType="begin"/>
        </w:r>
        <w:r w:rsidR="00FF125A" w:rsidRPr="009A5FA3">
          <w:rPr>
            <w:sz w:val="18"/>
            <w:szCs w:val="18"/>
          </w:rPr>
          <w:instrText xml:space="preserve"> PAGE   \* MERGEFORMAT </w:instrText>
        </w:r>
        <w:r w:rsidR="00FF125A" w:rsidRPr="009A5FA3">
          <w:rPr>
            <w:sz w:val="18"/>
            <w:szCs w:val="18"/>
          </w:rPr>
          <w:fldChar w:fldCharType="separate"/>
        </w:r>
        <w:r w:rsidR="00375A0F">
          <w:rPr>
            <w:noProof/>
            <w:sz w:val="18"/>
            <w:szCs w:val="18"/>
          </w:rPr>
          <w:t>2</w:t>
        </w:r>
        <w:r w:rsidR="00FF125A" w:rsidRPr="009A5FA3">
          <w:rPr>
            <w:noProof/>
            <w:sz w:val="18"/>
            <w:szCs w:val="18"/>
          </w:rPr>
          <w:fldChar w:fldCharType="end"/>
        </w:r>
      </w:p>
    </w:sdtContent>
  </w:sdt>
  <w:p w14:paraId="33213A7D" w14:textId="77777777" w:rsidR="00972400" w:rsidRDefault="00972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13A77" w14:textId="77777777" w:rsidR="00450A22" w:rsidRDefault="00450A22" w:rsidP="00450A22">
      <w:pPr>
        <w:spacing w:after="0" w:line="240" w:lineRule="auto"/>
      </w:pPr>
      <w:r>
        <w:separator/>
      </w:r>
    </w:p>
  </w:footnote>
  <w:footnote w:type="continuationSeparator" w:id="0">
    <w:p w14:paraId="33213A78" w14:textId="77777777" w:rsidR="00450A22" w:rsidRDefault="00450A22" w:rsidP="00450A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55F"/>
    <w:multiLevelType w:val="hybridMultilevel"/>
    <w:tmpl w:val="033EB4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D07C0"/>
    <w:multiLevelType w:val="hybridMultilevel"/>
    <w:tmpl w:val="F24A8D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70757"/>
    <w:multiLevelType w:val="hybridMultilevel"/>
    <w:tmpl w:val="AA04FFF8"/>
    <w:lvl w:ilvl="0" w:tplc="65E803A4">
      <w:start w:val="1"/>
      <w:numFmt w:val="bullet"/>
      <w:lvlText w:val="•"/>
      <w:lvlJc w:val="left"/>
      <w:pPr>
        <w:tabs>
          <w:tab w:val="num" w:pos="720"/>
        </w:tabs>
        <w:ind w:left="720" w:hanging="360"/>
      </w:pPr>
      <w:rPr>
        <w:rFonts w:ascii="Arial" w:hAnsi="Arial" w:hint="default"/>
      </w:rPr>
    </w:lvl>
    <w:lvl w:ilvl="1" w:tplc="0B003C24" w:tentative="1">
      <w:start w:val="1"/>
      <w:numFmt w:val="bullet"/>
      <w:lvlText w:val="•"/>
      <w:lvlJc w:val="left"/>
      <w:pPr>
        <w:tabs>
          <w:tab w:val="num" w:pos="1440"/>
        </w:tabs>
        <w:ind w:left="1440" w:hanging="360"/>
      </w:pPr>
      <w:rPr>
        <w:rFonts w:ascii="Arial" w:hAnsi="Arial" w:hint="default"/>
      </w:rPr>
    </w:lvl>
    <w:lvl w:ilvl="2" w:tplc="83049C9C" w:tentative="1">
      <w:start w:val="1"/>
      <w:numFmt w:val="bullet"/>
      <w:lvlText w:val="•"/>
      <w:lvlJc w:val="left"/>
      <w:pPr>
        <w:tabs>
          <w:tab w:val="num" w:pos="2160"/>
        </w:tabs>
        <w:ind w:left="2160" w:hanging="360"/>
      </w:pPr>
      <w:rPr>
        <w:rFonts w:ascii="Arial" w:hAnsi="Arial" w:hint="default"/>
      </w:rPr>
    </w:lvl>
    <w:lvl w:ilvl="3" w:tplc="B5841E92" w:tentative="1">
      <w:start w:val="1"/>
      <w:numFmt w:val="bullet"/>
      <w:lvlText w:val="•"/>
      <w:lvlJc w:val="left"/>
      <w:pPr>
        <w:tabs>
          <w:tab w:val="num" w:pos="2880"/>
        </w:tabs>
        <w:ind w:left="2880" w:hanging="360"/>
      </w:pPr>
      <w:rPr>
        <w:rFonts w:ascii="Arial" w:hAnsi="Arial" w:hint="default"/>
      </w:rPr>
    </w:lvl>
    <w:lvl w:ilvl="4" w:tplc="11EE20DA" w:tentative="1">
      <w:start w:val="1"/>
      <w:numFmt w:val="bullet"/>
      <w:lvlText w:val="•"/>
      <w:lvlJc w:val="left"/>
      <w:pPr>
        <w:tabs>
          <w:tab w:val="num" w:pos="3600"/>
        </w:tabs>
        <w:ind w:left="3600" w:hanging="360"/>
      </w:pPr>
      <w:rPr>
        <w:rFonts w:ascii="Arial" w:hAnsi="Arial" w:hint="default"/>
      </w:rPr>
    </w:lvl>
    <w:lvl w:ilvl="5" w:tplc="ABE61CFA" w:tentative="1">
      <w:start w:val="1"/>
      <w:numFmt w:val="bullet"/>
      <w:lvlText w:val="•"/>
      <w:lvlJc w:val="left"/>
      <w:pPr>
        <w:tabs>
          <w:tab w:val="num" w:pos="4320"/>
        </w:tabs>
        <w:ind w:left="4320" w:hanging="360"/>
      </w:pPr>
      <w:rPr>
        <w:rFonts w:ascii="Arial" w:hAnsi="Arial" w:hint="default"/>
      </w:rPr>
    </w:lvl>
    <w:lvl w:ilvl="6" w:tplc="22127350" w:tentative="1">
      <w:start w:val="1"/>
      <w:numFmt w:val="bullet"/>
      <w:lvlText w:val="•"/>
      <w:lvlJc w:val="left"/>
      <w:pPr>
        <w:tabs>
          <w:tab w:val="num" w:pos="5040"/>
        </w:tabs>
        <w:ind w:left="5040" w:hanging="360"/>
      </w:pPr>
      <w:rPr>
        <w:rFonts w:ascii="Arial" w:hAnsi="Arial" w:hint="default"/>
      </w:rPr>
    </w:lvl>
    <w:lvl w:ilvl="7" w:tplc="3586C19C" w:tentative="1">
      <w:start w:val="1"/>
      <w:numFmt w:val="bullet"/>
      <w:lvlText w:val="•"/>
      <w:lvlJc w:val="left"/>
      <w:pPr>
        <w:tabs>
          <w:tab w:val="num" w:pos="5760"/>
        </w:tabs>
        <w:ind w:left="5760" w:hanging="360"/>
      </w:pPr>
      <w:rPr>
        <w:rFonts w:ascii="Arial" w:hAnsi="Arial" w:hint="default"/>
      </w:rPr>
    </w:lvl>
    <w:lvl w:ilvl="8" w:tplc="F056AA9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230C25"/>
    <w:multiLevelType w:val="hybridMultilevel"/>
    <w:tmpl w:val="3F7250FC"/>
    <w:lvl w:ilvl="0" w:tplc="5D3AE15E">
      <w:start w:val="1"/>
      <w:numFmt w:val="bullet"/>
      <w:lvlText w:val="•"/>
      <w:lvlJc w:val="left"/>
      <w:pPr>
        <w:tabs>
          <w:tab w:val="num" w:pos="720"/>
        </w:tabs>
        <w:ind w:left="720" w:hanging="360"/>
      </w:pPr>
      <w:rPr>
        <w:rFonts w:ascii="Arial" w:hAnsi="Arial" w:hint="default"/>
      </w:rPr>
    </w:lvl>
    <w:lvl w:ilvl="1" w:tplc="773252C4" w:tentative="1">
      <w:start w:val="1"/>
      <w:numFmt w:val="bullet"/>
      <w:lvlText w:val="•"/>
      <w:lvlJc w:val="left"/>
      <w:pPr>
        <w:tabs>
          <w:tab w:val="num" w:pos="1440"/>
        </w:tabs>
        <w:ind w:left="1440" w:hanging="360"/>
      </w:pPr>
      <w:rPr>
        <w:rFonts w:ascii="Arial" w:hAnsi="Arial" w:hint="default"/>
      </w:rPr>
    </w:lvl>
    <w:lvl w:ilvl="2" w:tplc="9E025638" w:tentative="1">
      <w:start w:val="1"/>
      <w:numFmt w:val="bullet"/>
      <w:lvlText w:val="•"/>
      <w:lvlJc w:val="left"/>
      <w:pPr>
        <w:tabs>
          <w:tab w:val="num" w:pos="2160"/>
        </w:tabs>
        <w:ind w:left="2160" w:hanging="360"/>
      </w:pPr>
      <w:rPr>
        <w:rFonts w:ascii="Arial" w:hAnsi="Arial" w:hint="default"/>
      </w:rPr>
    </w:lvl>
    <w:lvl w:ilvl="3" w:tplc="FA16D802" w:tentative="1">
      <w:start w:val="1"/>
      <w:numFmt w:val="bullet"/>
      <w:lvlText w:val="•"/>
      <w:lvlJc w:val="left"/>
      <w:pPr>
        <w:tabs>
          <w:tab w:val="num" w:pos="2880"/>
        </w:tabs>
        <w:ind w:left="2880" w:hanging="360"/>
      </w:pPr>
      <w:rPr>
        <w:rFonts w:ascii="Arial" w:hAnsi="Arial" w:hint="default"/>
      </w:rPr>
    </w:lvl>
    <w:lvl w:ilvl="4" w:tplc="650AA390" w:tentative="1">
      <w:start w:val="1"/>
      <w:numFmt w:val="bullet"/>
      <w:lvlText w:val="•"/>
      <w:lvlJc w:val="left"/>
      <w:pPr>
        <w:tabs>
          <w:tab w:val="num" w:pos="3600"/>
        </w:tabs>
        <w:ind w:left="3600" w:hanging="360"/>
      </w:pPr>
      <w:rPr>
        <w:rFonts w:ascii="Arial" w:hAnsi="Arial" w:hint="default"/>
      </w:rPr>
    </w:lvl>
    <w:lvl w:ilvl="5" w:tplc="41BC2AD8" w:tentative="1">
      <w:start w:val="1"/>
      <w:numFmt w:val="bullet"/>
      <w:lvlText w:val="•"/>
      <w:lvlJc w:val="left"/>
      <w:pPr>
        <w:tabs>
          <w:tab w:val="num" w:pos="4320"/>
        </w:tabs>
        <w:ind w:left="4320" w:hanging="360"/>
      </w:pPr>
      <w:rPr>
        <w:rFonts w:ascii="Arial" w:hAnsi="Arial" w:hint="default"/>
      </w:rPr>
    </w:lvl>
    <w:lvl w:ilvl="6" w:tplc="2E1A2886" w:tentative="1">
      <w:start w:val="1"/>
      <w:numFmt w:val="bullet"/>
      <w:lvlText w:val="•"/>
      <w:lvlJc w:val="left"/>
      <w:pPr>
        <w:tabs>
          <w:tab w:val="num" w:pos="5040"/>
        </w:tabs>
        <w:ind w:left="5040" w:hanging="360"/>
      </w:pPr>
      <w:rPr>
        <w:rFonts w:ascii="Arial" w:hAnsi="Arial" w:hint="default"/>
      </w:rPr>
    </w:lvl>
    <w:lvl w:ilvl="7" w:tplc="1DF0FC94" w:tentative="1">
      <w:start w:val="1"/>
      <w:numFmt w:val="bullet"/>
      <w:lvlText w:val="•"/>
      <w:lvlJc w:val="left"/>
      <w:pPr>
        <w:tabs>
          <w:tab w:val="num" w:pos="5760"/>
        </w:tabs>
        <w:ind w:left="5760" w:hanging="360"/>
      </w:pPr>
      <w:rPr>
        <w:rFonts w:ascii="Arial" w:hAnsi="Arial" w:hint="default"/>
      </w:rPr>
    </w:lvl>
    <w:lvl w:ilvl="8" w:tplc="42D8EBE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283487"/>
    <w:multiLevelType w:val="hybridMultilevel"/>
    <w:tmpl w:val="A18AA0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642777"/>
    <w:multiLevelType w:val="hybridMultilevel"/>
    <w:tmpl w:val="59CC57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24AC5"/>
    <w:multiLevelType w:val="hybridMultilevel"/>
    <w:tmpl w:val="4150305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243571"/>
    <w:multiLevelType w:val="hybridMultilevel"/>
    <w:tmpl w:val="FEDCE690"/>
    <w:lvl w:ilvl="0" w:tplc="04090019">
      <w:start w:val="1"/>
      <w:numFmt w:val="lowerLetter"/>
      <w:lvlText w:val="%1."/>
      <w:lvlJc w:val="left"/>
      <w:pPr>
        <w:ind w:left="360" w:hanging="360"/>
      </w:pPr>
    </w:lvl>
    <w:lvl w:ilvl="1" w:tplc="EB4C849A">
      <w:start w:val="1"/>
      <w:numFmt w:val="lowerRoman"/>
      <w:lvlText w:val="%2)"/>
      <w:lvlJc w:val="left"/>
      <w:pPr>
        <w:ind w:left="108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0F6113"/>
    <w:multiLevelType w:val="hybridMultilevel"/>
    <w:tmpl w:val="0DB098D2"/>
    <w:lvl w:ilvl="0" w:tplc="EB4C849A">
      <w:start w:val="1"/>
      <w:numFmt w:val="lowerRoman"/>
      <w:lvlText w:val="%1)"/>
      <w:lvlJc w:val="left"/>
      <w:pPr>
        <w:ind w:left="216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51603BA"/>
    <w:multiLevelType w:val="hybridMultilevel"/>
    <w:tmpl w:val="40D6AF76"/>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0" w15:restartNumberingAfterBreak="0">
    <w:nsid w:val="25D92362"/>
    <w:multiLevelType w:val="hybridMultilevel"/>
    <w:tmpl w:val="235859EA"/>
    <w:lvl w:ilvl="0" w:tplc="5D24880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6070601"/>
    <w:multiLevelType w:val="hybridMultilevel"/>
    <w:tmpl w:val="EAE4C76E"/>
    <w:lvl w:ilvl="0" w:tplc="EB4C849A">
      <w:start w:val="1"/>
      <w:numFmt w:val="lowerRoman"/>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A5379FA"/>
    <w:multiLevelType w:val="hybridMultilevel"/>
    <w:tmpl w:val="0C068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324907"/>
    <w:multiLevelType w:val="hybridMultilevel"/>
    <w:tmpl w:val="C9601BCA"/>
    <w:lvl w:ilvl="0" w:tplc="EB4C849A">
      <w:start w:val="1"/>
      <w:numFmt w:val="lowerRoman"/>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31C31"/>
    <w:multiLevelType w:val="hybridMultilevel"/>
    <w:tmpl w:val="1BA62C40"/>
    <w:lvl w:ilvl="0" w:tplc="30582A10">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5" w15:restartNumberingAfterBreak="0">
    <w:nsid w:val="39484B70"/>
    <w:multiLevelType w:val="hybridMultilevel"/>
    <w:tmpl w:val="9E9EB14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FF38BA"/>
    <w:multiLevelType w:val="hybridMultilevel"/>
    <w:tmpl w:val="22E6313A"/>
    <w:lvl w:ilvl="0" w:tplc="EB4C849A">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5420AA"/>
    <w:multiLevelType w:val="hybridMultilevel"/>
    <w:tmpl w:val="020A768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3C08C5"/>
    <w:multiLevelType w:val="hybridMultilevel"/>
    <w:tmpl w:val="8026BA48"/>
    <w:lvl w:ilvl="0" w:tplc="9E1C27A0">
      <w:start w:val="1"/>
      <w:numFmt w:val="lowerRoman"/>
      <w:lvlText w:val="%1)"/>
      <w:lvlJc w:val="left"/>
      <w:pPr>
        <w:ind w:left="1440" w:hanging="72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D37144"/>
    <w:multiLevelType w:val="hybridMultilevel"/>
    <w:tmpl w:val="2662E2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FF29B7"/>
    <w:multiLevelType w:val="hybridMultilevel"/>
    <w:tmpl w:val="0DB098D2"/>
    <w:lvl w:ilvl="0" w:tplc="EB4C849A">
      <w:start w:val="1"/>
      <w:numFmt w:val="lowerRoman"/>
      <w:lvlText w:val="%1)"/>
      <w:lvlJc w:val="left"/>
      <w:pPr>
        <w:ind w:left="216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6C47048"/>
    <w:multiLevelType w:val="hybridMultilevel"/>
    <w:tmpl w:val="B9965428"/>
    <w:lvl w:ilvl="0" w:tplc="EB4C849A">
      <w:start w:val="1"/>
      <w:numFmt w:val="lowerRoman"/>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475B12"/>
    <w:multiLevelType w:val="hybridMultilevel"/>
    <w:tmpl w:val="00C4A7A8"/>
    <w:lvl w:ilvl="0" w:tplc="EB4C849A">
      <w:start w:val="1"/>
      <w:numFmt w:val="lowerRoman"/>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C933580"/>
    <w:multiLevelType w:val="hybridMultilevel"/>
    <w:tmpl w:val="3D60F46C"/>
    <w:lvl w:ilvl="0" w:tplc="EB4C849A">
      <w:start w:val="1"/>
      <w:numFmt w:val="lowerRoman"/>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3C0F43"/>
    <w:multiLevelType w:val="hybridMultilevel"/>
    <w:tmpl w:val="868ACC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D77665"/>
    <w:multiLevelType w:val="hybridMultilevel"/>
    <w:tmpl w:val="AB7C65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73409BF"/>
    <w:multiLevelType w:val="hybridMultilevel"/>
    <w:tmpl w:val="399A5290"/>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8DE6B3F"/>
    <w:multiLevelType w:val="hybridMultilevel"/>
    <w:tmpl w:val="4100064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9708FA"/>
    <w:multiLevelType w:val="hybridMultilevel"/>
    <w:tmpl w:val="4150305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7"/>
  </w:num>
  <w:num w:numId="3">
    <w:abstractNumId w:val="12"/>
  </w:num>
  <w:num w:numId="4">
    <w:abstractNumId w:val="1"/>
  </w:num>
  <w:num w:numId="5">
    <w:abstractNumId w:val="18"/>
  </w:num>
  <w:num w:numId="6">
    <w:abstractNumId w:val="14"/>
  </w:num>
  <w:num w:numId="7">
    <w:abstractNumId w:val="4"/>
  </w:num>
  <w:num w:numId="8">
    <w:abstractNumId w:val="26"/>
  </w:num>
  <w:num w:numId="9">
    <w:abstractNumId w:val="17"/>
  </w:num>
  <w:num w:numId="10">
    <w:abstractNumId w:val="15"/>
  </w:num>
  <w:num w:numId="11">
    <w:abstractNumId w:val="7"/>
  </w:num>
  <w:num w:numId="12">
    <w:abstractNumId w:val="11"/>
  </w:num>
  <w:num w:numId="13">
    <w:abstractNumId w:val="5"/>
  </w:num>
  <w:num w:numId="14">
    <w:abstractNumId w:val="19"/>
  </w:num>
  <w:num w:numId="15">
    <w:abstractNumId w:val="25"/>
  </w:num>
  <w:num w:numId="16">
    <w:abstractNumId w:val="24"/>
  </w:num>
  <w:num w:numId="17">
    <w:abstractNumId w:val="22"/>
  </w:num>
  <w:num w:numId="18">
    <w:abstractNumId w:val="13"/>
  </w:num>
  <w:num w:numId="19">
    <w:abstractNumId w:val="28"/>
  </w:num>
  <w:num w:numId="20">
    <w:abstractNumId w:val="2"/>
  </w:num>
  <w:num w:numId="21">
    <w:abstractNumId w:val="9"/>
  </w:num>
  <w:num w:numId="22">
    <w:abstractNumId w:val="21"/>
  </w:num>
  <w:num w:numId="23">
    <w:abstractNumId w:val="23"/>
  </w:num>
  <w:num w:numId="24">
    <w:abstractNumId w:val="3"/>
  </w:num>
  <w:num w:numId="25">
    <w:abstractNumId w:val="20"/>
  </w:num>
  <w:num w:numId="26">
    <w:abstractNumId w:val="10"/>
  </w:num>
  <w:num w:numId="27">
    <w:abstractNumId w:val="8"/>
  </w:num>
  <w:num w:numId="28">
    <w:abstractNumId w:val="6"/>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6BA"/>
    <w:rsid w:val="0003281E"/>
    <w:rsid w:val="0006272F"/>
    <w:rsid w:val="0007268D"/>
    <w:rsid w:val="00074C6C"/>
    <w:rsid w:val="00074FC3"/>
    <w:rsid w:val="00085D2A"/>
    <w:rsid w:val="0009088F"/>
    <w:rsid w:val="000967EF"/>
    <w:rsid w:val="000C0185"/>
    <w:rsid w:val="000C3839"/>
    <w:rsid w:val="000D2BF3"/>
    <w:rsid w:val="000E05CC"/>
    <w:rsid w:val="000E1650"/>
    <w:rsid w:val="001106A4"/>
    <w:rsid w:val="00114FDC"/>
    <w:rsid w:val="00131E93"/>
    <w:rsid w:val="0014461E"/>
    <w:rsid w:val="00156516"/>
    <w:rsid w:val="001642E5"/>
    <w:rsid w:val="001758AF"/>
    <w:rsid w:val="00180BC4"/>
    <w:rsid w:val="00186DE6"/>
    <w:rsid w:val="00190091"/>
    <w:rsid w:val="001952C1"/>
    <w:rsid w:val="0019582B"/>
    <w:rsid w:val="001A54D6"/>
    <w:rsid w:val="001B6F68"/>
    <w:rsid w:val="001D13AD"/>
    <w:rsid w:val="001E1531"/>
    <w:rsid w:val="001E2813"/>
    <w:rsid w:val="001F2D7F"/>
    <w:rsid w:val="0020229C"/>
    <w:rsid w:val="00206E50"/>
    <w:rsid w:val="00213CBF"/>
    <w:rsid w:val="002464DF"/>
    <w:rsid w:val="002813EA"/>
    <w:rsid w:val="00283478"/>
    <w:rsid w:val="002843ED"/>
    <w:rsid w:val="002A2155"/>
    <w:rsid w:val="002D243D"/>
    <w:rsid w:val="002E2441"/>
    <w:rsid w:val="002E4E05"/>
    <w:rsid w:val="00333263"/>
    <w:rsid w:val="003406D5"/>
    <w:rsid w:val="00340C1A"/>
    <w:rsid w:val="00345F2E"/>
    <w:rsid w:val="003575A8"/>
    <w:rsid w:val="00372496"/>
    <w:rsid w:val="00375A0F"/>
    <w:rsid w:val="00380F65"/>
    <w:rsid w:val="00384A91"/>
    <w:rsid w:val="003A5E59"/>
    <w:rsid w:val="003B223C"/>
    <w:rsid w:val="003B7460"/>
    <w:rsid w:val="003C1F59"/>
    <w:rsid w:val="003D0945"/>
    <w:rsid w:val="003E54F7"/>
    <w:rsid w:val="003E789B"/>
    <w:rsid w:val="00415608"/>
    <w:rsid w:val="00417F4E"/>
    <w:rsid w:val="00436628"/>
    <w:rsid w:val="00447A52"/>
    <w:rsid w:val="00447E25"/>
    <w:rsid w:val="00450A22"/>
    <w:rsid w:val="004533B8"/>
    <w:rsid w:val="00457BC5"/>
    <w:rsid w:val="00473931"/>
    <w:rsid w:val="00473B43"/>
    <w:rsid w:val="004A0A36"/>
    <w:rsid w:val="004A261C"/>
    <w:rsid w:val="004A60EE"/>
    <w:rsid w:val="004B7562"/>
    <w:rsid w:val="004D083D"/>
    <w:rsid w:val="004D5202"/>
    <w:rsid w:val="004E5B47"/>
    <w:rsid w:val="004E6FDC"/>
    <w:rsid w:val="004F71E9"/>
    <w:rsid w:val="00525287"/>
    <w:rsid w:val="00546569"/>
    <w:rsid w:val="005525BD"/>
    <w:rsid w:val="005549E2"/>
    <w:rsid w:val="00556C57"/>
    <w:rsid w:val="00571AB4"/>
    <w:rsid w:val="005731CF"/>
    <w:rsid w:val="005775C2"/>
    <w:rsid w:val="005843A3"/>
    <w:rsid w:val="005856CE"/>
    <w:rsid w:val="005B0C32"/>
    <w:rsid w:val="005C4BF2"/>
    <w:rsid w:val="005E7C7D"/>
    <w:rsid w:val="005E7D61"/>
    <w:rsid w:val="00627FB0"/>
    <w:rsid w:val="00636E12"/>
    <w:rsid w:val="00665626"/>
    <w:rsid w:val="006A33DF"/>
    <w:rsid w:val="006E3F1C"/>
    <w:rsid w:val="006F062C"/>
    <w:rsid w:val="00711491"/>
    <w:rsid w:val="00723EE3"/>
    <w:rsid w:val="00725A66"/>
    <w:rsid w:val="00730BB2"/>
    <w:rsid w:val="0075384A"/>
    <w:rsid w:val="00756B3C"/>
    <w:rsid w:val="00761922"/>
    <w:rsid w:val="0077584A"/>
    <w:rsid w:val="00781776"/>
    <w:rsid w:val="007B350C"/>
    <w:rsid w:val="007D3A8E"/>
    <w:rsid w:val="007E4066"/>
    <w:rsid w:val="00831C0F"/>
    <w:rsid w:val="008475F0"/>
    <w:rsid w:val="00855804"/>
    <w:rsid w:val="00865BCC"/>
    <w:rsid w:val="008765BE"/>
    <w:rsid w:val="00891716"/>
    <w:rsid w:val="008B41B2"/>
    <w:rsid w:val="008E092B"/>
    <w:rsid w:val="008E4FE8"/>
    <w:rsid w:val="00917652"/>
    <w:rsid w:val="00925CD9"/>
    <w:rsid w:val="00935CDE"/>
    <w:rsid w:val="00942D0B"/>
    <w:rsid w:val="0094490C"/>
    <w:rsid w:val="009451AB"/>
    <w:rsid w:val="009570FD"/>
    <w:rsid w:val="00972400"/>
    <w:rsid w:val="009869E4"/>
    <w:rsid w:val="009A5FA3"/>
    <w:rsid w:val="009C2722"/>
    <w:rsid w:val="009C3987"/>
    <w:rsid w:val="009C69BB"/>
    <w:rsid w:val="009C6D0C"/>
    <w:rsid w:val="009D3D82"/>
    <w:rsid w:val="009E5666"/>
    <w:rsid w:val="009E67A1"/>
    <w:rsid w:val="00A01097"/>
    <w:rsid w:val="00A04DDC"/>
    <w:rsid w:val="00A27FAF"/>
    <w:rsid w:val="00A3399E"/>
    <w:rsid w:val="00A5466A"/>
    <w:rsid w:val="00A54DCE"/>
    <w:rsid w:val="00A55824"/>
    <w:rsid w:val="00A76CF4"/>
    <w:rsid w:val="00A85429"/>
    <w:rsid w:val="00A910DB"/>
    <w:rsid w:val="00A964BC"/>
    <w:rsid w:val="00AB4AEA"/>
    <w:rsid w:val="00AB5BAD"/>
    <w:rsid w:val="00AC134E"/>
    <w:rsid w:val="00AF2DBD"/>
    <w:rsid w:val="00AF6F81"/>
    <w:rsid w:val="00AF7CED"/>
    <w:rsid w:val="00B01EC0"/>
    <w:rsid w:val="00B04E0D"/>
    <w:rsid w:val="00B15C66"/>
    <w:rsid w:val="00B20927"/>
    <w:rsid w:val="00B42C23"/>
    <w:rsid w:val="00B43F80"/>
    <w:rsid w:val="00B73A95"/>
    <w:rsid w:val="00B87DDA"/>
    <w:rsid w:val="00B933E5"/>
    <w:rsid w:val="00B967CF"/>
    <w:rsid w:val="00BC58FA"/>
    <w:rsid w:val="00BE45C1"/>
    <w:rsid w:val="00BE6BA5"/>
    <w:rsid w:val="00BF01AA"/>
    <w:rsid w:val="00C2248F"/>
    <w:rsid w:val="00C25F88"/>
    <w:rsid w:val="00C43809"/>
    <w:rsid w:val="00C52FCC"/>
    <w:rsid w:val="00C704FB"/>
    <w:rsid w:val="00C7684A"/>
    <w:rsid w:val="00CD77AC"/>
    <w:rsid w:val="00CE0FD1"/>
    <w:rsid w:val="00CE7768"/>
    <w:rsid w:val="00CF1F84"/>
    <w:rsid w:val="00CF6840"/>
    <w:rsid w:val="00D1291F"/>
    <w:rsid w:val="00D1484B"/>
    <w:rsid w:val="00D22F1E"/>
    <w:rsid w:val="00D509DD"/>
    <w:rsid w:val="00D702AD"/>
    <w:rsid w:val="00D74509"/>
    <w:rsid w:val="00D91A9F"/>
    <w:rsid w:val="00D97D15"/>
    <w:rsid w:val="00DA5D69"/>
    <w:rsid w:val="00DB574D"/>
    <w:rsid w:val="00DC6DB4"/>
    <w:rsid w:val="00DF3479"/>
    <w:rsid w:val="00E26568"/>
    <w:rsid w:val="00E56332"/>
    <w:rsid w:val="00E65397"/>
    <w:rsid w:val="00E71184"/>
    <w:rsid w:val="00E96D12"/>
    <w:rsid w:val="00EA5337"/>
    <w:rsid w:val="00EB1B9B"/>
    <w:rsid w:val="00F019AE"/>
    <w:rsid w:val="00F11902"/>
    <w:rsid w:val="00F27AE9"/>
    <w:rsid w:val="00F41FD5"/>
    <w:rsid w:val="00F446BA"/>
    <w:rsid w:val="00F45C83"/>
    <w:rsid w:val="00F506E0"/>
    <w:rsid w:val="00F50D5F"/>
    <w:rsid w:val="00F5705C"/>
    <w:rsid w:val="00F67A75"/>
    <w:rsid w:val="00F7154F"/>
    <w:rsid w:val="00F86D0A"/>
    <w:rsid w:val="00F918E0"/>
    <w:rsid w:val="00FA49BE"/>
    <w:rsid w:val="00FA764F"/>
    <w:rsid w:val="00FC017E"/>
    <w:rsid w:val="00FC51D5"/>
    <w:rsid w:val="00FC547E"/>
    <w:rsid w:val="00FD5270"/>
    <w:rsid w:val="00FF1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3213A54"/>
  <w15:docId w15:val="{1389D548-13C2-4C57-8D3A-064C606A6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446B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7D61"/>
    <w:pPr>
      <w:ind w:left="720"/>
      <w:contextualSpacing/>
    </w:pPr>
  </w:style>
  <w:style w:type="paragraph" w:styleId="BalloonText">
    <w:name w:val="Balloon Text"/>
    <w:basedOn w:val="Normal"/>
    <w:link w:val="BalloonTextChar"/>
    <w:uiPriority w:val="99"/>
    <w:semiHidden/>
    <w:unhideWhenUsed/>
    <w:rsid w:val="00A27F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7FAF"/>
    <w:rPr>
      <w:rFonts w:ascii="Tahoma" w:eastAsia="Calibri" w:hAnsi="Tahoma" w:cs="Tahoma"/>
      <w:sz w:val="16"/>
      <w:szCs w:val="16"/>
    </w:rPr>
  </w:style>
  <w:style w:type="paragraph" w:styleId="NormalWeb">
    <w:name w:val="Normal (Web)"/>
    <w:basedOn w:val="Normal"/>
    <w:uiPriority w:val="99"/>
    <w:semiHidden/>
    <w:unhideWhenUsed/>
    <w:rsid w:val="00E65397"/>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rsid w:val="00450A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0A22"/>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450A22"/>
    <w:rPr>
      <w:vertAlign w:val="superscript"/>
    </w:rPr>
  </w:style>
  <w:style w:type="paragraph" w:styleId="Header">
    <w:name w:val="header"/>
    <w:basedOn w:val="Normal"/>
    <w:link w:val="HeaderChar"/>
    <w:uiPriority w:val="99"/>
    <w:unhideWhenUsed/>
    <w:rsid w:val="00972400"/>
    <w:pPr>
      <w:tabs>
        <w:tab w:val="center" w:pos="4419"/>
        <w:tab w:val="right" w:pos="8838"/>
      </w:tabs>
      <w:spacing w:after="0" w:line="240" w:lineRule="auto"/>
    </w:pPr>
  </w:style>
  <w:style w:type="character" w:customStyle="1" w:styleId="HeaderChar">
    <w:name w:val="Header Char"/>
    <w:basedOn w:val="DefaultParagraphFont"/>
    <w:link w:val="Header"/>
    <w:uiPriority w:val="99"/>
    <w:rsid w:val="00972400"/>
    <w:rPr>
      <w:rFonts w:ascii="Calibri" w:eastAsia="Calibri" w:hAnsi="Calibri" w:cs="Times New Roman"/>
    </w:rPr>
  </w:style>
  <w:style w:type="paragraph" w:styleId="Footer">
    <w:name w:val="footer"/>
    <w:basedOn w:val="Normal"/>
    <w:link w:val="FooterChar"/>
    <w:uiPriority w:val="99"/>
    <w:unhideWhenUsed/>
    <w:rsid w:val="00972400"/>
    <w:pPr>
      <w:tabs>
        <w:tab w:val="center" w:pos="4419"/>
        <w:tab w:val="right" w:pos="8838"/>
      </w:tabs>
      <w:spacing w:after="0" w:line="240" w:lineRule="auto"/>
    </w:pPr>
  </w:style>
  <w:style w:type="character" w:customStyle="1" w:styleId="FooterChar">
    <w:name w:val="Footer Char"/>
    <w:basedOn w:val="DefaultParagraphFont"/>
    <w:link w:val="Footer"/>
    <w:uiPriority w:val="99"/>
    <w:rsid w:val="00972400"/>
    <w:rPr>
      <w:rFonts w:ascii="Calibri" w:eastAsia="Calibri" w:hAnsi="Calibri" w:cs="Times New Roman"/>
    </w:rPr>
  </w:style>
  <w:style w:type="character" w:styleId="CommentReference">
    <w:name w:val="annotation reference"/>
    <w:basedOn w:val="DefaultParagraphFont"/>
    <w:uiPriority w:val="99"/>
    <w:semiHidden/>
    <w:unhideWhenUsed/>
    <w:rsid w:val="0094490C"/>
    <w:rPr>
      <w:sz w:val="16"/>
      <w:szCs w:val="16"/>
    </w:rPr>
  </w:style>
  <w:style w:type="paragraph" w:styleId="CommentText">
    <w:name w:val="annotation text"/>
    <w:basedOn w:val="Normal"/>
    <w:link w:val="CommentTextChar"/>
    <w:uiPriority w:val="99"/>
    <w:semiHidden/>
    <w:unhideWhenUsed/>
    <w:rsid w:val="0094490C"/>
    <w:pPr>
      <w:spacing w:line="240" w:lineRule="auto"/>
    </w:pPr>
    <w:rPr>
      <w:sz w:val="20"/>
      <w:szCs w:val="20"/>
    </w:rPr>
  </w:style>
  <w:style w:type="character" w:customStyle="1" w:styleId="CommentTextChar">
    <w:name w:val="Comment Text Char"/>
    <w:basedOn w:val="DefaultParagraphFont"/>
    <w:link w:val="CommentText"/>
    <w:uiPriority w:val="99"/>
    <w:semiHidden/>
    <w:rsid w:val="0094490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4490C"/>
    <w:rPr>
      <w:b/>
      <w:bCs/>
    </w:rPr>
  </w:style>
  <w:style w:type="character" w:customStyle="1" w:styleId="CommentSubjectChar">
    <w:name w:val="Comment Subject Char"/>
    <w:basedOn w:val="CommentTextChar"/>
    <w:link w:val="CommentSubject"/>
    <w:uiPriority w:val="99"/>
    <w:semiHidden/>
    <w:rsid w:val="0094490C"/>
    <w:rPr>
      <w:rFonts w:ascii="Calibri" w:eastAsia="Calibri" w:hAnsi="Calibri" w:cs="Times New Roman"/>
      <w:b/>
      <w:bCs/>
      <w:sz w:val="20"/>
      <w:szCs w:val="20"/>
    </w:rPr>
  </w:style>
  <w:style w:type="paragraph" w:customStyle="1" w:styleId="Default">
    <w:name w:val="Default"/>
    <w:rsid w:val="00891716"/>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unhideWhenUsed/>
    <w:rsid w:val="000E0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37101">
      <w:bodyDiv w:val="1"/>
      <w:marLeft w:val="0"/>
      <w:marRight w:val="0"/>
      <w:marTop w:val="0"/>
      <w:marBottom w:val="0"/>
      <w:divBdr>
        <w:top w:val="none" w:sz="0" w:space="0" w:color="auto"/>
        <w:left w:val="none" w:sz="0" w:space="0" w:color="auto"/>
        <w:bottom w:val="none" w:sz="0" w:space="0" w:color="auto"/>
        <w:right w:val="none" w:sz="0" w:space="0" w:color="auto"/>
      </w:divBdr>
    </w:div>
    <w:div w:id="977304031">
      <w:bodyDiv w:val="1"/>
      <w:marLeft w:val="0"/>
      <w:marRight w:val="0"/>
      <w:marTop w:val="0"/>
      <w:marBottom w:val="0"/>
      <w:divBdr>
        <w:top w:val="none" w:sz="0" w:space="0" w:color="auto"/>
        <w:left w:val="none" w:sz="0" w:space="0" w:color="auto"/>
        <w:bottom w:val="none" w:sz="0" w:space="0" w:color="auto"/>
        <w:right w:val="none" w:sz="0" w:space="0" w:color="auto"/>
      </w:divBdr>
      <w:divsChild>
        <w:div w:id="198782888">
          <w:marLeft w:val="547"/>
          <w:marRight w:val="0"/>
          <w:marTop w:val="77"/>
          <w:marBottom w:val="0"/>
          <w:divBdr>
            <w:top w:val="none" w:sz="0" w:space="0" w:color="auto"/>
            <w:left w:val="none" w:sz="0" w:space="0" w:color="auto"/>
            <w:bottom w:val="none" w:sz="0" w:space="0" w:color="auto"/>
            <w:right w:val="none" w:sz="0" w:space="0" w:color="auto"/>
          </w:divBdr>
        </w:div>
        <w:div w:id="1369602328">
          <w:marLeft w:val="547"/>
          <w:marRight w:val="0"/>
          <w:marTop w:val="77"/>
          <w:marBottom w:val="0"/>
          <w:divBdr>
            <w:top w:val="none" w:sz="0" w:space="0" w:color="auto"/>
            <w:left w:val="none" w:sz="0" w:space="0" w:color="auto"/>
            <w:bottom w:val="none" w:sz="0" w:space="0" w:color="auto"/>
            <w:right w:val="none" w:sz="0" w:space="0" w:color="auto"/>
          </w:divBdr>
        </w:div>
        <w:div w:id="1699427083">
          <w:marLeft w:val="547"/>
          <w:marRight w:val="0"/>
          <w:marTop w:val="77"/>
          <w:marBottom w:val="0"/>
          <w:divBdr>
            <w:top w:val="none" w:sz="0" w:space="0" w:color="auto"/>
            <w:left w:val="none" w:sz="0" w:space="0" w:color="auto"/>
            <w:bottom w:val="none" w:sz="0" w:space="0" w:color="auto"/>
            <w:right w:val="none" w:sz="0" w:space="0" w:color="auto"/>
          </w:divBdr>
        </w:div>
      </w:divsChild>
    </w:div>
    <w:div w:id="1387995655">
      <w:bodyDiv w:val="1"/>
      <w:marLeft w:val="0"/>
      <w:marRight w:val="0"/>
      <w:marTop w:val="0"/>
      <w:marBottom w:val="0"/>
      <w:divBdr>
        <w:top w:val="none" w:sz="0" w:space="0" w:color="auto"/>
        <w:left w:val="none" w:sz="0" w:space="0" w:color="auto"/>
        <w:bottom w:val="none" w:sz="0" w:space="0" w:color="auto"/>
        <w:right w:val="none" w:sz="0" w:space="0" w:color="auto"/>
      </w:divBdr>
    </w:div>
    <w:div w:id="2014994896">
      <w:bodyDiv w:val="1"/>
      <w:marLeft w:val="0"/>
      <w:marRight w:val="0"/>
      <w:marTop w:val="0"/>
      <w:marBottom w:val="0"/>
      <w:divBdr>
        <w:top w:val="none" w:sz="0" w:space="0" w:color="auto"/>
        <w:left w:val="none" w:sz="0" w:space="0" w:color="auto"/>
        <w:bottom w:val="none" w:sz="0" w:space="0" w:color="auto"/>
        <w:right w:val="none" w:sz="0" w:space="0" w:color="auto"/>
      </w:divBdr>
      <w:divsChild>
        <w:div w:id="453325363">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C:\DATA.IDB\Documents\Centroamerica\Bibliografia\1.%20Info%20CA%20y%20Paises\Info%20Honduras\Participacion%20energia%20y%20potencia%20termica%20y%20renovable%202007%20-2014.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DATA.IDB\Documents\Centroamerica\Bibliografia\1.%20Info%20CA%20y%20Paises\Info%20Honduras\Participacion%20energia%20y%20potencia%20termica%20y%20renovable%202007%20-2014.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Sheet1!$C$31</c:f>
              <c:strCache>
                <c:ptCount val="1"/>
                <c:pt idx="0">
                  <c:v>Deficit ENEE en % PIB</c:v>
                </c:pt>
              </c:strCache>
            </c:strRef>
          </c:tx>
          <c:spPr>
            <a:solidFill>
              <a:schemeClr val="accent2">
                <a:lumMod val="60000"/>
                <a:lumOff val="40000"/>
              </a:schemeClr>
            </a:solidFill>
            <a:ln>
              <a:noFill/>
            </a:ln>
            <a:effectLst/>
          </c:spPr>
          <c:invertIfNegative val="0"/>
          <c:cat>
            <c:numRef>
              <c:f>Sheet1!$D$30:$H$30</c:f>
              <c:numCache>
                <c:formatCode>General</c:formatCode>
                <c:ptCount val="5"/>
                <c:pt idx="0">
                  <c:v>2013</c:v>
                </c:pt>
                <c:pt idx="1">
                  <c:v>2014</c:v>
                </c:pt>
                <c:pt idx="2">
                  <c:v>2015</c:v>
                </c:pt>
                <c:pt idx="3">
                  <c:v>2016</c:v>
                </c:pt>
                <c:pt idx="4" formatCode="mmm\-yy">
                  <c:v>42856</c:v>
                </c:pt>
              </c:numCache>
            </c:numRef>
          </c:cat>
          <c:val>
            <c:numRef>
              <c:f>Sheet1!$D$31:$H$31</c:f>
              <c:numCache>
                <c:formatCode>General</c:formatCode>
                <c:ptCount val="5"/>
                <c:pt idx="0">
                  <c:v>1.8</c:v>
                </c:pt>
                <c:pt idx="1">
                  <c:v>1.3</c:v>
                </c:pt>
                <c:pt idx="2">
                  <c:v>0.31</c:v>
                </c:pt>
                <c:pt idx="3">
                  <c:v>0.3</c:v>
                </c:pt>
                <c:pt idx="4">
                  <c:v>0.1</c:v>
                </c:pt>
              </c:numCache>
            </c:numRef>
          </c:val>
          <c:extLst>
            <c:ext xmlns:c16="http://schemas.microsoft.com/office/drawing/2014/chart" uri="{C3380CC4-5D6E-409C-BE32-E72D297353CC}">
              <c16:uniqueId val="{00000000-EAEA-46A8-8513-BB136EEB2DA3}"/>
            </c:ext>
          </c:extLst>
        </c:ser>
        <c:dLbls>
          <c:showLegendKey val="0"/>
          <c:showVal val="0"/>
          <c:showCatName val="0"/>
          <c:showSerName val="0"/>
          <c:showPercent val="0"/>
          <c:showBubbleSize val="0"/>
        </c:dLbls>
        <c:gapWidth val="150"/>
        <c:overlap val="-27"/>
        <c:axId val="279697520"/>
        <c:axId val="279698176"/>
      </c:barChart>
      <c:catAx>
        <c:axId val="279697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279698176"/>
        <c:crosses val="autoZero"/>
        <c:auto val="1"/>
        <c:lblAlgn val="ctr"/>
        <c:lblOffset val="100"/>
        <c:noMultiLvlLbl val="0"/>
      </c:catAx>
      <c:valAx>
        <c:axId val="279698176"/>
        <c:scaling>
          <c:orientation val="minMax"/>
          <c:max val="1.8"/>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2796975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965394031628399"/>
          <c:y val="6.1390532544378679E-2"/>
          <c:w val="0.8452548524691228"/>
          <c:h val="0.80145424684340494"/>
        </c:manualLayout>
      </c:layout>
      <c:barChart>
        <c:barDir val="col"/>
        <c:grouping val="clustered"/>
        <c:varyColors val="0"/>
        <c:ser>
          <c:idx val="0"/>
          <c:order val="0"/>
          <c:tx>
            <c:strRef>
              <c:f>Sheet1!$C$32</c:f>
              <c:strCache>
                <c:ptCount val="1"/>
                <c:pt idx="0">
                  <c:v>Ingresos Operativos vs. Gastos Corriente</c:v>
                </c:pt>
              </c:strCache>
            </c:strRef>
          </c:tx>
          <c:spPr>
            <a:solidFill>
              <a:schemeClr val="accent1"/>
            </a:solidFill>
            <a:ln>
              <a:noFill/>
            </a:ln>
            <a:effectLst/>
          </c:spPr>
          <c:invertIfNegative val="0"/>
          <c:cat>
            <c:numRef>
              <c:f>Sheet1!$D$30:$H$30</c:f>
              <c:numCache>
                <c:formatCode>General</c:formatCode>
                <c:ptCount val="5"/>
                <c:pt idx="0">
                  <c:v>2013</c:v>
                </c:pt>
                <c:pt idx="1">
                  <c:v>2014</c:v>
                </c:pt>
                <c:pt idx="2">
                  <c:v>2015</c:v>
                </c:pt>
                <c:pt idx="3">
                  <c:v>2016</c:v>
                </c:pt>
                <c:pt idx="4" formatCode="mmm\-yy">
                  <c:v>42856</c:v>
                </c:pt>
              </c:numCache>
            </c:numRef>
          </c:cat>
          <c:val>
            <c:numRef>
              <c:f>Sheet1!$D$32:$H$32</c:f>
              <c:numCache>
                <c:formatCode>General</c:formatCode>
                <c:ptCount val="5"/>
                <c:pt idx="0">
                  <c:v>0.82</c:v>
                </c:pt>
                <c:pt idx="1">
                  <c:v>0.86</c:v>
                </c:pt>
                <c:pt idx="2">
                  <c:v>1.04</c:v>
                </c:pt>
                <c:pt idx="3">
                  <c:v>1.06</c:v>
                </c:pt>
                <c:pt idx="4">
                  <c:v>1.06</c:v>
                </c:pt>
              </c:numCache>
            </c:numRef>
          </c:val>
          <c:extLst>
            <c:ext xmlns:c16="http://schemas.microsoft.com/office/drawing/2014/chart" uri="{C3380CC4-5D6E-409C-BE32-E72D297353CC}">
              <c16:uniqueId val="{00000000-40F0-48A6-8C0A-B7E0360C41BF}"/>
            </c:ext>
          </c:extLst>
        </c:ser>
        <c:dLbls>
          <c:showLegendKey val="0"/>
          <c:showVal val="0"/>
          <c:showCatName val="0"/>
          <c:showSerName val="0"/>
          <c:showPercent val="0"/>
          <c:showBubbleSize val="0"/>
        </c:dLbls>
        <c:gapWidth val="219"/>
        <c:overlap val="-27"/>
        <c:axId val="279697520"/>
        <c:axId val="279698176"/>
      </c:barChart>
      <c:catAx>
        <c:axId val="279697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279698176"/>
        <c:crosses val="autoZero"/>
        <c:auto val="1"/>
        <c:lblAlgn val="ctr"/>
        <c:lblOffset val="100"/>
        <c:noMultiLvlLbl val="0"/>
      </c:catAx>
      <c:valAx>
        <c:axId val="2796981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2796975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D08CD-5B84-4B20-A287-58F554ACC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4</Pages>
  <Words>1698</Words>
  <Characters>9680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Jacome Montenegro, Carlos Alberto</cp:lastModifiedBy>
  <cp:revision>6</cp:revision>
  <dcterms:created xsi:type="dcterms:W3CDTF">2017-06-01T23:38:00Z</dcterms:created>
  <dcterms:modified xsi:type="dcterms:W3CDTF">2017-06-05T17:54:00Z</dcterms:modified>
</cp:coreProperties>
</file>