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7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581" w:rsidRPr="00AF6B8D" w:rsidRDefault="003C64A1" w:rsidP="00826ACD">
      <w:pPr>
        <w:suppressAutoHyphens/>
        <w:jc w:val="center"/>
        <w:rPr>
          <w:b/>
          <w:bCs/>
          <w:smallCaps/>
          <w:noProof/>
          <w:sz w:val="24"/>
          <w:lang w:val="es-ES"/>
        </w:rPr>
      </w:pPr>
      <w:r w:rsidRPr="00AF6B8D">
        <w:rPr>
          <w:b/>
          <w:bCs/>
          <w:smallCaps/>
          <w:noProof/>
          <w:sz w:val="24"/>
          <w:lang w:val="es-ES"/>
        </w:rPr>
        <w:t>Matriz de Resultados</w:t>
      </w:r>
    </w:p>
    <w:p w:rsidR="007842AE" w:rsidRPr="00AF6B8D" w:rsidRDefault="004C6595" w:rsidP="007842AE">
      <w:pPr>
        <w:pStyle w:val="Title"/>
        <w:suppressAutoHyphens/>
        <w:rPr>
          <w:b/>
          <w:noProof/>
          <w:lang w:val="es-ES"/>
        </w:rPr>
      </w:pPr>
      <w:r w:rsidRPr="00AF6B8D">
        <w:rPr>
          <w:b/>
          <w:noProof/>
          <w:lang w:val="es-ES"/>
        </w:rPr>
        <w:t xml:space="preserve">Programa de </w:t>
      </w:r>
      <w:r w:rsidR="007842AE" w:rsidRPr="00AF6B8D">
        <w:rPr>
          <w:b/>
          <w:noProof/>
          <w:lang w:val="es-ES"/>
        </w:rPr>
        <w:t>Consolidación Fiscal</w:t>
      </w:r>
      <w:r w:rsidR="00332088" w:rsidRPr="00AF6B8D">
        <w:rPr>
          <w:b/>
          <w:noProof/>
          <w:lang w:val="es-ES"/>
        </w:rPr>
        <w:t xml:space="preserve"> para Guatemala</w:t>
      </w:r>
    </w:p>
    <w:p w:rsidR="00A92581" w:rsidRPr="00AF6B8D" w:rsidRDefault="007842AE" w:rsidP="007842AE">
      <w:pPr>
        <w:pStyle w:val="Title"/>
        <w:suppressAutoHyphens/>
        <w:rPr>
          <w:b/>
          <w:bCs/>
          <w:noProof/>
          <w:sz w:val="20"/>
          <w:lang w:val="es-ES"/>
        </w:rPr>
      </w:pPr>
      <w:r w:rsidRPr="00AF6B8D">
        <w:rPr>
          <w:b/>
          <w:noProof/>
          <w:lang w:val="es-ES"/>
        </w:rPr>
        <w:t>(GU-L1064)</w:t>
      </w:r>
    </w:p>
    <w:p w:rsidR="00A92581" w:rsidRPr="00AF6B8D" w:rsidRDefault="00A92581" w:rsidP="00826ACD">
      <w:pPr>
        <w:suppressAutoHyphens/>
        <w:jc w:val="right"/>
        <w:rPr>
          <w:noProof/>
          <w:lang w:val="es-ES"/>
        </w:rPr>
      </w:pPr>
    </w:p>
    <w:tbl>
      <w:tblPr>
        <w:tblW w:w="12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61"/>
        <w:gridCol w:w="9977"/>
      </w:tblGrid>
      <w:tr w:rsidR="00A92581" w:rsidRPr="00AF6B8D" w:rsidTr="008E4A43">
        <w:trPr>
          <w:trHeight w:val="634"/>
        </w:trPr>
        <w:tc>
          <w:tcPr>
            <w:tcW w:w="2461" w:type="dxa"/>
          </w:tcPr>
          <w:p w:rsidR="00A92581" w:rsidRPr="00AF6B8D" w:rsidRDefault="00807E1F" w:rsidP="004C0332">
            <w:pPr>
              <w:suppressAutoHyphens/>
              <w:jc w:val="both"/>
              <w:rPr>
                <w:b/>
                <w:bCs/>
                <w:noProof/>
                <w:lang w:val="es-ES"/>
              </w:rPr>
            </w:pPr>
            <w:r w:rsidRPr="00AF6B8D">
              <w:rPr>
                <w:b/>
                <w:bCs/>
                <w:noProof/>
                <w:lang w:val="es-ES"/>
              </w:rPr>
              <w:t xml:space="preserve">Objetivo del </w:t>
            </w:r>
            <w:r w:rsidR="004C0332" w:rsidRPr="00AF6B8D">
              <w:rPr>
                <w:b/>
                <w:bCs/>
                <w:noProof/>
                <w:lang w:val="es-ES"/>
              </w:rPr>
              <w:t>p</w:t>
            </w:r>
            <w:r w:rsidRPr="00AF6B8D">
              <w:rPr>
                <w:b/>
                <w:bCs/>
                <w:noProof/>
                <w:lang w:val="es-ES"/>
              </w:rPr>
              <w:t>rograma</w:t>
            </w:r>
          </w:p>
        </w:tc>
        <w:tc>
          <w:tcPr>
            <w:tcW w:w="9977" w:type="dxa"/>
          </w:tcPr>
          <w:p w:rsidR="00A92581" w:rsidRPr="00AF6B8D" w:rsidRDefault="009308DE" w:rsidP="00120777">
            <w:pPr>
              <w:suppressAutoHyphens/>
              <w:jc w:val="both"/>
              <w:rPr>
                <w:noProof/>
                <w:lang w:val="es-ES"/>
              </w:rPr>
            </w:pPr>
            <w:r w:rsidRPr="00AF6B8D">
              <w:rPr>
                <w:noProof/>
                <w:szCs w:val="24"/>
                <w:lang w:val="es-ES"/>
              </w:rPr>
              <w:t xml:space="preserve">El objetivo de este programa es </w:t>
            </w:r>
            <w:r w:rsidR="00120777" w:rsidRPr="00AF6B8D">
              <w:rPr>
                <w:noProof/>
                <w:szCs w:val="24"/>
                <w:lang w:val="es-ES"/>
              </w:rPr>
              <w:t>consolidar</w:t>
            </w:r>
            <w:r w:rsidR="00F67651" w:rsidRPr="00AF6B8D">
              <w:rPr>
                <w:noProof/>
                <w:szCs w:val="24"/>
                <w:lang w:val="es-ES"/>
              </w:rPr>
              <w:t xml:space="preserve"> </w:t>
            </w:r>
            <w:r w:rsidRPr="00AF6B8D">
              <w:rPr>
                <w:noProof/>
                <w:szCs w:val="24"/>
                <w:lang w:val="es-ES"/>
              </w:rPr>
              <w:t xml:space="preserve">la sostenibilidad fiscal de Guatemala, a través del incremento de los ingresos fiscales, el fortalecimiento de los mecanismos de control del endeudamiento nacional y municipal, </w:t>
            </w:r>
            <w:r w:rsidR="00120777" w:rsidRPr="00AF6B8D">
              <w:rPr>
                <w:noProof/>
                <w:szCs w:val="24"/>
                <w:lang w:val="es-ES"/>
              </w:rPr>
              <w:t>mejorar</w:t>
            </w:r>
            <w:r w:rsidRPr="00AF6B8D">
              <w:rPr>
                <w:noProof/>
                <w:szCs w:val="24"/>
                <w:lang w:val="es-ES"/>
              </w:rPr>
              <w:t xml:space="preserve">la calidad del gasto, en un marco fiscal de mediano plazo.  </w:t>
            </w:r>
          </w:p>
        </w:tc>
      </w:tr>
    </w:tbl>
    <w:p w:rsidR="00F20F28" w:rsidRPr="00AF6B8D" w:rsidRDefault="00F20F28" w:rsidP="00F20F28">
      <w:pPr>
        <w:jc w:val="both"/>
        <w:rPr>
          <w:noProof/>
          <w:lang w:val="es-ES"/>
        </w:rPr>
      </w:pPr>
      <w:r w:rsidRPr="00AF6B8D">
        <w:rPr>
          <w:b/>
          <w:noProof/>
          <w:lang w:val="es-ES"/>
        </w:rPr>
        <w:t>Nota</w:t>
      </w:r>
      <w:r w:rsidRPr="00AF6B8D">
        <w:rPr>
          <w:noProof/>
          <w:lang w:val="es-ES"/>
        </w:rPr>
        <w:t>: Dado que este es un PBL</w:t>
      </w:r>
      <w:r w:rsidR="007B7EDF" w:rsidRPr="00AF6B8D">
        <w:rPr>
          <w:noProof/>
          <w:lang w:val="es-ES"/>
        </w:rPr>
        <w:t xml:space="preserve"> </w:t>
      </w:r>
      <w:r w:rsidR="00332088" w:rsidRPr="00AF6B8D">
        <w:rPr>
          <w:noProof/>
          <w:lang w:val="es-ES"/>
        </w:rPr>
        <w:t>híbrido</w:t>
      </w:r>
      <w:r w:rsidRPr="00AF6B8D">
        <w:rPr>
          <w:noProof/>
          <w:lang w:val="es-ES"/>
        </w:rPr>
        <w:t xml:space="preserve">, los resultados </w:t>
      </w:r>
      <w:r w:rsidR="008B1980" w:rsidRPr="00AF6B8D">
        <w:rPr>
          <w:noProof/>
          <w:lang w:val="es-ES"/>
        </w:rPr>
        <w:t xml:space="preserve">están </w:t>
      </w:r>
      <w:r w:rsidRPr="00AF6B8D">
        <w:rPr>
          <w:noProof/>
          <w:lang w:val="es-ES"/>
        </w:rPr>
        <w:t xml:space="preserve">explícitamente en la </w:t>
      </w:r>
      <w:r w:rsidR="004C0332" w:rsidRPr="00AF6B8D">
        <w:rPr>
          <w:noProof/>
          <w:lang w:val="es-ES"/>
        </w:rPr>
        <w:t>M</w:t>
      </w:r>
      <w:r w:rsidRPr="00AF6B8D">
        <w:rPr>
          <w:noProof/>
          <w:lang w:val="es-ES"/>
        </w:rPr>
        <w:t xml:space="preserve">atriz de </w:t>
      </w:r>
      <w:r w:rsidR="004C0332" w:rsidRPr="00AF6B8D">
        <w:rPr>
          <w:noProof/>
          <w:lang w:val="es-ES"/>
        </w:rPr>
        <w:t>P</w:t>
      </w:r>
      <w:r w:rsidRPr="00AF6B8D">
        <w:rPr>
          <w:noProof/>
          <w:lang w:val="es-ES"/>
        </w:rPr>
        <w:t xml:space="preserve">olíticas y sus medios de verificación (Anexo </w:t>
      </w:r>
      <w:r w:rsidR="007426E9" w:rsidRPr="00AF6B8D">
        <w:rPr>
          <w:noProof/>
          <w:lang w:val="es-ES"/>
        </w:rPr>
        <w:t>I</w:t>
      </w:r>
      <w:r w:rsidRPr="00AF6B8D">
        <w:rPr>
          <w:noProof/>
          <w:lang w:val="es-ES"/>
        </w:rPr>
        <w:t xml:space="preserve">I). </w:t>
      </w:r>
    </w:p>
    <w:p w:rsidR="00F20F28" w:rsidRPr="00AF6B8D" w:rsidRDefault="00F20F28" w:rsidP="008E4A43">
      <w:pPr>
        <w:ind w:left="540"/>
        <w:jc w:val="both"/>
        <w:rPr>
          <w:noProof/>
          <w:lang w:val="es-ES"/>
        </w:rPr>
      </w:pPr>
      <w:r w:rsidRPr="00AF6B8D">
        <w:rPr>
          <w:noProof/>
          <w:lang w:val="es-ES"/>
        </w:rPr>
        <w:t>Aquí se presenta</w:t>
      </w:r>
      <w:r w:rsidR="008B1980" w:rsidRPr="00AF6B8D">
        <w:rPr>
          <w:noProof/>
          <w:lang w:val="es-ES"/>
        </w:rPr>
        <w:t>n</w:t>
      </w:r>
      <w:r w:rsidRPr="00AF6B8D">
        <w:rPr>
          <w:noProof/>
          <w:lang w:val="es-ES"/>
        </w:rPr>
        <w:t xml:space="preserve"> indicadores adicionales y complementarios de resultados </w:t>
      </w:r>
      <w:r w:rsidR="008B1980" w:rsidRPr="00AF6B8D">
        <w:rPr>
          <w:noProof/>
          <w:lang w:val="es-ES"/>
        </w:rPr>
        <w:t xml:space="preserve">e </w:t>
      </w:r>
      <w:r w:rsidRPr="00AF6B8D">
        <w:rPr>
          <w:noProof/>
          <w:lang w:val="es-ES"/>
        </w:rPr>
        <w:t>impactos.</w:t>
      </w:r>
      <w:r w:rsidR="00B002AE" w:rsidRPr="00AF6B8D">
        <w:rPr>
          <w:noProof/>
          <w:lang w:val="es-ES"/>
        </w:rPr>
        <w:t xml:space="preserve"> </w:t>
      </w:r>
    </w:p>
    <w:p w:rsidR="009E4066" w:rsidRPr="00AF6B8D" w:rsidRDefault="009E4066" w:rsidP="00826ACD">
      <w:pPr>
        <w:suppressAutoHyphens/>
        <w:jc w:val="both"/>
        <w:rPr>
          <w:noProof/>
          <w:lang w:val="es-ES"/>
        </w:rPr>
      </w:pPr>
    </w:p>
    <w:tbl>
      <w:tblPr>
        <w:tblW w:w="12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3"/>
        <w:gridCol w:w="2479"/>
        <w:gridCol w:w="2514"/>
        <w:gridCol w:w="2771"/>
        <w:gridCol w:w="2309"/>
      </w:tblGrid>
      <w:tr w:rsidR="00253973" w:rsidRPr="00AF6B8D" w:rsidTr="008E4A43">
        <w:trPr>
          <w:trHeight w:val="467"/>
          <w:tblHeader/>
        </w:trPr>
        <w:tc>
          <w:tcPr>
            <w:tcW w:w="2383" w:type="dxa"/>
            <w:shd w:val="clear" w:color="auto" w:fill="CCCCCC"/>
          </w:tcPr>
          <w:p w:rsidR="00253973" w:rsidRPr="00AF6B8D" w:rsidRDefault="00253973" w:rsidP="00412CED">
            <w:pPr>
              <w:suppressAutoHyphens/>
              <w:jc w:val="center"/>
              <w:rPr>
                <w:b/>
                <w:noProof/>
                <w:lang w:val="es-ES"/>
              </w:rPr>
            </w:pPr>
            <w:r w:rsidRPr="00AF6B8D">
              <w:rPr>
                <w:b/>
                <w:noProof/>
                <w:lang w:val="es-ES"/>
              </w:rPr>
              <w:t>Objetivo del Componente</w:t>
            </w:r>
          </w:p>
        </w:tc>
        <w:tc>
          <w:tcPr>
            <w:tcW w:w="2479" w:type="dxa"/>
            <w:shd w:val="clear" w:color="auto" w:fill="CCCCCC"/>
          </w:tcPr>
          <w:p w:rsidR="004C0332" w:rsidRPr="00AF6B8D" w:rsidRDefault="00253973" w:rsidP="00412CED">
            <w:pPr>
              <w:suppressAutoHyphens/>
              <w:jc w:val="center"/>
              <w:rPr>
                <w:b/>
                <w:noProof/>
                <w:lang w:val="es-ES"/>
              </w:rPr>
            </w:pPr>
            <w:r w:rsidRPr="00AF6B8D">
              <w:rPr>
                <w:b/>
                <w:noProof/>
                <w:lang w:val="es-ES"/>
              </w:rPr>
              <w:t xml:space="preserve">Indicador de </w:t>
            </w:r>
          </w:p>
          <w:p w:rsidR="00253973" w:rsidRPr="00AF6B8D" w:rsidRDefault="00253973" w:rsidP="00412CED">
            <w:pPr>
              <w:suppressAutoHyphens/>
              <w:jc w:val="center"/>
              <w:rPr>
                <w:b/>
                <w:noProof/>
                <w:lang w:val="es-ES"/>
              </w:rPr>
            </w:pPr>
            <w:r w:rsidRPr="00AF6B8D">
              <w:rPr>
                <w:b/>
                <w:noProof/>
                <w:lang w:val="es-ES"/>
              </w:rPr>
              <w:t>Línea de base</w:t>
            </w:r>
          </w:p>
        </w:tc>
        <w:tc>
          <w:tcPr>
            <w:tcW w:w="2514" w:type="dxa"/>
            <w:shd w:val="clear" w:color="auto" w:fill="CCCCCC"/>
          </w:tcPr>
          <w:p w:rsidR="00987140" w:rsidRPr="00AF6B8D" w:rsidRDefault="00987140" w:rsidP="00412CED">
            <w:pPr>
              <w:suppressAutoHyphens/>
              <w:jc w:val="center"/>
              <w:rPr>
                <w:b/>
                <w:noProof/>
                <w:lang w:val="es-ES"/>
              </w:rPr>
            </w:pPr>
            <w:r w:rsidRPr="00AF6B8D">
              <w:rPr>
                <w:b/>
                <w:noProof/>
                <w:lang w:val="es-ES"/>
              </w:rPr>
              <w:t>Resultados</w:t>
            </w:r>
          </w:p>
          <w:p w:rsidR="00253973" w:rsidRPr="00AF6B8D" w:rsidRDefault="00253973" w:rsidP="00412CED">
            <w:pPr>
              <w:suppressAutoHyphens/>
              <w:jc w:val="center"/>
              <w:rPr>
                <w:b/>
                <w:noProof/>
                <w:lang w:val="es-ES"/>
              </w:rPr>
            </w:pPr>
            <w:r w:rsidRPr="00AF6B8D">
              <w:rPr>
                <w:b/>
                <w:noProof/>
                <w:lang w:val="es-ES"/>
              </w:rPr>
              <w:t>Tramo I</w:t>
            </w:r>
          </w:p>
        </w:tc>
        <w:tc>
          <w:tcPr>
            <w:tcW w:w="2771" w:type="dxa"/>
            <w:shd w:val="clear" w:color="auto" w:fill="CCCCCC"/>
          </w:tcPr>
          <w:p w:rsidR="00987140" w:rsidRPr="00AF6B8D" w:rsidRDefault="00987140" w:rsidP="00412CED">
            <w:pPr>
              <w:suppressAutoHyphens/>
              <w:jc w:val="center"/>
              <w:rPr>
                <w:b/>
                <w:noProof/>
                <w:lang w:val="es-ES"/>
              </w:rPr>
            </w:pPr>
            <w:r w:rsidRPr="00AF6B8D">
              <w:rPr>
                <w:b/>
                <w:noProof/>
                <w:lang w:val="es-ES"/>
              </w:rPr>
              <w:t>Resultados</w:t>
            </w:r>
          </w:p>
          <w:p w:rsidR="00253973" w:rsidRPr="00AF6B8D" w:rsidRDefault="00253973" w:rsidP="00412CED">
            <w:pPr>
              <w:suppressAutoHyphens/>
              <w:jc w:val="center"/>
              <w:rPr>
                <w:b/>
                <w:noProof/>
                <w:lang w:val="es-ES"/>
              </w:rPr>
            </w:pPr>
            <w:r w:rsidRPr="00AF6B8D">
              <w:rPr>
                <w:b/>
                <w:noProof/>
                <w:lang w:val="es-ES"/>
              </w:rPr>
              <w:t>Tramo II</w:t>
            </w:r>
          </w:p>
        </w:tc>
        <w:tc>
          <w:tcPr>
            <w:tcW w:w="2309" w:type="dxa"/>
            <w:shd w:val="clear" w:color="auto" w:fill="CCCCCC"/>
            <w:vAlign w:val="center"/>
          </w:tcPr>
          <w:p w:rsidR="00253973" w:rsidRPr="00AF6B8D" w:rsidRDefault="00253973">
            <w:pPr>
              <w:suppressAutoHyphens/>
              <w:jc w:val="center"/>
              <w:rPr>
                <w:b/>
                <w:noProof/>
                <w:lang w:val="es-ES"/>
              </w:rPr>
            </w:pPr>
            <w:r w:rsidRPr="00AF6B8D">
              <w:rPr>
                <w:b/>
                <w:noProof/>
                <w:lang w:val="es-ES"/>
              </w:rPr>
              <w:t>Fuente</w:t>
            </w:r>
          </w:p>
        </w:tc>
      </w:tr>
      <w:tr w:rsidR="00332088" w:rsidRPr="00AF6B8D" w:rsidTr="004C0332">
        <w:tc>
          <w:tcPr>
            <w:tcW w:w="12456" w:type="dxa"/>
            <w:gridSpan w:val="5"/>
            <w:shd w:val="clear" w:color="auto" w:fill="FFFFCC"/>
          </w:tcPr>
          <w:p w:rsidR="00253973" w:rsidRPr="00AF6B8D" w:rsidRDefault="00253973" w:rsidP="00EB2A5E">
            <w:pPr>
              <w:suppressAutoHyphens/>
              <w:spacing w:before="40" w:after="40"/>
              <w:rPr>
                <w:b/>
                <w:noProof/>
                <w:lang w:val="es-ES"/>
              </w:rPr>
            </w:pPr>
            <w:r w:rsidRPr="00AF6B8D">
              <w:rPr>
                <w:b/>
                <w:noProof/>
                <w:lang w:val="es-ES"/>
              </w:rPr>
              <w:t xml:space="preserve">I. Marco General de </w:t>
            </w:r>
            <w:r w:rsidR="00EB2A5E" w:rsidRPr="00AF6B8D">
              <w:rPr>
                <w:b/>
                <w:noProof/>
                <w:lang w:val="es-ES"/>
              </w:rPr>
              <w:t>P</w:t>
            </w:r>
            <w:r w:rsidRPr="00AF6B8D">
              <w:rPr>
                <w:b/>
                <w:noProof/>
                <w:lang w:val="es-ES"/>
              </w:rPr>
              <w:t xml:space="preserve">olíticas Macroeconómicas: </w:t>
            </w:r>
            <w:r w:rsidRPr="00AF6B8D">
              <w:rPr>
                <w:bCs/>
                <w:noProof/>
                <w:lang w:val="es-ES"/>
              </w:rPr>
              <w:t>Un entorno macroeconómico consistente con</w:t>
            </w:r>
            <w:r w:rsidR="00F67651" w:rsidRPr="00AF6B8D">
              <w:rPr>
                <w:bCs/>
                <w:noProof/>
                <w:lang w:val="es-ES"/>
              </w:rPr>
              <w:t xml:space="preserve"> </w:t>
            </w:r>
            <w:r w:rsidR="00824E73" w:rsidRPr="00AF6B8D">
              <w:rPr>
                <w:bCs/>
                <w:noProof/>
                <w:lang w:val="es-ES"/>
              </w:rPr>
              <w:t xml:space="preserve">la </w:t>
            </w:r>
            <w:r w:rsidR="000E2B9B" w:rsidRPr="00AF6B8D">
              <w:rPr>
                <w:bCs/>
                <w:noProof/>
                <w:lang w:val="es-ES"/>
              </w:rPr>
              <w:t xml:space="preserve"> consolidación</w:t>
            </w:r>
            <w:r w:rsidR="00824E73" w:rsidRPr="00AF6B8D">
              <w:rPr>
                <w:bCs/>
                <w:noProof/>
                <w:lang w:val="es-ES"/>
              </w:rPr>
              <w:t xml:space="preserve"> de</w:t>
            </w:r>
            <w:r w:rsidR="00F67651" w:rsidRPr="00AF6B8D">
              <w:rPr>
                <w:bCs/>
                <w:noProof/>
                <w:lang w:val="es-ES"/>
              </w:rPr>
              <w:t xml:space="preserve"> </w:t>
            </w:r>
            <w:r w:rsidR="00824E73" w:rsidRPr="00AF6B8D">
              <w:rPr>
                <w:bCs/>
                <w:noProof/>
                <w:lang w:val="es-ES"/>
              </w:rPr>
              <w:t xml:space="preserve">la sostenibilidad </w:t>
            </w:r>
            <w:r w:rsidR="000E2B9B" w:rsidRPr="00AF6B8D">
              <w:rPr>
                <w:bCs/>
                <w:noProof/>
                <w:lang w:val="es-ES"/>
              </w:rPr>
              <w:t>fiscal.</w:t>
            </w:r>
          </w:p>
        </w:tc>
      </w:tr>
      <w:tr w:rsidR="00253973" w:rsidRPr="00AF6B8D" w:rsidTr="005B71E5">
        <w:trPr>
          <w:trHeight w:val="935"/>
        </w:trPr>
        <w:tc>
          <w:tcPr>
            <w:tcW w:w="2383" w:type="dxa"/>
          </w:tcPr>
          <w:p w:rsidR="00253973" w:rsidRPr="00AF6B8D" w:rsidRDefault="00253973" w:rsidP="007B7EDF">
            <w:pPr>
              <w:suppressAutoHyphens/>
              <w:rPr>
                <w:noProof/>
                <w:lang w:val="es-ES"/>
              </w:rPr>
            </w:pPr>
            <w:r w:rsidRPr="00AF6B8D">
              <w:rPr>
                <w:noProof/>
                <w:lang w:val="es-ES" w:eastAsia="es-ES"/>
              </w:rPr>
              <w:t>Mantener un marco macroeconómico estable para el crecimiento económico con equidad</w:t>
            </w:r>
          </w:p>
        </w:tc>
        <w:tc>
          <w:tcPr>
            <w:tcW w:w="2479" w:type="dxa"/>
          </w:tcPr>
          <w:p w:rsidR="00E00F65" w:rsidRPr="00AF6B8D" w:rsidRDefault="00E00F65" w:rsidP="00E00F65">
            <w:pPr>
              <w:suppressAutoHyphens/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Año 2011</w:t>
            </w:r>
          </w:p>
          <w:p w:rsidR="00E00F65" w:rsidRPr="00AF6B8D" w:rsidRDefault="00E00F65" w:rsidP="00E00F65">
            <w:pPr>
              <w:suppressAutoHyphens/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Resultado</w:t>
            </w:r>
            <w:r w:rsidR="00F67651" w:rsidRPr="00AF6B8D">
              <w:rPr>
                <w:noProof/>
                <w:lang w:val="es-ES"/>
              </w:rPr>
              <w:t xml:space="preserve"> </w:t>
            </w:r>
            <w:r w:rsidRPr="00AF6B8D">
              <w:rPr>
                <w:noProof/>
                <w:lang w:val="es-ES"/>
              </w:rPr>
              <w:t>fiscal del gobierno central: -2,8% del PIB</w:t>
            </w:r>
          </w:p>
          <w:p w:rsidR="00253973" w:rsidRPr="00AF6B8D" w:rsidRDefault="00E00F65" w:rsidP="00E00F65">
            <w:pPr>
              <w:suppressAutoHyphens/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Deuda pública del gobierno central: 24,1% del PIB</w:t>
            </w:r>
          </w:p>
        </w:tc>
        <w:tc>
          <w:tcPr>
            <w:tcW w:w="2514" w:type="dxa"/>
          </w:tcPr>
          <w:p w:rsidR="00E00F65" w:rsidRPr="00AF6B8D" w:rsidRDefault="00E00F65" w:rsidP="00E00F65">
            <w:pPr>
              <w:suppressAutoHyphens/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Año 2012</w:t>
            </w:r>
          </w:p>
          <w:p w:rsidR="00E00F65" w:rsidRPr="00AF6B8D" w:rsidRDefault="00E00F65" w:rsidP="00E00F65">
            <w:pPr>
              <w:suppressAutoHyphens/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Resultado</w:t>
            </w:r>
            <w:r w:rsidR="00F67651" w:rsidRPr="00AF6B8D">
              <w:rPr>
                <w:noProof/>
                <w:lang w:val="es-ES"/>
              </w:rPr>
              <w:t xml:space="preserve"> </w:t>
            </w:r>
            <w:r w:rsidRPr="00AF6B8D">
              <w:rPr>
                <w:noProof/>
                <w:lang w:val="es-ES"/>
              </w:rPr>
              <w:t>fiscal</w:t>
            </w:r>
            <w:r w:rsidR="00F67651" w:rsidRPr="00AF6B8D">
              <w:rPr>
                <w:noProof/>
                <w:lang w:val="es-ES"/>
              </w:rPr>
              <w:t xml:space="preserve"> </w:t>
            </w:r>
            <w:r w:rsidRPr="00AF6B8D">
              <w:rPr>
                <w:noProof/>
                <w:lang w:val="es-ES"/>
              </w:rPr>
              <w:t>del gobierno central: -2,4% del PIB</w:t>
            </w:r>
          </w:p>
          <w:p w:rsidR="003807D6" w:rsidRPr="00AF6B8D" w:rsidRDefault="00E00F65" w:rsidP="003807D6">
            <w:pPr>
              <w:suppressAutoHyphens/>
              <w:rPr>
                <w:b/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Deuda pública del gobierno central: 24,8% del PIB</w:t>
            </w:r>
          </w:p>
        </w:tc>
        <w:tc>
          <w:tcPr>
            <w:tcW w:w="2771" w:type="dxa"/>
          </w:tcPr>
          <w:p w:rsidR="00CA415C" w:rsidRPr="00AF6B8D" w:rsidRDefault="00AC36F6" w:rsidP="000E2B9B">
            <w:pPr>
              <w:suppressAutoHyphens/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Año 201</w:t>
            </w:r>
            <w:r w:rsidR="00E00F65" w:rsidRPr="00AF6B8D">
              <w:rPr>
                <w:noProof/>
                <w:lang w:val="es-ES"/>
              </w:rPr>
              <w:t>3</w:t>
            </w:r>
          </w:p>
          <w:p w:rsidR="003807D6" w:rsidRPr="00AF6B8D" w:rsidRDefault="00F05EC6" w:rsidP="000E2B9B">
            <w:pPr>
              <w:suppressAutoHyphens/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Resultado</w:t>
            </w:r>
            <w:r w:rsidR="00F55053" w:rsidRPr="00AF6B8D">
              <w:rPr>
                <w:noProof/>
                <w:lang w:val="es-ES"/>
              </w:rPr>
              <w:t xml:space="preserve"> </w:t>
            </w:r>
            <w:r w:rsidR="007F3A58" w:rsidRPr="00AF6B8D">
              <w:rPr>
                <w:noProof/>
                <w:lang w:val="es-ES"/>
              </w:rPr>
              <w:t>fiscal</w:t>
            </w:r>
            <w:r w:rsidR="00F55053" w:rsidRPr="00AF6B8D">
              <w:rPr>
                <w:noProof/>
                <w:lang w:val="es-ES"/>
              </w:rPr>
              <w:t xml:space="preserve"> </w:t>
            </w:r>
            <w:r w:rsidRPr="00AF6B8D">
              <w:rPr>
                <w:noProof/>
                <w:lang w:val="es-ES"/>
              </w:rPr>
              <w:t xml:space="preserve">del </w:t>
            </w:r>
            <w:r w:rsidR="00EB2489" w:rsidRPr="00AF6B8D">
              <w:rPr>
                <w:noProof/>
                <w:lang w:val="es-ES"/>
              </w:rPr>
              <w:t>gobierno central:</w:t>
            </w:r>
            <w:r w:rsidR="000E2B9B" w:rsidRPr="00AF6B8D">
              <w:rPr>
                <w:noProof/>
                <w:lang w:val="es-ES"/>
              </w:rPr>
              <w:t xml:space="preserve"> -2,</w:t>
            </w:r>
            <w:r w:rsidR="00E00F65" w:rsidRPr="00AF6B8D">
              <w:rPr>
                <w:noProof/>
                <w:lang w:val="es-ES"/>
              </w:rPr>
              <w:t>1</w:t>
            </w:r>
            <w:r w:rsidR="000E2B9B" w:rsidRPr="00AF6B8D">
              <w:rPr>
                <w:noProof/>
                <w:lang w:val="es-ES"/>
              </w:rPr>
              <w:t xml:space="preserve">% </w:t>
            </w:r>
            <w:r w:rsidR="00096BC0" w:rsidRPr="00AF6B8D">
              <w:rPr>
                <w:noProof/>
                <w:lang w:val="es-ES"/>
              </w:rPr>
              <w:t>del PIB</w:t>
            </w:r>
          </w:p>
          <w:p w:rsidR="009E4CD8" w:rsidRPr="00AF6B8D" w:rsidRDefault="003807D6" w:rsidP="009E4CD8">
            <w:pPr>
              <w:suppressAutoHyphens/>
              <w:spacing w:before="240"/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Deuda pública del gobierno central: 2</w:t>
            </w:r>
            <w:r w:rsidR="00A274A1" w:rsidRPr="00AF6B8D">
              <w:rPr>
                <w:noProof/>
                <w:lang w:val="es-ES"/>
              </w:rPr>
              <w:t>5,2</w:t>
            </w:r>
            <w:r w:rsidRPr="00AF6B8D">
              <w:rPr>
                <w:noProof/>
                <w:lang w:val="es-ES"/>
              </w:rPr>
              <w:t>% del PIB</w:t>
            </w:r>
          </w:p>
        </w:tc>
        <w:tc>
          <w:tcPr>
            <w:tcW w:w="2309" w:type="dxa"/>
          </w:tcPr>
          <w:p w:rsidR="000E40A1" w:rsidRPr="00AF6B8D" w:rsidRDefault="000E40A1" w:rsidP="000E40A1">
            <w:pPr>
              <w:rPr>
                <w:noProof/>
                <w:lang w:val="es-ES"/>
              </w:rPr>
            </w:pPr>
            <w:r w:rsidRPr="00AF6B8D">
              <w:rPr>
                <w:b/>
                <w:noProof/>
                <w:lang w:val="es-ES"/>
              </w:rPr>
              <w:t>Responsable:</w:t>
            </w:r>
            <w:r w:rsidRPr="00AF6B8D">
              <w:rPr>
                <w:noProof/>
                <w:lang w:val="es-ES"/>
              </w:rPr>
              <w:t xml:space="preserve"> MINFIN.</w:t>
            </w:r>
          </w:p>
          <w:p w:rsidR="000E40A1" w:rsidRPr="00AF6B8D" w:rsidRDefault="000E40A1" w:rsidP="000E40A1">
            <w:pPr>
              <w:rPr>
                <w:noProof/>
                <w:lang w:val="es-ES"/>
              </w:rPr>
            </w:pPr>
          </w:p>
          <w:p w:rsidR="005B71E5" w:rsidRPr="00AF6B8D" w:rsidRDefault="000E40A1" w:rsidP="000E40A1">
            <w:pPr>
              <w:suppressAutoHyphens/>
              <w:rPr>
                <w:noProof/>
                <w:lang w:val="es-ES"/>
              </w:rPr>
            </w:pPr>
            <w:r w:rsidRPr="00AF6B8D">
              <w:rPr>
                <w:b/>
                <w:noProof/>
                <w:lang w:val="es-ES"/>
              </w:rPr>
              <w:t>Fuente:</w:t>
            </w:r>
            <w:r w:rsidRPr="00AF6B8D">
              <w:rPr>
                <w:noProof/>
                <w:lang w:val="es-ES"/>
              </w:rPr>
              <w:t xml:space="preserve"> Documento publicado en la página web del MINFIN</w:t>
            </w:r>
          </w:p>
        </w:tc>
      </w:tr>
      <w:tr w:rsidR="00253973" w:rsidRPr="00AF6B8D" w:rsidTr="008E4A43">
        <w:tc>
          <w:tcPr>
            <w:tcW w:w="12456" w:type="dxa"/>
            <w:gridSpan w:val="5"/>
            <w:shd w:val="clear" w:color="auto" w:fill="FFFFCC"/>
          </w:tcPr>
          <w:p w:rsidR="00253973" w:rsidRPr="00AF6B8D" w:rsidRDefault="00253973" w:rsidP="00EB2A5E">
            <w:pPr>
              <w:suppressAutoHyphens/>
              <w:spacing w:before="40" w:after="40"/>
              <w:rPr>
                <w:b/>
                <w:noProof/>
                <w:lang w:val="es-ES"/>
              </w:rPr>
            </w:pPr>
            <w:r w:rsidRPr="00AF6B8D">
              <w:rPr>
                <w:b/>
                <w:noProof/>
                <w:lang w:val="es-ES"/>
              </w:rPr>
              <w:t xml:space="preserve">II. Reformas Tributarias y Medidas Antievasión: </w:t>
            </w:r>
          </w:p>
        </w:tc>
      </w:tr>
      <w:tr w:rsidR="009C74B8" w:rsidRPr="00AF6B8D" w:rsidTr="009E4CD8">
        <w:trPr>
          <w:trHeight w:val="3969"/>
        </w:trPr>
        <w:tc>
          <w:tcPr>
            <w:tcW w:w="2383" w:type="dxa"/>
          </w:tcPr>
          <w:p w:rsidR="009C74B8" w:rsidRPr="00AF6B8D" w:rsidRDefault="009C74B8" w:rsidP="007842AE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noProof/>
                <w:sz w:val="20"/>
                <w:szCs w:val="20"/>
                <w:lang w:val="es-ES"/>
              </w:rPr>
            </w:pPr>
            <w:r w:rsidRPr="00AF6B8D">
              <w:rPr>
                <w:rFonts w:ascii="Times New Roman" w:hAnsi="Times New Roman"/>
                <w:noProof/>
                <w:sz w:val="20"/>
                <w:szCs w:val="20"/>
                <w:lang w:val="es-ES"/>
              </w:rPr>
              <w:t>Actualizar y fortalecer el sistema impositivo, a través de la implementación de reformas orientadas a prevenir la elusión y evasión fiscal, así como mejoras en la eficiencia reca</w:t>
            </w:r>
            <w:r w:rsidRPr="00AF6B8D">
              <w:rPr>
                <w:rFonts w:ascii="Times New Roman" w:hAnsi="Times New Roman"/>
                <w:noProof/>
                <w:sz w:val="20"/>
                <w:szCs w:val="20"/>
                <w:lang w:val="es-ES"/>
              </w:rPr>
              <w:t>u</w:t>
            </w:r>
            <w:r w:rsidRPr="00AF6B8D">
              <w:rPr>
                <w:rFonts w:ascii="Times New Roman" w:hAnsi="Times New Roman"/>
                <w:noProof/>
                <w:sz w:val="20"/>
                <w:szCs w:val="20"/>
                <w:lang w:val="es-ES"/>
              </w:rPr>
              <w:t>datoria</w:t>
            </w:r>
          </w:p>
        </w:tc>
        <w:tc>
          <w:tcPr>
            <w:tcW w:w="2479" w:type="dxa"/>
          </w:tcPr>
          <w:p w:rsidR="009C74B8" w:rsidRPr="00AF6B8D" w:rsidRDefault="009C74B8" w:rsidP="00C25386">
            <w:pPr>
              <w:suppressAutoHyphens/>
              <w:rPr>
                <w:noProof/>
                <w:lang w:val="es-ES"/>
              </w:rPr>
            </w:pPr>
            <w:commentRangeStart w:id="0"/>
            <w:r w:rsidRPr="00AF6B8D">
              <w:rPr>
                <w:noProof/>
                <w:lang w:val="es-ES"/>
              </w:rPr>
              <w:t xml:space="preserve">Línea de base (2011): </w:t>
            </w:r>
          </w:p>
          <w:p w:rsidR="009C74B8" w:rsidRPr="00AF6B8D" w:rsidRDefault="009C74B8" w:rsidP="00C25386">
            <w:pPr>
              <w:suppressAutoHyphens/>
              <w:rPr>
                <w:noProof/>
                <w:lang w:val="es-ES"/>
              </w:rPr>
            </w:pPr>
          </w:p>
          <w:p w:rsidR="009C74B8" w:rsidRPr="00AF6B8D" w:rsidRDefault="009C74B8" w:rsidP="00C25386">
            <w:pPr>
              <w:suppressAutoHyphens/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Ingresos tributarios netos:</w:t>
            </w:r>
          </w:p>
          <w:p w:rsidR="009C74B8" w:rsidRPr="00AF6B8D" w:rsidRDefault="009C74B8" w:rsidP="00C25386">
            <w:pPr>
              <w:suppressAutoHyphens/>
              <w:rPr>
                <w:noProof/>
                <w:lang w:val="es-ES"/>
              </w:rPr>
            </w:pPr>
          </w:p>
          <w:p w:rsidR="009C74B8" w:rsidRPr="00AF6B8D" w:rsidRDefault="009C74B8" w:rsidP="009E4CD8">
            <w:pPr>
              <w:suppressAutoHyphens/>
              <w:ind w:left="311"/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 xml:space="preserve">11,03 % del PIB </w:t>
            </w:r>
          </w:p>
        </w:tc>
        <w:tc>
          <w:tcPr>
            <w:tcW w:w="2514" w:type="dxa"/>
          </w:tcPr>
          <w:p w:rsidR="009C74B8" w:rsidRPr="00AF6B8D" w:rsidRDefault="009C74B8" w:rsidP="00B54D71">
            <w:pPr>
              <w:suppressAutoHyphens/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Aumento de Recaudación anualizada de:</w:t>
            </w:r>
          </w:p>
          <w:p w:rsidR="009C74B8" w:rsidRPr="00AF6B8D" w:rsidRDefault="009C74B8" w:rsidP="00B54D71">
            <w:pPr>
              <w:suppressAutoHyphens/>
              <w:rPr>
                <w:noProof/>
                <w:lang w:val="es-ES"/>
              </w:rPr>
            </w:pPr>
          </w:p>
          <w:p w:rsidR="009C74B8" w:rsidRPr="00AF6B8D" w:rsidRDefault="009C74B8" w:rsidP="009E4CD8">
            <w:pPr>
              <w:suppressAutoHyphens/>
              <w:ind w:left="383"/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0,2% del PIB por efecto de la ley de actualizacion tributaria.</w:t>
            </w:r>
          </w:p>
          <w:p w:rsidR="009C74B8" w:rsidRPr="00AF6B8D" w:rsidRDefault="009C74B8" w:rsidP="009E4CD8">
            <w:pPr>
              <w:suppressAutoHyphens/>
              <w:ind w:left="383"/>
              <w:rPr>
                <w:noProof/>
                <w:lang w:val="es-ES"/>
              </w:rPr>
            </w:pPr>
          </w:p>
          <w:p w:rsidR="009C74B8" w:rsidRPr="00AF6B8D" w:rsidRDefault="009C74B8" w:rsidP="009E4CD8">
            <w:pPr>
              <w:suppressAutoHyphens/>
              <w:ind w:left="383"/>
              <w:rPr>
                <w:b/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0,1 % del PIB por efecto de la ley antievasón 2</w:t>
            </w:r>
          </w:p>
        </w:tc>
        <w:tc>
          <w:tcPr>
            <w:tcW w:w="2771" w:type="dxa"/>
          </w:tcPr>
          <w:p w:rsidR="009C74B8" w:rsidRPr="00AF6B8D" w:rsidRDefault="009C74B8" w:rsidP="009C74B8">
            <w:pPr>
              <w:suppressAutoHyphens/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Aumento de la recaudación anualizado:</w:t>
            </w:r>
          </w:p>
          <w:p w:rsidR="009C74B8" w:rsidRPr="00AF6B8D" w:rsidRDefault="009C74B8" w:rsidP="009C74B8">
            <w:pPr>
              <w:suppressAutoHyphens/>
              <w:rPr>
                <w:noProof/>
                <w:lang w:val="es-ES"/>
              </w:rPr>
            </w:pPr>
          </w:p>
          <w:p w:rsidR="009C74B8" w:rsidRPr="00AF6B8D" w:rsidRDefault="009C74B8" w:rsidP="009E4CD8">
            <w:pPr>
              <w:suppressAutoHyphens/>
              <w:ind w:left="421"/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de al menos 0,8 % del PIB, por efecto de la ley de actualizacion tributaria.</w:t>
            </w:r>
          </w:p>
          <w:p w:rsidR="009C74B8" w:rsidRPr="00AF6B8D" w:rsidRDefault="009C74B8" w:rsidP="009E4CD8">
            <w:pPr>
              <w:suppressAutoHyphens/>
              <w:ind w:left="421"/>
              <w:rPr>
                <w:noProof/>
                <w:lang w:val="es-ES"/>
              </w:rPr>
            </w:pPr>
          </w:p>
          <w:p w:rsidR="009E4CD8" w:rsidRPr="00AF6B8D" w:rsidRDefault="009C74B8" w:rsidP="009E4CD8">
            <w:pPr>
              <w:suppressAutoHyphens/>
              <w:ind w:left="421"/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al menos, 0,2 % del PIB</w:t>
            </w:r>
            <w:r w:rsidR="009E4CD8" w:rsidRPr="00AF6B8D">
              <w:rPr>
                <w:noProof/>
                <w:lang w:val="es-ES"/>
              </w:rPr>
              <w:t xml:space="preserve"> por efecto de la ley antievasón 2</w:t>
            </w:r>
          </w:p>
          <w:p w:rsidR="009E4CD8" w:rsidRPr="00AF6B8D" w:rsidRDefault="009E4CD8" w:rsidP="009C74B8">
            <w:pPr>
              <w:suppressAutoHyphens/>
              <w:rPr>
                <w:noProof/>
                <w:lang w:val="es-ES"/>
              </w:rPr>
            </w:pPr>
          </w:p>
          <w:p w:rsidR="009C74B8" w:rsidRPr="00AF6B8D" w:rsidRDefault="009C74B8" w:rsidP="009E4CD8">
            <w:pPr>
              <w:suppressAutoHyphens/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el impacto recaudatorio de la</w:t>
            </w:r>
            <w:r w:rsidR="009E4CD8" w:rsidRPr="00AF6B8D">
              <w:rPr>
                <w:noProof/>
                <w:lang w:val="es-ES"/>
              </w:rPr>
              <w:t>s</w:t>
            </w:r>
            <w:r w:rsidRPr="00AF6B8D">
              <w:rPr>
                <w:noProof/>
                <w:lang w:val="es-ES"/>
              </w:rPr>
              <w:t xml:space="preserve"> Ley</w:t>
            </w:r>
            <w:r w:rsidR="009E4CD8" w:rsidRPr="00AF6B8D">
              <w:rPr>
                <w:noProof/>
                <w:lang w:val="es-ES"/>
              </w:rPr>
              <w:t>es</w:t>
            </w:r>
            <w:r w:rsidRPr="00AF6B8D">
              <w:rPr>
                <w:noProof/>
                <w:lang w:val="es-ES"/>
              </w:rPr>
              <w:t xml:space="preserve"> de Actualización Tributaria</w:t>
            </w:r>
            <w:r w:rsidR="009E4CD8" w:rsidRPr="00AF6B8D">
              <w:rPr>
                <w:noProof/>
                <w:lang w:val="es-ES"/>
              </w:rPr>
              <w:t xml:space="preserve"> y Antievasion 2</w:t>
            </w:r>
            <w:r w:rsidRPr="00AF6B8D">
              <w:rPr>
                <w:noProof/>
                <w:lang w:val="es-ES"/>
              </w:rPr>
              <w:t xml:space="preserve"> alcanza al menos 12,3% del PIB </w:t>
            </w:r>
          </w:p>
        </w:tc>
        <w:tc>
          <w:tcPr>
            <w:tcW w:w="2309" w:type="dxa"/>
          </w:tcPr>
          <w:p w:rsidR="009C74B8" w:rsidRPr="00AF6B8D" w:rsidRDefault="009C74B8" w:rsidP="000E40A1">
            <w:pPr>
              <w:rPr>
                <w:noProof/>
                <w:lang w:val="es-ES"/>
              </w:rPr>
            </w:pPr>
            <w:r w:rsidRPr="00AF6B8D">
              <w:rPr>
                <w:b/>
                <w:noProof/>
                <w:lang w:val="es-ES"/>
              </w:rPr>
              <w:lastRenderedPageBreak/>
              <w:t>Respo</w:t>
            </w:r>
            <w:r w:rsidRPr="00AF6B8D">
              <w:rPr>
                <w:b/>
                <w:noProof/>
                <w:lang w:val="es-ES"/>
              </w:rPr>
              <w:t>n</w:t>
            </w:r>
            <w:r w:rsidRPr="00AF6B8D">
              <w:rPr>
                <w:b/>
                <w:noProof/>
                <w:lang w:val="es-ES"/>
              </w:rPr>
              <w:t>sable:</w:t>
            </w:r>
            <w:r w:rsidRPr="00AF6B8D">
              <w:rPr>
                <w:noProof/>
                <w:lang w:val="es-ES"/>
              </w:rPr>
              <w:t xml:space="preserve"> MINFIN.</w:t>
            </w:r>
          </w:p>
          <w:p w:rsidR="009C74B8" w:rsidRPr="00AF6B8D" w:rsidRDefault="009C74B8" w:rsidP="000E40A1">
            <w:pPr>
              <w:rPr>
                <w:noProof/>
                <w:lang w:val="es-ES"/>
              </w:rPr>
            </w:pPr>
          </w:p>
          <w:p w:rsidR="009C74B8" w:rsidRPr="00AF6B8D" w:rsidRDefault="009C74B8" w:rsidP="000E40A1">
            <w:pPr>
              <w:suppressAutoHyphens/>
              <w:rPr>
                <w:noProof/>
                <w:lang w:val="es-ES"/>
              </w:rPr>
            </w:pPr>
            <w:r w:rsidRPr="00AF6B8D">
              <w:rPr>
                <w:b/>
                <w:noProof/>
                <w:lang w:val="es-ES"/>
              </w:rPr>
              <w:t>Fuente:</w:t>
            </w:r>
            <w:r w:rsidRPr="00AF6B8D">
              <w:rPr>
                <w:noProof/>
                <w:lang w:val="es-ES"/>
              </w:rPr>
              <w:t xml:space="preserve"> Documento publicado en la página web del MINFIN</w:t>
            </w:r>
            <w:commentRangeEnd w:id="0"/>
          </w:p>
          <w:p w:rsidR="009C74B8" w:rsidRPr="00AF6B8D" w:rsidRDefault="009C74B8" w:rsidP="009E4CD8">
            <w:pPr>
              <w:suppressAutoHyphens/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Nota: La recaudación aumenta al 12,3 % c</w:t>
            </w:r>
            <w:r w:rsidRPr="00AF6B8D">
              <w:rPr>
                <w:noProof/>
                <w:lang w:val="es-ES"/>
              </w:rPr>
              <w:t>o</w:t>
            </w:r>
            <w:r w:rsidRPr="00AF6B8D">
              <w:rPr>
                <w:noProof/>
                <w:lang w:val="es-ES"/>
              </w:rPr>
              <w:t>mo resultado de la implementación de las Leyes de Actualización Tributaria y la Ley de Disposiciones para el Fortalecimiento del Sistema Tributario y El Combate a la Defraudación y al Contrabando</w:t>
            </w:r>
          </w:p>
        </w:tc>
      </w:tr>
      <w:tr w:rsidR="005B71E5" w:rsidRPr="00AF6B8D" w:rsidTr="008E4A43">
        <w:tc>
          <w:tcPr>
            <w:tcW w:w="12456" w:type="dxa"/>
            <w:gridSpan w:val="5"/>
            <w:shd w:val="clear" w:color="auto" w:fill="FFFFCC"/>
          </w:tcPr>
          <w:p w:rsidR="005B71E5" w:rsidRPr="00AF6B8D" w:rsidRDefault="005B71E5" w:rsidP="008E4A43">
            <w:pPr>
              <w:spacing w:before="40" w:after="40"/>
              <w:ind w:left="-29"/>
              <w:jc w:val="both"/>
              <w:rPr>
                <w:noProof/>
                <w:lang w:val="es-ES"/>
              </w:rPr>
            </w:pPr>
            <w:r w:rsidRPr="00AF6B8D">
              <w:rPr>
                <w:b/>
                <w:bCs/>
                <w:noProof/>
                <w:lang w:val="es-ES"/>
              </w:rPr>
              <w:lastRenderedPageBreak/>
              <w:t xml:space="preserve">III. </w:t>
            </w:r>
            <w:r w:rsidRPr="00AF6B8D">
              <w:rPr>
                <w:b/>
                <w:noProof/>
                <w:lang w:val="es-ES"/>
              </w:rPr>
              <w:t>Regulación de las Finanzas Municipales</w:t>
            </w:r>
            <w:r w:rsidRPr="00AF6B8D">
              <w:rPr>
                <w:bCs/>
                <w:noProof/>
                <w:lang w:val="es-ES"/>
              </w:rPr>
              <w:t>:</w:t>
            </w:r>
          </w:p>
        </w:tc>
      </w:tr>
      <w:tr w:rsidR="009E4CD8" w:rsidRPr="00AF6B8D" w:rsidTr="009E4CD8">
        <w:trPr>
          <w:trHeight w:val="1191"/>
        </w:trPr>
        <w:tc>
          <w:tcPr>
            <w:tcW w:w="2383" w:type="dxa"/>
          </w:tcPr>
          <w:p w:rsidR="009E4CD8" w:rsidRPr="00AF6B8D" w:rsidRDefault="009E4CD8" w:rsidP="008E4A4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noProof/>
                <w:sz w:val="20"/>
                <w:szCs w:val="20"/>
                <w:lang w:val="es-ES"/>
              </w:rPr>
            </w:pPr>
            <w:r w:rsidRPr="00AF6B8D">
              <w:rPr>
                <w:rFonts w:ascii="Times New Roman" w:hAnsi="Times New Roman"/>
                <w:noProof/>
                <w:sz w:val="20"/>
                <w:szCs w:val="20"/>
                <w:lang w:val="es-ES"/>
              </w:rPr>
              <w:t>Fortalecer la capacidad del MINFIN para regular y orientar la gestión de las finanzas municipales</w:t>
            </w:r>
          </w:p>
        </w:tc>
        <w:tc>
          <w:tcPr>
            <w:tcW w:w="2479" w:type="dxa"/>
          </w:tcPr>
          <w:p w:rsidR="009E4CD8" w:rsidRPr="00AF6B8D" w:rsidRDefault="009E4CD8" w:rsidP="0053555B">
            <w:pPr>
              <w:autoSpaceDE w:val="0"/>
              <w:autoSpaceDN w:val="0"/>
              <w:adjustRightInd w:val="0"/>
              <w:rPr>
                <w:noProof/>
                <w:lang w:val="es-ES" w:eastAsia="es-ES_tradnl"/>
              </w:rPr>
            </w:pPr>
            <w:r w:rsidRPr="00AF6B8D">
              <w:rPr>
                <w:noProof/>
                <w:lang w:val="es-ES" w:eastAsia="es-ES_tradnl"/>
              </w:rPr>
              <w:t>Línea de Base: Deuda Total Municipal sobre Ingresos Propios para 2009: 94%  (Indicador a ser validado por la DAAFIM)</w:t>
            </w:r>
          </w:p>
        </w:tc>
        <w:tc>
          <w:tcPr>
            <w:tcW w:w="2514" w:type="dxa"/>
          </w:tcPr>
          <w:p w:rsidR="009E4CD8" w:rsidRPr="00AF6B8D" w:rsidRDefault="009E4CD8" w:rsidP="000B15C0">
            <w:pPr>
              <w:autoSpaceDE w:val="0"/>
              <w:autoSpaceDN w:val="0"/>
              <w:adjustRightInd w:val="0"/>
              <w:rPr>
                <w:noProof/>
                <w:lang w:val="es-ES" w:eastAsia="es-ES_tradnl"/>
              </w:rPr>
            </w:pPr>
            <w:r w:rsidRPr="00AF6B8D">
              <w:rPr>
                <w:noProof/>
                <w:lang w:val="es-ES" w:eastAsia="es-ES_tradnl"/>
              </w:rPr>
              <w:t>Línea de Base: Deuda Total Municipal sobre Ingresos Propios para 2009: 90%  (Indicador a ser validado por la DAAFIM)</w:t>
            </w:r>
          </w:p>
        </w:tc>
        <w:tc>
          <w:tcPr>
            <w:tcW w:w="2771" w:type="dxa"/>
          </w:tcPr>
          <w:p w:rsidR="009E4CD8" w:rsidRPr="00AF6B8D" w:rsidRDefault="009E4CD8" w:rsidP="008E4A43">
            <w:pPr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Baja en el indicador de Deuda Total Municipal sobre Ingr</w:t>
            </w:r>
            <w:r w:rsidRPr="00AF6B8D">
              <w:rPr>
                <w:noProof/>
                <w:lang w:val="es-ES"/>
              </w:rPr>
              <w:t>e</w:t>
            </w:r>
            <w:r w:rsidRPr="00AF6B8D">
              <w:rPr>
                <w:noProof/>
                <w:lang w:val="es-ES"/>
              </w:rPr>
              <w:t>sos Propios para 2013 hasta 85%.</w:t>
            </w:r>
          </w:p>
          <w:p w:rsidR="009E4CD8" w:rsidRPr="00AF6B8D" w:rsidRDefault="009E4CD8" w:rsidP="008E4A43">
            <w:pPr>
              <w:rPr>
                <w:noProof/>
                <w:lang w:val="es-ES"/>
              </w:rPr>
            </w:pPr>
            <w:r w:rsidRPr="00AF6B8D">
              <w:rPr>
                <w:noProof/>
                <w:lang w:val="es-ES" w:eastAsia="es-ES_tradnl"/>
              </w:rPr>
              <w:t>(Indicador a ser validado por la DAAFIM)</w:t>
            </w:r>
          </w:p>
        </w:tc>
        <w:tc>
          <w:tcPr>
            <w:tcW w:w="2309" w:type="dxa"/>
          </w:tcPr>
          <w:p w:rsidR="009E4CD8" w:rsidRPr="00AF6B8D" w:rsidRDefault="009E4CD8" w:rsidP="008E4A43">
            <w:pPr>
              <w:ind w:left="-29"/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SIAF-Muni Informe Anual Consolidado por el MINFIN y Registro de Deuda Municipal del INFOM.</w:t>
            </w:r>
          </w:p>
        </w:tc>
      </w:tr>
      <w:tr w:rsidR="00683C6E" w:rsidRPr="00AF6B8D" w:rsidTr="008E4A43">
        <w:tc>
          <w:tcPr>
            <w:tcW w:w="12456" w:type="dxa"/>
            <w:gridSpan w:val="5"/>
            <w:shd w:val="clear" w:color="auto" w:fill="FFFFCC"/>
          </w:tcPr>
          <w:p w:rsidR="00683C6E" w:rsidRPr="00AF6B8D" w:rsidRDefault="00683C6E" w:rsidP="00EB2A5E">
            <w:pPr>
              <w:spacing w:before="40" w:after="40"/>
              <w:ind w:left="-29"/>
              <w:rPr>
                <w:b/>
                <w:noProof/>
                <w:lang w:val="es-ES"/>
              </w:rPr>
            </w:pPr>
            <w:r w:rsidRPr="00AF6B8D">
              <w:rPr>
                <w:b/>
                <w:noProof/>
                <w:lang w:val="es-ES"/>
              </w:rPr>
              <w:t>IV. Programación Fiscal de Mediano Plazo y Gestión por Resultados.</w:t>
            </w:r>
          </w:p>
        </w:tc>
      </w:tr>
      <w:tr w:rsidR="009E4CD8" w:rsidRPr="00AF6B8D" w:rsidTr="00F02E43">
        <w:trPr>
          <w:trHeight w:val="4080"/>
        </w:trPr>
        <w:tc>
          <w:tcPr>
            <w:tcW w:w="2383" w:type="dxa"/>
          </w:tcPr>
          <w:p w:rsidR="009E4CD8" w:rsidRPr="00AF6B8D" w:rsidRDefault="009E4CD8" w:rsidP="005760B5">
            <w:pPr>
              <w:suppressAutoHyphens/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lastRenderedPageBreak/>
              <w:t>Fortalecer la capacidad presupuestaria del programa de Fomento de la Salud y Medicina Preventiva del Plan piloto de gestión por resultados en el Ministerio de Salud Pública</w:t>
            </w:r>
          </w:p>
        </w:tc>
        <w:tc>
          <w:tcPr>
            <w:tcW w:w="2479" w:type="dxa"/>
          </w:tcPr>
          <w:p w:rsidR="009E4CD8" w:rsidRPr="00AF6B8D" w:rsidRDefault="009E4CD8" w:rsidP="00683C6E">
            <w:pPr>
              <w:spacing w:after="200"/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Reasignación de rubros presupuestarios hacia materi</w:t>
            </w:r>
            <w:r w:rsidRPr="00AF6B8D">
              <w:rPr>
                <w:noProof/>
                <w:lang w:val="es-ES"/>
              </w:rPr>
              <w:t>a</w:t>
            </w:r>
            <w:r w:rsidRPr="00AF6B8D">
              <w:rPr>
                <w:noProof/>
                <w:lang w:val="es-ES"/>
              </w:rPr>
              <w:t>les y suministros en el Pr</w:t>
            </w:r>
            <w:r w:rsidRPr="00AF6B8D">
              <w:rPr>
                <w:noProof/>
                <w:lang w:val="es-ES"/>
              </w:rPr>
              <w:t>o</w:t>
            </w:r>
            <w:r w:rsidRPr="00AF6B8D">
              <w:rPr>
                <w:noProof/>
                <w:lang w:val="es-ES"/>
              </w:rPr>
              <w:t xml:space="preserve">grama de Fomento de la Salud y Medicina Preventiva: </w:t>
            </w:r>
          </w:p>
          <w:p w:rsidR="009E4CD8" w:rsidRPr="00AF6B8D" w:rsidRDefault="009E4CD8" w:rsidP="00683C6E">
            <w:pPr>
              <w:spacing w:after="200"/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Línea de Base 2011:</w:t>
            </w:r>
          </w:p>
          <w:p w:rsidR="009E4CD8" w:rsidRPr="00AF6B8D" w:rsidRDefault="009E4CD8" w:rsidP="00683C6E">
            <w:pPr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Servicios personales 28,00% del total del Programa</w:t>
            </w:r>
          </w:p>
          <w:p w:rsidR="009E4CD8" w:rsidRPr="00AF6B8D" w:rsidRDefault="009E4CD8" w:rsidP="00683C6E">
            <w:pPr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Servicios no personales: 35% del Total del Pr</w:t>
            </w:r>
            <w:r w:rsidRPr="00AF6B8D">
              <w:rPr>
                <w:noProof/>
                <w:lang w:val="es-ES"/>
              </w:rPr>
              <w:t>o</w:t>
            </w:r>
            <w:r w:rsidRPr="00AF6B8D">
              <w:rPr>
                <w:noProof/>
                <w:lang w:val="es-ES"/>
              </w:rPr>
              <w:t>grama</w:t>
            </w:r>
          </w:p>
          <w:p w:rsidR="009E4CD8" w:rsidRPr="00AF6B8D" w:rsidRDefault="009E4CD8" w:rsidP="00683C6E">
            <w:pPr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Materiales y suministros: 22,00% del Total del Programa</w:t>
            </w:r>
          </w:p>
          <w:p w:rsidR="009E4CD8" w:rsidRPr="00AF6B8D" w:rsidRDefault="009E4CD8" w:rsidP="0035069E">
            <w:pPr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Otros: 10% del Total del Programa</w:t>
            </w:r>
          </w:p>
        </w:tc>
        <w:tc>
          <w:tcPr>
            <w:tcW w:w="2514" w:type="dxa"/>
          </w:tcPr>
          <w:p w:rsidR="009E4CD8" w:rsidRPr="00AF6B8D" w:rsidRDefault="009E4CD8" w:rsidP="000E40A1">
            <w:pPr>
              <w:spacing w:after="200"/>
              <w:rPr>
                <w:noProof/>
                <w:lang w:val="es-ES"/>
              </w:rPr>
            </w:pPr>
          </w:p>
        </w:tc>
        <w:tc>
          <w:tcPr>
            <w:tcW w:w="2771" w:type="dxa"/>
          </w:tcPr>
          <w:p w:rsidR="009E4CD8" w:rsidRPr="00AF6B8D" w:rsidRDefault="009E4CD8" w:rsidP="004A4622">
            <w:pPr>
              <w:spacing w:after="200"/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Reasignación de rubros presupuestarios presupuestarios hacia materi</w:t>
            </w:r>
            <w:r w:rsidRPr="00AF6B8D">
              <w:rPr>
                <w:noProof/>
                <w:lang w:val="es-ES"/>
              </w:rPr>
              <w:t>a</w:t>
            </w:r>
            <w:r w:rsidRPr="00AF6B8D">
              <w:rPr>
                <w:noProof/>
                <w:lang w:val="es-ES"/>
              </w:rPr>
              <w:t>les y suministros en el Programa de Fomento de la Salud y Medicina Preventiva:  (2013)</w:t>
            </w:r>
          </w:p>
          <w:p w:rsidR="009E4CD8" w:rsidRPr="00AF6B8D" w:rsidRDefault="009E4CD8" w:rsidP="005760B5">
            <w:pPr>
              <w:spacing w:after="200"/>
              <w:rPr>
                <w:noProof/>
                <w:lang w:val="es-ES"/>
              </w:rPr>
            </w:pPr>
          </w:p>
          <w:p w:rsidR="009E4CD8" w:rsidRPr="00AF6B8D" w:rsidRDefault="009E4CD8" w:rsidP="005760B5">
            <w:pPr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Servicios personales 21% del Total del Programa</w:t>
            </w:r>
          </w:p>
          <w:p w:rsidR="009E4CD8" w:rsidRPr="00AF6B8D" w:rsidRDefault="009E4CD8" w:rsidP="005760B5">
            <w:pPr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Servicios no personales: 19% del Total del Programa</w:t>
            </w:r>
          </w:p>
          <w:p w:rsidR="009E4CD8" w:rsidRPr="00AF6B8D" w:rsidRDefault="009E4CD8" w:rsidP="005760B5">
            <w:pPr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Materiales y suministros: 55% del total del Programa</w:t>
            </w:r>
          </w:p>
          <w:p w:rsidR="009E4CD8" w:rsidRPr="00AF6B8D" w:rsidRDefault="009E4CD8" w:rsidP="005760B5">
            <w:pPr>
              <w:suppressAutoHyphens/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Otros: 5% del Total del Programa</w:t>
            </w:r>
          </w:p>
        </w:tc>
        <w:tc>
          <w:tcPr>
            <w:tcW w:w="2309" w:type="dxa"/>
          </w:tcPr>
          <w:p w:rsidR="009E4CD8" w:rsidRPr="00AF6B8D" w:rsidRDefault="009E4CD8" w:rsidP="008E4A43">
            <w:pPr>
              <w:rPr>
                <w:noProof/>
                <w:lang w:val="es-ES"/>
              </w:rPr>
            </w:pPr>
            <w:r w:rsidRPr="00AF6B8D">
              <w:rPr>
                <w:b/>
                <w:noProof/>
                <w:lang w:val="es-ES"/>
              </w:rPr>
              <w:t>Responsable:</w:t>
            </w:r>
            <w:r w:rsidRPr="00AF6B8D">
              <w:rPr>
                <w:noProof/>
                <w:lang w:val="es-ES"/>
              </w:rPr>
              <w:t xml:space="preserve"> MINFIN.</w:t>
            </w:r>
          </w:p>
          <w:p w:rsidR="009E4CD8" w:rsidRPr="00AF6B8D" w:rsidRDefault="009E4CD8" w:rsidP="008E4A43">
            <w:pPr>
              <w:rPr>
                <w:noProof/>
                <w:lang w:val="es-ES"/>
              </w:rPr>
            </w:pPr>
          </w:p>
          <w:p w:rsidR="009E4CD8" w:rsidRPr="00AF6B8D" w:rsidRDefault="009E4CD8" w:rsidP="004A4622">
            <w:pPr>
              <w:rPr>
                <w:noProof/>
                <w:lang w:val="es-ES"/>
              </w:rPr>
            </w:pPr>
            <w:r w:rsidRPr="00AF6B8D">
              <w:rPr>
                <w:b/>
                <w:noProof/>
                <w:lang w:val="es-ES"/>
              </w:rPr>
              <w:t>Fuente:</w:t>
            </w:r>
            <w:r w:rsidRPr="00AF6B8D">
              <w:rPr>
                <w:noProof/>
                <w:lang w:val="es-ES"/>
              </w:rPr>
              <w:t xml:space="preserve"> Presupuesto Devengado anualmente  publicado en la página web del MI</w:t>
            </w:r>
            <w:r w:rsidRPr="00AF6B8D">
              <w:rPr>
                <w:noProof/>
                <w:lang w:val="es-ES"/>
              </w:rPr>
              <w:t>N</w:t>
            </w:r>
            <w:r w:rsidRPr="00AF6B8D">
              <w:rPr>
                <w:noProof/>
                <w:lang w:val="es-ES"/>
              </w:rPr>
              <w:t>FIN</w:t>
            </w:r>
          </w:p>
        </w:tc>
      </w:tr>
    </w:tbl>
    <w:p w:rsidR="00A92581" w:rsidRPr="00AF6B8D" w:rsidRDefault="00A92581">
      <w:pPr>
        <w:pStyle w:val="Annex"/>
        <w:suppressAutoHyphens/>
        <w:rPr>
          <w:caps w:val="0"/>
          <w:noProof/>
          <w:sz w:val="20"/>
          <w:lang w:val="es-ES"/>
        </w:rPr>
      </w:pPr>
    </w:p>
    <w:p w:rsidR="009E4CD8" w:rsidRPr="00AF6B8D" w:rsidRDefault="009E4CD8" w:rsidP="00A240F9">
      <w:pPr>
        <w:pStyle w:val="Title"/>
        <w:suppressAutoHyphens/>
        <w:rPr>
          <w:b/>
          <w:noProof/>
          <w:lang w:val="es-ES"/>
        </w:rPr>
      </w:pPr>
    </w:p>
    <w:p w:rsidR="00EF6E48" w:rsidRPr="00AF6B8D" w:rsidRDefault="00EF6E48" w:rsidP="00A240F9">
      <w:pPr>
        <w:pStyle w:val="Title"/>
        <w:suppressAutoHyphens/>
        <w:rPr>
          <w:b/>
          <w:noProof/>
          <w:lang w:val="es-ES"/>
        </w:rPr>
      </w:pPr>
      <w:r w:rsidRPr="00AF6B8D">
        <w:rPr>
          <w:b/>
          <w:noProof/>
          <w:lang w:val="es-ES"/>
        </w:rPr>
        <w:t xml:space="preserve">Productos PBL de </w:t>
      </w:r>
      <w:r w:rsidR="00055227" w:rsidRPr="00AF6B8D">
        <w:rPr>
          <w:b/>
          <w:noProof/>
          <w:lang w:val="es-ES"/>
        </w:rPr>
        <w:t>Consolidación</w:t>
      </w:r>
      <w:r w:rsidRPr="00AF6B8D">
        <w:rPr>
          <w:b/>
          <w:noProof/>
          <w:lang w:val="es-ES"/>
        </w:rPr>
        <w:t xml:space="preserve"> Fiscal </w:t>
      </w:r>
    </w:p>
    <w:p w:rsidR="007F2F53" w:rsidRPr="00AF6B8D" w:rsidRDefault="007F2F53" w:rsidP="00A240F9">
      <w:pPr>
        <w:pStyle w:val="Title"/>
        <w:suppressAutoHyphens/>
        <w:rPr>
          <w:b/>
          <w:noProof/>
          <w:lang w:val="es-ES"/>
        </w:rPr>
      </w:pPr>
      <w:r w:rsidRPr="00AF6B8D">
        <w:rPr>
          <w:b/>
          <w:noProof/>
          <w:lang w:val="es-ES"/>
        </w:rPr>
        <w:t>GU-L1064</w:t>
      </w:r>
    </w:p>
    <w:tbl>
      <w:tblPr>
        <w:tblW w:w="1332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9"/>
        <w:gridCol w:w="1593"/>
        <w:gridCol w:w="1417"/>
        <w:gridCol w:w="1418"/>
        <w:gridCol w:w="1134"/>
        <w:gridCol w:w="2126"/>
        <w:gridCol w:w="2268"/>
        <w:tblGridChange w:id="1">
          <w:tblGrid>
            <w:gridCol w:w="3369"/>
            <w:gridCol w:w="1593"/>
            <w:gridCol w:w="1417"/>
            <w:gridCol w:w="1418"/>
            <w:gridCol w:w="1134"/>
            <w:gridCol w:w="2126"/>
            <w:gridCol w:w="2268"/>
          </w:tblGrid>
        </w:tblGridChange>
      </w:tblGrid>
      <w:tr w:rsidR="007F2F53" w:rsidRPr="00AF6B8D" w:rsidTr="000B1624">
        <w:trPr>
          <w:tblHeader/>
        </w:trPr>
        <w:tc>
          <w:tcPr>
            <w:tcW w:w="3369" w:type="dxa"/>
            <w:shd w:val="clear" w:color="auto" w:fill="FFFF99"/>
            <w:vAlign w:val="center"/>
          </w:tcPr>
          <w:p w:rsidR="00EF6E48" w:rsidRPr="00AF6B8D" w:rsidRDefault="00EF6E48" w:rsidP="000B1624">
            <w:pPr>
              <w:pStyle w:val="Title"/>
              <w:suppressAutoHyphens/>
              <w:rPr>
                <w:b/>
                <w:noProof/>
                <w:sz w:val="20"/>
                <w:lang w:val="es-ES"/>
              </w:rPr>
            </w:pPr>
            <w:r w:rsidRPr="00AF6B8D">
              <w:rPr>
                <w:b/>
                <w:noProof/>
                <w:sz w:val="20"/>
                <w:lang w:val="es-ES"/>
              </w:rPr>
              <w:t>Producto</w:t>
            </w:r>
          </w:p>
        </w:tc>
        <w:tc>
          <w:tcPr>
            <w:tcW w:w="1593" w:type="dxa"/>
            <w:shd w:val="clear" w:color="auto" w:fill="FFFF99"/>
            <w:vAlign w:val="center"/>
          </w:tcPr>
          <w:p w:rsidR="00EF6E48" w:rsidRPr="00AF6B8D" w:rsidRDefault="00EF6E48" w:rsidP="000B1624">
            <w:pPr>
              <w:pStyle w:val="Title"/>
              <w:suppressAutoHyphens/>
              <w:ind w:left="33" w:hanging="33"/>
              <w:rPr>
                <w:b/>
                <w:noProof/>
                <w:sz w:val="20"/>
                <w:lang w:val="es-ES"/>
              </w:rPr>
            </w:pPr>
            <w:r w:rsidRPr="00AF6B8D">
              <w:rPr>
                <w:b/>
                <w:noProof/>
                <w:sz w:val="20"/>
                <w:lang w:val="es-ES"/>
              </w:rPr>
              <w:t>Unidad de Medida</w:t>
            </w:r>
          </w:p>
        </w:tc>
        <w:tc>
          <w:tcPr>
            <w:tcW w:w="1417" w:type="dxa"/>
            <w:shd w:val="clear" w:color="auto" w:fill="FFFF99"/>
            <w:vAlign w:val="center"/>
          </w:tcPr>
          <w:p w:rsidR="00EF6E48" w:rsidRPr="00AF6B8D" w:rsidRDefault="00EF6E48" w:rsidP="000B1624">
            <w:pPr>
              <w:pStyle w:val="Title"/>
              <w:suppressAutoHyphens/>
              <w:rPr>
                <w:b/>
                <w:noProof/>
                <w:sz w:val="20"/>
                <w:lang w:val="es-ES"/>
              </w:rPr>
            </w:pPr>
            <w:r w:rsidRPr="00AF6B8D">
              <w:rPr>
                <w:b/>
                <w:noProof/>
                <w:sz w:val="20"/>
                <w:lang w:val="es-ES"/>
              </w:rPr>
              <w:t>201</w:t>
            </w:r>
            <w:r w:rsidR="007F2F53" w:rsidRPr="00AF6B8D">
              <w:rPr>
                <w:b/>
                <w:noProof/>
                <w:sz w:val="20"/>
                <w:lang w:val="es-ES"/>
              </w:rPr>
              <w:t>1</w:t>
            </w:r>
            <w:r w:rsidRPr="00AF6B8D">
              <w:rPr>
                <w:b/>
                <w:noProof/>
                <w:sz w:val="20"/>
                <w:lang w:val="es-ES"/>
              </w:rPr>
              <w:t xml:space="preserve"> </w:t>
            </w:r>
            <w:r w:rsidR="007F2F53" w:rsidRPr="00AF6B8D">
              <w:rPr>
                <w:b/>
                <w:noProof/>
                <w:sz w:val="20"/>
                <w:lang w:val="es-ES"/>
              </w:rPr>
              <w:t>Línea</w:t>
            </w:r>
            <w:r w:rsidRPr="00AF6B8D">
              <w:rPr>
                <w:b/>
                <w:noProof/>
                <w:sz w:val="20"/>
                <w:lang w:val="es-ES"/>
              </w:rPr>
              <w:t xml:space="preserve"> de Base</w:t>
            </w:r>
          </w:p>
        </w:tc>
        <w:tc>
          <w:tcPr>
            <w:tcW w:w="1418" w:type="dxa"/>
            <w:shd w:val="clear" w:color="auto" w:fill="FFFF99"/>
            <w:vAlign w:val="center"/>
          </w:tcPr>
          <w:p w:rsidR="00EF6E48" w:rsidRPr="00AF6B8D" w:rsidRDefault="00EF6E48" w:rsidP="000B1624">
            <w:pPr>
              <w:pStyle w:val="Title"/>
              <w:suppressAutoHyphens/>
              <w:rPr>
                <w:b/>
                <w:noProof/>
                <w:sz w:val="20"/>
                <w:lang w:val="es-ES"/>
              </w:rPr>
            </w:pPr>
            <w:r w:rsidRPr="00AF6B8D">
              <w:rPr>
                <w:b/>
                <w:noProof/>
                <w:sz w:val="20"/>
                <w:lang w:val="es-ES"/>
              </w:rPr>
              <w:t>201</w:t>
            </w:r>
            <w:r w:rsidR="007F2F53" w:rsidRPr="00AF6B8D">
              <w:rPr>
                <w:b/>
                <w:noProof/>
                <w:sz w:val="20"/>
                <w:lang w:val="es-ES"/>
              </w:rPr>
              <w:t>2</w:t>
            </w:r>
          </w:p>
        </w:tc>
        <w:tc>
          <w:tcPr>
            <w:tcW w:w="1134" w:type="dxa"/>
            <w:shd w:val="clear" w:color="auto" w:fill="FFFF99"/>
            <w:vAlign w:val="center"/>
          </w:tcPr>
          <w:p w:rsidR="00EF6E48" w:rsidRPr="00AF6B8D" w:rsidRDefault="00EF6E48" w:rsidP="000B1624">
            <w:pPr>
              <w:pStyle w:val="Title"/>
              <w:suppressAutoHyphens/>
              <w:rPr>
                <w:b/>
                <w:noProof/>
                <w:sz w:val="20"/>
                <w:lang w:val="es-ES"/>
              </w:rPr>
            </w:pPr>
            <w:r w:rsidRPr="00AF6B8D">
              <w:rPr>
                <w:b/>
                <w:noProof/>
                <w:sz w:val="20"/>
                <w:lang w:val="es-ES"/>
              </w:rPr>
              <w:t>201</w:t>
            </w:r>
            <w:r w:rsidR="007F2F53" w:rsidRPr="00AF6B8D">
              <w:rPr>
                <w:b/>
                <w:noProof/>
                <w:sz w:val="20"/>
                <w:lang w:val="es-ES"/>
              </w:rPr>
              <w:t>3</w:t>
            </w:r>
          </w:p>
        </w:tc>
        <w:tc>
          <w:tcPr>
            <w:tcW w:w="2126" w:type="dxa"/>
            <w:shd w:val="clear" w:color="auto" w:fill="FFFF99"/>
            <w:vAlign w:val="center"/>
          </w:tcPr>
          <w:p w:rsidR="00EF6E48" w:rsidRPr="00AF6B8D" w:rsidRDefault="00EF6E48" w:rsidP="000B1624">
            <w:pPr>
              <w:pStyle w:val="Title"/>
              <w:suppressAutoHyphens/>
              <w:rPr>
                <w:b/>
                <w:noProof/>
                <w:sz w:val="20"/>
                <w:lang w:val="es-ES"/>
              </w:rPr>
            </w:pPr>
            <w:r w:rsidRPr="00AF6B8D">
              <w:rPr>
                <w:b/>
                <w:noProof/>
                <w:sz w:val="20"/>
                <w:lang w:val="es-ES"/>
              </w:rPr>
              <w:t>Meta Final</w:t>
            </w:r>
          </w:p>
        </w:tc>
        <w:tc>
          <w:tcPr>
            <w:tcW w:w="2268" w:type="dxa"/>
            <w:shd w:val="clear" w:color="auto" w:fill="FFFF99"/>
            <w:vAlign w:val="center"/>
          </w:tcPr>
          <w:p w:rsidR="00EF6E48" w:rsidRPr="00AF6B8D" w:rsidRDefault="00EF6E48" w:rsidP="001103EB">
            <w:pPr>
              <w:pStyle w:val="Title"/>
              <w:suppressAutoHyphens/>
              <w:rPr>
                <w:b/>
                <w:noProof/>
                <w:sz w:val="20"/>
                <w:lang w:val="es-ES"/>
              </w:rPr>
            </w:pPr>
            <w:commentRangeStart w:id="2"/>
            <w:r w:rsidRPr="00AF6B8D">
              <w:rPr>
                <w:b/>
                <w:noProof/>
                <w:sz w:val="20"/>
                <w:lang w:val="es-ES"/>
              </w:rPr>
              <w:t>Observaciones</w:t>
            </w:r>
            <w:commentRangeEnd w:id="2"/>
          </w:p>
        </w:tc>
      </w:tr>
      <w:tr w:rsidR="007F2F53" w:rsidRPr="00AF6B8D" w:rsidTr="000B1624">
        <w:tc>
          <w:tcPr>
            <w:tcW w:w="13325" w:type="dxa"/>
            <w:gridSpan w:val="7"/>
            <w:shd w:val="clear" w:color="auto" w:fill="000000"/>
            <w:vAlign w:val="center"/>
          </w:tcPr>
          <w:p w:rsidR="007F2F53" w:rsidRPr="00AF6B8D" w:rsidRDefault="007F2F53" w:rsidP="000B1624">
            <w:pPr>
              <w:pStyle w:val="Title"/>
              <w:suppressAutoHyphens/>
              <w:jc w:val="left"/>
              <w:rPr>
                <w:b/>
                <w:noProof/>
                <w:color w:val="FFFFFF"/>
                <w:sz w:val="20"/>
                <w:lang w:val="es-ES"/>
              </w:rPr>
            </w:pPr>
            <w:r w:rsidRPr="00AF6B8D">
              <w:rPr>
                <w:b/>
                <w:noProof/>
                <w:color w:val="FFFFFF"/>
                <w:sz w:val="20"/>
                <w:lang w:val="es-ES"/>
              </w:rPr>
              <w:t>Componente 2: Reformas Tributaria y Medidas Anti evasión</w:t>
            </w:r>
          </w:p>
        </w:tc>
      </w:tr>
      <w:tr w:rsidR="007F2F53" w:rsidRPr="00AF6B8D" w:rsidTr="000B1624">
        <w:tc>
          <w:tcPr>
            <w:tcW w:w="3369" w:type="dxa"/>
            <w:vAlign w:val="center"/>
          </w:tcPr>
          <w:p w:rsidR="004747E7" w:rsidRPr="00AF6B8D" w:rsidRDefault="004747E7" w:rsidP="001103EB">
            <w:pPr>
              <w:pStyle w:val="Title"/>
              <w:suppressAutoHyphens/>
              <w:jc w:val="left"/>
              <w:rPr>
                <w:noProof/>
                <w:sz w:val="20"/>
                <w:lang w:val="es-ES"/>
              </w:rPr>
            </w:pPr>
            <w:commentRangeStart w:id="3"/>
            <w:r w:rsidRPr="00AF6B8D">
              <w:rPr>
                <w:noProof/>
                <w:sz w:val="20"/>
                <w:lang w:val="es-ES"/>
              </w:rPr>
              <w:t>Ley de Actualización Tributaria</w:t>
            </w:r>
            <w:commentRangeEnd w:id="3"/>
            <w:r w:rsidR="005D407F" w:rsidRPr="00AF6B8D">
              <w:rPr>
                <w:noProof/>
                <w:sz w:val="20"/>
                <w:lang w:val="es-ES"/>
              </w:rPr>
              <w:t>, aprobada</w:t>
            </w:r>
            <w:r w:rsidRPr="00AF6B8D">
              <w:rPr>
                <w:noProof/>
                <w:sz w:val="20"/>
                <w:lang w:val="es-ES"/>
              </w:rPr>
              <w:t>.</w:t>
            </w:r>
          </w:p>
        </w:tc>
        <w:tc>
          <w:tcPr>
            <w:tcW w:w="1593" w:type="dxa"/>
            <w:vAlign w:val="center"/>
          </w:tcPr>
          <w:p w:rsidR="004747E7" w:rsidRPr="00AF6B8D" w:rsidRDefault="004747E7" w:rsidP="000B1624">
            <w:pPr>
              <w:pStyle w:val="Title"/>
              <w:suppressAutoHyphens/>
              <w:ind w:left="33" w:hanging="33"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t>Decreto 10-2012</w:t>
            </w:r>
          </w:p>
        </w:tc>
        <w:tc>
          <w:tcPr>
            <w:tcW w:w="1417" w:type="dxa"/>
            <w:vAlign w:val="center"/>
          </w:tcPr>
          <w:p w:rsidR="004747E7" w:rsidRPr="00AF6B8D" w:rsidRDefault="00EF44A8" w:rsidP="000B1624">
            <w:pPr>
              <w:pStyle w:val="Title"/>
              <w:suppressAutoHyphens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t>0</w:t>
            </w:r>
          </w:p>
        </w:tc>
        <w:tc>
          <w:tcPr>
            <w:tcW w:w="1418" w:type="dxa"/>
            <w:vAlign w:val="center"/>
          </w:tcPr>
          <w:p w:rsidR="004747E7" w:rsidRPr="00AF6B8D" w:rsidRDefault="00EF44A8" w:rsidP="000B1624">
            <w:pPr>
              <w:pStyle w:val="Title"/>
              <w:suppressAutoHyphens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t>1</w:t>
            </w:r>
          </w:p>
        </w:tc>
        <w:tc>
          <w:tcPr>
            <w:tcW w:w="1134" w:type="dxa"/>
            <w:vAlign w:val="center"/>
          </w:tcPr>
          <w:p w:rsidR="004747E7" w:rsidRPr="00AF6B8D" w:rsidRDefault="004747E7" w:rsidP="000B1624">
            <w:pPr>
              <w:pStyle w:val="Title"/>
              <w:suppressAutoHyphens/>
              <w:rPr>
                <w:noProof/>
                <w:sz w:val="20"/>
                <w:lang w:val="es-ES"/>
              </w:rPr>
            </w:pPr>
          </w:p>
        </w:tc>
        <w:tc>
          <w:tcPr>
            <w:tcW w:w="2126" w:type="dxa"/>
            <w:vAlign w:val="center"/>
          </w:tcPr>
          <w:p w:rsidR="004747E7" w:rsidRPr="00AF6B8D" w:rsidRDefault="007F2F53" w:rsidP="000B1624">
            <w:pPr>
              <w:pStyle w:val="Title"/>
              <w:suppressAutoHyphens/>
              <w:jc w:val="left"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t>Entrada</w:t>
            </w:r>
            <w:r w:rsidR="004747E7" w:rsidRPr="00AF6B8D">
              <w:rPr>
                <w:noProof/>
                <w:sz w:val="20"/>
                <w:lang w:val="es-ES"/>
              </w:rPr>
              <w:t xml:space="preserve"> en vigencia de la Ley de Actualización Tributaria y su Acuerdo Gubernativo correspondiente.</w:t>
            </w:r>
          </w:p>
        </w:tc>
        <w:tc>
          <w:tcPr>
            <w:tcW w:w="2268" w:type="dxa"/>
            <w:vAlign w:val="center"/>
          </w:tcPr>
          <w:p w:rsidR="004747E7" w:rsidRPr="00AF6B8D" w:rsidRDefault="00B66F13" w:rsidP="000B1624">
            <w:pPr>
              <w:pStyle w:val="Title"/>
              <w:suppressAutoHyphens/>
              <w:jc w:val="left"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u w:val="single"/>
                <w:lang w:val="es-ES"/>
              </w:rPr>
              <w:t xml:space="preserve">Medio </w:t>
            </w:r>
            <w:r w:rsidR="000B45AB" w:rsidRPr="00AF6B8D">
              <w:rPr>
                <w:noProof/>
                <w:sz w:val="20"/>
                <w:u w:val="single"/>
                <w:lang w:val="es-ES"/>
              </w:rPr>
              <w:t xml:space="preserve">y fuente </w:t>
            </w:r>
            <w:r w:rsidRPr="00AF6B8D">
              <w:rPr>
                <w:noProof/>
                <w:sz w:val="20"/>
                <w:u w:val="single"/>
                <w:lang w:val="es-ES"/>
              </w:rPr>
              <w:t>de verificación</w:t>
            </w:r>
            <w:r w:rsidRPr="00AF6B8D">
              <w:rPr>
                <w:noProof/>
                <w:sz w:val="20"/>
                <w:lang w:val="es-ES"/>
              </w:rPr>
              <w:t>: Publicación en el Diario Oficial – Diario de Centroamérica y entrada en vigencia de la Ley de Actualización Tributaria (Decreto 10-2012); y su Acuerdo Gubernativo correspondiente.</w:t>
            </w:r>
          </w:p>
        </w:tc>
      </w:tr>
      <w:tr w:rsidR="007F2F53" w:rsidRPr="00AF6B8D" w:rsidTr="000B1624">
        <w:tc>
          <w:tcPr>
            <w:tcW w:w="3369" w:type="dxa"/>
            <w:vAlign w:val="center"/>
          </w:tcPr>
          <w:p w:rsidR="00EF44A8" w:rsidRPr="00AF6B8D" w:rsidRDefault="00EF44A8" w:rsidP="000B1624">
            <w:pPr>
              <w:pStyle w:val="ListParagraph"/>
              <w:spacing w:before="40" w:after="40" w:line="240" w:lineRule="auto"/>
              <w:ind w:left="0"/>
              <w:contextualSpacing w:val="0"/>
              <w:rPr>
                <w:rFonts w:ascii="Times New Roman" w:hAnsi="Times New Roman"/>
                <w:noProof/>
                <w:sz w:val="20"/>
                <w:szCs w:val="20"/>
                <w:lang w:val="es-ES"/>
              </w:rPr>
            </w:pPr>
            <w:r w:rsidRPr="00AF6B8D">
              <w:rPr>
                <w:rFonts w:ascii="Times New Roman" w:hAnsi="Times New Roman"/>
                <w:noProof/>
                <w:sz w:val="20"/>
                <w:szCs w:val="20"/>
                <w:lang w:val="es-ES"/>
              </w:rPr>
              <w:t>Unidad de Tributación Internacional (UTI) en el Vice-Ministerio de Ingre</w:t>
            </w:r>
            <w:r w:rsidRPr="00AF6B8D">
              <w:rPr>
                <w:rFonts w:ascii="Times New Roman" w:hAnsi="Times New Roman"/>
                <w:noProof/>
                <w:sz w:val="20"/>
                <w:szCs w:val="20"/>
                <w:lang w:val="es-ES"/>
              </w:rPr>
              <w:lastRenderedPageBreak/>
              <w:t>sos del MI</w:t>
            </w:r>
            <w:r w:rsidRPr="00AF6B8D">
              <w:rPr>
                <w:rFonts w:ascii="Times New Roman" w:hAnsi="Times New Roman"/>
                <w:noProof/>
                <w:sz w:val="20"/>
                <w:szCs w:val="20"/>
                <w:lang w:val="es-ES"/>
              </w:rPr>
              <w:t>N</w:t>
            </w:r>
            <w:r w:rsidRPr="00AF6B8D">
              <w:rPr>
                <w:rFonts w:ascii="Times New Roman" w:hAnsi="Times New Roman"/>
                <w:noProof/>
                <w:sz w:val="20"/>
                <w:szCs w:val="20"/>
                <w:lang w:val="es-ES"/>
              </w:rPr>
              <w:t>FIN</w:t>
            </w:r>
            <w:r w:rsidR="005D407F" w:rsidRPr="00AF6B8D">
              <w:rPr>
                <w:rFonts w:ascii="Times New Roman" w:hAnsi="Times New Roman"/>
                <w:noProof/>
                <w:sz w:val="20"/>
                <w:szCs w:val="20"/>
                <w:lang w:val="es-ES"/>
              </w:rPr>
              <w:t>, implementada</w:t>
            </w:r>
            <w:r w:rsidRPr="00AF6B8D">
              <w:rPr>
                <w:rFonts w:ascii="Times New Roman" w:hAnsi="Times New Roman"/>
                <w:noProof/>
                <w:sz w:val="20"/>
                <w:szCs w:val="20"/>
                <w:lang w:val="es-ES"/>
              </w:rPr>
              <w:t>.</w:t>
            </w:r>
          </w:p>
        </w:tc>
        <w:tc>
          <w:tcPr>
            <w:tcW w:w="1593" w:type="dxa"/>
            <w:vAlign w:val="center"/>
          </w:tcPr>
          <w:p w:rsidR="00EF44A8" w:rsidRPr="00AF6B8D" w:rsidRDefault="007F2F53" w:rsidP="000B1624">
            <w:pPr>
              <w:pStyle w:val="Title"/>
              <w:suppressAutoHyphens/>
              <w:ind w:left="33" w:hanging="33"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lastRenderedPageBreak/>
              <w:t>Dirección</w:t>
            </w:r>
            <w:r w:rsidR="00EF44A8" w:rsidRPr="00AF6B8D">
              <w:rPr>
                <w:noProof/>
                <w:sz w:val="20"/>
                <w:lang w:val="es-ES"/>
              </w:rPr>
              <w:t xml:space="preserve"> de </w:t>
            </w:r>
            <w:r w:rsidRPr="00AF6B8D">
              <w:rPr>
                <w:noProof/>
                <w:sz w:val="20"/>
                <w:lang w:val="es-ES"/>
              </w:rPr>
              <w:t>Tributación</w:t>
            </w:r>
            <w:r w:rsidR="00EF44A8" w:rsidRPr="00AF6B8D">
              <w:rPr>
                <w:noProof/>
                <w:sz w:val="20"/>
                <w:lang w:val="es-ES"/>
              </w:rPr>
              <w:t xml:space="preserve"> </w:t>
            </w:r>
            <w:r w:rsidR="00EF44A8" w:rsidRPr="00AF6B8D">
              <w:rPr>
                <w:noProof/>
                <w:sz w:val="20"/>
                <w:lang w:val="es-ES"/>
              </w:rPr>
              <w:lastRenderedPageBreak/>
              <w:t>Internacional</w:t>
            </w:r>
          </w:p>
        </w:tc>
        <w:tc>
          <w:tcPr>
            <w:tcW w:w="1417" w:type="dxa"/>
            <w:vAlign w:val="center"/>
          </w:tcPr>
          <w:p w:rsidR="00EF44A8" w:rsidRPr="00AF6B8D" w:rsidRDefault="00EF44A8" w:rsidP="000B1624">
            <w:pPr>
              <w:pStyle w:val="Title"/>
              <w:suppressAutoHyphens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lastRenderedPageBreak/>
              <w:t>0</w:t>
            </w:r>
          </w:p>
        </w:tc>
        <w:tc>
          <w:tcPr>
            <w:tcW w:w="1418" w:type="dxa"/>
            <w:vAlign w:val="center"/>
          </w:tcPr>
          <w:p w:rsidR="00EF44A8" w:rsidRPr="00AF6B8D" w:rsidRDefault="00EF44A8" w:rsidP="000B1624">
            <w:pPr>
              <w:pStyle w:val="Title"/>
              <w:suppressAutoHyphens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t>1</w:t>
            </w:r>
          </w:p>
        </w:tc>
        <w:tc>
          <w:tcPr>
            <w:tcW w:w="1134" w:type="dxa"/>
            <w:vAlign w:val="center"/>
          </w:tcPr>
          <w:p w:rsidR="00EF44A8" w:rsidRPr="00AF6B8D" w:rsidRDefault="00EF44A8" w:rsidP="000B1624">
            <w:pPr>
              <w:pStyle w:val="Title"/>
              <w:suppressAutoHyphens/>
              <w:rPr>
                <w:noProof/>
                <w:sz w:val="20"/>
                <w:lang w:val="es-ES"/>
              </w:rPr>
            </w:pPr>
          </w:p>
        </w:tc>
        <w:tc>
          <w:tcPr>
            <w:tcW w:w="2126" w:type="dxa"/>
            <w:vAlign w:val="center"/>
          </w:tcPr>
          <w:p w:rsidR="00EF44A8" w:rsidRPr="00AF6B8D" w:rsidRDefault="007F2F53" w:rsidP="000B1624">
            <w:pPr>
              <w:pStyle w:val="Title"/>
              <w:suppressAutoHyphens/>
              <w:jc w:val="left"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t xml:space="preserve">1 </w:t>
            </w:r>
            <w:r w:rsidR="00EF44A8" w:rsidRPr="00AF6B8D">
              <w:rPr>
                <w:noProof/>
                <w:sz w:val="20"/>
                <w:lang w:val="es-ES"/>
              </w:rPr>
              <w:t xml:space="preserve">Unidad de Tributación </w:t>
            </w:r>
            <w:r w:rsidR="00EF44A8" w:rsidRPr="00AF6B8D">
              <w:rPr>
                <w:noProof/>
                <w:sz w:val="20"/>
                <w:lang w:val="es-ES"/>
              </w:rPr>
              <w:lastRenderedPageBreak/>
              <w:t>Internacional (UTI) en el Vice-Ministerio de Ingresos del MINFIN.</w:t>
            </w:r>
          </w:p>
        </w:tc>
        <w:tc>
          <w:tcPr>
            <w:tcW w:w="2268" w:type="dxa"/>
            <w:vAlign w:val="center"/>
          </w:tcPr>
          <w:p w:rsidR="00B66F13" w:rsidRPr="00AF6B8D" w:rsidRDefault="00B66F13" w:rsidP="00B66F13">
            <w:pPr>
              <w:pStyle w:val="ListParagraph"/>
              <w:spacing w:before="40" w:after="40" w:line="240" w:lineRule="auto"/>
              <w:ind w:left="-43"/>
              <w:contextualSpacing w:val="0"/>
              <w:rPr>
                <w:rFonts w:ascii="Times New Roman" w:hAnsi="Times New Roman"/>
                <w:noProof/>
                <w:sz w:val="20"/>
                <w:szCs w:val="20"/>
                <w:lang w:val="es-ES"/>
              </w:rPr>
            </w:pPr>
            <w:r w:rsidRPr="00AF6B8D">
              <w:rPr>
                <w:rFonts w:ascii="Times New Roman" w:hAnsi="Times New Roman"/>
                <w:noProof/>
                <w:sz w:val="20"/>
                <w:szCs w:val="20"/>
                <w:u w:val="single"/>
                <w:lang w:val="es-ES"/>
              </w:rPr>
              <w:lastRenderedPageBreak/>
              <w:t xml:space="preserve">Medio </w:t>
            </w:r>
            <w:r w:rsidR="000B45AB" w:rsidRPr="00AF6B8D">
              <w:rPr>
                <w:rFonts w:ascii="Times New Roman" w:hAnsi="Times New Roman"/>
                <w:noProof/>
                <w:sz w:val="20"/>
                <w:szCs w:val="20"/>
                <w:u w:val="single"/>
                <w:lang w:val="es-ES"/>
              </w:rPr>
              <w:t xml:space="preserve">y fuente </w:t>
            </w:r>
            <w:r w:rsidRPr="00AF6B8D">
              <w:rPr>
                <w:rFonts w:ascii="Times New Roman" w:hAnsi="Times New Roman"/>
                <w:noProof/>
                <w:sz w:val="20"/>
                <w:szCs w:val="20"/>
                <w:u w:val="single"/>
                <w:lang w:val="es-ES"/>
              </w:rPr>
              <w:t>de verificación:</w:t>
            </w:r>
            <w:r w:rsidRPr="00AF6B8D">
              <w:rPr>
                <w:rFonts w:ascii="Times New Roman" w:hAnsi="Times New Roman"/>
                <w:noProof/>
                <w:sz w:val="20"/>
                <w:szCs w:val="20"/>
                <w:lang w:val="es-ES"/>
              </w:rPr>
              <w:t xml:space="preserve"> </w:t>
            </w:r>
          </w:p>
          <w:p w:rsidR="00EF44A8" w:rsidRPr="00AF6B8D" w:rsidRDefault="00B66F13" w:rsidP="00B66F13">
            <w:pPr>
              <w:pStyle w:val="ListParagraph"/>
              <w:spacing w:before="40" w:after="40" w:line="240" w:lineRule="auto"/>
              <w:ind w:left="-93"/>
              <w:rPr>
                <w:noProof/>
                <w:sz w:val="20"/>
                <w:szCs w:val="20"/>
                <w:lang w:val="es-ES"/>
              </w:rPr>
            </w:pPr>
            <w:r w:rsidRPr="00AF6B8D">
              <w:rPr>
                <w:rFonts w:ascii="Times New Roman" w:hAnsi="Times New Roman"/>
                <w:noProof/>
                <w:sz w:val="20"/>
                <w:szCs w:val="20"/>
                <w:lang w:val="es-ES"/>
              </w:rPr>
              <w:lastRenderedPageBreak/>
              <w:t>Publicación en el Diario Oficial – Diario de Centroamérica del Acuerdo Ministerial.</w:t>
            </w:r>
          </w:p>
        </w:tc>
      </w:tr>
      <w:tr w:rsidR="007F2F53" w:rsidRPr="00AF6B8D" w:rsidTr="000B1624">
        <w:tc>
          <w:tcPr>
            <w:tcW w:w="3369" w:type="dxa"/>
            <w:vAlign w:val="center"/>
          </w:tcPr>
          <w:p w:rsidR="00EF6E48" w:rsidRPr="00AF6B8D" w:rsidRDefault="007F2F53" w:rsidP="000B1624">
            <w:pPr>
              <w:pStyle w:val="ListParagraph"/>
              <w:spacing w:before="40" w:after="40" w:line="240" w:lineRule="auto"/>
              <w:ind w:left="0"/>
              <w:contextualSpacing w:val="0"/>
              <w:rPr>
                <w:rFonts w:ascii="Times New Roman" w:hAnsi="Times New Roman"/>
                <w:noProof/>
                <w:sz w:val="20"/>
                <w:szCs w:val="20"/>
                <w:lang w:val="es-ES"/>
              </w:rPr>
            </w:pPr>
            <w:r w:rsidRPr="00AF6B8D">
              <w:rPr>
                <w:rFonts w:ascii="Times New Roman" w:hAnsi="Times New Roman"/>
                <w:noProof/>
                <w:sz w:val="20"/>
                <w:szCs w:val="20"/>
                <w:lang w:val="es-ES"/>
              </w:rPr>
              <w:lastRenderedPageBreak/>
              <w:t>Convenios</w:t>
            </w:r>
            <w:r w:rsidR="00EF6E48" w:rsidRPr="00AF6B8D">
              <w:rPr>
                <w:rFonts w:ascii="Times New Roman" w:hAnsi="Times New Roman"/>
                <w:noProof/>
                <w:sz w:val="20"/>
                <w:szCs w:val="20"/>
                <w:lang w:val="es-ES"/>
              </w:rPr>
              <w:t xml:space="preserve"> de intercambio de información fiscal o equivalente, en cumplimiento con los lineamie</w:t>
            </w:r>
            <w:r w:rsidR="00EF6E48" w:rsidRPr="00AF6B8D">
              <w:rPr>
                <w:rFonts w:ascii="Times New Roman" w:hAnsi="Times New Roman"/>
                <w:noProof/>
                <w:sz w:val="20"/>
                <w:szCs w:val="20"/>
                <w:lang w:val="es-ES"/>
              </w:rPr>
              <w:t>n</w:t>
            </w:r>
            <w:r w:rsidR="00EF6E48" w:rsidRPr="00AF6B8D">
              <w:rPr>
                <w:rFonts w:ascii="Times New Roman" w:hAnsi="Times New Roman"/>
                <w:noProof/>
                <w:sz w:val="20"/>
                <w:szCs w:val="20"/>
                <w:lang w:val="es-ES"/>
              </w:rPr>
              <w:t>tos del Foro Global</w:t>
            </w:r>
            <w:r w:rsidR="005D407F" w:rsidRPr="00AF6B8D">
              <w:rPr>
                <w:rFonts w:ascii="Times New Roman" w:hAnsi="Times New Roman"/>
                <w:noProof/>
                <w:sz w:val="20"/>
                <w:szCs w:val="20"/>
                <w:lang w:val="es-ES"/>
              </w:rPr>
              <w:t>, firmados</w:t>
            </w:r>
            <w:r w:rsidR="00EF6E48" w:rsidRPr="00AF6B8D">
              <w:rPr>
                <w:rFonts w:ascii="Times New Roman" w:hAnsi="Times New Roman"/>
                <w:noProof/>
                <w:sz w:val="20"/>
                <w:szCs w:val="20"/>
                <w:lang w:val="es-ES"/>
              </w:rPr>
              <w:t>.</w:t>
            </w:r>
          </w:p>
        </w:tc>
        <w:tc>
          <w:tcPr>
            <w:tcW w:w="1593" w:type="dxa"/>
            <w:vAlign w:val="center"/>
          </w:tcPr>
          <w:p w:rsidR="004747E7" w:rsidRPr="00AF6B8D" w:rsidRDefault="004747E7" w:rsidP="00055227">
            <w:pPr>
              <w:pStyle w:val="Title"/>
              <w:suppressAutoHyphens/>
              <w:ind w:left="33" w:hanging="33"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t>Convenios firmados</w:t>
            </w:r>
          </w:p>
          <w:p w:rsidR="004747E7" w:rsidRPr="00AF6B8D" w:rsidRDefault="004747E7" w:rsidP="000B1624">
            <w:pPr>
              <w:pStyle w:val="Title"/>
              <w:suppressAutoHyphens/>
              <w:ind w:left="33" w:hanging="33"/>
              <w:rPr>
                <w:noProof/>
                <w:sz w:val="20"/>
                <w:lang w:val="es-ES"/>
              </w:rPr>
            </w:pPr>
          </w:p>
        </w:tc>
        <w:tc>
          <w:tcPr>
            <w:tcW w:w="1417" w:type="dxa"/>
            <w:vAlign w:val="center"/>
          </w:tcPr>
          <w:p w:rsidR="00EF6E48" w:rsidRPr="00AF6B8D" w:rsidRDefault="00EF44A8" w:rsidP="000B1624">
            <w:pPr>
              <w:pStyle w:val="Title"/>
              <w:suppressAutoHyphens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t>0</w:t>
            </w:r>
          </w:p>
        </w:tc>
        <w:tc>
          <w:tcPr>
            <w:tcW w:w="1418" w:type="dxa"/>
            <w:vAlign w:val="center"/>
          </w:tcPr>
          <w:p w:rsidR="00EF6E48" w:rsidRPr="00AF6B8D" w:rsidRDefault="00EF6E48" w:rsidP="000B1624">
            <w:pPr>
              <w:pStyle w:val="Title"/>
              <w:suppressAutoHyphens/>
              <w:rPr>
                <w:noProof/>
                <w:sz w:val="20"/>
                <w:lang w:val="es-ES"/>
              </w:rPr>
            </w:pPr>
          </w:p>
        </w:tc>
        <w:tc>
          <w:tcPr>
            <w:tcW w:w="1134" w:type="dxa"/>
            <w:vAlign w:val="center"/>
          </w:tcPr>
          <w:p w:rsidR="00EF6E48" w:rsidRPr="00AF6B8D" w:rsidRDefault="007F2F53" w:rsidP="000B1624">
            <w:pPr>
              <w:pStyle w:val="Title"/>
              <w:suppressAutoHyphens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t>12</w:t>
            </w:r>
          </w:p>
        </w:tc>
        <w:tc>
          <w:tcPr>
            <w:tcW w:w="2126" w:type="dxa"/>
            <w:vAlign w:val="center"/>
          </w:tcPr>
          <w:p w:rsidR="004747E7" w:rsidRPr="00AF6B8D" w:rsidRDefault="004747E7" w:rsidP="000B1624">
            <w:pPr>
              <w:pStyle w:val="Title"/>
              <w:suppressAutoHyphens/>
              <w:jc w:val="left"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t>12 convenios firmados</w:t>
            </w:r>
          </w:p>
        </w:tc>
        <w:tc>
          <w:tcPr>
            <w:tcW w:w="2268" w:type="dxa"/>
            <w:vAlign w:val="center"/>
          </w:tcPr>
          <w:p w:rsidR="00B66F13" w:rsidRPr="00AF6B8D" w:rsidRDefault="00B66F13" w:rsidP="00B66F13">
            <w:pPr>
              <w:pStyle w:val="ListParagraph"/>
              <w:spacing w:before="40" w:after="40" w:line="240" w:lineRule="auto"/>
              <w:ind w:left="-43"/>
              <w:contextualSpacing w:val="0"/>
              <w:rPr>
                <w:rFonts w:ascii="Times New Roman" w:hAnsi="Times New Roman"/>
                <w:noProof/>
                <w:sz w:val="20"/>
                <w:szCs w:val="20"/>
                <w:lang w:val="es-ES"/>
              </w:rPr>
            </w:pPr>
            <w:r w:rsidRPr="00AF6B8D">
              <w:rPr>
                <w:rFonts w:ascii="Times New Roman" w:hAnsi="Times New Roman"/>
                <w:noProof/>
                <w:sz w:val="20"/>
                <w:szCs w:val="20"/>
                <w:u w:val="single"/>
                <w:lang w:val="es-ES"/>
              </w:rPr>
              <w:t>Medio de verificación:</w:t>
            </w:r>
            <w:r w:rsidRPr="00AF6B8D">
              <w:rPr>
                <w:rFonts w:ascii="Times New Roman" w:hAnsi="Times New Roman"/>
                <w:noProof/>
                <w:sz w:val="20"/>
                <w:szCs w:val="20"/>
                <w:lang w:val="es-ES"/>
              </w:rPr>
              <w:t xml:space="preserve"> </w:t>
            </w:r>
          </w:p>
          <w:p w:rsidR="00EF6E48" w:rsidRPr="00AF6B8D" w:rsidRDefault="00B66F13" w:rsidP="000B1624">
            <w:pPr>
              <w:pStyle w:val="Title"/>
              <w:suppressAutoHyphens/>
              <w:jc w:val="left"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t xml:space="preserve">Reporte de Consultor Independiente </w:t>
            </w:r>
          </w:p>
        </w:tc>
      </w:tr>
      <w:tr w:rsidR="007F2F53" w:rsidRPr="00AF6B8D" w:rsidTr="000B1624">
        <w:tc>
          <w:tcPr>
            <w:tcW w:w="3369" w:type="dxa"/>
            <w:vAlign w:val="center"/>
          </w:tcPr>
          <w:p w:rsidR="00EF44A8" w:rsidRPr="00AF6B8D" w:rsidRDefault="00EF44A8" w:rsidP="000B1624">
            <w:pPr>
              <w:pStyle w:val="Title"/>
              <w:suppressAutoHyphens/>
              <w:jc w:val="left"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t>Ley de Disposiciones para el Fortalecimiento del Sistema Tributario y El Combate a la Defraudación y al Contrabando</w:t>
            </w:r>
            <w:r w:rsidR="005D407F" w:rsidRPr="00AF6B8D">
              <w:rPr>
                <w:noProof/>
                <w:sz w:val="20"/>
                <w:lang w:val="es-ES"/>
              </w:rPr>
              <w:t>, aprobada.</w:t>
            </w:r>
            <w:r w:rsidRPr="00AF6B8D">
              <w:rPr>
                <w:noProof/>
                <w:sz w:val="20"/>
                <w:lang w:val="es-ES"/>
              </w:rPr>
              <w:t xml:space="preserve"> </w:t>
            </w:r>
          </w:p>
        </w:tc>
        <w:tc>
          <w:tcPr>
            <w:tcW w:w="1593" w:type="dxa"/>
            <w:vAlign w:val="center"/>
          </w:tcPr>
          <w:p w:rsidR="00EF44A8" w:rsidRPr="00AF6B8D" w:rsidRDefault="007F2F53" w:rsidP="000B1624">
            <w:pPr>
              <w:pStyle w:val="Title"/>
              <w:suppressAutoHyphens/>
              <w:ind w:left="33" w:hanging="33"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t>Decreto 4-2012</w:t>
            </w:r>
          </w:p>
        </w:tc>
        <w:tc>
          <w:tcPr>
            <w:tcW w:w="1417" w:type="dxa"/>
            <w:vAlign w:val="center"/>
          </w:tcPr>
          <w:p w:rsidR="00EF44A8" w:rsidRPr="00AF6B8D" w:rsidRDefault="007F2F53" w:rsidP="000B1624">
            <w:pPr>
              <w:pStyle w:val="Title"/>
              <w:suppressAutoHyphens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t>0</w:t>
            </w:r>
          </w:p>
        </w:tc>
        <w:tc>
          <w:tcPr>
            <w:tcW w:w="1418" w:type="dxa"/>
            <w:vAlign w:val="center"/>
          </w:tcPr>
          <w:p w:rsidR="00EF44A8" w:rsidRPr="00AF6B8D" w:rsidRDefault="007F2F53" w:rsidP="000B1624">
            <w:pPr>
              <w:pStyle w:val="Title"/>
              <w:suppressAutoHyphens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t>1</w:t>
            </w:r>
          </w:p>
        </w:tc>
        <w:tc>
          <w:tcPr>
            <w:tcW w:w="1134" w:type="dxa"/>
            <w:vAlign w:val="center"/>
          </w:tcPr>
          <w:p w:rsidR="00EF44A8" w:rsidRPr="00AF6B8D" w:rsidRDefault="00EF44A8" w:rsidP="000B1624">
            <w:pPr>
              <w:pStyle w:val="Title"/>
              <w:suppressAutoHyphens/>
              <w:rPr>
                <w:noProof/>
                <w:sz w:val="20"/>
                <w:lang w:val="es-ES"/>
              </w:rPr>
            </w:pPr>
          </w:p>
        </w:tc>
        <w:tc>
          <w:tcPr>
            <w:tcW w:w="2126" w:type="dxa"/>
            <w:vAlign w:val="center"/>
          </w:tcPr>
          <w:p w:rsidR="007F2F53" w:rsidRPr="00AF6B8D" w:rsidRDefault="007F2F53" w:rsidP="000B1624">
            <w:pPr>
              <w:spacing w:before="40" w:after="40"/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Entrada en vigencia de la Ley.</w:t>
            </w:r>
          </w:p>
          <w:p w:rsidR="00EF44A8" w:rsidRPr="00AF6B8D" w:rsidRDefault="00EF44A8" w:rsidP="000B1624">
            <w:pPr>
              <w:pStyle w:val="Title"/>
              <w:suppressAutoHyphens/>
              <w:jc w:val="left"/>
              <w:rPr>
                <w:noProof/>
                <w:sz w:val="20"/>
                <w:lang w:val="es-ES"/>
              </w:rPr>
            </w:pPr>
          </w:p>
        </w:tc>
        <w:tc>
          <w:tcPr>
            <w:tcW w:w="2268" w:type="dxa"/>
            <w:vAlign w:val="center"/>
          </w:tcPr>
          <w:p w:rsidR="009E4CD8" w:rsidRPr="00AF6B8D" w:rsidRDefault="00B66F13" w:rsidP="009E4CD8">
            <w:pPr>
              <w:spacing w:before="40" w:after="40"/>
              <w:ind w:left="-29"/>
              <w:rPr>
                <w:noProof/>
                <w:lang w:val="es-ES"/>
              </w:rPr>
            </w:pPr>
            <w:r w:rsidRPr="00AF6B8D">
              <w:rPr>
                <w:noProof/>
                <w:u w:val="single"/>
                <w:lang w:val="es-ES"/>
              </w:rPr>
              <w:t>Medio</w:t>
            </w:r>
            <w:r w:rsidR="000B45AB" w:rsidRPr="00AF6B8D">
              <w:rPr>
                <w:noProof/>
                <w:u w:val="single"/>
                <w:lang w:val="es-ES"/>
              </w:rPr>
              <w:t xml:space="preserve"> y fuente</w:t>
            </w:r>
            <w:r w:rsidRPr="00AF6B8D">
              <w:rPr>
                <w:noProof/>
                <w:u w:val="single"/>
                <w:lang w:val="es-ES"/>
              </w:rPr>
              <w:t xml:space="preserve"> de verificación</w:t>
            </w:r>
            <w:r w:rsidRPr="00AF6B8D">
              <w:rPr>
                <w:noProof/>
                <w:lang w:val="es-ES"/>
              </w:rPr>
              <w:t>: Publicación en el Diario Oficial – Diario de Ce</w:t>
            </w:r>
            <w:r w:rsidRPr="00AF6B8D">
              <w:rPr>
                <w:noProof/>
                <w:lang w:val="es-ES"/>
              </w:rPr>
              <w:t>n</w:t>
            </w:r>
            <w:r w:rsidRPr="00AF6B8D">
              <w:rPr>
                <w:noProof/>
                <w:lang w:val="es-ES"/>
              </w:rPr>
              <w:t>troamérica y entrada en vigencia de la Ley.</w:t>
            </w:r>
          </w:p>
        </w:tc>
      </w:tr>
      <w:tr w:rsidR="007F2F53" w:rsidRPr="00AF6B8D" w:rsidTr="000B1624">
        <w:tc>
          <w:tcPr>
            <w:tcW w:w="3369" w:type="dxa"/>
            <w:vAlign w:val="center"/>
          </w:tcPr>
          <w:p w:rsidR="00EF6E48" w:rsidRPr="00AF6B8D" w:rsidRDefault="005D407F" w:rsidP="005D407F">
            <w:pPr>
              <w:spacing w:before="40" w:after="40"/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R</w:t>
            </w:r>
            <w:r w:rsidR="00EF44A8" w:rsidRPr="00AF6B8D">
              <w:rPr>
                <w:noProof/>
                <w:lang w:val="es-ES"/>
              </w:rPr>
              <w:t>eglamentación de la Ley de Actualización Tributaria y la Ley de Dispos</w:t>
            </w:r>
            <w:r w:rsidR="00EF44A8" w:rsidRPr="00AF6B8D">
              <w:rPr>
                <w:noProof/>
                <w:lang w:val="es-ES"/>
              </w:rPr>
              <w:t>i</w:t>
            </w:r>
            <w:r w:rsidR="00EF44A8" w:rsidRPr="00AF6B8D">
              <w:rPr>
                <w:noProof/>
                <w:lang w:val="es-ES"/>
              </w:rPr>
              <w:t>ciones para el Fortalecimiento del Si</w:t>
            </w:r>
            <w:r w:rsidR="00EF44A8" w:rsidRPr="00AF6B8D">
              <w:rPr>
                <w:noProof/>
                <w:lang w:val="es-ES"/>
              </w:rPr>
              <w:t>s</w:t>
            </w:r>
            <w:r w:rsidR="00EF44A8" w:rsidRPr="00AF6B8D">
              <w:rPr>
                <w:noProof/>
                <w:lang w:val="es-ES"/>
              </w:rPr>
              <w:t>tema Tributario y El Combate a la Defraudación y al Contraban</w:t>
            </w:r>
            <w:r w:rsidR="007F2F53" w:rsidRPr="00AF6B8D">
              <w:rPr>
                <w:noProof/>
                <w:lang w:val="es-ES"/>
              </w:rPr>
              <w:t>do</w:t>
            </w:r>
            <w:r w:rsidRPr="00AF6B8D">
              <w:rPr>
                <w:noProof/>
                <w:lang w:val="es-ES"/>
              </w:rPr>
              <w:t>, elabor</w:t>
            </w:r>
            <w:r w:rsidRPr="00AF6B8D">
              <w:rPr>
                <w:noProof/>
                <w:lang w:val="es-ES"/>
              </w:rPr>
              <w:t>a</w:t>
            </w:r>
            <w:r w:rsidRPr="00AF6B8D">
              <w:rPr>
                <w:noProof/>
                <w:lang w:val="es-ES"/>
              </w:rPr>
              <w:t>do.</w:t>
            </w:r>
          </w:p>
        </w:tc>
        <w:tc>
          <w:tcPr>
            <w:tcW w:w="1593" w:type="dxa"/>
            <w:vAlign w:val="center"/>
          </w:tcPr>
          <w:p w:rsidR="00EF6E48" w:rsidRPr="00AF6B8D" w:rsidRDefault="007F2F53" w:rsidP="000B1624">
            <w:pPr>
              <w:pStyle w:val="Title"/>
              <w:suppressAutoHyphens/>
              <w:ind w:left="33" w:hanging="33"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t>Reglamento</w:t>
            </w:r>
          </w:p>
        </w:tc>
        <w:tc>
          <w:tcPr>
            <w:tcW w:w="1417" w:type="dxa"/>
            <w:vAlign w:val="center"/>
          </w:tcPr>
          <w:p w:rsidR="00EF6E48" w:rsidRPr="00AF6B8D" w:rsidRDefault="007F2F53" w:rsidP="000B1624">
            <w:pPr>
              <w:pStyle w:val="Title"/>
              <w:suppressAutoHyphens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t>0</w:t>
            </w:r>
          </w:p>
        </w:tc>
        <w:tc>
          <w:tcPr>
            <w:tcW w:w="1418" w:type="dxa"/>
            <w:vAlign w:val="center"/>
          </w:tcPr>
          <w:p w:rsidR="00EF6E48" w:rsidRPr="00AF6B8D" w:rsidRDefault="00EF6E48" w:rsidP="000B1624">
            <w:pPr>
              <w:pStyle w:val="Title"/>
              <w:suppressAutoHyphens/>
              <w:rPr>
                <w:noProof/>
                <w:sz w:val="20"/>
                <w:lang w:val="es-ES"/>
              </w:rPr>
            </w:pPr>
          </w:p>
        </w:tc>
        <w:tc>
          <w:tcPr>
            <w:tcW w:w="1134" w:type="dxa"/>
            <w:vAlign w:val="center"/>
          </w:tcPr>
          <w:p w:rsidR="00EF6E48" w:rsidRPr="00AF6B8D" w:rsidRDefault="007F2F53" w:rsidP="000B1624">
            <w:pPr>
              <w:pStyle w:val="Title"/>
              <w:suppressAutoHyphens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t>1</w:t>
            </w:r>
          </w:p>
        </w:tc>
        <w:tc>
          <w:tcPr>
            <w:tcW w:w="2126" w:type="dxa"/>
            <w:vAlign w:val="center"/>
          </w:tcPr>
          <w:p w:rsidR="00EF6E48" w:rsidRPr="00AF6B8D" w:rsidRDefault="007F2F53" w:rsidP="000B1624">
            <w:pPr>
              <w:pStyle w:val="Title"/>
              <w:suppressAutoHyphens/>
              <w:jc w:val="left"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t>1 Reglamento publicado y puesto en vigencia</w:t>
            </w:r>
          </w:p>
        </w:tc>
        <w:tc>
          <w:tcPr>
            <w:tcW w:w="2268" w:type="dxa"/>
            <w:vAlign w:val="center"/>
          </w:tcPr>
          <w:p w:rsidR="00EF6E48" w:rsidRPr="00AF6B8D" w:rsidRDefault="00B66F13" w:rsidP="007B7E9B">
            <w:pPr>
              <w:pStyle w:val="Title"/>
              <w:suppressAutoHyphens/>
              <w:jc w:val="left"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u w:val="single"/>
                <w:lang w:val="es-ES"/>
              </w:rPr>
              <w:t>Medio</w:t>
            </w:r>
            <w:r w:rsidR="000B45AB" w:rsidRPr="00AF6B8D">
              <w:rPr>
                <w:noProof/>
                <w:sz w:val="20"/>
                <w:u w:val="single"/>
                <w:lang w:val="es-ES"/>
              </w:rPr>
              <w:t xml:space="preserve"> y fuente</w:t>
            </w:r>
            <w:r w:rsidRPr="00AF6B8D">
              <w:rPr>
                <w:noProof/>
                <w:sz w:val="20"/>
                <w:u w:val="single"/>
                <w:lang w:val="es-ES"/>
              </w:rPr>
              <w:t xml:space="preserve"> de verificación</w:t>
            </w:r>
            <w:r w:rsidRPr="00AF6B8D">
              <w:rPr>
                <w:noProof/>
                <w:sz w:val="20"/>
                <w:lang w:val="es-ES"/>
              </w:rPr>
              <w:t xml:space="preserve">: Publicación en el Diario Oficial – Diario de Centroamérica de la reglamentación de la Ley de </w:t>
            </w:r>
            <w:r w:rsidR="009E4CD8" w:rsidRPr="00AF6B8D">
              <w:rPr>
                <w:noProof/>
                <w:sz w:val="20"/>
                <w:lang w:val="es-ES"/>
              </w:rPr>
              <w:t>Antievasión 2</w:t>
            </w:r>
            <w:r w:rsidRPr="00AF6B8D">
              <w:rPr>
                <w:noProof/>
                <w:sz w:val="20"/>
                <w:lang w:val="es-ES"/>
              </w:rPr>
              <w:t>.</w:t>
            </w:r>
          </w:p>
        </w:tc>
      </w:tr>
      <w:tr w:rsidR="007F2F53" w:rsidRPr="00AF6B8D" w:rsidTr="000B1624">
        <w:tc>
          <w:tcPr>
            <w:tcW w:w="13325" w:type="dxa"/>
            <w:gridSpan w:val="7"/>
            <w:shd w:val="clear" w:color="auto" w:fill="000000"/>
            <w:vAlign w:val="center"/>
          </w:tcPr>
          <w:p w:rsidR="007F2F53" w:rsidRPr="00AF6B8D" w:rsidRDefault="007F2F53" w:rsidP="000B1624">
            <w:pPr>
              <w:pStyle w:val="Title"/>
              <w:suppressAutoHyphens/>
              <w:jc w:val="left"/>
              <w:rPr>
                <w:b/>
                <w:noProof/>
                <w:color w:val="FFFFFF"/>
                <w:sz w:val="20"/>
                <w:lang w:val="es-ES"/>
              </w:rPr>
            </w:pPr>
            <w:r w:rsidRPr="00AF6B8D">
              <w:rPr>
                <w:b/>
                <w:noProof/>
                <w:color w:val="FFFFFF"/>
                <w:sz w:val="20"/>
                <w:lang w:val="es-ES"/>
              </w:rPr>
              <w:t>Componente 3: Regulación de las Finanzas Municipales</w:t>
            </w:r>
          </w:p>
        </w:tc>
      </w:tr>
      <w:tr w:rsidR="007F2F53" w:rsidRPr="00AF6B8D" w:rsidTr="000B1624">
        <w:tc>
          <w:tcPr>
            <w:tcW w:w="3369" w:type="dxa"/>
            <w:vAlign w:val="center"/>
          </w:tcPr>
          <w:p w:rsidR="00EF6E48" w:rsidRPr="00AF6B8D" w:rsidRDefault="00EF6E48" w:rsidP="000B1624">
            <w:pPr>
              <w:spacing w:before="40" w:after="40"/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Dirección de Asistencia a la Administración Financiera Municipal (DAAFIM) en el Ministerio de Finanzas Públicas</w:t>
            </w:r>
            <w:r w:rsidR="005D407F" w:rsidRPr="00AF6B8D">
              <w:rPr>
                <w:noProof/>
                <w:lang w:val="es-ES"/>
              </w:rPr>
              <w:t>, implementada</w:t>
            </w:r>
          </w:p>
        </w:tc>
        <w:tc>
          <w:tcPr>
            <w:tcW w:w="1593" w:type="dxa"/>
            <w:vAlign w:val="center"/>
          </w:tcPr>
          <w:p w:rsidR="00EF6E48" w:rsidRPr="00AF6B8D" w:rsidRDefault="007F2F53" w:rsidP="000B1624">
            <w:pPr>
              <w:pStyle w:val="Title"/>
              <w:suppressAutoHyphens/>
              <w:ind w:left="33" w:hanging="33"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t>Dirección</w:t>
            </w:r>
          </w:p>
        </w:tc>
        <w:tc>
          <w:tcPr>
            <w:tcW w:w="1417" w:type="dxa"/>
            <w:vAlign w:val="center"/>
          </w:tcPr>
          <w:p w:rsidR="00EF6E48" w:rsidRPr="00AF6B8D" w:rsidRDefault="007F2F53" w:rsidP="000B1624">
            <w:pPr>
              <w:pStyle w:val="Title"/>
              <w:suppressAutoHyphens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t>0</w:t>
            </w:r>
          </w:p>
        </w:tc>
        <w:tc>
          <w:tcPr>
            <w:tcW w:w="1418" w:type="dxa"/>
            <w:vAlign w:val="center"/>
          </w:tcPr>
          <w:p w:rsidR="00EF6E48" w:rsidRPr="00AF6B8D" w:rsidRDefault="007F2F53" w:rsidP="000B1624">
            <w:pPr>
              <w:pStyle w:val="Title"/>
              <w:suppressAutoHyphens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t>1</w:t>
            </w:r>
          </w:p>
        </w:tc>
        <w:tc>
          <w:tcPr>
            <w:tcW w:w="1134" w:type="dxa"/>
            <w:vAlign w:val="center"/>
          </w:tcPr>
          <w:p w:rsidR="00EF6E48" w:rsidRPr="00AF6B8D" w:rsidRDefault="00EF6E48" w:rsidP="000B1624">
            <w:pPr>
              <w:pStyle w:val="Title"/>
              <w:suppressAutoHyphens/>
              <w:rPr>
                <w:noProof/>
                <w:sz w:val="20"/>
                <w:lang w:val="es-ES"/>
              </w:rPr>
            </w:pPr>
          </w:p>
        </w:tc>
        <w:tc>
          <w:tcPr>
            <w:tcW w:w="2126" w:type="dxa"/>
            <w:vAlign w:val="center"/>
          </w:tcPr>
          <w:p w:rsidR="00EF6E48" w:rsidRPr="00AF6B8D" w:rsidRDefault="007F2F53" w:rsidP="000B1624">
            <w:pPr>
              <w:pStyle w:val="Title"/>
              <w:suppressAutoHyphens/>
              <w:jc w:val="left"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t>1 Dirección creada e implementada</w:t>
            </w:r>
          </w:p>
        </w:tc>
        <w:tc>
          <w:tcPr>
            <w:tcW w:w="2268" w:type="dxa"/>
            <w:vAlign w:val="center"/>
          </w:tcPr>
          <w:p w:rsidR="009E4CD8" w:rsidRPr="00AF6B8D" w:rsidRDefault="00B66F13" w:rsidP="000B1624">
            <w:pPr>
              <w:pStyle w:val="Title"/>
              <w:suppressAutoHyphens/>
              <w:jc w:val="left"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u w:val="single"/>
                <w:lang w:val="es-ES"/>
              </w:rPr>
              <w:t xml:space="preserve">Medio </w:t>
            </w:r>
            <w:r w:rsidR="000B45AB" w:rsidRPr="00AF6B8D">
              <w:rPr>
                <w:noProof/>
                <w:sz w:val="20"/>
                <w:u w:val="single"/>
                <w:lang w:val="es-ES"/>
              </w:rPr>
              <w:t xml:space="preserve">y fuente </w:t>
            </w:r>
            <w:r w:rsidRPr="00AF6B8D">
              <w:rPr>
                <w:noProof/>
                <w:sz w:val="20"/>
                <w:u w:val="single"/>
                <w:lang w:val="es-ES"/>
              </w:rPr>
              <w:t>de Verificación</w:t>
            </w:r>
            <w:r w:rsidRPr="00AF6B8D">
              <w:rPr>
                <w:noProof/>
                <w:sz w:val="20"/>
                <w:lang w:val="es-ES"/>
              </w:rPr>
              <w:t>: Contratación del Director y, al menos,  un subdirector de la Dirección de Asistencia a la Administración Financiera Municipal (DAAFIM) en el Ministerio de Finanzas Públicas.</w:t>
            </w:r>
          </w:p>
        </w:tc>
      </w:tr>
      <w:tr w:rsidR="00C139FA" w:rsidRPr="00AF6B8D" w:rsidTr="000B1624">
        <w:tc>
          <w:tcPr>
            <w:tcW w:w="3369" w:type="dxa"/>
            <w:vAlign w:val="center"/>
          </w:tcPr>
          <w:p w:rsidR="00C139FA" w:rsidRPr="00AF6B8D" w:rsidRDefault="00C139FA" w:rsidP="006C787F">
            <w:pPr>
              <w:pStyle w:val="ListParagraph"/>
              <w:spacing w:before="40" w:after="40" w:line="240" w:lineRule="auto"/>
              <w:ind w:left="33"/>
              <w:rPr>
                <w:noProof/>
                <w:sz w:val="20"/>
                <w:szCs w:val="20"/>
                <w:lang w:val="es-ES"/>
              </w:rPr>
            </w:pPr>
            <w:r w:rsidRPr="00AF6B8D">
              <w:rPr>
                <w:rFonts w:ascii="Times New Roman" w:hAnsi="Times New Roman"/>
                <w:noProof/>
                <w:sz w:val="20"/>
                <w:szCs w:val="20"/>
                <w:lang w:val="es-ES"/>
              </w:rPr>
              <w:t>Normativa y Manual de la DA</w:t>
            </w:r>
            <w:r w:rsidRPr="00AF6B8D">
              <w:rPr>
                <w:rFonts w:ascii="Times New Roman" w:hAnsi="Times New Roman"/>
                <w:noProof/>
                <w:sz w:val="20"/>
                <w:szCs w:val="20"/>
                <w:lang w:val="es-ES"/>
              </w:rPr>
              <w:t>A</w:t>
            </w:r>
            <w:r w:rsidRPr="00AF6B8D">
              <w:rPr>
                <w:rFonts w:ascii="Times New Roman" w:hAnsi="Times New Roman"/>
                <w:noProof/>
                <w:sz w:val="20"/>
                <w:szCs w:val="20"/>
                <w:lang w:val="es-ES"/>
              </w:rPr>
              <w:t>FIM, elaborado.</w:t>
            </w:r>
          </w:p>
        </w:tc>
        <w:tc>
          <w:tcPr>
            <w:tcW w:w="1593" w:type="dxa"/>
            <w:vAlign w:val="center"/>
          </w:tcPr>
          <w:p w:rsidR="00C139FA" w:rsidRPr="00AF6B8D" w:rsidRDefault="00C139FA" w:rsidP="000B1624">
            <w:pPr>
              <w:pStyle w:val="Title"/>
              <w:suppressAutoHyphens/>
              <w:ind w:left="33" w:hanging="33"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t>Normativa y Manual</w:t>
            </w:r>
          </w:p>
        </w:tc>
        <w:tc>
          <w:tcPr>
            <w:tcW w:w="1417" w:type="dxa"/>
            <w:vAlign w:val="center"/>
          </w:tcPr>
          <w:p w:rsidR="00C139FA" w:rsidRPr="00AF6B8D" w:rsidRDefault="00C139FA" w:rsidP="000B1624">
            <w:pPr>
              <w:pStyle w:val="Title"/>
              <w:suppressAutoHyphens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t>0</w:t>
            </w:r>
          </w:p>
        </w:tc>
        <w:tc>
          <w:tcPr>
            <w:tcW w:w="1418" w:type="dxa"/>
            <w:vAlign w:val="center"/>
          </w:tcPr>
          <w:p w:rsidR="00C139FA" w:rsidRPr="00AF6B8D" w:rsidRDefault="00C139FA" w:rsidP="000B1624">
            <w:pPr>
              <w:pStyle w:val="Title"/>
              <w:suppressAutoHyphens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t>1</w:t>
            </w:r>
          </w:p>
        </w:tc>
        <w:tc>
          <w:tcPr>
            <w:tcW w:w="1134" w:type="dxa"/>
            <w:vAlign w:val="center"/>
          </w:tcPr>
          <w:p w:rsidR="00C139FA" w:rsidRPr="00AF6B8D" w:rsidRDefault="00C139FA" w:rsidP="000B1624">
            <w:pPr>
              <w:pStyle w:val="Title"/>
              <w:suppressAutoHyphens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t>1</w:t>
            </w:r>
          </w:p>
        </w:tc>
        <w:tc>
          <w:tcPr>
            <w:tcW w:w="2126" w:type="dxa"/>
            <w:vAlign w:val="center"/>
          </w:tcPr>
          <w:p w:rsidR="009E4CD8" w:rsidRPr="00AF6B8D" w:rsidRDefault="00C139FA" w:rsidP="007B7E9B">
            <w:pPr>
              <w:pStyle w:val="Title"/>
              <w:suppressAutoHyphens/>
              <w:jc w:val="left"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t>1 Normativa elaborada e implementada apoyada por el manual de procedimientos</w:t>
            </w:r>
          </w:p>
        </w:tc>
        <w:tc>
          <w:tcPr>
            <w:tcW w:w="2268" w:type="dxa"/>
            <w:vAlign w:val="center"/>
          </w:tcPr>
          <w:p w:rsidR="00B66F13" w:rsidRPr="00AF6B8D" w:rsidRDefault="00B66F13" w:rsidP="00B66F13">
            <w:pPr>
              <w:pStyle w:val="ListParagraph"/>
              <w:spacing w:before="40" w:after="40" w:line="240" w:lineRule="auto"/>
              <w:ind w:left="-43"/>
              <w:contextualSpacing w:val="0"/>
              <w:rPr>
                <w:rFonts w:ascii="Times New Roman" w:hAnsi="Times New Roman"/>
                <w:noProof/>
                <w:sz w:val="20"/>
                <w:szCs w:val="20"/>
                <w:lang w:val="es-ES"/>
              </w:rPr>
            </w:pPr>
            <w:r w:rsidRPr="00AF6B8D">
              <w:rPr>
                <w:rFonts w:ascii="Times New Roman" w:hAnsi="Times New Roman"/>
                <w:noProof/>
                <w:sz w:val="20"/>
                <w:szCs w:val="20"/>
                <w:u w:val="single"/>
                <w:lang w:val="es-ES"/>
              </w:rPr>
              <w:t>Medio de verificación:</w:t>
            </w:r>
            <w:r w:rsidRPr="00AF6B8D">
              <w:rPr>
                <w:rFonts w:ascii="Times New Roman" w:hAnsi="Times New Roman"/>
                <w:noProof/>
                <w:sz w:val="20"/>
                <w:szCs w:val="20"/>
                <w:lang w:val="es-ES"/>
              </w:rPr>
              <w:t xml:space="preserve"> </w:t>
            </w:r>
          </w:p>
          <w:p w:rsidR="00C139FA" w:rsidRPr="00AF6B8D" w:rsidRDefault="00B66F13" w:rsidP="00B66F13">
            <w:pPr>
              <w:pStyle w:val="Title"/>
              <w:suppressAutoHyphens/>
              <w:jc w:val="left"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t>Reporte de Consultor Independiente</w:t>
            </w:r>
          </w:p>
          <w:p w:rsidR="009E4CD8" w:rsidRPr="00AF6B8D" w:rsidRDefault="009E4CD8" w:rsidP="00B66F13">
            <w:pPr>
              <w:pStyle w:val="Title"/>
              <w:suppressAutoHyphens/>
              <w:jc w:val="left"/>
              <w:rPr>
                <w:noProof/>
                <w:sz w:val="20"/>
                <w:lang w:val="es-ES"/>
              </w:rPr>
            </w:pPr>
          </w:p>
        </w:tc>
      </w:tr>
      <w:tr w:rsidR="00C139FA" w:rsidRPr="00AF6B8D" w:rsidTr="000B1624">
        <w:tc>
          <w:tcPr>
            <w:tcW w:w="3369" w:type="dxa"/>
            <w:vAlign w:val="center"/>
          </w:tcPr>
          <w:p w:rsidR="00C139FA" w:rsidRPr="00AF6B8D" w:rsidRDefault="00C139FA" w:rsidP="006C787F">
            <w:pPr>
              <w:pStyle w:val="ListParagraph"/>
              <w:spacing w:before="40" w:after="40" w:line="240" w:lineRule="auto"/>
              <w:ind w:left="33"/>
              <w:contextualSpacing w:val="0"/>
              <w:rPr>
                <w:noProof/>
                <w:sz w:val="20"/>
                <w:szCs w:val="20"/>
                <w:lang w:val="es-ES"/>
              </w:rPr>
            </w:pPr>
            <w:r w:rsidRPr="00AF6B8D">
              <w:rPr>
                <w:rFonts w:ascii="Times New Roman" w:hAnsi="Times New Roman"/>
                <w:noProof/>
                <w:sz w:val="20"/>
                <w:szCs w:val="20"/>
                <w:lang w:val="es-ES"/>
              </w:rPr>
              <w:t>Normas y manuales de procedimie</w:t>
            </w:r>
            <w:r w:rsidRPr="00AF6B8D">
              <w:rPr>
                <w:rFonts w:ascii="Times New Roman" w:hAnsi="Times New Roman"/>
                <w:noProof/>
                <w:sz w:val="20"/>
                <w:szCs w:val="20"/>
                <w:lang w:val="es-ES"/>
              </w:rPr>
              <w:t>n</w:t>
            </w:r>
            <w:r w:rsidRPr="00AF6B8D">
              <w:rPr>
                <w:rFonts w:ascii="Times New Roman" w:hAnsi="Times New Roman"/>
                <w:noProof/>
                <w:sz w:val="20"/>
                <w:szCs w:val="20"/>
                <w:lang w:val="es-ES"/>
              </w:rPr>
              <w:t>tos de las áreas de Crédito y Cartera de la Dirección Administrativa y F</w:t>
            </w:r>
            <w:r w:rsidRPr="00AF6B8D">
              <w:rPr>
                <w:rFonts w:ascii="Times New Roman" w:hAnsi="Times New Roman"/>
                <w:noProof/>
                <w:sz w:val="20"/>
                <w:szCs w:val="20"/>
                <w:lang w:val="es-ES"/>
              </w:rPr>
              <w:t>i</w:t>
            </w:r>
            <w:r w:rsidRPr="00AF6B8D">
              <w:rPr>
                <w:rFonts w:ascii="Times New Roman" w:hAnsi="Times New Roman"/>
                <w:noProof/>
                <w:sz w:val="20"/>
                <w:szCs w:val="20"/>
                <w:lang w:val="es-ES"/>
              </w:rPr>
              <w:t xml:space="preserve">nanciera </w:t>
            </w:r>
            <w:r w:rsidRPr="00AF6B8D">
              <w:rPr>
                <w:rFonts w:ascii="Times New Roman" w:hAnsi="Times New Roman"/>
                <w:noProof/>
                <w:sz w:val="20"/>
                <w:szCs w:val="20"/>
                <w:lang w:val="es-ES"/>
              </w:rPr>
              <w:lastRenderedPageBreak/>
              <w:t>del INFOM, elaborados</w:t>
            </w:r>
          </w:p>
        </w:tc>
        <w:tc>
          <w:tcPr>
            <w:tcW w:w="1593" w:type="dxa"/>
            <w:vAlign w:val="center"/>
          </w:tcPr>
          <w:p w:rsidR="00C139FA" w:rsidRPr="00AF6B8D" w:rsidRDefault="00C139FA" w:rsidP="000B1624">
            <w:pPr>
              <w:pStyle w:val="Title"/>
              <w:suppressAutoHyphens/>
              <w:ind w:left="33" w:hanging="33"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lastRenderedPageBreak/>
              <w:t>Normativa y Manuales</w:t>
            </w:r>
          </w:p>
        </w:tc>
        <w:tc>
          <w:tcPr>
            <w:tcW w:w="1417" w:type="dxa"/>
            <w:vAlign w:val="center"/>
          </w:tcPr>
          <w:p w:rsidR="00C139FA" w:rsidRPr="00AF6B8D" w:rsidRDefault="00C139FA" w:rsidP="000B1624">
            <w:pPr>
              <w:pStyle w:val="Title"/>
              <w:suppressAutoHyphens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t>0</w:t>
            </w:r>
          </w:p>
        </w:tc>
        <w:tc>
          <w:tcPr>
            <w:tcW w:w="1418" w:type="dxa"/>
            <w:vAlign w:val="center"/>
          </w:tcPr>
          <w:p w:rsidR="00C139FA" w:rsidRPr="00AF6B8D" w:rsidRDefault="00C139FA" w:rsidP="000B1624">
            <w:pPr>
              <w:pStyle w:val="Title"/>
              <w:suppressAutoHyphens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t>1</w:t>
            </w:r>
          </w:p>
        </w:tc>
        <w:tc>
          <w:tcPr>
            <w:tcW w:w="1134" w:type="dxa"/>
            <w:vAlign w:val="center"/>
          </w:tcPr>
          <w:p w:rsidR="00C139FA" w:rsidRPr="00AF6B8D" w:rsidRDefault="00C139FA" w:rsidP="000B1624">
            <w:pPr>
              <w:pStyle w:val="Title"/>
              <w:suppressAutoHyphens/>
              <w:rPr>
                <w:noProof/>
                <w:sz w:val="20"/>
                <w:lang w:val="es-ES"/>
              </w:rPr>
            </w:pPr>
          </w:p>
        </w:tc>
        <w:tc>
          <w:tcPr>
            <w:tcW w:w="2126" w:type="dxa"/>
            <w:vAlign w:val="center"/>
          </w:tcPr>
          <w:p w:rsidR="00C139FA" w:rsidRPr="00AF6B8D" w:rsidRDefault="00C139FA" w:rsidP="000B1624">
            <w:pPr>
              <w:pStyle w:val="Title"/>
              <w:suppressAutoHyphens/>
              <w:jc w:val="left"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t xml:space="preserve">1 normativa y manuales de procedimientos, </w:t>
            </w:r>
            <w:r w:rsidRPr="00AF6B8D">
              <w:rPr>
                <w:noProof/>
                <w:sz w:val="20"/>
                <w:lang w:val="es-ES"/>
              </w:rPr>
              <w:lastRenderedPageBreak/>
              <w:t>implementados</w:t>
            </w:r>
          </w:p>
        </w:tc>
        <w:tc>
          <w:tcPr>
            <w:tcW w:w="2268" w:type="dxa"/>
            <w:vAlign w:val="center"/>
          </w:tcPr>
          <w:p w:rsidR="00C139FA" w:rsidRPr="00AF6B8D" w:rsidRDefault="00C139FA" w:rsidP="00C139FA">
            <w:pPr>
              <w:pStyle w:val="Title"/>
              <w:suppressAutoHyphens/>
              <w:jc w:val="left"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lastRenderedPageBreak/>
              <w:t xml:space="preserve">La cantidad de </w:t>
            </w:r>
            <w:r w:rsidR="00CD51EE" w:rsidRPr="00AF6B8D">
              <w:rPr>
                <w:noProof/>
                <w:sz w:val="20"/>
                <w:lang w:val="es-ES"/>
              </w:rPr>
              <w:t>manuales se</w:t>
            </w:r>
            <w:r w:rsidRPr="00AF6B8D">
              <w:rPr>
                <w:noProof/>
                <w:sz w:val="20"/>
                <w:lang w:val="es-ES"/>
              </w:rPr>
              <w:t xml:space="preserve"> definirá en seguimiento al Plan de </w:t>
            </w:r>
            <w:r w:rsidRPr="00AF6B8D">
              <w:rPr>
                <w:noProof/>
                <w:sz w:val="20"/>
                <w:lang w:val="es-ES"/>
              </w:rPr>
              <w:lastRenderedPageBreak/>
              <w:t xml:space="preserve">Reorganización Administrativa y Financiera del INFOM  </w:t>
            </w:r>
          </w:p>
          <w:p w:rsidR="00B66F13" w:rsidRPr="00AF6B8D" w:rsidRDefault="00B66F13" w:rsidP="00B66F13">
            <w:pPr>
              <w:pStyle w:val="ListParagraph"/>
              <w:spacing w:before="40" w:after="40" w:line="240" w:lineRule="auto"/>
              <w:ind w:left="-43"/>
              <w:contextualSpacing w:val="0"/>
              <w:rPr>
                <w:rFonts w:ascii="Times New Roman" w:hAnsi="Times New Roman"/>
                <w:noProof/>
                <w:sz w:val="20"/>
                <w:szCs w:val="20"/>
                <w:lang w:val="es-ES"/>
              </w:rPr>
            </w:pPr>
            <w:r w:rsidRPr="00AF6B8D">
              <w:rPr>
                <w:rFonts w:ascii="Times New Roman" w:hAnsi="Times New Roman"/>
                <w:noProof/>
                <w:sz w:val="20"/>
                <w:szCs w:val="20"/>
                <w:u w:val="single"/>
                <w:lang w:val="es-ES"/>
              </w:rPr>
              <w:t>Medio de verificación:</w:t>
            </w:r>
            <w:r w:rsidRPr="00AF6B8D">
              <w:rPr>
                <w:rFonts w:ascii="Times New Roman" w:hAnsi="Times New Roman"/>
                <w:noProof/>
                <w:sz w:val="20"/>
                <w:szCs w:val="20"/>
                <w:lang w:val="es-ES"/>
              </w:rPr>
              <w:t xml:space="preserve"> </w:t>
            </w:r>
          </w:p>
          <w:p w:rsidR="009E4CD8" w:rsidRPr="00AF6B8D" w:rsidRDefault="00B66F13" w:rsidP="007B7E9B">
            <w:pPr>
              <w:pStyle w:val="Title"/>
              <w:suppressAutoHyphens/>
              <w:jc w:val="left"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t>Reporte de Consultor Independiente</w:t>
            </w:r>
          </w:p>
        </w:tc>
      </w:tr>
      <w:tr w:rsidR="00C139FA" w:rsidRPr="00AF6B8D" w:rsidTr="000B1624">
        <w:tc>
          <w:tcPr>
            <w:tcW w:w="3369" w:type="dxa"/>
            <w:vAlign w:val="center"/>
          </w:tcPr>
          <w:p w:rsidR="00C139FA" w:rsidRPr="00AF6B8D" w:rsidRDefault="00C139FA" w:rsidP="006C787F">
            <w:pPr>
              <w:pStyle w:val="ListParagraph"/>
              <w:spacing w:before="40" w:after="40" w:line="240" w:lineRule="auto"/>
              <w:ind w:left="33"/>
              <w:rPr>
                <w:rFonts w:ascii="Times New Roman" w:hAnsi="Times New Roman"/>
                <w:noProof/>
                <w:sz w:val="20"/>
                <w:szCs w:val="20"/>
                <w:lang w:val="es-ES"/>
              </w:rPr>
            </w:pPr>
            <w:r w:rsidRPr="00AF6B8D">
              <w:rPr>
                <w:rFonts w:ascii="Times New Roman" w:hAnsi="Times New Roman"/>
                <w:noProof/>
                <w:sz w:val="20"/>
                <w:szCs w:val="20"/>
                <w:lang w:val="es-ES"/>
              </w:rPr>
              <w:lastRenderedPageBreak/>
              <w:t>Metodología para cuantificar el stock de la deuda munic</w:t>
            </w:r>
            <w:r w:rsidRPr="00AF6B8D">
              <w:rPr>
                <w:rFonts w:ascii="Times New Roman" w:hAnsi="Times New Roman"/>
                <w:noProof/>
                <w:sz w:val="20"/>
                <w:szCs w:val="20"/>
                <w:lang w:val="es-ES"/>
              </w:rPr>
              <w:t>i</w:t>
            </w:r>
            <w:r w:rsidRPr="00AF6B8D">
              <w:rPr>
                <w:rFonts w:ascii="Times New Roman" w:hAnsi="Times New Roman"/>
                <w:noProof/>
                <w:sz w:val="20"/>
                <w:szCs w:val="20"/>
                <w:lang w:val="es-ES"/>
              </w:rPr>
              <w:t>pal</w:t>
            </w:r>
            <w:r w:rsidR="005D407F" w:rsidRPr="00AF6B8D">
              <w:rPr>
                <w:rFonts w:ascii="Times New Roman" w:hAnsi="Times New Roman"/>
                <w:noProof/>
                <w:sz w:val="20"/>
                <w:szCs w:val="20"/>
                <w:lang w:val="es-ES"/>
              </w:rPr>
              <w:t>, elaborado</w:t>
            </w:r>
            <w:r w:rsidRPr="00AF6B8D">
              <w:rPr>
                <w:rFonts w:ascii="Times New Roman" w:hAnsi="Times New Roman"/>
                <w:noProof/>
                <w:sz w:val="20"/>
                <w:szCs w:val="20"/>
                <w:lang w:val="es-ES"/>
              </w:rPr>
              <w:t xml:space="preserve">. </w:t>
            </w:r>
          </w:p>
        </w:tc>
        <w:tc>
          <w:tcPr>
            <w:tcW w:w="1593" w:type="dxa"/>
            <w:vAlign w:val="center"/>
          </w:tcPr>
          <w:p w:rsidR="00C139FA" w:rsidRPr="00AF6B8D" w:rsidRDefault="00CD51EE" w:rsidP="00CD51EE">
            <w:pPr>
              <w:pStyle w:val="Title"/>
              <w:suppressAutoHyphens/>
              <w:ind w:left="33" w:hanging="33"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t>Manual</w:t>
            </w:r>
          </w:p>
        </w:tc>
        <w:tc>
          <w:tcPr>
            <w:tcW w:w="1417" w:type="dxa"/>
            <w:vAlign w:val="center"/>
          </w:tcPr>
          <w:p w:rsidR="00C139FA" w:rsidRPr="00AF6B8D" w:rsidRDefault="00C139FA" w:rsidP="000B1624">
            <w:pPr>
              <w:pStyle w:val="Title"/>
              <w:suppressAutoHyphens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t>0</w:t>
            </w:r>
          </w:p>
        </w:tc>
        <w:tc>
          <w:tcPr>
            <w:tcW w:w="1418" w:type="dxa"/>
            <w:vAlign w:val="center"/>
          </w:tcPr>
          <w:p w:rsidR="00C139FA" w:rsidRPr="00AF6B8D" w:rsidRDefault="00C139FA" w:rsidP="000B1624">
            <w:pPr>
              <w:pStyle w:val="Title"/>
              <w:suppressAutoHyphens/>
              <w:rPr>
                <w:noProof/>
                <w:sz w:val="20"/>
                <w:lang w:val="es-ES"/>
              </w:rPr>
            </w:pPr>
          </w:p>
        </w:tc>
        <w:tc>
          <w:tcPr>
            <w:tcW w:w="1134" w:type="dxa"/>
            <w:vAlign w:val="center"/>
          </w:tcPr>
          <w:p w:rsidR="00C139FA" w:rsidRPr="00AF6B8D" w:rsidRDefault="00C139FA" w:rsidP="000B1624">
            <w:pPr>
              <w:pStyle w:val="Title"/>
              <w:suppressAutoHyphens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t>1</w:t>
            </w:r>
          </w:p>
        </w:tc>
        <w:tc>
          <w:tcPr>
            <w:tcW w:w="2126" w:type="dxa"/>
            <w:vAlign w:val="center"/>
          </w:tcPr>
          <w:p w:rsidR="00C139FA" w:rsidRPr="00AF6B8D" w:rsidRDefault="00C139FA" w:rsidP="00CD51EE">
            <w:pPr>
              <w:pStyle w:val="Title"/>
              <w:suppressAutoHyphens/>
              <w:jc w:val="left"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t xml:space="preserve">1 </w:t>
            </w:r>
            <w:r w:rsidR="00CD51EE" w:rsidRPr="00AF6B8D">
              <w:rPr>
                <w:noProof/>
                <w:sz w:val="20"/>
                <w:lang w:val="es-ES"/>
              </w:rPr>
              <w:t xml:space="preserve">manual, implementado </w:t>
            </w:r>
          </w:p>
        </w:tc>
        <w:tc>
          <w:tcPr>
            <w:tcW w:w="2268" w:type="dxa"/>
            <w:vAlign w:val="center"/>
          </w:tcPr>
          <w:p w:rsidR="00C139FA" w:rsidRPr="00AF6B8D" w:rsidRDefault="00CD51EE" w:rsidP="000B1624">
            <w:pPr>
              <w:pStyle w:val="Title"/>
              <w:suppressAutoHyphens/>
              <w:jc w:val="left"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t>El manual debe de contener los distintos indicadores para cuantificar el stock de deuda municipal</w:t>
            </w:r>
          </w:p>
          <w:p w:rsidR="00B66F13" w:rsidRPr="00AF6B8D" w:rsidRDefault="00B66F13" w:rsidP="00B66F13">
            <w:pPr>
              <w:pStyle w:val="ListParagraph"/>
              <w:spacing w:before="40" w:after="40" w:line="240" w:lineRule="auto"/>
              <w:ind w:left="-43"/>
              <w:contextualSpacing w:val="0"/>
              <w:rPr>
                <w:rFonts w:ascii="Times New Roman" w:hAnsi="Times New Roman"/>
                <w:noProof/>
                <w:sz w:val="20"/>
                <w:szCs w:val="20"/>
                <w:lang w:val="es-ES"/>
              </w:rPr>
            </w:pPr>
            <w:r w:rsidRPr="00AF6B8D">
              <w:rPr>
                <w:rFonts w:ascii="Times New Roman" w:hAnsi="Times New Roman"/>
                <w:noProof/>
                <w:sz w:val="20"/>
                <w:szCs w:val="20"/>
                <w:u w:val="single"/>
                <w:lang w:val="es-ES"/>
              </w:rPr>
              <w:t>Medio de verificación:</w:t>
            </w:r>
            <w:r w:rsidRPr="00AF6B8D">
              <w:rPr>
                <w:rFonts w:ascii="Times New Roman" w:hAnsi="Times New Roman"/>
                <w:noProof/>
                <w:sz w:val="20"/>
                <w:szCs w:val="20"/>
                <w:lang w:val="es-ES"/>
              </w:rPr>
              <w:t xml:space="preserve"> </w:t>
            </w:r>
          </w:p>
          <w:p w:rsidR="009E4CD8" w:rsidRPr="00AF6B8D" w:rsidRDefault="00B66F13" w:rsidP="007B7E9B">
            <w:pPr>
              <w:pStyle w:val="Title"/>
              <w:suppressAutoHyphens/>
              <w:jc w:val="left"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t>Reporte de Consultor Independiente</w:t>
            </w:r>
          </w:p>
        </w:tc>
      </w:tr>
      <w:tr w:rsidR="007F2F53" w:rsidRPr="00AF6B8D" w:rsidTr="000B1624">
        <w:tc>
          <w:tcPr>
            <w:tcW w:w="13325" w:type="dxa"/>
            <w:gridSpan w:val="7"/>
            <w:shd w:val="clear" w:color="auto" w:fill="000000"/>
            <w:vAlign w:val="center"/>
          </w:tcPr>
          <w:p w:rsidR="007F2F53" w:rsidRPr="00AF6B8D" w:rsidRDefault="007F2F53" w:rsidP="000B1624">
            <w:pPr>
              <w:pStyle w:val="Title"/>
              <w:suppressAutoHyphens/>
              <w:jc w:val="left"/>
              <w:rPr>
                <w:b/>
                <w:noProof/>
                <w:color w:val="FFFFFF"/>
                <w:sz w:val="20"/>
                <w:lang w:val="es-ES"/>
              </w:rPr>
            </w:pPr>
            <w:r w:rsidRPr="00AF6B8D">
              <w:rPr>
                <w:b/>
                <w:noProof/>
                <w:color w:val="FFFFFF"/>
                <w:sz w:val="20"/>
                <w:lang w:val="es-ES"/>
              </w:rPr>
              <w:t>Componente 4: Programación Fiscal de Mediano Plazo y Gestión por Resultados</w:t>
            </w:r>
          </w:p>
        </w:tc>
      </w:tr>
      <w:tr w:rsidR="007F2F53" w:rsidRPr="00AF6B8D" w:rsidTr="000B1624">
        <w:tc>
          <w:tcPr>
            <w:tcW w:w="3369" w:type="dxa"/>
            <w:vAlign w:val="center"/>
          </w:tcPr>
          <w:p w:rsidR="00EF6E48" w:rsidRPr="00AF6B8D" w:rsidRDefault="00EF6E48" w:rsidP="005D407F">
            <w:pPr>
              <w:spacing w:before="40" w:after="40"/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Informe del Dese</w:t>
            </w:r>
            <w:r w:rsidRPr="00AF6B8D">
              <w:rPr>
                <w:noProof/>
                <w:lang w:val="es-ES"/>
              </w:rPr>
              <w:t>m</w:t>
            </w:r>
            <w:r w:rsidRPr="00AF6B8D">
              <w:rPr>
                <w:noProof/>
                <w:lang w:val="es-ES"/>
              </w:rPr>
              <w:t xml:space="preserve">peño de la Gestión de las Finanzas Públicas (PEFA por sus siglas en </w:t>
            </w:r>
            <w:r w:rsidR="007F2F53" w:rsidRPr="00AF6B8D">
              <w:rPr>
                <w:noProof/>
                <w:lang w:val="es-ES"/>
              </w:rPr>
              <w:t>inglés</w:t>
            </w:r>
            <w:r w:rsidRPr="00AF6B8D">
              <w:rPr>
                <w:noProof/>
                <w:lang w:val="es-ES"/>
              </w:rPr>
              <w:t>) por parte de Consultor Ind</w:t>
            </w:r>
            <w:r w:rsidRPr="00AF6B8D">
              <w:rPr>
                <w:noProof/>
                <w:lang w:val="es-ES"/>
              </w:rPr>
              <w:t>e</w:t>
            </w:r>
            <w:r w:rsidRPr="00AF6B8D">
              <w:rPr>
                <w:noProof/>
                <w:lang w:val="es-ES"/>
              </w:rPr>
              <w:t>pendiente</w:t>
            </w:r>
            <w:r w:rsidR="005D407F" w:rsidRPr="00AF6B8D">
              <w:rPr>
                <w:noProof/>
                <w:lang w:val="es-ES"/>
              </w:rPr>
              <w:t>, actualizado</w:t>
            </w:r>
            <w:r w:rsidRPr="00AF6B8D">
              <w:rPr>
                <w:noProof/>
                <w:lang w:val="es-ES"/>
              </w:rPr>
              <w:t xml:space="preserve">. </w:t>
            </w:r>
          </w:p>
        </w:tc>
        <w:tc>
          <w:tcPr>
            <w:tcW w:w="1593" w:type="dxa"/>
            <w:vAlign w:val="center"/>
          </w:tcPr>
          <w:p w:rsidR="00EF6E48" w:rsidRPr="00AF6B8D" w:rsidRDefault="007F2F53" w:rsidP="000B1624">
            <w:pPr>
              <w:pStyle w:val="Title"/>
              <w:suppressAutoHyphens/>
              <w:ind w:left="33" w:hanging="33"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t>Informe</w:t>
            </w:r>
          </w:p>
        </w:tc>
        <w:tc>
          <w:tcPr>
            <w:tcW w:w="1417" w:type="dxa"/>
            <w:vAlign w:val="center"/>
          </w:tcPr>
          <w:p w:rsidR="00EF6E48" w:rsidRPr="00AF6B8D" w:rsidRDefault="007F2F53" w:rsidP="000B1624">
            <w:pPr>
              <w:pStyle w:val="Title"/>
              <w:suppressAutoHyphens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t>0</w:t>
            </w:r>
          </w:p>
        </w:tc>
        <w:tc>
          <w:tcPr>
            <w:tcW w:w="1418" w:type="dxa"/>
            <w:vAlign w:val="center"/>
          </w:tcPr>
          <w:p w:rsidR="00EF6E48" w:rsidRPr="00AF6B8D" w:rsidRDefault="007F2F53" w:rsidP="000B1624">
            <w:pPr>
              <w:pStyle w:val="Title"/>
              <w:suppressAutoHyphens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t>1</w:t>
            </w:r>
          </w:p>
        </w:tc>
        <w:tc>
          <w:tcPr>
            <w:tcW w:w="1134" w:type="dxa"/>
            <w:vAlign w:val="center"/>
          </w:tcPr>
          <w:p w:rsidR="00EF6E48" w:rsidRPr="00AF6B8D" w:rsidRDefault="00EF6E48" w:rsidP="000B1624">
            <w:pPr>
              <w:pStyle w:val="Title"/>
              <w:suppressAutoHyphens/>
              <w:rPr>
                <w:noProof/>
                <w:sz w:val="20"/>
                <w:lang w:val="es-ES"/>
              </w:rPr>
            </w:pPr>
          </w:p>
        </w:tc>
        <w:tc>
          <w:tcPr>
            <w:tcW w:w="2126" w:type="dxa"/>
            <w:vAlign w:val="center"/>
          </w:tcPr>
          <w:p w:rsidR="00EF6E48" w:rsidRPr="00AF6B8D" w:rsidRDefault="007F2F53" w:rsidP="000B1624">
            <w:pPr>
              <w:pStyle w:val="Title"/>
              <w:suppressAutoHyphens/>
              <w:jc w:val="left"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t>1 Informe PEFA actualizado</w:t>
            </w:r>
          </w:p>
        </w:tc>
        <w:tc>
          <w:tcPr>
            <w:tcW w:w="2268" w:type="dxa"/>
            <w:vAlign w:val="center"/>
          </w:tcPr>
          <w:p w:rsidR="00B66F13" w:rsidRPr="00AF6B8D" w:rsidRDefault="00B66F13" w:rsidP="00B66F13">
            <w:pPr>
              <w:pStyle w:val="ListParagraph"/>
              <w:spacing w:before="40" w:after="40" w:line="240" w:lineRule="auto"/>
              <w:ind w:left="-43"/>
              <w:contextualSpacing w:val="0"/>
              <w:rPr>
                <w:rFonts w:ascii="Times New Roman" w:hAnsi="Times New Roman"/>
                <w:noProof/>
                <w:sz w:val="20"/>
                <w:szCs w:val="20"/>
                <w:lang w:val="es-ES"/>
              </w:rPr>
            </w:pPr>
            <w:r w:rsidRPr="00AF6B8D">
              <w:rPr>
                <w:rFonts w:ascii="Times New Roman" w:hAnsi="Times New Roman"/>
                <w:noProof/>
                <w:sz w:val="20"/>
                <w:szCs w:val="20"/>
                <w:u w:val="single"/>
                <w:lang w:val="es-ES"/>
              </w:rPr>
              <w:t>Medio de verificación:</w:t>
            </w:r>
            <w:r w:rsidRPr="00AF6B8D">
              <w:rPr>
                <w:rFonts w:ascii="Times New Roman" w:hAnsi="Times New Roman"/>
                <w:noProof/>
                <w:sz w:val="20"/>
                <w:szCs w:val="20"/>
                <w:lang w:val="es-ES"/>
              </w:rPr>
              <w:t xml:space="preserve"> </w:t>
            </w:r>
          </w:p>
          <w:p w:rsidR="00EF6E48" w:rsidRPr="00AF6B8D" w:rsidRDefault="00B66F13" w:rsidP="00B66F13">
            <w:pPr>
              <w:pStyle w:val="Title"/>
              <w:suppressAutoHyphens/>
              <w:jc w:val="left"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t>Reporte de Consultor Independiente</w:t>
            </w:r>
          </w:p>
        </w:tc>
      </w:tr>
      <w:tr w:rsidR="00C139FA" w:rsidRPr="00AF6B8D" w:rsidTr="006C787F">
        <w:tc>
          <w:tcPr>
            <w:tcW w:w="3369" w:type="dxa"/>
            <w:vAlign w:val="center"/>
          </w:tcPr>
          <w:p w:rsidR="00C139FA" w:rsidRPr="00AF6B8D" w:rsidRDefault="00C139FA" w:rsidP="006C787F">
            <w:pPr>
              <w:pStyle w:val="ListParagraph"/>
              <w:spacing w:before="40" w:after="0" w:line="240" w:lineRule="auto"/>
              <w:ind w:left="0" w:firstLine="33"/>
              <w:contextualSpacing w:val="0"/>
              <w:rPr>
                <w:noProof/>
                <w:sz w:val="20"/>
                <w:szCs w:val="20"/>
                <w:lang w:val="es-ES"/>
              </w:rPr>
            </w:pPr>
            <w:r w:rsidRPr="00AF6B8D">
              <w:rPr>
                <w:rFonts w:ascii="Times New Roman" w:hAnsi="Times New Roman"/>
                <w:noProof/>
                <w:sz w:val="20"/>
                <w:szCs w:val="20"/>
                <w:lang w:val="es-ES"/>
              </w:rPr>
              <w:t>Marco de Política Fiscal de Mediano Plazo (3 años)</w:t>
            </w:r>
            <w:r w:rsidR="00055227" w:rsidRPr="00AF6B8D">
              <w:rPr>
                <w:rFonts w:ascii="Times New Roman" w:hAnsi="Times New Roman"/>
                <w:noProof/>
                <w:sz w:val="20"/>
                <w:szCs w:val="20"/>
                <w:lang w:val="es-ES"/>
              </w:rPr>
              <w:t>, elaborado</w:t>
            </w:r>
          </w:p>
        </w:tc>
        <w:tc>
          <w:tcPr>
            <w:tcW w:w="1593" w:type="dxa"/>
            <w:vAlign w:val="center"/>
          </w:tcPr>
          <w:p w:rsidR="00C139FA" w:rsidRPr="00AF6B8D" w:rsidRDefault="00EF569C" w:rsidP="00EF569C">
            <w:pPr>
              <w:pStyle w:val="Title"/>
              <w:suppressAutoHyphens/>
              <w:ind w:left="33" w:hanging="33"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t>Documento de política pública</w:t>
            </w:r>
          </w:p>
        </w:tc>
        <w:tc>
          <w:tcPr>
            <w:tcW w:w="1417" w:type="dxa"/>
            <w:vAlign w:val="center"/>
          </w:tcPr>
          <w:p w:rsidR="00C139FA" w:rsidRPr="00AF6B8D" w:rsidRDefault="00CD51EE" w:rsidP="000B1624">
            <w:pPr>
              <w:pStyle w:val="Title"/>
              <w:suppressAutoHyphens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t>0</w:t>
            </w:r>
          </w:p>
        </w:tc>
        <w:tc>
          <w:tcPr>
            <w:tcW w:w="1418" w:type="dxa"/>
            <w:vAlign w:val="center"/>
          </w:tcPr>
          <w:p w:rsidR="00C139FA" w:rsidRPr="00AF6B8D" w:rsidRDefault="00C139FA" w:rsidP="000B1624">
            <w:pPr>
              <w:pStyle w:val="Title"/>
              <w:suppressAutoHyphens/>
              <w:rPr>
                <w:noProof/>
                <w:sz w:val="20"/>
                <w:lang w:val="es-ES"/>
              </w:rPr>
            </w:pPr>
          </w:p>
        </w:tc>
        <w:tc>
          <w:tcPr>
            <w:tcW w:w="1134" w:type="dxa"/>
            <w:vAlign w:val="center"/>
          </w:tcPr>
          <w:p w:rsidR="00C139FA" w:rsidRPr="00AF6B8D" w:rsidRDefault="00CD51EE" w:rsidP="000B1624">
            <w:pPr>
              <w:pStyle w:val="Title"/>
              <w:suppressAutoHyphens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t>1</w:t>
            </w:r>
          </w:p>
        </w:tc>
        <w:tc>
          <w:tcPr>
            <w:tcW w:w="2126" w:type="dxa"/>
            <w:vAlign w:val="center"/>
          </w:tcPr>
          <w:p w:rsidR="00C139FA" w:rsidRPr="00AF6B8D" w:rsidRDefault="00CD51EE" w:rsidP="006C787F">
            <w:pPr>
              <w:pStyle w:val="Title"/>
              <w:suppressAutoHyphens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t>1</w:t>
            </w:r>
          </w:p>
        </w:tc>
        <w:tc>
          <w:tcPr>
            <w:tcW w:w="2268" w:type="dxa"/>
            <w:vAlign w:val="center"/>
          </w:tcPr>
          <w:p w:rsidR="00C139FA" w:rsidRPr="00AF6B8D" w:rsidRDefault="00055227" w:rsidP="00B66F13">
            <w:pPr>
              <w:pStyle w:val="Title"/>
              <w:suppressAutoHyphens/>
              <w:jc w:val="left"/>
              <w:rPr>
                <w:noProof/>
                <w:sz w:val="20"/>
                <w:lang w:val="es-ES"/>
              </w:rPr>
            </w:pPr>
            <w:r w:rsidRPr="00AF6B8D">
              <w:rPr>
                <w:noProof/>
                <w:sz w:val="20"/>
                <w:lang w:val="es-ES"/>
              </w:rPr>
              <w:t>Debe de incluir un análisis y lineamiento del endeudamiento nacional y municipal</w:t>
            </w:r>
            <w:r w:rsidR="00CD51EE" w:rsidRPr="00AF6B8D">
              <w:rPr>
                <w:noProof/>
                <w:sz w:val="20"/>
                <w:lang w:val="es-ES"/>
              </w:rPr>
              <w:t xml:space="preserve">, </w:t>
            </w:r>
            <w:r w:rsidR="00B66F13" w:rsidRPr="00AF6B8D">
              <w:rPr>
                <w:noProof/>
                <w:sz w:val="20"/>
                <w:u w:val="single"/>
                <w:lang w:val="es-ES"/>
              </w:rPr>
              <w:t>Medio</w:t>
            </w:r>
            <w:r w:rsidR="000B45AB" w:rsidRPr="00AF6B8D">
              <w:rPr>
                <w:noProof/>
                <w:sz w:val="20"/>
                <w:u w:val="single"/>
                <w:lang w:val="es-ES"/>
              </w:rPr>
              <w:t xml:space="preserve"> u fuente </w:t>
            </w:r>
            <w:r w:rsidR="00B66F13" w:rsidRPr="00AF6B8D">
              <w:rPr>
                <w:noProof/>
                <w:sz w:val="20"/>
                <w:u w:val="single"/>
                <w:lang w:val="es-ES"/>
              </w:rPr>
              <w:t xml:space="preserve"> de verificación:</w:t>
            </w:r>
            <w:r w:rsidR="00B66F13" w:rsidRPr="00AF6B8D">
              <w:rPr>
                <w:noProof/>
                <w:sz w:val="20"/>
                <w:lang w:val="es-ES"/>
              </w:rPr>
              <w:t xml:space="preserve"> </w:t>
            </w:r>
            <w:r w:rsidRPr="00AF6B8D">
              <w:rPr>
                <w:noProof/>
                <w:sz w:val="20"/>
                <w:lang w:val="es-ES"/>
              </w:rPr>
              <w:t>publi</w:t>
            </w:r>
            <w:r w:rsidR="00CD51EE" w:rsidRPr="00AF6B8D">
              <w:rPr>
                <w:noProof/>
                <w:sz w:val="20"/>
                <w:lang w:val="es-ES"/>
              </w:rPr>
              <w:t>ca</w:t>
            </w:r>
            <w:r w:rsidR="00B66F13" w:rsidRPr="00AF6B8D">
              <w:rPr>
                <w:noProof/>
                <w:sz w:val="20"/>
                <w:lang w:val="es-ES"/>
              </w:rPr>
              <w:t xml:space="preserve">cion en </w:t>
            </w:r>
            <w:r w:rsidRPr="00AF6B8D">
              <w:rPr>
                <w:noProof/>
                <w:sz w:val="20"/>
                <w:lang w:val="es-ES"/>
              </w:rPr>
              <w:t>la página web del MINFIN, como parte de la preparación de la Ley de Presupuesto para el año 2014</w:t>
            </w:r>
          </w:p>
        </w:tc>
      </w:tr>
    </w:tbl>
    <w:p w:rsidR="00EF6E48" w:rsidRPr="00AF6B8D" w:rsidRDefault="00EF6E48" w:rsidP="00A240F9">
      <w:pPr>
        <w:pStyle w:val="Title"/>
        <w:suppressAutoHyphens/>
        <w:rPr>
          <w:b/>
          <w:noProof/>
          <w:lang w:val="es-ES"/>
        </w:rPr>
      </w:pPr>
    </w:p>
    <w:p w:rsidR="000B45AB" w:rsidRPr="00AF6B8D" w:rsidRDefault="000B45AB" w:rsidP="00A240F9">
      <w:pPr>
        <w:pStyle w:val="Title"/>
        <w:suppressAutoHyphens/>
        <w:rPr>
          <w:b/>
          <w:noProof/>
          <w:lang w:val="es-ES"/>
        </w:rPr>
      </w:pPr>
    </w:p>
    <w:p w:rsidR="009E4CD8" w:rsidRPr="00AF6B8D" w:rsidRDefault="009E4CD8" w:rsidP="00A240F9">
      <w:pPr>
        <w:pStyle w:val="Title"/>
        <w:suppressAutoHyphens/>
        <w:rPr>
          <w:b/>
          <w:noProof/>
          <w:lang w:val="es-ES"/>
        </w:rPr>
      </w:pPr>
    </w:p>
    <w:p w:rsidR="009E4CD8" w:rsidRPr="00AF6B8D" w:rsidRDefault="009E4CD8" w:rsidP="00A240F9">
      <w:pPr>
        <w:pStyle w:val="Title"/>
        <w:suppressAutoHyphens/>
        <w:rPr>
          <w:b/>
          <w:noProof/>
          <w:lang w:val="es-ES"/>
        </w:rPr>
      </w:pPr>
    </w:p>
    <w:p w:rsidR="00A240F9" w:rsidRPr="00AF6B8D" w:rsidRDefault="00A240F9" w:rsidP="00A240F9">
      <w:pPr>
        <w:pStyle w:val="Title"/>
        <w:suppressAutoHyphens/>
        <w:rPr>
          <w:b/>
          <w:noProof/>
          <w:lang w:val="es-ES"/>
        </w:rPr>
      </w:pPr>
      <w:r w:rsidRPr="00AF6B8D">
        <w:rPr>
          <w:b/>
          <w:noProof/>
          <w:lang w:val="es-ES"/>
        </w:rPr>
        <w:t>Programa de Cooperación Técnica Reembolsable</w:t>
      </w:r>
    </w:p>
    <w:p w:rsidR="00A240F9" w:rsidRPr="00AF6B8D" w:rsidRDefault="00A240F9" w:rsidP="00A240F9">
      <w:pPr>
        <w:pStyle w:val="Title"/>
        <w:suppressAutoHyphens/>
        <w:rPr>
          <w:b/>
          <w:bCs/>
          <w:noProof/>
          <w:sz w:val="20"/>
          <w:lang w:val="es-ES"/>
        </w:rPr>
      </w:pPr>
      <w:r w:rsidRPr="00AF6B8D">
        <w:rPr>
          <w:b/>
          <w:noProof/>
          <w:lang w:val="es-ES"/>
        </w:rPr>
        <w:t>(GU-L1064)</w:t>
      </w:r>
    </w:p>
    <w:tbl>
      <w:tblPr>
        <w:tblW w:w="13383" w:type="dxa"/>
        <w:jc w:val="center"/>
        <w:tblInd w:w="-82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427"/>
        <w:gridCol w:w="1484"/>
        <w:gridCol w:w="1431"/>
        <w:gridCol w:w="1431"/>
        <w:gridCol w:w="1110"/>
        <w:gridCol w:w="1350"/>
        <w:gridCol w:w="3150"/>
      </w:tblGrid>
      <w:tr w:rsidR="0035074C" w:rsidRPr="00AF6B8D" w:rsidTr="0035074C">
        <w:trPr>
          <w:trHeight w:val="620"/>
          <w:jc w:val="center"/>
        </w:trPr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4C" w:rsidRPr="00AF6B8D" w:rsidRDefault="0035074C" w:rsidP="0035074C">
            <w:pPr>
              <w:autoSpaceDE w:val="0"/>
              <w:adjustRightInd w:val="0"/>
              <w:jc w:val="center"/>
              <w:rPr>
                <w:b/>
                <w:noProof/>
                <w:lang w:val="es-ES"/>
              </w:rPr>
            </w:pPr>
            <w:r w:rsidRPr="00AF6B8D">
              <w:rPr>
                <w:b/>
                <w:noProof/>
                <w:lang w:val="es-ES"/>
              </w:rPr>
              <w:lastRenderedPageBreak/>
              <w:t>Producto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4C" w:rsidRPr="00AF6B8D" w:rsidRDefault="0035074C" w:rsidP="0035074C">
            <w:pPr>
              <w:jc w:val="center"/>
              <w:rPr>
                <w:b/>
                <w:noProof/>
                <w:lang w:val="es-ES"/>
              </w:rPr>
            </w:pPr>
            <w:r w:rsidRPr="00AF6B8D">
              <w:rPr>
                <w:b/>
                <w:noProof/>
                <w:lang w:val="es-ES"/>
              </w:rPr>
              <w:t>Unidad de Medida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35074C" w:rsidRPr="00AF6B8D" w:rsidRDefault="0035074C" w:rsidP="0035074C">
            <w:pPr>
              <w:jc w:val="center"/>
              <w:rPr>
                <w:b/>
                <w:noProof/>
                <w:lang w:val="es-ES"/>
              </w:rPr>
            </w:pPr>
            <w:r w:rsidRPr="00AF6B8D">
              <w:rPr>
                <w:b/>
                <w:noProof/>
                <w:lang w:val="es-ES"/>
              </w:rPr>
              <w:t>2011 Linea de Base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4C" w:rsidRPr="00AF6B8D" w:rsidRDefault="0035074C" w:rsidP="0035074C">
            <w:pPr>
              <w:jc w:val="center"/>
              <w:rPr>
                <w:b/>
                <w:noProof/>
                <w:lang w:val="es-ES"/>
              </w:rPr>
            </w:pPr>
            <w:r w:rsidRPr="00AF6B8D">
              <w:rPr>
                <w:b/>
                <w:noProof/>
                <w:lang w:val="es-ES"/>
              </w:rPr>
              <w:t>2012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4C" w:rsidRPr="00AF6B8D" w:rsidRDefault="0035074C" w:rsidP="0035074C">
            <w:pPr>
              <w:jc w:val="center"/>
              <w:rPr>
                <w:b/>
                <w:noProof/>
                <w:lang w:val="es-ES"/>
              </w:rPr>
            </w:pPr>
            <w:r w:rsidRPr="00AF6B8D">
              <w:rPr>
                <w:b/>
                <w:noProof/>
                <w:lang w:val="es-ES"/>
              </w:rPr>
              <w:t>2013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4C" w:rsidRPr="00AF6B8D" w:rsidRDefault="0035074C" w:rsidP="0035074C">
            <w:pPr>
              <w:jc w:val="center"/>
              <w:rPr>
                <w:b/>
                <w:noProof/>
                <w:lang w:val="es-ES"/>
              </w:rPr>
            </w:pPr>
            <w:r w:rsidRPr="00AF6B8D">
              <w:rPr>
                <w:b/>
                <w:noProof/>
                <w:lang w:val="es-ES"/>
              </w:rPr>
              <w:t>Meta Final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4C" w:rsidRPr="00AF6B8D" w:rsidRDefault="0035074C" w:rsidP="0035074C">
            <w:pPr>
              <w:jc w:val="center"/>
              <w:rPr>
                <w:b/>
                <w:noProof/>
                <w:lang w:val="es-ES"/>
              </w:rPr>
            </w:pPr>
            <w:r w:rsidRPr="00AF6B8D">
              <w:rPr>
                <w:b/>
                <w:noProof/>
                <w:lang w:val="es-ES"/>
              </w:rPr>
              <w:t>Observaciones</w:t>
            </w:r>
          </w:p>
        </w:tc>
      </w:tr>
      <w:tr w:rsidR="0035074C" w:rsidRPr="00AF6B8D" w:rsidTr="0035074C">
        <w:trPr>
          <w:trHeight w:val="283"/>
          <w:jc w:val="center"/>
        </w:trPr>
        <w:tc>
          <w:tcPr>
            <w:tcW w:w="133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074C" w:rsidRPr="00AF6B8D" w:rsidRDefault="0035074C" w:rsidP="0035074C">
            <w:pPr>
              <w:rPr>
                <w:noProof/>
                <w:color w:val="FFFFFF"/>
                <w:lang w:val="es-ES"/>
              </w:rPr>
            </w:pPr>
            <w:r w:rsidRPr="00AF6B8D">
              <w:rPr>
                <w:b/>
                <w:noProof/>
                <w:color w:val="FFFFFF"/>
                <w:lang w:val="es-ES"/>
              </w:rPr>
              <w:t xml:space="preserve">COMPONENTE 1: Fortalecimiento </w:t>
            </w:r>
            <w:r w:rsidRPr="00AF6B8D">
              <w:rPr>
                <w:b/>
                <w:noProof/>
                <w:color w:val="FFFFFF"/>
                <w:spacing w:val="-4"/>
                <w:lang w:val="es-ES"/>
              </w:rPr>
              <w:t xml:space="preserve">de </w:t>
            </w:r>
            <w:r w:rsidRPr="00AF6B8D">
              <w:rPr>
                <w:b/>
                <w:bCs/>
                <w:noProof/>
                <w:color w:val="FFFFFF"/>
                <w:spacing w:val="-4"/>
                <w:lang w:val="es-ES"/>
              </w:rPr>
              <w:t>las funciones de regulación, coord</w:t>
            </w:r>
            <w:r w:rsidRPr="00AF6B8D">
              <w:rPr>
                <w:b/>
                <w:bCs/>
                <w:noProof/>
                <w:color w:val="FFFFFF"/>
                <w:spacing w:val="-4"/>
                <w:lang w:val="es-ES"/>
              </w:rPr>
              <w:t>i</w:t>
            </w:r>
            <w:r w:rsidRPr="00AF6B8D">
              <w:rPr>
                <w:b/>
                <w:bCs/>
                <w:noProof/>
                <w:color w:val="FFFFFF"/>
                <w:spacing w:val="-4"/>
                <w:lang w:val="es-ES"/>
              </w:rPr>
              <w:t>nación y planificación</w:t>
            </w:r>
          </w:p>
        </w:tc>
      </w:tr>
      <w:tr w:rsidR="006547BE" w:rsidRPr="00AF6B8D" w:rsidTr="006547BE">
        <w:trPr>
          <w:trHeight w:val="620"/>
          <w:jc w:val="center"/>
        </w:trPr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7BE" w:rsidRPr="00AF6B8D" w:rsidRDefault="00055227" w:rsidP="00D63527">
            <w:pPr>
              <w:autoSpaceDE w:val="0"/>
              <w:adjustRightInd w:val="0"/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Técnicos</w:t>
            </w:r>
            <w:r w:rsidR="007F2F53" w:rsidRPr="00AF6B8D">
              <w:rPr>
                <w:noProof/>
                <w:lang w:val="es-ES"/>
              </w:rPr>
              <w:t xml:space="preserve"> </w:t>
            </w:r>
            <w:r w:rsidR="00160EAA" w:rsidRPr="00AF6B8D">
              <w:rPr>
                <w:noProof/>
                <w:lang w:val="es-ES"/>
              </w:rPr>
              <w:t xml:space="preserve">de la DAAFIM </w:t>
            </w:r>
            <w:r w:rsidR="007F2F53" w:rsidRPr="00AF6B8D">
              <w:rPr>
                <w:noProof/>
                <w:lang w:val="es-ES"/>
              </w:rPr>
              <w:t xml:space="preserve">capacitados en </w:t>
            </w:r>
            <w:r w:rsidR="00160EAA" w:rsidRPr="00AF6B8D">
              <w:rPr>
                <w:noProof/>
                <w:lang w:val="es-ES"/>
              </w:rPr>
              <w:t>el desarrollo de indicadores de solvencia financiera municipal, desarrollo de bases de datos, proyecciones de ingresos, gastos municip</w:t>
            </w:r>
            <w:r w:rsidR="00160EAA" w:rsidRPr="00AF6B8D">
              <w:rPr>
                <w:noProof/>
                <w:lang w:val="es-ES"/>
              </w:rPr>
              <w:t>a</w:t>
            </w:r>
            <w:r w:rsidR="00160EAA" w:rsidRPr="00AF6B8D">
              <w:rPr>
                <w:noProof/>
                <w:lang w:val="es-ES"/>
              </w:rPr>
              <w:t>les.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7BE" w:rsidRPr="00AF6B8D" w:rsidRDefault="00055227" w:rsidP="007F2F53">
            <w:pPr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Técnicos</w:t>
            </w:r>
            <w:r w:rsidR="007F2F53" w:rsidRPr="00AF6B8D">
              <w:rPr>
                <w:noProof/>
                <w:lang w:val="es-ES"/>
              </w:rPr>
              <w:t xml:space="preserve"> Capacitados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7BE" w:rsidRPr="00AF6B8D" w:rsidRDefault="006547BE" w:rsidP="009550F9">
            <w:pPr>
              <w:jc w:val="center"/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N/A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7BE" w:rsidRPr="00AF6B8D" w:rsidRDefault="007F2F53" w:rsidP="00B6475A">
            <w:pPr>
              <w:jc w:val="center"/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3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7BE" w:rsidRPr="00AF6B8D" w:rsidRDefault="007F2F53" w:rsidP="007F2F53">
            <w:pPr>
              <w:jc w:val="center"/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7BE" w:rsidRPr="00AF6B8D" w:rsidRDefault="007F2F53" w:rsidP="007F2F53">
            <w:pPr>
              <w:jc w:val="center"/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9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6F13" w:rsidRPr="00AF6B8D" w:rsidRDefault="00B66F13" w:rsidP="00B66F13">
            <w:pPr>
              <w:pStyle w:val="ListParagraph"/>
              <w:spacing w:before="40" w:after="40" w:line="240" w:lineRule="auto"/>
              <w:ind w:left="-43"/>
              <w:contextualSpacing w:val="0"/>
              <w:rPr>
                <w:rFonts w:ascii="Times New Roman" w:hAnsi="Times New Roman"/>
                <w:noProof/>
                <w:lang w:val="es-ES"/>
              </w:rPr>
            </w:pPr>
            <w:r w:rsidRPr="00AF6B8D">
              <w:rPr>
                <w:rFonts w:ascii="Times New Roman" w:hAnsi="Times New Roman"/>
                <w:noProof/>
                <w:u w:val="single"/>
                <w:lang w:val="es-ES"/>
              </w:rPr>
              <w:t>Medio de verificación:</w:t>
            </w:r>
            <w:r w:rsidRPr="00AF6B8D">
              <w:rPr>
                <w:rFonts w:ascii="Times New Roman" w:hAnsi="Times New Roman"/>
                <w:noProof/>
                <w:lang w:val="es-ES"/>
              </w:rPr>
              <w:t xml:space="preserve"> </w:t>
            </w:r>
          </w:p>
          <w:p w:rsidR="006547BE" w:rsidRPr="00AF6B8D" w:rsidRDefault="00B66F13" w:rsidP="00B66F13">
            <w:pPr>
              <w:jc w:val="center"/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 xml:space="preserve">Reporte de Consultor Independiente </w:t>
            </w:r>
          </w:p>
        </w:tc>
      </w:tr>
      <w:tr w:rsidR="006547BE" w:rsidRPr="00AF6B8D" w:rsidTr="0053555B">
        <w:trPr>
          <w:trHeight w:val="288"/>
          <w:jc w:val="center"/>
        </w:trPr>
        <w:tc>
          <w:tcPr>
            <w:tcW w:w="133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7BE" w:rsidRPr="00AF6B8D" w:rsidRDefault="006547BE" w:rsidP="00E565A5">
            <w:pPr>
              <w:rPr>
                <w:b/>
                <w:noProof/>
                <w:color w:val="FFFFFF"/>
                <w:lang w:val="es-ES"/>
              </w:rPr>
            </w:pPr>
            <w:r w:rsidRPr="00AF6B8D">
              <w:rPr>
                <w:b/>
                <w:noProof/>
                <w:color w:val="FFFFFF"/>
                <w:lang w:val="es-ES"/>
              </w:rPr>
              <w:t>COMPONENTE 2: Fort</w:t>
            </w:r>
            <w:r w:rsidRPr="00AF6B8D">
              <w:rPr>
                <w:b/>
                <w:noProof/>
                <w:color w:val="FFFFFF"/>
                <w:lang w:val="es-ES"/>
              </w:rPr>
              <w:t>a</w:t>
            </w:r>
            <w:r w:rsidRPr="00AF6B8D">
              <w:rPr>
                <w:b/>
                <w:noProof/>
                <w:color w:val="FFFFFF"/>
                <w:lang w:val="es-ES"/>
              </w:rPr>
              <w:t>lecimiento de la capacidad técnica del INFOM</w:t>
            </w:r>
          </w:p>
        </w:tc>
      </w:tr>
      <w:tr w:rsidR="006547BE" w:rsidRPr="00AF6B8D" w:rsidTr="006547BE">
        <w:trPr>
          <w:trHeight w:val="620"/>
          <w:jc w:val="center"/>
        </w:trPr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7BE" w:rsidRPr="00AF6B8D" w:rsidRDefault="00055227" w:rsidP="004971ED">
            <w:pPr>
              <w:autoSpaceDE w:val="0"/>
              <w:adjustRightInd w:val="0"/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Técnicos</w:t>
            </w:r>
            <w:r w:rsidR="00160EAA" w:rsidRPr="00AF6B8D">
              <w:rPr>
                <w:noProof/>
                <w:lang w:val="es-ES"/>
              </w:rPr>
              <w:t xml:space="preserve"> de la Unidad de Crédito y Gestión de Cartera del INFOM, capacitados en análisis costo – beneficio de inversiones municipales, sostenibilidad de deuda municipal, analisis de riesgo credit</w:t>
            </w:r>
            <w:r w:rsidR="00160EAA" w:rsidRPr="00AF6B8D">
              <w:rPr>
                <w:noProof/>
                <w:lang w:val="es-ES"/>
              </w:rPr>
              <w:t>i</w:t>
            </w:r>
            <w:r w:rsidR="00160EAA" w:rsidRPr="00AF6B8D">
              <w:rPr>
                <w:noProof/>
                <w:lang w:val="es-ES"/>
              </w:rPr>
              <w:t>cio municipal, desarrollo de base de d</w:t>
            </w:r>
            <w:r w:rsidR="00160EAA" w:rsidRPr="00AF6B8D">
              <w:rPr>
                <w:noProof/>
                <w:lang w:val="es-ES"/>
              </w:rPr>
              <w:t>a</w:t>
            </w:r>
            <w:r w:rsidR="00160EAA" w:rsidRPr="00AF6B8D">
              <w:rPr>
                <w:noProof/>
                <w:lang w:val="es-ES"/>
              </w:rPr>
              <w:t>tos</w:t>
            </w:r>
            <w:r w:rsidR="00D63527" w:rsidRPr="00AF6B8D">
              <w:rPr>
                <w:noProof/>
                <w:lang w:val="es-ES"/>
              </w:rPr>
              <w:t xml:space="preserve">,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7BE" w:rsidRPr="00AF6B8D" w:rsidRDefault="00055227" w:rsidP="009550F9">
            <w:pPr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Técnicos</w:t>
            </w:r>
            <w:r w:rsidR="007F2F53" w:rsidRPr="00AF6B8D">
              <w:rPr>
                <w:noProof/>
                <w:lang w:val="es-ES"/>
              </w:rPr>
              <w:t xml:space="preserve"> Capacitados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7BE" w:rsidRPr="00AF6B8D" w:rsidRDefault="006547BE" w:rsidP="009550F9">
            <w:pPr>
              <w:jc w:val="center"/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N/A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7BE" w:rsidRPr="00AF6B8D" w:rsidRDefault="007F2F53" w:rsidP="009550F9">
            <w:pPr>
              <w:jc w:val="center"/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15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7BE" w:rsidRPr="00AF6B8D" w:rsidRDefault="007F2F53" w:rsidP="00683C6E">
            <w:pPr>
              <w:jc w:val="center"/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15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7BE" w:rsidRPr="00AF6B8D" w:rsidRDefault="007F2F53" w:rsidP="009550F9">
            <w:pPr>
              <w:jc w:val="center"/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30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6F13" w:rsidRPr="00AF6B8D" w:rsidRDefault="00B66F13" w:rsidP="00B66F13">
            <w:pPr>
              <w:pStyle w:val="ListParagraph"/>
              <w:spacing w:before="40" w:after="40" w:line="240" w:lineRule="auto"/>
              <w:ind w:left="-43"/>
              <w:contextualSpacing w:val="0"/>
              <w:rPr>
                <w:rFonts w:ascii="Times New Roman" w:hAnsi="Times New Roman"/>
                <w:noProof/>
                <w:lang w:val="es-ES"/>
              </w:rPr>
            </w:pPr>
            <w:r w:rsidRPr="00AF6B8D">
              <w:rPr>
                <w:rFonts w:ascii="Times New Roman" w:hAnsi="Times New Roman"/>
                <w:noProof/>
                <w:u w:val="single"/>
                <w:lang w:val="es-ES"/>
              </w:rPr>
              <w:t>Medio de verificación:</w:t>
            </w:r>
            <w:r w:rsidRPr="00AF6B8D">
              <w:rPr>
                <w:rFonts w:ascii="Times New Roman" w:hAnsi="Times New Roman"/>
                <w:noProof/>
                <w:lang w:val="es-ES"/>
              </w:rPr>
              <w:t xml:space="preserve"> </w:t>
            </w:r>
          </w:p>
          <w:p w:rsidR="006547BE" w:rsidRPr="00AF6B8D" w:rsidRDefault="00B66F13" w:rsidP="00B66F13">
            <w:pPr>
              <w:jc w:val="center"/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 xml:space="preserve">Reporte de Consultor Independiente </w:t>
            </w:r>
          </w:p>
        </w:tc>
      </w:tr>
      <w:tr w:rsidR="006547BE" w:rsidRPr="00AF6B8D" w:rsidTr="0053555B">
        <w:trPr>
          <w:trHeight w:val="288"/>
          <w:jc w:val="center"/>
        </w:trPr>
        <w:tc>
          <w:tcPr>
            <w:tcW w:w="133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7BE" w:rsidRPr="00AF6B8D" w:rsidRDefault="006547BE" w:rsidP="00E565A5">
            <w:pPr>
              <w:rPr>
                <w:noProof/>
                <w:lang w:val="es-ES"/>
              </w:rPr>
            </w:pPr>
            <w:r w:rsidRPr="00AF6B8D">
              <w:rPr>
                <w:b/>
                <w:noProof/>
                <w:lang w:val="es-ES"/>
              </w:rPr>
              <w:t xml:space="preserve">COMPONENTE 3: Fortalecimiento </w:t>
            </w:r>
            <w:r w:rsidRPr="00AF6B8D">
              <w:rPr>
                <w:b/>
                <w:noProof/>
                <w:spacing w:val="-2"/>
                <w:lang w:val="es-ES"/>
              </w:rPr>
              <w:t>de la Mancomunidad de la Gran Ci</w:t>
            </w:r>
            <w:r w:rsidRPr="00AF6B8D">
              <w:rPr>
                <w:b/>
                <w:noProof/>
                <w:spacing w:val="-2"/>
                <w:lang w:val="es-ES"/>
              </w:rPr>
              <w:t>u</w:t>
            </w:r>
            <w:r w:rsidRPr="00AF6B8D">
              <w:rPr>
                <w:b/>
                <w:noProof/>
                <w:spacing w:val="-2"/>
                <w:lang w:val="es-ES"/>
              </w:rPr>
              <w:t>dad del Sur y las Municipalidades que la forman (Plan piloto).</w:t>
            </w:r>
          </w:p>
        </w:tc>
      </w:tr>
      <w:tr w:rsidR="006547BE" w:rsidRPr="00AF6B8D" w:rsidTr="006547BE">
        <w:trPr>
          <w:trHeight w:val="620"/>
          <w:jc w:val="center"/>
        </w:trPr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7BE" w:rsidRPr="00AF6B8D" w:rsidRDefault="006547BE" w:rsidP="00D63527">
            <w:pPr>
              <w:autoSpaceDE w:val="0"/>
              <w:adjustRightInd w:val="0"/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lastRenderedPageBreak/>
              <w:t>Producto 1: Técnicos municipales capacitados en fortalecimiento fiscal, financiero y tarifario por la Dirección de Asistencia a la Administración Financiera Munic</w:t>
            </w:r>
            <w:r w:rsidRPr="00AF6B8D">
              <w:rPr>
                <w:noProof/>
                <w:lang w:val="es-ES"/>
              </w:rPr>
              <w:t>i</w:t>
            </w:r>
            <w:r w:rsidRPr="00AF6B8D">
              <w:rPr>
                <w:noProof/>
                <w:lang w:val="es-ES"/>
              </w:rPr>
              <w:t>pal (DAAFM)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7BE" w:rsidRPr="00AF6B8D" w:rsidRDefault="006547BE" w:rsidP="009550F9">
            <w:pPr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Técnicos municipales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7BE" w:rsidRPr="00AF6B8D" w:rsidRDefault="006547BE" w:rsidP="009550F9">
            <w:pPr>
              <w:jc w:val="center"/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0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7BE" w:rsidRPr="00AF6B8D" w:rsidRDefault="006547BE" w:rsidP="00B6475A">
            <w:pPr>
              <w:jc w:val="center"/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7BE" w:rsidRPr="00AF6B8D" w:rsidRDefault="006547BE" w:rsidP="00B6475A">
            <w:pPr>
              <w:jc w:val="center"/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15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7BE" w:rsidRPr="00AF6B8D" w:rsidRDefault="006547BE" w:rsidP="00B6475A">
            <w:pPr>
              <w:jc w:val="center"/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>15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6F13" w:rsidRPr="00AF6B8D" w:rsidRDefault="00B66F13" w:rsidP="00B66F13">
            <w:pPr>
              <w:pStyle w:val="ListParagraph"/>
              <w:spacing w:before="40" w:after="40" w:line="240" w:lineRule="auto"/>
              <w:ind w:left="-43"/>
              <w:contextualSpacing w:val="0"/>
              <w:rPr>
                <w:rFonts w:ascii="Times New Roman" w:hAnsi="Times New Roman"/>
                <w:noProof/>
                <w:lang w:val="es-ES"/>
              </w:rPr>
            </w:pPr>
            <w:r w:rsidRPr="00AF6B8D">
              <w:rPr>
                <w:rFonts w:ascii="Times New Roman" w:hAnsi="Times New Roman"/>
                <w:noProof/>
                <w:u w:val="single"/>
                <w:lang w:val="es-ES"/>
              </w:rPr>
              <w:t>Medio de verificación:</w:t>
            </w:r>
            <w:r w:rsidRPr="00AF6B8D">
              <w:rPr>
                <w:rFonts w:ascii="Times New Roman" w:hAnsi="Times New Roman"/>
                <w:noProof/>
                <w:lang w:val="es-ES"/>
              </w:rPr>
              <w:t xml:space="preserve"> </w:t>
            </w:r>
          </w:p>
          <w:p w:rsidR="006547BE" w:rsidRPr="00AF6B8D" w:rsidRDefault="00B66F13" w:rsidP="00B66F13">
            <w:pPr>
              <w:jc w:val="center"/>
              <w:rPr>
                <w:noProof/>
                <w:lang w:val="es-ES"/>
              </w:rPr>
            </w:pPr>
            <w:r w:rsidRPr="00AF6B8D">
              <w:rPr>
                <w:noProof/>
                <w:lang w:val="es-ES"/>
              </w:rPr>
              <w:t xml:space="preserve">Reporte de Consultor Independiente </w:t>
            </w:r>
          </w:p>
        </w:tc>
      </w:tr>
    </w:tbl>
    <w:p w:rsidR="00B6475A" w:rsidRPr="00AF6B8D" w:rsidRDefault="00B6475A" w:rsidP="0035074C">
      <w:pPr>
        <w:pStyle w:val="Annex"/>
        <w:suppressAutoHyphens/>
        <w:rPr>
          <w:caps w:val="0"/>
          <w:noProof/>
          <w:sz w:val="20"/>
          <w:lang w:val="es-ES"/>
        </w:rPr>
      </w:pPr>
    </w:p>
    <w:sectPr w:rsidR="00B6475A" w:rsidRPr="00AF6B8D" w:rsidSect="009B12DA">
      <w:headerReference w:type="default" r:id="rId9"/>
      <w:footerReference w:type="even" r:id="rId10"/>
      <w:footerReference w:type="default" r:id="rId11"/>
      <w:pgSz w:w="15840" w:h="12240" w:orient="landscape"/>
      <w:pgMar w:top="1440" w:right="1800" w:bottom="450" w:left="1800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7B2" w:rsidRDefault="005F27B2">
      <w:r>
        <w:separator/>
      </w:r>
    </w:p>
  </w:endnote>
  <w:endnote w:type="continuationSeparator" w:id="0">
    <w:p w:rsidR="005F27B2" w:rsidRDefault="005F27B2">
      <w:r>
        <w:continuationSeparator/>
      </w:r>
    </w:p>
  </w:endnote>
  <w:endnote w:type="continuationNotice" w:id="1">
    <w:p w:rsidR="005F27B2" w:rsidRDefault="005F27B2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DD0" w:rsidRDefault="00C87C5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F3DD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F3DD0">
      <w:rPr>
        <w:rStyle w:val="PageNumber"/>
        <w:noProof/>
      </w:rPr>
      <w:t>1</w:t>
    </w:r>
    <w:r>
      <w:rPr>
        <w:rStyle w:val="PageNumber"/>
      </w:rPr>
      <w:fldChar w:fldCharType="end"/>
    </w:r>
  </w:p>
  <w:p w:rsidR="002F3DD0" w:rsidRDefault="002F3DD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DD0" w:rsidRDefault="002F3DD0" w:rsidP="00F20F2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7B2" w:rsidRDefault="005F27B2">
      <w:r>
        <w:separator/>
      </w:r>
    </w:p>
  </w:footnote>
  <w:footnote w:type="continuationSeparator" w:id="0">
    <w:p w:rsidR="005F27B2" w:rsidRDefault="005F27B2">
      <w:r>
        <w:continuationSeparator/>
      </w:r>
    </w:p>
  </w:footnote>
  <w:footnote w:type="continuationNotice" w:id="1">
    <w:p w:rsidR="005F27B2" w:rsidRDefault="005F27B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088" w:rsidRPr="008E4A43" w:rsidRDefault="00332088">
    <w:pPr>
      <w:pStyle w:val="Header"/>
      <w:jc w:val="right"/>
      <w:rPr>
        <w:b/>
      </w:rPr>
    </w:pPr>
    <w:r w:rsidRPr="008E4A43">
      <w:rPr>
        <w:b/>
      </w:rPr>
      <w:t xml:space="preserve">Enlace electrónico requerido 4. - </w:t>
    </w:r>
    <w:r w:rsidRPr="00332088">
      <w:rPr>
        <w:b/>
        <w:bCs/>
        <w:smallCaps/>
        <w:lang w:val="es-ES_tradnl"/>
      </w:rPr>
      <w:t>GU-L1064</w:t>
    </w:r>
  </w:p>
  <w:p w:rsidR="00332088" w:rsidRPr="008E4A43" w:rsidRDefault="00332088">
    <w:pPr>
      <w:pStyle w:val="Header"/>
      <w:jc w:val="right"/>
      <w:rPr>
        <w:sz w:val="20"/>
      </w:rPr>
    </w:pPr>
    <w:r>
      <w:rPr>
        <w:sz w:val="20"/>
      </w:rPr>
      <w:t>Pá</w:t>
    </w:r>
    <w:r w:rsidRPr="008E4A43">
      <w:rPr>
        <w:sz w:val="20"/>
      </w:rPr>
      <w:t>g</w:t>
    </w:r>
    <w:r>
      <w:rPr>
        <w:sz w:val="20"/>
      </w:rPr>
      <w:t>ina</w:t>
    </w:r>
    <w:r w:rsidRPr="008E4A43">
      <w:rPr>
        <w:sz w:val="20"/>
      </w:rPr>
      <w:t xml:space="preserve"> </w:t>
    </w:r>
    <w:r w:rsidR="00C87C56" w:rsidRPr="008E4A43">
      <w:rPr>
        <w:b/>
        <w:bCs/>
        <w:sz w:val="20"/>
      </w:rPr>
      <w:fldChar w:fldCharType="begin"/>
    </w:r>
    <w:r w:rsidRPr="008E4A43">
      <w:rPr>
        <w:b/>
        <w:bCs/>
        <w:sz w:val="20"/>
      </w:rPr>
      <w:instrText xml:space="preserve"> PAGE </w:instrText>
    </w:r>
    <w:r w:rsidR="00C87C56" w:rsidRPr="008E4A43">
      <w:rPr>
        <w:b/>
        <w:bCs/>
        <w:sz w:val="20"/>
      </w:rPr>
      <w:fldChar w:fldCharType="separate"/>
    </w:r>
    <w:r w:rsidR="00C74A27">
      <w:rPr>
        <w:b/>
        <w:bCs/>
        <w:noProof/>
        <w:sz w:val="20"/>
      </w:rPr>
      <w:t>5</w:t>
    </w:r>
    <w:r w:rsidR="00C87C56" w:rsidRPr="008E4A43">
      <w:rPr>
        <w:b/>
        <w:bCs/>
        <w:sz w:val="20"/>
      </w:rPr>
      <w:fldChar w:fldCharType="end"/>
    </w:r>
    <w:r w:rsidRPr="008E4A43">
      <w:rPr>
        <w:sz w:val="20"/>
      </w:rPr>
      <w:t xml:space="preserve"> </w:t>
    </w:r>
    <w:r>
      <w:rPr>
        <w:sz w:val="20"/>
      </w:rPr>
      <w:t>de</w:t>
    </w:r>
    <w:r w:rsidRPr="008E4A43">
      <w:rPr>
        <w:sz w:val="20"/>
      </w:rPr>
      <w:t xml:space="preserve"> </w:t>
    </w:r>
    <w:r w:rsidR="00C87C56" w:rsidRPr="008E4A43">
      <w:rPr>
        <w:b/>
        <w:bCs/>
        <w:sz w:val="20"/>
      </w:rPr>
      <w:fldChar w:fldCharType="begin"/>
    </w:r>
    <w:r w:rsidRPr="008E4A43">
      <w:rPr>
        <w:b/>
        <w:bCs/>
        <w:sz w:val="20"/>
      </w:rPr>
      <w:instrText xml:space="preserve"> NUMPAGES  </w:instrText>
    </w:r>
    <w:r w:rsidR="00C87C56" w:rsidRPr="008E4A43">
      <w:rPr>
        <w:b/>
        <w:bCs/>
        <w:sz w:val="20"/>
      </w:rPr>
      <w:fldChar w:fldCharType="separate"/>
    </w:r>
    <w:r w:rsidR="00C74A27">
      <w:rPr>
        <w:b/>
        <w:bCs/>
        <w:noProof/>
        <w:sz w:val="20"/>
      </w:rPr>
      <w:t>5</w:t>
    </w:r>
    <w:r w:rsidR="00C87C56" w:rsidRPr="008E4A43">
      <w:rPr>
        <w:b/>
        <w:bCs/>
        <w:sz w:val="20"/>
      </w:rPr>
      <w:fldChar w:fldCharType="end"/>
    </w:r>
  </w:p>
  <w:p w:rsidR="002F3DD0" w:rsidRPr="008E4A43" w:rsidRDefault="002F3DD0" w:rsidP="008E4A43">
    <w:pPr>
      <w:pStyle w:val="Header"/>
      <w:jc w:val="right"/>
      <w:rPr>
        <w:b/>
        <w:bCs/>
        <w:smallCaps/>
        <w:lang w:val="es-ES_tradn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77B89"/>
    <w:multiLevelType w:val="hybridMultilevel"/>
    <w:tmpl w:val="14124C08"/>
    <w:lvl w:ilvl="0" w:tplc="96A00460">
      <w:start w:val="1"/>
      <w:numFmt w:val="bullet"/>
      <w:lvlText w:val="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29181B"/>
    <w:multiLevelType w:val="hybridMultilevel"/>
    <w:tmpl w:val="2E3C0DB2"/>
    <w:lvl w:ilvl="0" w:tplc="C4A69B8A">
      <w:start w:val="1"/>
      <w:numFmt w:val="decimal"/>
      <w:pStyle w:val="bull2"/>
      <w:lvlText w:val="%1."/>
      <w:lvlJc w:val="left"/>
      <w:pPr>
        <w:tabs>
          <w:tab w:val="num" w:pos="436"/>
        </w:tabs>
        <w:ind w:left="436" w:hanging="360"/>
      </w:pPr>
      <w:rPr>
        <w:rFonts w:hint="default"/>
      </w:rPr>
    </w:lvl>
    <w:lvl w:ilvl="1" w:tplc="656C4802">
      <w:numFmt w:val="none"/>
      <w:lvlText w:val=""/>
      <w:lvlJc w:val="left"/>
      <w:pPr>
        <w:tabs>
          <w:tab w:val="num" w:pos="360"/>
        </w:tabs>
      </w:pPr>
    </w:lvl>
    <w:lvl w:ilvl="2" w:tplc="CD76C408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E845004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810AF10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96F83C2A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84624B1E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10E222A8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DFE604FC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>
    <w:nsid w:val="17AC50F2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D79533A"/>
    <w:multiLevelType w:val="multilevel"/>
    <w:tmpl w:val="9C02748C"/>
    <w:lvl w:ilvl="0">
      <w:start w:val="1"/>
      <w:numFmt w:val="none"/>
      <w:pStyle w:val="FirstHeading"/>
      <w:suff w:val="nothing"/>
      <w:lvlText w:val="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296"/>
        </w:tabs>
        <w:ind w:left="1296" w:hanging="576"/>
      </w:pPr>
    </w:lvl>
    <w:lvl w:ilvl="2">
      <w:start w:val="1"/>
      <w:numFmt w:val="lowerLetter"/>
      <w:lvlText w:val="%3)"/>
      <w:lvlJc w:val="left"/>
      <w:pPr>
        <w:tabs>
          <w:tab w:val="num" w:pos="1872"/>
        </w:tabs>
        <w:ind w:left="1872" w:hanging="576"/>
      </w:pPr>
    </w:lvl>
    <w:lvl w:ilvl="3">
      <w:start w:val="1"/>
      <w:numFmt w:val="lowerRoman"/>
      <w:lvlText w:val="(%4)"/>
      <w:lvlJc w:val="right"/>
      <w:pPr>
        <w:tabs>
          <w:tab w:val="num" w:pos="2376"/>
        </w:tabs>
        <w:ind w:left="2376" w:hanging="288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436751C"/>
    <w:multiLevelType w:val="hybridMultilevel"/>
    <w:tmpl w:val="B844B45A"/>
    <w:lvl w:ilvl="0" w:tplc="2292B45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DCEB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4C97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147C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8EF1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6B47D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90B7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7EA0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FE61C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5F769B"/>
    <w:multiLevelType w:val="hybridMultilevel"/>
    <w:tmpl w:val="F45AADAE"/>
    <w:lvl w:ilvl="0" w:tplc="73922214">
      <w:start w:val="1"/>
      <w:numFmt w:val="bullet"/>
      <w:lvlText w:val="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B90A4480">
      <w:start w:val="1"/>
      <w:numFmt w:val="bullet"/>
      <w:lvlText w:val=""/>
      <w:lvlJc w:val="left"/>
      <w:pPr>
        <w:tabs>
          <w:tab w:val="num" w:pos="360"/>
        </w:tabs>
        <w:ind w:left="360" w:hanging="144"/>
      </w:pPr>
      <w:rPr>
        <w:rFonts w:ascii="Wingdings" w:hAnsi="Wingdings" w:hint="default"/>
      </w:rPr>
    </w:lvl>
    <w:lvl w:ilvl="2" w:tplc="3FB0A308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D0FE4C36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4" w:tplc="2AA6A26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EAE51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1C3F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B20F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A4EC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1B53B35"/>
    <w:multiLevelType w:val="hybridMultilevel"/>
    <w:tmpl w:val="EFBA6156"/>
    <w:lvl w:ilvl="0" w:tplc="16E00EB4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686048"/>
    <w:multiLevelType w:val="hybridMultilevel"/>
    <w:tmpl w:val="B9B00FBC"/>
    <w:lvl w:ilvl="0" w:tplc="00FAF38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4F6053"/>
    <w:multiLevelType w:val="multilevel"/>
    <w:tmpl w:val="3A52EECC"/>
    <w:lvl w:ilvl="0">
      <w:start w:val="1"/>
      <w:numFmt w:val="upperLetter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>
    <w:nsid w:val="3B1E3E47"/>
    <w:multiLevelType w:val="multilevel"/>
    <w:tmpl w:val="5A108E38"/>
    <w:lvl w:ilvl="0">
      <w:start w:val="1"/>
      <w:numFmt w:val="upperLetter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3DB745FF"/>
    <w:multiLevelType w:val="multilevel"/>
    <w:tmpl w:val="61124318"/>
    <w:lvl w:ilvl="0">
      <w:start w:val="1"/>
      <w:numFmt w:val="lowerLetter"/>
      <w:lvlText w:val="(%1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1">
      <w:start w:val="1"/>
      <w:numFmt w:val="lowerRoman"/>
      <w:pStyle w:val="Paragraph"/>
      <w:lvlText w:val="%2."/>
      <w:lvlJc w:val="right"/>
      <w:pPr>
        <w:tabs>
          <w:tab w:val="num" w:pos="1512"/>
        </w:tabs>
        <w:ind w:left="1512" w:hanging="360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tabs>
          <w:tab w:val="num" w:pos="1584"/>
        </w:tabs>
        <w:ind w:left="158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none"/>
      <w:lvlRestart w:val="0"/>
      <w:lvlText w:val=""/>
      <w:lvlJc w:val="left"/>
      <w:pPr>
        <w:tabs>
          <w:tab w:val="num" w:pos="2232"/>
        </w:tabs>
        <w:ind w:left="223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none"/>
      <w:lvlRestart w:val="0"/>
      <w:lvlText w:val="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11">
    <w:nsid w:val="40054592"/>
    <w:multiLevelType w:val="hybridMultilevel"/>
    <w:tmpl w:val="68F858E2"/>
    <w:lvl w:ilvl="0" w:tplc="256615EC">
      <w:start w:val="1"/>
      <w:numFmt w:val="bullet"/>
      <w:lvlText w:val="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04B5116"/>
    <w:multiLevelType w:val="hybridMultilevel"/>
    <w:tmpl w:val="81CCEA96"/>
    <w:lvl w:ilvl="0" w:tplc="16E00EB4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E13B65"/>
    <w:multiLevelType w:val="multilevel"/>
    <w:tmpl w:val="0B3EA588"/>
    <w:lvl w:ilvl="0">
      <w:start w:val="1"/>
      <w:numFmt w:val="upperRoman"/>
      <w:suff w:val="space"/>
      <w:lvlText w:val="%1."/>
      <w:lvlJc w:val="center"/>
      <w:pPr>
        <w:ind w:left="0" w:firstLine="288"/>
      </w:p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720" w:firstLine="0"/>
      </w:p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Roman"/>
      <w:lvlText w:val="(%4)"/>
      <w:lvlJc w:val="left"/>
      <w:pPr>
        <w:tabs>
          <w:tab w:val="num" w:pos="2880"/>
        </w:tabs>
        <w:ind w:left="2160" w:firstLine="0"/>
      </w:p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14">
    <w:nsid w:val="4D8A5BD7"/>
    <w:multiLevelType w:val="multilevel"/>
    <w:tmpl w:val="FC3C17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5">
    <w:nsid w:val="50DA7419"/>
    <w:multiLevelType w:val="hybridMultilevel"/>
    <w:tmpl w:val="C35C37B0"/>
    <w:lvl w:ilvl="0" w:tplc="EA9AD92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637893"/>
    <w:multiLevelType w:val="multilevel"/>
    <w:tmpl w:val="1E38C992"/>
    <w:lvl w:ilvl="0">
      <w:start w:val="1"/>
      <w:numFmt w:val="upperLetter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58D22C3D"/>
    <w:multiLevelType w:val="hybridMultilevel"/>
    <w:tmpl w:val="F45AADAE"/>
    <w:lvl w:ilvl="0" w:tplc="FEFE1D00">
      <w:start w:val="1"/>
      <w:numFmt w:val="bullet"/>
      <w:lvlText w:val="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D26E4CD8">
      <w:start w:val="1"/>
      <w:numFmt w:val="bullet"/>
      <w:lvlText w:val=""/>
      <w:lvlJc w:val="left"/>
      <w:pPr>
        <w:tabs>
          <w:tab w:val="num" w:pos="360"/>
        </w:tabs>
        <w:ind w:left="360" w:hanging="144"/>
      </w:pPr>
      <w:rPr>
        <w:rFonts w:ascii="Wingdings" w:hAnsi="Wingdings" w:hint="default"/>
      </w:rPr>
    </w:lvl>
    <w:lvl w:ilvl="2" w:tplc="64FA622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912EF854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4" w:tplc="6712BCE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2686E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B23A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34AD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F6822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A5131CD"/>
    <w:multiLevelType w:val="hybridMultilevel"/>
    <w:tmpl w:val="E5E63232"/>
    <w:lvl w:ilvl="0" w:tplc="61601510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55E6D7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B40E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CD0EB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16D5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41852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C649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0CC5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82452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105529D"/>
    <w:multiLevelType w:val="multilevel"/>
    <w:tmpl w:val="3CF6093A"/>
    <w:lvl w:ilvl="0">
      <w:start w:val="1"/>
      <w:numFmt w:val="upperRoman"/>
      <w:lvlText w:val="%1.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isLgl/>
      <w:lvlText w:val="%1.%2"/>
      <w:lvlJc w:val="left"/>
      <w:pPr>
        <w:tabs>
          <w:tab w:val="num" w:pos="2016"/>
        </w:tabs>
        <w:ind w:left="2016" w:hanging="1109"/>
      </w:pPr>
    </w:lvl>
    <w:lvl w:ilvl="2">
      <w:start w:val="1"/>
      <w:numFmt w:val="lowerLetter"/>
      <w:lvlText w:val="%3."/>
      <w:lvlJc w:val="left"/>
      <w:pPr>
        <w:tabs>
          <w:tab w:val="num" w:pos="2232"/>
        </w:tabs>
        <w:ind w:left="2232" w:hanging="792"/>
      </w:pPr>
    </w:lvl>
    <w:lvl w:ilvl="3">
      <w:start w:val="1"/>
      <w:numFmt w:val="lowerRoman"/>
      <w:lvlText w:val="(%4)"/>
      <w:lvlJc w:val="left"/>
      <w:pPr>
        <w:tabs>
          <w:tab w:val="num" w:pos="3240"/>
        </w:tabs>
        <w:ind w:left="3240" w:hanging="1080"/>
      </w:p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20">
    <w:nsid w:val="6108466A"/>
    <w:multiLevelType w:val="hybridMultilevel"/>
    <w:tmpl w:val="E5DCAC2C"/>
    <w:lvl w:ilvl="0" w:tplc="D7EAAA76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24A7788"/>
    <w:multiLevelType w:val="hybridMultilevel"/>
    <w:tmpl w:val="B2E6923A"/>
    <w:lvl w:ilvl="0" w:tplc="3C6EB148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6F40F4"/>
    <w:multiLevelType w:val="hybridMultilevel"/>
    <w:tmpl w:val="C700CBF4"/>
    <w:lvl w:ilvl="0" w:tplc="4586795E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D9EE7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1200F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012CE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66C9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1BEC6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7A2A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A687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2232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C5669B8"/>
    <w:multiLevelType w:val="hybridMultilevel"/>
    <w:tmpl w:val="DB5E5E42"/>
    <w:lvl w:ilvl="0" w:tplc="0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7D3BF8"/>
    <w:multiLevelType w:val="hybridMultilevel"/>
    <w:tmpl w:val="0CC8D058"/>
    <w:lvl w:ilvl="0" w:tplc="30AC9684">
      <w:start w:val="1"/>
      <w:numFmt w:val="bullet"/>
      <w:lvlText w:val="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AE1856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8AD4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0C6E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060F5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22461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7059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B413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0E29F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5312210"/>
    <w:multiLevelType w:val="multilevel"/>
    <w:tmpl w:val="CCC8BDC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F21F3B"/>
    <w:multiLevelType w:val="hybridMultilevel"/>
    <w:tmpl w:val="53265736"/>
    <w:lvl w:ilvl="0" w:tplc="16E00EB4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DA7910"/>
    <w:multiLevelType w:val="hybridMultilevel"/>
    <w:tmpl w:val="1FF2F5DC"/>
    <w:lvl w:ilvl="0" w:tplc="16E00EB4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4F742D"/>
    <w:multiLevelType w:val="hybridMultilevel"/>
    <w:tmpl w:val="CCC8BDCC"/>
    <w:lvl w:ilvl="0" w:tplc="C9A8BC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8F3F34"/>
    <w:multiLevelType w:val="hybridMultilevel"/>
    <w:tmpl w:val="4E904A02"/>
    <w:lvl w:ilvl="0" w:tplc="96A0046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 w:tplc="99A60DD8">
      <w:start w:val="9"/>
      <w:numFmt w:val="decimal"/>
      <w:pStyle w:val="num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C74DB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3A75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D1605A4"/>
    <w:multiLevelType w:val="multilevel"/>
    <w:tmpl w:val="94782C88"/>
    <w:lvl w:ilvl="0">
      <w:start w:val="1"/>
      <w:numFmt w:val="upperLetter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3"/>
  </w:num>
  <w:num w:numId="2">
    <w:abstractNumId w:val="19"/>
  </w:num>
  <w:num w:numId="3">
    <w:abstractNumId w:val="30"/>
  </w:num>
  <w:num w:numId="4">
    <w:abstractNumId w:val="9"/>
  </w:num>
  <w:num w:numId="5">
    <w:abstractNumId w:val="8"/>
  </w:num>
  <w:num w:numId="6">
    <w:abstractNumId w:val="16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3"/>
  </w:num>
  <w:num w:numId="10">
    <w:abstractNumId w:val="10"/>
  </w:num>
  <w:num w:numId="11">
    <w:abstractNumId w:val="18"/>
  </w:num>
  <w:num w:numId="12">
    <w:abstractNumId w:val="1"/>
  </w:num>
  <w:num w:numId="13">
    <w:abstractNumId w:val="1"/>
  </w:num>
  <w:num w:numId="14">
    <w:abstractNumId w:val="5"/>
  </w:num>
  <w:num w:numId="15">
    <w:abstractNumId w:val="17"/>
  </w:num>
  <w:num w:numId="16">
    <w:abstractNumId w:val="29"/>
  </w:num>
  <w:num w:numId="17">
    <w:abstractNumId w:val="4"/>
  </w:num>
  <w:num w:numId="18">
    <w:abstractNumId w:val="11"/>
  </w:num>
  <w:num w:numId="19">
    <w:abstractNumId w:val="22"/>
  </w:num>
  <w:num w:numId="20">
    <w:abstractNumId w:val="0"/>
  </w:num>
  <w:num w:numId="21">
    <w:abstractNumId w:val="14"/>
  </w:num>
  <w:num w:numId="22">
    <w:abstractNumId w:val="24"/>
  </w:num>
  <w:num w:numId="23">
    <w:abstractNumId w:val="10"/>
  </w:num>
  <w:num w:numId="24">
    <w:abstractNumId w:val="20"/>
  </w:num>
  <w:num w:numId="25">
    <w:abstractNumId w:val="23"/>
  </w:num>
  <w:num w:numId="26">
    <w:abstractNumId w:val="15"/>
  </w:num>
  <w:num w:numId="27">
    <w:abstractNumId w:val="6"/>
  </w:num>
  <w:num w:numId="28">
    <w:abstractNumId w:val="21"/>
  </w:num>
  <w:num w:numId="29">
    <w:abstractNumId w:val="7"/>
  </w:num>
  <w:num w:numId="30">
    <w:abstractNumId w:val="28"/>
  </w:num>
  <w:num w:numId="31">
    <w:abstractNumId w:val="25"/>
  </w:num>
  <w:num w:numId="32">
    <w:abstractNumId w:val="12"/>
  </w:num>
  <w:num w:numId="33">
    <w:abstractNumId w:val="27"/>
  </w:num>
  <w:num w:numId="34">
    <w:abstractNumId w:val="26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revisionView w:markup="0"/>
  <w:trackRevisions/>
  <w:doNotTrackMoves/>
  <w:defaultTabStop w:val="720"/>
  <w:autoHyphenation/>
  <w:hyphenationZone w:val="144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074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2581"/>
    <w:rsid w:val="00000CA6"/>
    <w:rsid w:val="00001E3D"/>
    <w:rsid w:val="0000396F"/>
    <w:rsid w:val="00013FF6"/>
    <w:rsid w:val="00024192"/>
    <w:rsid w:val="00025759"/>
    <w:rsid w:val="0003319C"/>
    <w:rsid w:val="00036617"/>
    <w:rsid w:val="00055227"/>
    <w:rsid w:val="00066BE2"/>
    <w:rsid w:val="000753E2"/>
    <w:rsid w:val="00082DCB"/>
    <w:rsid w:val="000833B6"/>
    <w:rsid w:val="000921C6"/>
    <w:rsid w:val="000969A0"/>
    <w:rsid w:val="00096BC0"/>
    <w:rsid w:val="00097916"/>
    <w:rsid w:val="000A424F"/>
    <w:rsid w:val="000A7497"/>
    <w:rsid w:val="000B15C0"/>
    <w:rsid w:val="000B1624"/>
    <w:rsid w:val="000B39DB"/>
    <w:rsid w:val="000B45AB"/>
    <w:rsid w:val="000B4A7A"/>
    <w:rsid w:val="000B4D77"/>
    <w:rsid w:val="000C2A3B"/>
    <w:rsid w:val="000D303E"/>
    <w:rsid w:val="000E2B9B"/>
    <w:rsid w:val="000E40A1"/>
    <w:rsid w:val="000F00C3"/>
    <w:rsid w:val="000F54D1"/>
    <w:rsid w:val="001103EB"/>
    <w:rsid w:val="001110F4"/>
    <w:rsid w:val="0011294D"/>
    <w:rsid w:val="00117D2D"/>
    <w:rsid w:val="00120777"/>
    <w:rsid w:val="00120F3B"/>
    <w:rsid w:val="00122B17"/>
    <w:rsid w:val="00123BDC"/>
    <w:rsid w:val="0012628E"/>
    <w:rsid w:val="001347CD"/>
    <w:rsid w:val="00134ACC"/>
    <w:rsid w:val="00137439"/>
    <w:rsid w:val="00153A60"/>
    <w:rsid w:val="00153B30"/>
    <w:rsid w:val="001552FE"/>
    <w:rsid w:val="00160EAA"/>
    <w:rsid w:val="00170DDE"/>
    <w:rsid w:val="0017334B"/>
    <w:rsid w:val="001768CD"/>
    <w:rsid w:val="00176ABB"/>
    <w:rsid w:val="00185828"/>
    <w:rsid w:val="00186BA9"/>
    <w:rsid w:val="00187C6B"/>
    <w:rsid w:val="001908A7"/>
    <w:rsid w:val="001967AE"/>
    <w:rsid w:val="001A5520"/>
    <w:rsid w:val="001A7D13"/>
    <w:rsid w:val="001B1F33"/>
    <w:rsid w:val="001B387A"/>
    <w:rsid w:val="001B4769"/>
    <w:rsid w:val="001B48D5"/>
    <w:rsid w:val="001B7EDA"/>
    <w:rsid w:val="001D5CAB"/>
    <w:rsid w:val="001D5EDB"/>
    <w:rsid w:val="001E1933"/>
    <w:rsid w:val="002019F6"/>
    <w:rsid w:val="00244998"/>
    <w:rsid w:val="002476A1"/>
    <w:rsid w:val="00250BC1"/>
    <w:rsid w:val="002518AC"/>
    <w:rsid w:val="00253973"/>
    <w:rsid w:val="002554BE"/>
    <w:rsid w:val="00262DD3"/>
    <w:rsid w:val="00274275"/>
    <w:rsid w:val="00274780"/>
    <w:rsid w:val="00274CF3"/>
    <w:rsid w:val="0028009F"/>
    <w:rsid w:val="002818A2"/>
    <w:rsid w:val="00282473"/>
    <w:rsid w:val="00287490"/>
    <w:rsid w:val="00287B76"/>
    <w:rsid w:val="00287CF8"/>
    <w:rsid w:val="0029098E"/>
    <w:rsid w:val="00291DEC"/>
    <w:rsid w:val="002A11E4"/>
    <w:rsid w:val="002A18CA"/>
    <w:rsid w:val="002A3D6D"/>
    <w:rsid w:val="002A49AB"/>
    <w:rsid w:val="002C06D9"/>
    <w:rsid w:val="002C12D4"/>
    <w:rsid w:val="002C1CC0"/>
    <w:rsid w:val="002F3DD0"/>
    <w:rsid w:val="002F7880"/>
    <w:rsid w:val="0030182A"/>
    <w:rsid w:val="00303593"/>
    <w:rsid w:val="0030587D"/>
    <w:rsid w:val="00306558"/>
    <w:rsid w:val="0031612E"/>
    <w:rsid w:val="00316A8B"/>
    <w:rsid w:val="00322781"/>
    <w:rsid w:val="00323ABD"/>
    <w:rsid w:val="00326D01"/>
    <w:rsid w:val="00332088"/>
    <w:rsid w:val="00334A1E"/>
    <w:rsid w:val="0033585D"/>
    <w:rsid w:val="00337060"/>
    <w:rsid w:val="00337335"/>
    <w:rsid w:val="00343CBA"/>
    <w:rsid w:val="00344C31"/>
    <w:rsid w:val="003469C2"/>
    <w:rsid w:val="0035069E"/>
    <w:rsid w:val="0035074C"/>
    <w:rsid w:val="00350C86"/>
    <w:rsid w:val="003530A6"/>
    <w:rsid w:val="003655CE"/>
    <w:rsid w:val="00365A6C"/>
    <w:rsid w:val="00375861"/>
    <w:rsid w:val="003807D6"/>
    <w:rsid w:val="00394272"/>
    <w:rsid w:val="003A1D9A"/>
    <w:rsid w:val="003A34F8"/>
    <w:rsid w:val="003B7DEA"/>
    <w:rsid w:val="003C64A1"/>
    <w:rsid w:val="003D35F7"/>
    <w:rsid w:val="003E75C5"/>
    <w:rsid w:val="003F3E1A"/>
    <w:rsid w:val="003F5BD7"/>
    <w:rsid w:val="004058BA"/>
    <w:rsid w:val="00412CED"/>
    <w:rsid w:val="00426F05"/>
    <w:rsid w:val="00433D49"/>
    <w:rsid w:val="004344AA"/>
    <w:rsid w:val="00434A08"/>
    <w:rsid w:val="0043623F"/>
    <w:rsid w:val="00437B2F"/>
    <w:rsid w:val="00450483"/>
    <w:rsid w:val="00453008"/>
    <w:rsid w:val="004563E4"/>
    <w:rsid w:val="0045682D"/>
    <w:rsid w:val="00462322"/>
    <w:rsid w:val="004742B0"/>
    <w:rsid w:val="004747E7"/>
    <w:rsid w:val="004856EB"/>
    <w:rsid w:val="00496DB4"/>
    <w:rsid w:val="004971ED"/>
    <w:rsid w:val="004A4622"/>
    <w:rsid w:val="004B4CEC"/>
    <w:rsid w:val="004C0332"/>
    <w:rsid w:val="004C1384"/>
    <w:rsid w:val="004C1B54"/>
    <w:rsid w:val="004C1B55"/>
    <w:rsid w:val="004C4C7A"/>
    <w:rsid w:val="004C6595"/>
    <w:rsid w:val="004D4397"/>
    <w:rsid w:val="004E3B6E"/>
    <w:rsid w:val="004E602B"/>
    <w:rsid w:val="004F2D1A"/>
    <w:rsid w:val="004F4AE0"/>
    <w:rsid w:val="005003FE"/>
    <w:rsid w:val="00503BE5"/>
    <w:rsid w:val="00516F1D"/>
    <w:rsid w:val="00520F4A"/>
    <w:rsid w:val="0053555B"/>
    <w:rsid w:val="005368C3"/>
    <w:rsid w:val="00542333"/>
    <w:rsid w:val="00552A93"/>
    <w:rsid w:val="0055343B"/>
    <w:rsid w:val="00561959"/>
    <w:rsid w:val="005641C6"/>
    <w:rsid w:val="0056683B"/>
    <w:rsid w:val="00567595"/>
    <w:rsid w:val="00567688"/>
    <w:rsid w:val="005703D4"/>
    <w:rsid w:val="00575D6C"/>
    <w:rsid w:val="005760B5"/>
    <w:rsid w:val="0057684E"/>
    <w:rsid w:val="00583C04"/>
    <w:rsid w:val="00590309"/>
    <w:rsid w:val="0059104D"/>
    <w:rsid w:val="0059432F"/>
    <w:rsid w:val="00594A8F"/>
    <w:rsid w:val="00596881"/>
    <w:rsid w:val="005A0141"/>
    <w:rsid w:val="005A08B1"/>
    <w:rsid w:val="005A5158"/>
    <w:rsid w:val="005B71E5"/>
    <w:rsid w:val="005C2898"/>
    <w:rsid w:val="005C57CD"/>
    <w:rsid w:val="005C58AA"/>
    <w:rsid w:val="005D1995"/>
    <w:rsid w:val="005D407F"/>
    <w:rsid w:val="005E0B5F"/>
    <w:rsid w:val="005E49C1"/>
    <w:rsid w:val="005F1969"/>
    <w:rsid w:val="005F2492"/>
    <w:rsid w:val="005F27B2"/>
    <w:rsid w:val="00606331"/>
    <w:rsid w:val="00606542"/>
    <w:rsid w:val="00607195"/>
    <w:rsid w:val="00615A12"/>
    <w:rsid w:val="0062478E"/>
    <w:rsid w:val="00631C79"/>
    <w:rsid w:val="006321EB"/>
    <w:rsid w:val="00644DCB"/>
    <w:rsid w:val="00647AF0"/>
    <w:rsid w:val="006547BE"/>
    <w:rsid w:val="00656011"/>
    <w:rsid w:val="006617FE"/>
    <w:rsid w:val="006728FF"/>
    <w:rsid w:val="0068324D"/>
    <w:rsid w:val="00683C6E"/>
    <w:rsid w:val="006857D2"/>
    <w:rsid w:val="00690E17"/>
    <w:rsid w:val="00692941"/>
    <w:rsid w:val="00692E9B"/>
    <w:rsid w:val="006930A6"/>
    <w:rsid w:val="00694799"/>
    <w:rsid w:val="006A7BAE"/>
    <w:rsid w:val="006C542D"/>
    <w:rsid w:val="006C787F"/>
    <w:rsid w:val="006D5574"/>
    <w:rsid w:val="006D7A87"/>
    <w:rsid w:val="006E15D4"/>
    <w:rsid w:val="00714474"/>
    <w:rsid w:val="00724236"/>
    <w:rsid w:val="0073343B"/>
    <w:rsid w:val="007361B9"/>
    <w:rsid w:val="00740490"/>
    <w:rsid w:val="00741782"/>
    <w:rsid w:val="007426E9"/>
    <w:rsid w:val="00742ACD"/>
    <w:rsid w:val="00744829"/>
    <w:rsid w:val="0074501F"/>
    <w:rsid w:val="007520DA"/>
    <w:rsid w:val="00753ACA"/>
    <w:rsid w:val="00754C06"/>
    <w:rsid w:val="00764D04"/>
    <w:rsid w:val="00771631"/>
    <w:rsid w:val="007842AE"/>
    <w:rsid w:val="0079672B"/>
    <w:rsid w:val="007973D2"/>
    <w:rsid w:val="007A7BF5"/>
    <w:rsid w:val="007B7E9B"/>
    <w:rsid w:val="007B7EDF"/>
    <w:rsid w:val="007C7480"/>
    <w:rsid w:val="007D3284"/>
    <w:rsid w:val="007E618F"/>
    <w:rsid w:val="007F141E"/>
    <w:rsid w:val="007F2F53"/>
    <w:rsid w:val="007F3A58"/>
    <w:rsid w:val="008068B1"/>
    <w:rsid w:val="00807E1F"/>
    <w:rsid w:val="00811460"/>
    <w:rsid w:val="0082057A"/>
    <w:rsid w:val="00824E73"/>
    <w:rsid w:val="00826ACD"/>
    <w:rsid w:val="0083220B"/>
    <w:rsid w:val="00832A59"/>
    <w:rsid w:val="00840011"/>
    <w:rsid w:val="00846F8D"/>
    <w:rsid w:val="00856462"/>
    <w:rsid w:val="008637E7"/>
    <w:rsid w:val="00864AAA"/>
    <w:rsid w:val="00866465"/>
    <w:rsid w:val="008723C5"/>
    <w:rsid w:val="008827DB"/>
    <w:rsid w:val="0088746D"/>
    <w:rsid w:val="00887664"/>
    <w:rsid w:val="00890F44"/>
    <w:rsid w:val="00893093"/>
    <w:rsid w:val="00893D7B"/>
    <w:rsid w:val="008A4577"/>
    <w:rsid w:val="008B16EA"/>
    <w:rsid w:val="008B1980"/>
    <w:rsid w:val="008B3D05"/>
    <w:rsid w:val="008B6460"/>
    <w:rsid w:val="008C38DD"/>
    <w:rsid w:val="008D1256"/>
    <w:rsid w:val="008D2625"/>
    <w:rsid w:val="008E4A43"/>
    <w:rsid w:val="008E5D8F"/>
    <w:rsid w:val="008F0966"/>
    <w:rsid w:val="008F3C39"/>
    <w:rsid w:val="008F7DC7"/>
    <w:rsid w:val="009022FD"/>
    <w:rsid w:val="00902D16"/>
    <w:rsid w:val="00915DBD"/>
    <w:rsid w:val="009308DE"/>
    <w:rsid w:val="009317A7"/>
    <w:rsid w:val="00933104"/>
    <w:rsid w:val="00934ACB"/>
    <w:rsid w:val="00935EFB"/>
    <w:rsid w:val="00945143"/>
    <w:rsid w:val="009511B8"/>
    <w:rsid w:val="009550F9"/>
    <w:rsid w:val="0095680C"/>
    <w:rsid w:val="00962FBA"/>
    <w:rsid w:val="00964BF6"/>
    <w:rsid w:val="00966828"/>
    <w:rsid w:val="0097222C"/>
    <w:rsid w:val="00975941"/>
    <w:rsid w:val="0098186F"/>
    <w:rsid w:val="009839AE"/>
    <w:rsid w:val="0098585B"/>
    <w:rsid w:val="00987140"/>
    <w:rsid w:val="0099003F"/>
    <w:rsid w:val="00994552"/>
    <w:rsid w:val="009A003F"/>
    <w:rsid w:val="009A1AC4"/>
    <w:rsid w:val="009A448A"/>
    <w:rsid w:val="009A64A6"/>
    <w:rsid w:val="009B12DA"/>
    <w:rsid w:val="009B31C6"/>
    <w:rsid w:val="009B4051"/>
    <w:rsid w:val="009B47C6"/>
    <w:rsid w:val="009B5A4A"/>
    <w:rsid w:val="009B6D04"/>
    <w:rsid w:val="009C2449"/>
    <w:rsid w:val="009C66B0"/>
    <w:rsid w:val="009C724B"/>
    <w:rsid w:val="009C74B8"/>
    <w:rsid w:val="009D04EF"/>
    <w:rsid w:val="009D17FF"/>
    <w:rsid w:val="009E08CE"/>
    <w:rsid w:val="009E4066"/>
    <w:rsid w:val="009E4CD8"/>
    <w:rsid w:val="009E4EFE"/>
    <w:rsid w:val="009F1149"/>
    <w:rsid w:val="00A034D4"/>
    <w:rsid w:val="00A04D1C"/>
    <w:rsid w:val="00A11091"/>
    <w:rsid w:val="00A112F7"/>
    <w:rsid w:val="00A17121"/>
    <w:rsid w:val="00A17250"/>
    <w:rsid w:val="00A240F9"/>
    <w:rsid w:val="00A27451"/>
    <w:rsid w:val="00A274A1"/>
    <w:rsid w:val="00A27BB5"/>
    <w:rsid w:val="00A4256C"/>
    <w:rsid w:val="00A74142"/>
    <w:rsid w:val="00A84AE6"/>
    <w:rsid w:val="00A87215"/>
    <w:rsid w:val="00A92581"/>
    <w:rsid w:val="00AA067A"/>
    <w:rsid w:val="00AA4E1E"/>
    <w:rsid w:val="00AB604A"/>
    <w:rsid w:val="00AC36F6"/>
    <w:rsid w:val="00AC4BA6"/>
    <w:rsid w:val="00AD2EAA"/>
    <w:rsid w:val="00AD3D6B"/>
    <w:rsid w:val="00AD4DC6"/>
    <w:rsid w:val="00AE145F"/>
    <w:rsid w:val="00AE1DAB"/>
    <w:rsid w:val="00AE7658"/>
    <w:rsid w:val="00AF6B8D"/>
    <w:rsid w:val="00B002AE"/>
    <w:rsid w:val="00B00B46"/>
    <w:rsid w:val="00B1584E"/>
    <w:rsid w:val="00B256CD"/>
    <w:rsid w:val="00B2717E"/>
    <w:rsid w:val="00B36CBE"/>
    <w:rsid w:val="00B40F2D"/>
    <w:rsid w:val="00B43A39"/>
    <w:rsid w:val="00B445F3"/>
    <w:rsid w:val="00B5093A"/>
    <w:rsid w:val="00B50990"/>
    <w:rsid w:val="00B54D71"/>
    <w:rsid w:val="00B63BD2"/>
    <w:rsid w:val="00B6475A"/>
    <w:rsid w:val="00B66183"/>
    <w:rsid w:val="00B66F13"/>
    <w:rsid w:val="00B67401"/>
    <w:rsid w:val="00B717CC"/>
    <w:rsid w:val="00B761B1"/>
    <w:rsid w:val="00BB3CD2"/>
    <w:rsid w:val="00BB6C7D"/>
    <w:rsid w:val="00BC39FB"/>
    <w:rsid w:val="00BC59F9"/>
    <w:rsid w:val="00BC7C5F"/>
    <w:rsid w:val="00BE01E6"/>
    <w:rsid w:val="00BE282B"/>
    <w:rsid w:val="00BF6E17"/>
    <w:rsid w:val="00C0456A"/>
    <w:rsid w:val="00C11E6D"/>
    <w:rsid w:val="00C139FA"/>
    <w:rsid w:val="00C17DE8"/>
    <w:rsid w:val="00C25386"/>
    <w:rsid w:val="00C25880"/>
    <w:rsid w:val="00C3649F"/>
    <w:rsid w:val="00C40662"/>
    <w:rsid w:val="00C40E67"/>
    <w:rsid w:val="00C4688E"/>
    <w:rsid w:val="00C650BC"/>
    <w:rsid w:val="00C70734"/>
    <w:rsid w:val="00C722A6"/>
    <w:rsid w:val="00C74A27"/>
    <w:rsid w:val="00C75098"/>
    <w:rsid w:val="00C803D4"/>
    <w:rsid w:val="00C812CD"/>
    <w:rsid w:val="00C87C56"/>
    <w:rsid w:val="00C91E19"/>
    <w:rsid w:val="00C92790"/>
    <w:rsid w:val="00C9652A"/>
    <w:rsid w:val="00C97918"/>
    <w:rsid w:val="00CA1858"/>
    <w:rsid w:val="00CA415C"/>
    <w:rsid w:val="00CB1020"/>
    <w:rsid w:val="00CB3328"/>
    <w:rsid w:val="00CD51EE"/>
    <w:rsid w:val="00CD7F1B"/>
    <w:rsid w:val="00CE5B90"/>
    <w:rsid w:val="00CF02BA"/>
    <w:rsid w:val="00CF2312"/>
    <w:rsid w:val="00D025B5"/>
    <w:rsid w:val="00D07C66"/>
    <w:rsid w:val="00D126CD"/>
    <w:rsid w:val="00D15FA0"/>
    <w:rsid w:val="00D2444D"/>
    <w:rsid w:val="00D26827"/>
    <w:rsid w:val="00D268A0"/>
    <w:rsid w:val="00D31C06"/>
    <w:rsid w:val="00D335FA"/>
    <w:rsid w:val="00D35F5D"/>
    <w:rsid w:val="00D377B5"/>
    <w:rsid w:val="00D40EE6"/>
    <w:rsid w:val="00D417BF"/>
    <w:rsid w:val="00D422B3"/>
    <w:rsid w:val="00D610C8"/>
    <w:rsid w:val="00D614E4"/>
    <w:rsid w:val="00D632D1"/>
    <w:rsid w:val="00D63527"/>
    <w:rsid w:val="00D63AEE"/>
    <w:rsid w:val="00D73F49"/>
    <w:rsid w:val="00D855AD"/>
    <w:rsid w:val="00D905B9"/>
    <w:rsid w:val="00D925BD"/>
    <w:rsid w:val="00D95C66"/>
    <w:rsid w:val="00DA161E"/>
    <w:rsid w:val="00DA2E06"/>
    <w:rsid w:val="00DB2265"/>
    <w:rsid w:val="00DB406B"/>
    <w:rsid w:val="00DB5231"/>
    <w:rsid w:val="00DC0E6F"/>
    <w:rsid w:val="00DC0FCF"/>
    <w:rsid w:val="00DC3B7B"/>
    <w:rsid w:val="00DC68C3"/>
    <w:rsid w:val="00DD502D"/>
    <w:rsid w:val="00DE01F1"/>
    <w:rsid w:val="00DE7B09"/>
    <w:rsid w:val="00DF0873"/>
    <w:rsid w:val="00DF2FE0"/>
    <w:rsid w:val="00DF329E"/>
    <w:rsid w:val="00DF5C6B"/>
    <w:rsid w:val="00DF6596"/>
    <w:rsid w:val="00E00F65"/>
    <w:rsid w:val="00E0442C"/>
    <w:rsid w:val="00E04AC7"/>
    <w:rsid w:val="00E06758"/>
    <w:rsid w:val="00E10670"/>
    <w:rsid w:val="00E1489B"/>
    <w:rsid w:val="00E20382"/>
    <w:rsid w:val="00E408A3"/>
    <w:rsid w:val="00E441CE"/>
    <w:rsid w:val="00E51AAD"/>
    <w:rsid w:val="00E52B9E"/>
    <w:rsid w:val="00E54B56"/>
    <w:rsid w:val="00E565A5"/>
    <w:rsid w:val="00E65347"/>
    <w:rsid w:val="00E67A1D"/>
    <w:rsid w:val="00E70EDF"/>
    <w:rsid w:val="00E75235"/>
    <w:rsid w:val="00E83D53"/>
    <w:rsid w:val="00E94BFF"/>
    <w:rsid w:val="00E9504A"/>
    <w:rsid w:val="00E9543B"/>
    <w:rsid w:val="00EA1894"/>
    <w:rsid w:val="00EA2E78"/>
    <w:rsid w:val="00EB0638"/>
    <w:rsid w:val="00EB102A"/>
    <w:rsid w:val="00EB2489"/>
    <w:rsid w:val="00EB2A5E"/>
    <w:rsid w:val="00EB3FAC"/>
    <w:rsid w:val="00ED3A0B"/>
    <w:rsid w:val="00ED6ECD"/>
    <w:rsid w:val="00EE468E"/>
    <w:rsid w:val="00EF1486"/>
    <w:rsid w:val="00EF44A8"/>
    <w:rsid w:val="00EF569C"/>
    <w:rsid w:val="00EF59AE"/>
    <w:rsid w:val="00EF6E48"/>
    <w:rsid w:val="00F028D3"/>
    <w:rsid w:val="00F02E43"/>
    <w:rsid w:val="00F05EC6"/>
    <w:rsid w:val="00F12D5B"/>
    <w:rsid w:val="00F20F28"/>
    <w:rsid w:val="00F243D7"/>
    <w:rsid w:val="00F3260B"/>
    <w:rsid w:val="00F40FA3"/>
    <w:rsid w:val="00F41889"/>
    <w:rsid w:val="00F5447A"/>
    <w:rsid w:val="00F55053"/>
    <w:rsid w:val="00F56112"/>
    <w:rsid w:val="00F56265"/>
    <w:rsid w:val="00F67651"/>
    <w:rsid w:val="00F70906"/>
    <w:rsid w:val="00F764E6"/>
    <w:rsid w:val="00F8036A"/>
    <w:rsid w:val="00F81554"/>
    <w:rsid w:val="00F84C29"/>
    <w:rsid w:val="00F87EA6"/>
    <w:rsid w:val="00F9142C"/>
    <w:rsid w:val="00F92E4D"/>
    <w:rsid w:val="00F94853"/>
    <w:rsid w:val="00F9550C"/>
    <w:rsid w:val="00FB3783"/>
    <w:rsid w:val="00FC0EDB"/>
    <w:rsid w:val="00FC5C2D"/>
    <w:rsid w:val="00FC6A1D"/>
    <w:rsid w:val="00FE67E6"/>
    <w:rsid w:val="00FF0E7C"/>
    <w:rsid w:val="00FF15E9"/>
    <w:rsid w:val="00FF493A"/>
    <w:rsid w:val="00FF5E66"/>
    <w:rsid w:val="00FF7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5520"/>
  </w:style>
  <w:style w:type="paragraph" w:styleId="Heading1">
    <w:name w:val="heading 1"/>
    <w:basedOn w:val="Normal"/>
    <w:next w:val="Normal"/>
    <w:qFormat/>
    <w:rsid w:val="00644DCB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644DCB"/>
    <w:pPr>
      <w:keepNext/>
      <w:tabs>
        <w:tab w:val="num" w:pos="1440"/>
      </w:tabs>
      <w:spacing w:before="240" w:after="60"/>
      <w:ind w:left="72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rsid w:val="00644DCB"/>
    <w:pPr>
      <w:keepNext/>
      <w:tabs>
        <w:tab w:val="num" w:pos="2232"/>
      </w:tabs>
      <w:spacing w:before="240" w:after="60"/>
      <w:ind w:left="2232" w:hanging="792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qFormat/>
    <w:rsid w:val="00644DCB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qFormat/>
    <w:rsid w:val="00644DCB"/>
    <w:pPr>
      <w:tabs>
        <w:tab w:val="num" w:pos="1008"/>
      </w:tabs>
      <w:spacing w:before="240" w:after="60"/>
      <w:ind w:left="1008" w:hanging="1008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644DCB"/>
    <w:pPr>
      <w:tabs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644DCB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4"/>
    </w:rPr>
  </w:style>
  <w:style w:type="paragraph" w:styleId="Heading8">
    <w:name w:val="heading 8"/>
    <w:basedOn w:val="Normal"/>
    <w:next w:val="Normal"/>
    <w:qFormat/>
    <w:rsid w:val="00644DCB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sz w:val="24"/>
    </w:rPr>
  </w:style>
  <w:style w:type="paragraph" w:styleId="Heading9">
    <w:name w:val="heading 9"/>
    <w:basedOn w:val="Normal"/>
    <w:next w:val="Normal"/>
    <w:qFormat/>
    <w:rsid w:val="00644DCB"/>
    <w:pPr>
      <w:tabs>
        <w:tab w:val="num" w:pos="360"/>
      </w:tabs>
      <w:spacing w:before="240" w:after="60"/>
      <w:ind w:left="360" w:hanging="3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Normal"/>
    <w:rsid w:val="00644DCB"/>
    <w:rPr>
      <w:caps/>
      <w:sz w:val="24"/>
    </w:rPr>
  </w:style>
  <w:style w:type="paragraph" w:customStyle="1" w:styleId="ABBR">
    <w:name w:val="ABBR"/>
    <w:basedOn w:val="Annex"/>
    <w:rsid w:val="00644DCB"/>
  </w:style>
  <w:style w:type="paragraph" w:customStyle="1" w:styleId="AbbrDesc">
    <w:name w:val="AbbrDesc"/>
    <w:basedOn w:val="Normal"/>
    <w:rsid w:val="00644DCB"/>
    <w:pPr>
      <w:tabs>
        <w:tab w:val="left" w:pos="3060"/>
      </w:tabs>
      <w:jc w:val="both"/>
    </w:pPr>
    <w:rPr>
      <w:sz w:val="24"/>
    </w:rPr>
  </w:style>
  <w:style w:type="paragraph" w:styleId="BodyText">
    <w:name w:val="Body Text"/>
    <w:basedOn w:val="Normal"/>
    <w:rsid w:val="00644DCB"/>
    <w:pPr>
      <w:tabs>
        <w:tab w:val="left" w:pos="3060"/>
      </w:tabs>
      <w:jc w:val="center"/>
    </w:pPr>
    <w:rPr>
      <w:sz w:val="24"/>
    </w:rPr>
  </w:style>
  <w:style w:type="paragraph" w:styleId="BodyTextIndent">
    <w:name w:val="Body Text Indent"/>
    <w:basedOn w:val="Normal"/>
    <w:rsid w:val="00644DCB"/>
    <w:pPr>
      <w:spacing w:after="120"/>
      <w:ind w:left="360"/>
    </w:pPr>
    <w:rPr>
      <w:sz w:val="24"/>
    </w:rPr>
  </w:style>
  <w:style w:type="paragraph" w:styleId="BodyTextIndent3">
    <w:name w:val="Body Text Indent 3"/>
    <w:basedOn w:val="Normal"/>
    <w:rsid w:val="00644DCB"/>
    <w:pPr>
      <w:spacing w:after="120"/>
      <w:ind w:left="360"/>
    </w:pPr>
    <w:rPr>
      <w:sz w:val="16"/>
    </w:rPr>
  </w:style>
  <w:style w:type="paragraph" w:customStyle="1" w:styleId="Chapter">
    <w:name w:val="Chapter"/>
    <w:basedOn w:val="Normal"/>
    <w:next w:val="Normal"/>
    <w:autoRedefine/>
    <w:rsid w:val="00644DCB"/>
    <w:pPr>
      <w:tabs>
        <w:tab w:val="num" w:pos="1152"/>
        <w:tab w:val="left" w:pos="1440"/>
      </w:tabs>
      <w:spacing w:after="240"/>
      <w:ind w:left="1152" w:hanging="432"/>
      <w:jc w:val="center"/>
    </w:pPr>
    <w:rPr>
      <w:rFonts w:cs="Arial"/>
      <w:b/>
      <w:smallCaps/>
      <w:noProof/>
      <w:sz w:val="24"/>
    </w:rPr>
  </w:style>
  <w:style w:type="paragraph" w:styleId="DocumentMap">
    <w:name w:val="Document Map"/>
    <w:basedOn w:val="Normal"/>
    <w:semiHidden/>
    <w:rsid w:val="00644DCB"/>
    <w:pPr>
      <w:shd w:val="clear" w:color="auto" w:fill="000080"/>
    </w:pPr>
    <w:rPr>
      <w:rFonts w:ascii="Tahoma" w:hAnsi="Tahoma"/>
      <w:sz w:val="24"/>
    </w:rPr>
  </w:style>
  <w:style w:type="paragraph" w:customStyle="1" w:styleId="FirstHeading">
    <w:name w:val="FirstHeading"/>
    <w:basedOn w:val="Normal"/>
    <w:rsid w:val="00644DCB"/>
    <w:pPr>
      <w:keepNext/>
      <w:numPr>
        <w:numId w:val="9"/>
      </w:numPr>
      <w:tabs>
        <w:tab w:val="left" w:pos="0"/>
        <w:tab w:val="left" w:pos="90"/>
      </w:tabs>
      <w:spacing w:before="120" w:after="120"/>
    </w:pPr>
    <w:rPr>
      <w:b/>
      <w:noProof/>
      <w:sz w:val="24"/>
    </w:rPr>
  </w:style>
  <w:style w:type="paragraph" w:styleId="Footer">
    <w:name w:val="footer"/>
    <w:basedOn w:val="Normal"/>
    <w:rsid w:val="00644DCB"/>
    <w:pPr>
      <w:tabs>
        <w:tab w:val="center" w:pos="4320"/>
        <w:tab w:val="right" w:pos="8640"/>
      </w:tabs>
    </w:pPr>
    <w:rPr>
      <w:sz w:val="24"/>
    </w:rPr>
  </w:style>
  <w:style w:type="paragraph" w:styleId="FootnoteText">
    <w:name w:val="footnote text"/>
    <w:aliases w:val="fn,foottextfra"/>
    <w:basedOn w:val="Normal"/>
    <w:semiHidden/>
    <w:rsid w:val="00644DCB"/>
  </w:style>
  <w:style w:type="paragraph" w:styleId="Header">
    <w:name w:val="header"/>
    <w:basedOn w:val="Normal"/>
    <w:link w:val="HeaderChar"/>
    <w:uiPriority w:val="99"/>
    <w:rsid w:val="00644DCB"/>
    <w:pPr>
      <w:tabs>
        <w:tab w:val="center" w:pos="4320"/>
        <w:tab w:val="right" w:pos="8640"/>
      </w:tabs>
    </w:pPr>
    <w:rPr>
      <w:sz w:val="24"/>
    </w:rPr>
  </w:style>
  <w:style w:type="paragraph" w:customStyle="1" w:styleId="MasterSourceText">
    <w:name w:val="Master_SourceText"/>
    <w:basedOn w:val="Normal"/>
    <w:rsid w:val="00644DCB"/>
    <w:pPr>
      <w:tabs>
        <w:tab w:val="left" w:pos="1440"/>
      </w:tabs>
      <w:ind w:left="1440" w:hanging="720"/>
      <w:jc w:val="both"/>
    </w:pPr>
  </w:style>
  <w:style w:type="paragraph" w:customStyle="1" w:styleId="Newpage">
    <w:name w:val="Newpage"/>
    <w:basedOn w:val="Chapter"/>
    <w:rsid w:val="00644DCB"/>
    <w:pPr>
      <w:tabs>
        <w:tab w:val="clear" w:pos="1152"/>
        <w:tab w:val="left" w:pos="3060"/>
      </w:tabs>
      <w:spacing w:after="0"/>
      <w:ind w:left="0" w:firstLine="0"/>
    </w:pPr>
    <w:rPr>
      <w:noProof w:val="0"/>
    </w:rPr>
  </w:style>
  <w:style w:type="paragraph" w:customStyle="1" w:styleId="Paragraph">
    <w:name w:val="Paragraph"/>
    <w:basedOn w:val="BodyTextIndent"/>
    <w:rsid w:val="00644DCB"/>
    <w:pPr>
      <w:numPr>
        <w:ilvl w:val="1"/>
        <w:numId w:val="10"/>
      </w:numPr>
      <w:spacing w:before="120"/>
      <w:jc w:val="both"/>
      <w:outlineLvl w:val="1"/>
    </w:pPr>
  </w:style>
  <w:style w:type="paragraph" w:customStyle="1" w:styleId="RegheadTab">
    <w:name w:val="RegheadTab"/>
    <w:basedOn w:val="FirstHeading"/>
    <w:rsid w:val="00644DCB"/>
    <w:pPr>
      <w:numPr>
        <w:numId w:val="0"/>
      </w:numPr>
      <w:tabs>
        <w:tab w:val="num" w:pos="504"/>
      </w:tabs>
      <w:spacing w:after="0"/>
      <w:ind w:left="504" w:hanging="504"/>
      <w:jc w:val="center"/>
    </w:pPr>
  </w:style>
  <w:style w:type="paragraph" w:customStyle="1" w:styleId="SecHeading">
    <w:name w:val="SecHeading"/>
    <w:basedOn w:val="Normal"/>
    <w:next w:val="Paragraph"/>
    <w:rsid w:val="00644DCB"/>
    <w:pPr>
      <w:keepNext/>
      <w:tabs>
        <w:tab w:val="num" w:pos="1296"/>
      </w:tabs>
      <w:spacing w:before="120" w:after="120"/>
      <w:ind w:left="1296" w:hanging="576"/>
    </w:pPr>
    <w:rPr>
      <w:b/>
      <w:sz w:val="24"/>
    </w:rPr>
  </w:style>
  <w:style w:type="paragraph" w:customStyle="1" w:styleId="SubHeading1">
    <w:name w:val="SubHeading1"/>
    <w:basedOn w:val="SecHeading"/>
    <w:rsid w:val="00644DCB"/>
    <w:pPr>
      <w:tabs>
        <w:tab w:val="clear" w:pos="1296"/>
        <w:tab w:val="num" w:pos="360"/>
      </w:tabs>
      <w:ind w:left="1872"/>
    </w:pPr>
  </w:style>
  <w:style w:type="paragraph" w:customStyle="1" w:styleId="Subheading2">
    <w:name w:val="Subheading2"/>
    <w:basedOn w:val="SecHeading"/>
    <w:rsid w:val="00644DCB"/>
    <w:pPr>
      <w:tabs>
        <w:tab w:val="clear" w:pos="1296"/>
        <w:tab w:val="num" w:pos="360"/>
      </w:tabs>
      <w:ind w:left="2376" w:hanging="288"/>
    </w:pPr>
  </w:style>
  <w:style w:type="paragraph" w:customStyle="1" w:styleId="subpar">
    <w:name w:val="subpar"/>
    <w:basedOn w:val="BodyTextIndent3"/>
    <w:rsid w:val="00644DCB"/>
    <w:pPr>
      <w:tabs>
        <w:tab w:val="num" w:pos="1584"/>
      </w:tabs>
      <w:spacing w:before="120"/>
      <w:ind w:left="1584" w:hanging="432"/>
      <w:jc w:val="both"/>
      <w:outlineLvl w:val="2"/>
    </w:pPr>
    <w:rPr>
      <w:sz w:val="24"/>
    </w:rPr>
  </w:style>
  <w:style w:type="paragraph" w:customStyle="1" w:styleId="SubSubPar">
    <w:name w:val="SubSubPar"/>
    <w:basedOn w:val="subpar"/>
    <w:rsid w:val="00644DCB"/>
    <w:pPr>
      <w:tabs>
        <w:tab w:val="clear" w:pos="1584"/>
        <w:tab w:val="left" w:pos="0"/>
        <w:tab w:val="num" w:pos="2232"/>
      </w:tabs>
      <w:ind w:left="2232" w:hanging="648"/>
    </w:pPr>
  </w:style>
  <w:style w:type="paragraph" w:styleId="Title">
    <w:name w:val="Title"/>
    <w:basedOn w:val="Normal"/>
    <w:qFormat/>
    <w:rsid w:val="00644DCB"/>
    <w:pPr>
      <w:tabs>
        <w:tab w:val="left" w:pos="1440"/>
        <w:tab w:val="left" w:pos="3060"/>
      </w:tabs>
      <w:jc w:val="center"/>
      <w:outlineLvl w:val="0"/>
    </w:pPr>
    <w:rPr>
      <w:sz w:val="24"/>
    </w:rPr>
  </w:style>
  <w:style w:type="paragraph" w:styleId="TOC1">
    <w:name w:val="toc 1"/>
    <w:basedOn w:val="Normal"/>
    <w:next w:val="Normal"/>
    <w:autoRedefine/>
    <w:semiHidden/>
    <w:rsid w:val="00644DCB"/>
    <w:pPr>
      <w:tabs>
        <w:tab w:val="left" w:pos="540"/>
        <w:tab w:val="right" w:leader="dot" w:pos="8741"/>
      </w:tabs>
      <w:spacing w:before="240" w:after="240"/>
      <w:ind w:left="547" w:hanging="547"/>
    </w:pPr>
    <w:rPr>
      <w:smallCaps/>
      <w:noProof/>
      <w:sz w:val="24"/>
    </w:rPr>
  </w:style>
  <w:style w:type="paragraph" w:styleId="TOC2">
    <w:name w:val="toc 2"/>
    <w:basedOn w:val="Normal"/>
    <w:next w:val="Normal"/>
    <w:autoRedefine/>
    <w:semiHidden/>
    <w:rsid w:val="00644DCB"/>
    <w:pPr>
      <w:tabs>
        <w:tab w:val="left" w:pos="540"/>
        <w:tab w:val="left" w:pos="600"/>
        <w:tab w:val="left" w:pos="1152"/>
        <w:tab w:val="right" w:leader="dot" w:pos="8741"/>
      </w:tabs>
      <w:ind w:left="1166" w:hanging="605"/>
    </w:pPr>
    <w:rPr>
      <w:noProof/>
      <w:sz w:val="24"/>
    </w:rPr>
  </w:style>
  <w:style w:type="paragraph" w:styleId="TOC3">
    <w:name w:val="toc 3"/>
    <w:basedOn w:val="Normal"/>
    <w:next w:val="Normal"/>
    <w:autoRedefine/>
    <w:semiHidden/>
    <w:rsid w:val="00644DCB"/>
    <w:pPr>
      <w:tabs>
        <w:tab w:val="left" w:pos="1728"/>
      </w:tabs>
      <w:ind w:left="1714" w:hanging="562"/>
    </w:pPr>
    <w:rPr>
      <w:noProof/>
      <w:sz w:val="24"/>
    </w:rPr>
  </w:style>
  <w:style w:type="paragraph" w:styleId="TOC4">
    <w:name w:val="toc 4"/>
    <w:basedOn w:val="Normal"/>
    <w:next w:val="Normal"/>
    <w:autoRedefine/>
    <w:semiHidden/>
    <w:rsid w:val="00644DCB"/>
    <w:pPr>
      <w:ind w:left="400"/>
    </w:pPr>
    <w:rPr>
      <w:sz w:val="24"/>
    </w:rPr>
  </w:style>
  <w:style w:type="paragraph" w:styleId="TOC5">
    <w:name w:val="toc 5"/>
    <w:basedOn w:val="Normal"/>
    <w:next w:val="Normal"/>
    <w:autoRedefine/>
    <w:semiHidden/>
    <w:rsid w:val="00644DCB"/>
    <w:pPr>
      <w:ind w:left="600"/>
    </w:pPr>
    <w:rPr>
      <w:sz w:val="24"/>
    </w:rPr>
  </w:style>
  <w:style w:type="paragraph" w:styleId="TOC6">
    <w:name w:val="toc 6"/>
    <w:basedOn w:val="Normal"/>
    <w:next w:val="Normal"/>
    <w:autoRedefine/>
    <w:semiHidden/>
    <w:rsid w:val="00644DCB"/>
    <w:pPr>
      <w:ind w:left="800"/>
    </w:pPr>
    <w:rPr>
      <w:sz w:val="24"/>
    </w:rPr>
  </w:style>
  <w:style w:type="paragraph" w:styleId="TOC7">
    <w:name w:val="toc 7"/>
    <w:basedOn w:val="Normal"/>
    <w:next w:val="Normal"/>
    <w:autoRedefine/>
    <w:semiHidden/>
    <w:rsid w:val="00644DCB"/>
    <w:pPr>
      <w:ind w:left="1000"/>
    </w:pPr>
    <w:rPr>
      <w:sz w:val="24"/>
    </w:rPr>
  </w:style>
  <w:style w:type="paragraph" w:styleId="TOC8">
    <w:name w:val="toc 8"/>
    <w:basedOn w:val="Normal"/>
    <w:next w:val="Normal"/>
    <w:autoRedefine/>
    <w:semiHidden/>
    <w:rsid w:val="00644DCB"/>
    <w:pPr>
      <w:ind w:left="1200"/>
    </w:pPr>
    <w:rPr>
      <w:sz w:val="24"/>
    </w:rPr>
  </w:style>
  <w:style w:type="paragraph" w:styleId="TOC9">
    <w:name w:val="toc 9"/>
    <w:basedOn w:val="Normal"/>
    <w:next w:val="Normal"/>
    <w:autoRedefine/>
    <w:semiHidden/>
    <w:rsid w:val="00644DCB"/>
    <w:pPr>
      <w:ind w:left="1400"/>
    </w:pPr>
    <w:rPr>
      <w:sz w:val="24"/>
    </w:rPr>
  </w:style>
  <w:style w:type="paragraph" w:styleId="BodyText3">
    <w:name w:val="Body Text 3"/>
    <w:basedOn w:val="Normal"/>
    <w:rsid w:val="00644DCB"/>
    <w:rPr>
      <w:rFonts w:ascii="Palatino Linotype" w:hAnsi="Palatino Linotype"/>
      <w:sz w:val="22"/>
    </w:rPr>
  </w:style>
  <w:style w:type="paragraph" w:styleId="Subtitle">
    <w:name w:val="Subtitle"/>
    <w:basedOn w:val="Normal"/>
    <w:qFormat/>
    <w:rsid w:val="00644DCB"/>
    <w:pPr>
      <w:jc w:val="center"/>
    </w:pPr>
    <w:rPr>
      <w:b/>
      <w:bCs/>
      <w:sz w:val="28"/>
      <w:szCs w:val="24"/>
    </w:rPr>
  </w:style>
  <w:style w:type="paragraph" w:customStyle="1" w:styleId="xl29">
    <w:name w:val="xl29"/>
    <w:basedOn w:val="Normal"/>
    <w:rsid w:val="00644DC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Textodebalo">
    <w:name w:val="Texto de balão"/>
    <w:basedOn w:val="Normal"/>
    <w:semiHidden/>
    <w:rsid w:val="00644DCB"/>
    <w:rPr>
      <w:rFonts w:ascii="Tahoma" w:hAnsi="Tahoma" w:cs="Tahoma"/>
      <w:sz w:val="16"/>
      <w:szCs w:val="16"/>
    </w:rPr>
  </w:style>
  <w:style w:type="paragraph" w:customStyle="1" w:styleId="number">
    <w:name w:val="number"/>
    <w:basedOn w:val="Normal"/>
    <w:rsid w:val="00644DCB"/>
    <w:pPr>
      <w:tabs>
        <w:tab w:val="num" w:pos="436"/>
      </w:tabs>
      <w:ind w:left="436" w:hanging="360"/>
    </w:pPr>
    <w:rPr>
      <w:sz w:val="18"/>
    </w:rPr>
  </w:style>
  <w:style w:type="paragraph" w:customStyle="1" w:styleId="bull2">
    <w:name w:val="bull2"/>
    <w:basedOn w:val="Normal"/>
    <w:rsid w:val="00644DCB"/>
    <w:pPr>
      <w:numPr>
        <w:numId w:val="13"/>
      </w:numPr>
      <w:tabs>
        <w:tab w:val="left" w:pos="470"/>
      </w:tabs>
      <w:spacing w:after="80"/>
    </w:pPr>
    <w:rPr>
      <w:spacing w:val="-3"/>
      <w:sz w:val="18"/>
      <w:szCs w:val="18"/>
      <w:lang w:eastAsia="es-ES"/>
    </w:rPr>
  </w:style>
  <w:style w:type="paragraph" w:styleId="BodyText2">
    <w:name w:val="Body Text 2"/>
    <w:basedOn w:val="Normal"/>
    <w:rsid w:val="00644DCB"/>
    <w:rPr>
      <w:sz w:val="18"/>
    </w:rPr>
  </w:style>
  <w:style w:type="character" w:styleId="PageNumber">
    <w:name w:val="page number"/>
    <w:basedOn w:val="DefaultParagraphFont"/>
    <w:rsid w:val="00644DCB"/>
  </w:style>
  <w:style w:type="paragraph" w:styleId="BalloonText">
    <w:name w:val="Balloon Text"/>
    <w:basedOn w:val="Normal"/>
    <w:semiHidden/>
    <w:rsid w:val="00644DCB"/>
    <w:rPr>
      <w:rFonts w:ascii="Lucida Grande" w:hAnsi="Lucida Grande"/>
      <w:sz w:val="18"/>
      <w:szCs w:val="18"/>
    </w:rPr>
  </w:style>
  <w:style w:type="character" w:styleId="FootnoteReference">
    <w:name w:val="footnote reference"/>
    <w:aliases w:val="Footnote Referencefra"/>
    <w:semiHidden/>
    <w:rsid w:val="00644DCB"/>
    <w:rPr>
      <w:vertAlign w:val="superscript"/>
    </w:rPr>
  </w:style>
  <w:style w:type="paragraph" w:customStyle="1" w:styleId="num">
    <w:name w:val="num"/>
    <w:basedOn w:val="Normal"/>
    <w:rsid w:val="00644DCB"/>
    <w:pPr>
      <w:numPr>
        <w:ilvl w:val="1"/>
        <w:numId w:val="16"/>
      </w:numPr>
      <w:tabs>
        <w:tab w:val="clear" w:pos="1440"/>
        <w:tab w:val="num" w:pos="432"/>
      </w:tabs>
      <w:ind w:left="432" w:hanging="450"/>
    </w:pPr>
    <w:rPr>
      <w:noProof/>
    </w:rPr>
  </w:style>
  <w:style w:type="table" w:styleId="TableGrid">
    <w:name w:val="Table Grid"/>
    <w:basedOn w:val="TableNormal"/>
    <w:rsid w:val="009E40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basedOn w:val="Normal"/>
    <w:rsid w:val="00D417BF"/>
    <w:rPr>
      <w:rFonts w:eastAsia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B256C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CommentReference">
    <w:name w:val="annotation reference"/>
    <w:rsid w:val="009E4EFE"/>
    <w:rPr>
      <w:sz w:val="16"/>
      <w:szCs w:val="16"/>
    </w:rPr>
  </w:style>
  <w:style w:type="paragraph" w:styleId="CommentText">
    <w:name w:val="annotation text"/>
    <w:basedOn w:val="Normal"/>
    <w:link w:val="CommentTextChar"/>
    <w:rsid w:val="009E4EFE"/>
  </w:style>
  <w:style w:type="character" w:customStyle="1" w:styleId="CommentTextChar">
    <w:name w:val="Comment Text Char"/>
    <w:link w:val="CommentText"/>
    <w:rsid w:val="009E4EFE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E4EFE"/>
    <w:rPr>
      <w:b/>
      <w:bCs/>
    </w:rPr>
  </w:style>
  <w:style w:type="character" w:customStyle="1" w:styleId="CommentSubjectChar">
    <w:name w:val="Comment Subject Char"/>
    <w:link w:val="CommentSubject"/>
    <w:rsid w:val="009E4EFE"/>
    <w:rPr>
      <w:b/>
      <w:bCs/>
      <w:lang w:val="en-US" w:eastAsia="en-US"/>
    </w:rPr>
  </w:style>
  <w:style w:type="paragraph" w:styleId="Revision">
    <w:name w:val="Revision"/>
    <w:hidden/>
    <w:uiPriority w:val="99"/>
    <w:semiHidden/>
    <w:rsid w:val="00186BA9"/>
  </w:style>
  <w:style w:type="character" w:customStyle="1" w:styleId="HeaderChar">
    <w:name w:val="Header Char"/>
    <w:link w:val="Header"/>
    <w:uiPriority w:val="99"/>
    <w:rsid w:val="00332088"/>
    <w:rPr>
      <w:sz w:val="24"/>
      <w:lang w:val="en-US" w:eastAsia="en-US"/>
    </w:rPr>
  </w:style>
  <w:style w:type="character" w:customStyle="1" w:styleId="A1">
    <w:name w:val="A1"/>
    <w:uiPriority w:val="99"/>
    <w:rsid w:val="00A240F9"/>
    <w:rPr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39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9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openxmlformats.org/officeDocument/2006/relationships/customXml" Target="../customXml/item7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6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51BBC2C5B218D64EBEAB116DC50152F9" ma:contentTypeVersion="0" ma:contentTypeDescription="A content type to manage public (operations) IDB documents" ma:contentTypeScope="" ma:versionID="2a5afaf0a212fef74653a9420b54bb4b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1f3b02900e5bd28928a1fcfcee2d20bc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  <xsd:element ref="ns2:Disclosed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c3999a32-4629-41a1-8594-f973c4cff90a}" ma:internalName="TaxCatchAll" ma:showField="CatchAllData" ma:web="49efcff9-6b3b-4cc3-ad4f-4817b8b91e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c3999a32-4629-41a1-8594-f973c4cff90a}" ma:internalName="TaxCatchAllLabel" ma:readOnly="true" ma:showField="CatchAllDataLabel" ma:web="49efcff9-6b3b-4cc3-ad4f-4817b8b91e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Record_x0020_Number xmlns="9c571b2f-e523-4ab2-ba2e-09e151a03ef4" xsi:nil="true"/>
    <Abstract xmlns="9c571b2f-e523-4ab2-ba2e-09e151a03ef4" xsi:nil="true"/>
    <Disclosure_x0020_Activity xmlns="9c571b2f-e523-4ab2-ba2e-09e151a03ef4">Loan Proposal</Disclosure_x0020_Activity>
    <Key_x0020_Document xmlns="9c571b2f-e523-4ab2-ba2e-09e151a03ef4">false</Key_x0020_Document>
    <Division_x0020_or_x0020_Unit xmlns="9c571b2f-e523-4ab2-ba2e-09e151a03ef4">IFD/FMM</Division_x0020_or_x0020_Unit>
    <Other_x0020_Author xmlns="9c571b2f-e523-4ab2-ba2e-09e151a03ef4" xsi:nil="true"/>
    <Region xmlns="9c571b2f-e523-4ab2-ba2e-09e151a03ef4" xsi:nil="true"/>
    <IDBDocs_x0020_Number xmlns="9c571b2f-e523-4ab2-ba2e-09e151a03ef4">36930164</IDBDocs_x0020_Number>
    <Document_x0020_Author xmlns="9c571b2f-e523-4ab2-ba2e-09e151a03ef4">Larios, Jose I.</Document_x0020_Author>
    <Publication_x0020_Type xmlns="9c571b2f-e523-4ab2-ba2e-09e151a03ef4" xsi:nil="true"/>
    <Operation_x0020_Type xmlns="9c571b2f-e523-4ab2-ba2e-09e151a03ef4" xsi:nil="true"/>
    <TaxCatchAll xmlns="9c571b2f-e523-4ab2-ba2e-09e151a03ef4">
      <Value>3</Value>
      <Value>15</Value>
      <Value>14</Value>
    </TaxCatchAll>
    <Fiscal_x0020_Year_x0020_IDB xmlns="9c571b2f-e523-4ab2-ba2e-09e151a03ef4">2012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GU-L1064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Profile (PP)</TermName>
          <TermId xmlns="http://schemas.microsoft.com/office/infopath/2007/PartnerControls">ac5f0c28-f2f6-431c-8d05-62f851b6a822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WORD&lt;/APPLICATION&gt;&lt;STAGE_CODE&gt;LP&lt;/STAGE_CODE&gt;&lt;USER_STAGE&gt;Loan Proposal&lt;/USER_STAGE&gt;&lt;PD_OBJ_TYPE&gt;0&lt;/PD_OBJ_TYPE&gt;&lt;MAKERECORD&gt;N&lt;/MAKERECORD&gt;&lt;PD_FILEPT_NO&gt;PO-GU-L1064-Plan&lt;/PD_FILEPT_NO&gt;&lt;PD_FILE_PART&gt;82840474&lt;/PD_FILE_PART&gt;&lt;/Data&gt;</Migration_x0020_Info>
    <Approval_x0020_Number xmlns="9c571b2f-e523-4ab2-ba2e-09e151a03ef4" xsi:nil="true"/>
    <Access_x0020_to_x0020_Information_x00a0_Policy xmlns="9c571b2f-e523-4ab2-ba2e-09e151a03ef4">Confidential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Fiscal Issues and Public Finance</Webtopic>
    <Identifier xmlns="9c571b2f-e523-4ab2-ba2e-09e151a03ef4"> TECFILE</Identifier>
    <Publishing_x0020_House xmlns="9c571b2f-e523-4ab2-ba2e-09e151a03ef4" xsi:nil="true"/>
    <Disclosed xmlns="9c571b2f-e523-4ab2-ba2e-09e151a03ef4">false</Disclosed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  <j8b96605ee2f4c4e988849e658583fee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Guatemala</TermName>
          <TermId xmlns="http://schemas.microsoft.com/office/infopath/2007/PartnerControls">f4a7ece3-5197-4ac8-b0c6-9e241da9714f</TermId>
        </TermInfo>
      </Terms>
    </j8b96605ee2f4c4e988849e658583fee>
  </documentManagement>
</p:properties>
</file>

<file path=customXml/itemProps1.xml><?xml version="1.0" encoding="utf-8"?>
<ds:datastoreItem xmlns:ds="http://schemas.openxmlformats.org/officeDocument/2006/customXml" ds:itemID="{B10EED90-A311-497A-9887-C7557C4AE4B0}"/>
</file>

<file path=customXml/itemProps2.xml><?xml version="1.0" encoding="utf-8"?>
<ds:datastoreItem xmlns:ds="http://schemas.openxmlformats.org/officeDocument/2006/customXml" ds:itemID="{E35ADE06-EFC8-4BBF-981B-8EC0AC346C65}"/>
</file>

<file path=customXml/itemProps3.xml><?xml version="1.0" encoding="utf-8"?>
<ds:datastoreItem xmlns:ds="http://schemas.openxmlformats.org/officeDocument/2006/customXml" ds:itemID="{8A412DF0-0CF3-4978-ACED-6F3AB82F6F28}"/>
</file>

<file path=customXml/itemProps4.xml><?xml version="1.0" encoding="utf-8"?>
<ds:datastoreItem xmlns:ds="http://schemas.openxmlformats.org/officeDocument/2006/customXml" ds:itemID="{D42A70F9-B827-4139-9449-7723AE9B825D}"/>
</file>

<file path=customXml/itemProps5.xml><?xml version="1.0" encoding="utf-8"?>
<ds:datastoreItem xmlns:ds="http://schemas.openxmlformats.org/officeDocument/2006/customXml" ds:itemID="{2BE62762-C946-4BE7-8FD6-4CBD032473D1}"/>
</file>

<file path=customXml/itemProps6.xml><?xml version="1.0" encoding="utf-8"?>
<ds:datastoreItem xmlns:ds="http://schemas.openxmlformats.org/officeDocument/2006/customXml" ds:itemID="{B3958AB3-41F7-4631-B01D-5D76FF5DD22B}"/>
</file>

<file path=customXml/itemProps7.xml><?xml version="1.0" encoding="utf-8"?>
<ds:datastoreItem xmlns:ds="http://schemas.openxmlformats.org/officeDocument/2006/customXml" ds:itemID="{96C3BC7D-98C7-42D7-B36F-5256FE6BF45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1365</Words>
  <Characters>7787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RESULTS FRAMEWORK</vt:lpstr>
    </vt:vector>
  </TitlesOfParts>
  <Company>Inter-American Development Bank</Company>
  <LinksUpToDate>false</LinksUpToDate>
  <CharactersWithSpaces>9134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Enlace electronico Requerido 4_Matriz de Resultados (GU-L1064)</dc:title>
  <dc:subject/>
  <dc:creator>MARTINC</dc:creator>
  <cp:keywords/>
  <cp:lastModifiedBy>IADB</cp:lastModifiedBy>
  <cp:revision>3</cp:revision>
  <cp:lastPrinted>2012-07-11T19:41:00Z</cp:lastPrinted>
  <dcterms:created xsi:type="dcterms:W3CDTF">2012-07-12T15:05:00Z</dcterms:created>
  <dcterms:modified xsi:type="dcterms:W3CDTF">2012-07-12T15:13:00Z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0x01010046CF21643EE8D14686A648AA6DAD08920051BBC2C5B218D64EBEAB116DC50152F9</vt:lpwstr>
  </property>
  <property fmtid="{D5CDD505-2E9C-101B-9397-08002B2CF9AE}" pid="5" name="TaxKeywordTaxHTField">
    <vt:lpwstr/>
  </property>
  <property fmtid="{D5CDD505-2E9C-101B-9397-08002B2CF9AE}" pid="6" name="Series Operations IDB">
    <vt:lpwstr>15;#Project Profile (PP)|ac5f0c28-f2f6-431c-8d05-62f851b6a822</vt:lpwstr>
  </property>
  <property fmtid="{D5CDD505-2E9C-101B-9397-08002B2CF9AE}" pid="7" name="Sub-Sector">
    <vt:lpwstr/>
  </property>
  <property fmtid="{D5CDD505-2E9C-101B-9397-08002B2CF9AE}" pid="8" name="Country">
    <vt:lpwstr>3;#Guatemala|f4a7ece3-5197-4ac8-b0c6-9e241da9714f</vt:lpwstr>
  </property>
  <property fmtid="{D5CDD505-2E9C-101B-9397-08002B2CF9AE}" pid="9" name="Fund IDB">
    <vt:lpwstr/>
  </property>
  <property fmtid="{D5CDD505-2E9C-101B-9397-08002B2CF9AE}" pid="10" name="Series_x0020_Operations_x0020_IDB">
    <vt:lpwstr>15;#Project Profile (PP)|ac5f0c28-f2f6-431c-8d05-62f851b6a822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14;#Project Preparation, Planning and Design|29ca0c72-1fc4-435f-a09c-28585cb5eac9</vt:lpwstr>
  </property>
</Properties>
</file>