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70" w:rsidRDefault="00193A70" w:rsidP="00193A70">
      <w:pPr>
        <w:spacing w:before="120"/>
        <w:jc w:val="center"/>
        <w:rPr>
          <w:rFonts w:ascii="Times New Roman Bold" w:hAnsi="Times New Roman Bold"/>
          <w:b/>
        </w:rPr>
      </w:pPr>
      <w:bookmarkStart w:id="0" w:name="_Toc193012681"/>
      <w:bookmarkStart w:id="1" w:name="_Toc193013165"/>
      <w:r>
        <w:rPr>
          <w:rFonts w:ascii="Times New Roman Bold" w:hAnsi="Times New Roman Bold"/>
          <w:b/>
        </w:rPr>
        <w:t xml:space="preserve">Programa de </w:t>
      </w:r>
      <w:r w:rsidR="00B57312">
        <w:rPr>
          <w:rFonts w:ascii="Times New Roman Bold" w:hAnsi="Times New Roman Bold"/>
          <w:b/>
        </w:rPr>
        <w:t>Consolidación Fiscal para Guatemala</w:t>
      </w:r>
    </w:p>
    <w:p w:rsidR="00193A70" w:rsidRPr="00193A70" w:rsidRDefault="00193A70" w:rsidP="00193A70">
      <w:pPr>
        <w:spacing w:after="120"/>
        <w:jc w:val="center"/>
        <w:rPr>
          <w:rFonts w:ascii="Times New Roman Bold" w:hAnsi="Times New Roman Bold"/>
          <w:b/>
        </w:rPr>
      </w:pPr>
      <w:r>
        <w:rPr>
          <w:rFonts w:ascii="Times New Roman Bold" w:hAnsi="Times New Roman Bold"/>
          <w:b/>
        </w:rPr>
        <w:t>(GU-L10</w:t>
      </w:r>
      <w:r w:rsidR="00B57312">
        <w:rPr>
          <w:rFonts w:ascii="Times New Roman Bold" w:hAnsi="Times New Roman Bold"/>
          <w:b/>
        </w:rPr>
        <w:t>64</w:t>
      </w:r>
      <w:r>
        <w:rPr>
          <w:rFonts w:ascii="Times New Roman Bold" w:hAnsi="Times New Roman Bold"/>
          <w:b/>
        </w:rPr>
        <w:t>)</w:t>
      </w:r>
    </w:p>
    <w:p w:rsidR="00C738EB" w:rsidRPr="001F7C0D" w:rsidRDefault="00C738EB" w:rsidP="00193A70">
      <w:pPr>
        <w:pStyle w:val="Chapter"/>
      </w:pPr>
      <w:r w:rsidRPr="001F7C0D">
        <w:t>Medios de Verificacion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4428"/>
      </w:tblGrid>
      <w:tr w:rsidR="00C738EB" w:rsidTr="00B57312">
        <w:trPr>
          <w:trHeight w:val="683"/>
        </w:trPr>
        <w:tc>
          <w:tcPr>
            <w:tcW w:w="4428" w:type="dxa"/>
            <w:vAlign w:val="center"/>
          </w:tcPr>
          <w:p w:rsidR="003D4477" w:rsidRPr="001F7C0D" w:rsidRDefault="00C738EB" w:rsidP="00B5731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/>
                <w:b/>
                <w:bCs/>
                <w:lang w:val="es-ES_tradnl"/>
              </w:rPr>
            </w:pPr>
            <w:r w:rsidRPr="001F7C0D">
              <w:rPr>
                <w:rFonts w:ascii="TimesNewRoman,Bold" w:hAnsi="TimesNewRoman,Bold"/>
                <w:b/>
                <w:bCs/>
                <w:lang w:val="es-ES_tradnl"/>
              </w:rPr>
              <w:t>Condicionalidades de Política</w:t>
            </w:r>
          </w:p>
        </w:tc>
        <w:tc>
          <w:tcPr>
            <w:tcW w:w="4428" w:type="dxa"/>
            <w:vAlign w:val="center"/>
          </w:tcPr>
          <w:p w:rsidR="003D4477" w:rsidRPr="001F7C0D" w:rsidRDefault="00C738EB" w:rsidP="00B57312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/>
                <w:b/>
                <w:bCs/>
                <w:lang w:val="es-ES_tradnl"/>
              </w:rPr>
            </w:pPr>
            <w:r w:rsidRPr="001F7C0D">
              <w:rPr>
                <w:rFonts w:ascii="TimesNewRoman,Bold" w:hAnsi="TimesNewRoman,Bold"/>
                <w:b/>
                <w:bCs/>
                <w:lang w:val="es-ES_tradnl"/>
              </w:rPr>
              <w:t>Medios de verificación</w:t>
            </w:r>
          </w:p>
        </w:tc>
      </w:tr>
      <w:tr w:rsidR="00C738EB">
        <w:tc>
          <w:tcPr>
            <w:tcW w:w="4428" w:type="dxa"/>
          </w:tcPr>
          <w:p w:rsidR="00C738EB" w:rsidRPr="00B07A0C" w:rsidRDefault="00861118">
            <w:pPr>
              <w:autoSpaceDE w:val="0"/>
              <w:autoSpaceDN w:val="0"/>
              <w:adjustRightInd w:val="0"/>
              <w:spacing w:before="40" w:after="40"/>
              <w:rPr>
                <w:color w:val="000000"/>
                <w:lang w:val="es-AR"/>
              </w:rPr>
            </w:pPr>
            <w:r w:rsidRPr="00B07A0C">
              <w:rPr>
                <w:color w:val="000000"/>
                <w:lang w:val="es-AR"/>
              </w:rPr>
              <w:t>Mantener un marco macroeconómico estable para el crecimiento económico con equidad</w:t>
            </w:r>
          </w:p>
        </w:tc>
        <w:tc>
          <w:tcPr>
            <w:tcW w:w="4428" w:type="dxa"/>
          </w:tcPr>
          <w:p w:rsidR="00C738EB" w:rsidRPr="00B07A0C" w:rsidRDefault="00C738EB" w:rsidP="00370ABA">
            <w:pPr>
              <w:pStyle w:val="MyBullet"/>
              <w:suppressAutoHyphens w:val="0"/>
              <w:autoSpaceDE w:val="0"/>
              <w:autoSpaceDN w:val="0"/>
              <w:adjustRightInd w:val="0"/>
              <w:spacing w:before="40" w:after="40"/>
              <w:jc w:val="both"/>
              <w:rPr>
                <w:b/>
                <w:bCs/>
                <w:i/>
                <w:sz w:val="24"/>
                <w:szCs w:val="24"/>
                <w:lang w:val="es-AR" w:eastAsia="en-US"/>
              </w:rPr>
            </w:pPr>
            <w:r w:rsidRPr="00B07A0C">
              <w:rPr>
                <w:i/>
                <w:sz w:val="24"/>
                <w:szCs w:val="24"/>
                <w:lang w:val="es-AR" w:eastAsia="en-US"/>
              </w:rPr>
              <w:t>Evaluación macroeconómica independiente preparada por el BID</w:t>
            </w:r>
          </w:p>
        </w:tc>
      </w:tr>
      <w:tr w:rsidR="0044017A">
        <w:tc>
          <w:tcPr>
            <w:tcW w:w="4428" w:type="dxa"/>
          </w:tcPr>
          <w:p w:rsidR="0044017A" w:rsidRPr="00E50C33" w:rsidRDefault="00924DA2" w:rsidP="00924DA2">
            <w:pPr>
              <w:spacing w:after="200"/>
              <w:ind w:left="-37"/>
              <w:jc w:val="both"/>
              <w:rPr>
                <w:color w:val="000000"/>
                <w:sz w:val="22"/>
                <w:szCs w:val="22"/>
              </w:rPr>
            </w:pPr>
            <w:r w:rsidRPr="00391513">
              <w:rPr>
                <w:lang w:val="es-ES_tradnl"/>
              </w:rPr>
              <w:t>Aprobación y Reglamentación de la Ley de Actualización Tributaria (Decreto 10-2012), que contenga la nueva Ley de Impuesto sobre la Renta, incluyendo tributación internacional, ley de impuesto específico  a la primera matrícula de vehículos automotores terrestres, ley aduanera nacional, y reformas a la ley del impuesto sobre circulación de vehículos terrestres, marítimos y aéreos.</w:t>
            </w:r>
          </w:p>
        </w:tc>
        <w:tc>
          <w:tcPr>
            <w:tcW w:w="4428" w:type="dxa"/>
          </w:tcPr>
          <w:p w:rsidR="0044017A" w:rsidRPr="00924DA2" w:rsidRDefault="00924DA2" w:rsidP="00370ABA">
            <w:pPr>
              <w:pStyle w:val="MyBullet"/>
              <w:suppressAutoHyphens w:val="0"/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szCs w:val="22"/>
                <w:lang w:val="es-AR" w:eastAsia="en-US"/>
              </w:rPr>
            </w:pPr>
            <w:r w:rsidRPr="00924DA2">
              <w:rPr>
                <w:i/>
                <w:lang w:val="es-ES_tradnl"/>
              </w:rPr>
              <w:t>Publicación en el Diario Oficial – Diario de Centroamérica y entrada en vigencia de la Ley de Actualización Tributaria (Decreto 10-2012); y su Acuerdo Gubernativo correspondiente.</w:t>
            </w:r>
          </w:p>
        </w:tc>
      </w:tr>
      <w:tr w:rsidR="00C738EB" w:rsidTr="006F56CD">
        <w:trPr>
          <w:trHeight w:val="665"/>
        </w:trPr>
        <w:tc>
          <w:tcPr>
            <w:tcW w:w="4428" w:type="dxa"/>
          </w:tcPr>
          <w:p w:rsidR="00924DA2" w:rsidRDefault="00924DA2" w:rsidP="00924DA2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(i)</w:t>
            </w:r>
            <w:r w:rsidR="00B07A0C">
              <w:rPr>
                <w:lang w:val="es-ES_tradnl"/>
              </w:rPr>
              <w:t xml:space="preserve"> </w:t>
            </w:r>
            <w:r w:rsidRPr="00BB00D7">
              <w:rPr>
                <w:lang w:val="es-ES_tradnl"/>
              </w:rPr>
              <w:t>Creación de la Unidad de Tributación Internacional (UTI) en el Vice-Ministerio de Ingresos del MINFIN</w:t>
            </w:r>
          </w:p>
          <w:p w:rsidR="00924DA2" w:rsidRPr="00BB00D7" w:rsidRDefault="00924DA2" w:rsidP="00924DA2">
            <w:pPr>
              <w:jc w:val="both"/>
              <w:rPr>
                <w:lang w:val="es-ES_tradnl"/>
              </w:rPr>
            </w:pPr>
          </w:p>
          <w:p w:rsidR="00C738EB" w:rsidRPr="00E50C33" w:rsidRDefault="00924DA2" w:rsidP="00924DA2">
            <w:pPr>
              <w:jc w:val="both"/>
              <w:rPr>
                <w:color w:val="000000"/>
                <w:sz w:val="22"/>
                <w:szCs w:val="22"/>
              </w:rPr>
            </w:pPr>
            <w:r w:rsidRPr="00370ABA">
              <w:rPr>
                <w:lang w:val="es-ES_tradnl"/>
              </w:rPr>
              <w:t>(ii)</w:t>
            </w:r>
            <w:r w:rsidR="00B07A0C">
              <w:rPr>
                <w:lang w:val="es-ES_tradnl"/>
              </w:rPr>
              <w:t xml:space="preserve"> </w:t>
            </w:r>
            <w:r w:rsidRPr="00370ABA">
              <w:rPr>
                <w:lang w:val="es-ES_tradnl"/>
              </w:rPr>
              <w:t>Suscripción de, al menos 12 convenios de intercambio de información fiscal o equivalente, en cumplimiento con los lineamientos del Foro Global.</w:t>
            </w:r>
          </w:p>
        </w:tc>
        <w:tc>
          <w:tcPr>
            <w:tcW w:w="4428" w:type="dxa"/>
          </w:tcPr>
          <w:p w:rsidR="00924DA2" w:rsidRPr="00924DA2" w:rsidRDefault="00924DA2" w:rsidP="00370ABA">
            <w:pPr>
              <w:jc w:val="both"/>
              <w:rPr>
                <w:i/>
                <w:lang w:val="es-ES_tradnl"/>
              </w:rPr>
            </w:pPr>
            <w:r w:rsidRPr="00924DA2">
              <w:rPr>
                <w:i/>
                <w:lang w:val="es-ES_tradnl"/>
              </w:rPr>
              <w:t>(i)</w:t>
            </w:r>
            <w:r w:rsidR="00B07A0C">
              <w:rPr>
                <w:i/>
                <w:lang w:val="es-ES_tradnl"/>
              </w:rPr>
              <w:t xml:space="preserve"> </w:t>
            </w:r>
            <w:r w:rsidRPr="00924DA2">
              <w:rPr>
                <w:i/>
                <w:lang w:val="es-ES_tradnl"/>
              </w:rPr>
              <w:t>Publicación en el Diario Oficial – Diario de Centroamérica del Acuerdo Ministerial.</w:t>
            </w:r>
          </w:p>
          <w:p w:rsidR="00924DA2" w:rsidRPr="00924DA2" w:rsidRDefault="00924DA2" w:rsidP="00370ABA">
            <w:pPr>
              <w:jc w:val="both"/>
              <w:rPr>
                <w:i/>
                <w:lang w:val="es-ES_tradnl"/>
              </w:rPr>
            </w:pPr>
            <w:r w:rsidRPr="00924DA2" w:rsidDel="00C942D4">
              <w:rPr>
                <w:i/>
                <w:lang w:val="es-ES_tradnl"/>
              </w:rPr>
              <w:t xml:space="preserve"> </w:t>
            </w:r>
          </w:p>
          <w:p w:rsidR="00C738EB" w:rsidRPr="00924DA2" w:rsidRDefault="00924DA2" w:rsidP="00B07A0C">
            <w:pPr>
              <w:jc w:val="both"/>
              <w:rPr>
                <w:i/>
                <w:iCs/>
                <w:color w:val="000000"/>
                <w:sz w:val="22"/>
                <w:szCs w:val="22"/>
                <w:lang w:val="es-AR"/>
              </w:rPr>
            </w:pPr>
            <w:r w:rsidRPr="00924DA2">
              <w:rPr>
                <w:i/>
                <w:lang w:val="es-ES_tradnl"/>
              </w:rPr>
              <w:t>(ii) Reporte de Consultor Independiente.</w:t>
            </w:r>
          </w:p>
        </w:tc>
      </w:tr>
      <w:tr w:rsidR="00C738EB">
        <w:tc>
          <w:tcPr>
            <w:tcW w:w="4428" w:type="dxa"/>
          </w:tcPr>
          <w:p w:rsidR="00C738EB" w:rsidRPr="00E50C33" w:rsidRDefault="00924DA2" w:rsidP="00924DA2">
            <w:pPr>
              <w:spacing w:after="200"/>
              <w:jc w:val="both"/>
              <w:rPr>
                <w:color w:val="000000"/>
                <w:sz w:val="22"/>
                <w:szCs w:val="22"/>
                <w:lang w:val="es-AR"/>
              </w:rPr>
            </w:pPr>
            <w:r w:rsidRPr="00391513">
              <w:rPr>
                <w:lang w:val="es-ES_tradnl"/>
              </w:rPr>
              <w:t>Aprobación de la Ley de Disposiciones para el Fortalecimiento del Sistema Tributario y El Combate a la Defraudación y Al Contrabando (Ley Anti evasión 2, Decreto 4-2012)</w:t>
            </w:r>
          </w:p>
        </w:tc>
        <w:tc>
          <w:tcPr>
            <w:tcW w:w="4428" w:type="dxa"/>
          </w:tcPr>
          <w:p w:rsidR="00C738EB" w:rsidRPr="00924DA2" w:rsidRDefault="00924DA2" w:rsidP="00370AB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iCs/>
                <w:color w:val="000000"/>
                <w:sz w:val="22"/>
                <w:szCs w:val="22"/>
                <w:lang w:val="es-AR"/>
              </w:rPr>
            </w:pPr>
            <w:r w:rsidRPr="00924DA2">
              <w:rPr>
                <w:i/>
                <w:lang w:val="es-ES_tradnl"/>
              </w:rPr>
              <w:t>Publicación en el Diario Oficial – Diario de Centroamérica y entrada en vigencia de la Ley.</w:t>
            </w:r>
          </w:p>
        </w:tc>
      </w:tr>
      <w:tr w:rsidR="00C738EB">
        <w:tc>
          <w:tcPr>
            <w:tcW w:w="4428" w:type="dxa"/>
          </w:tcPr>
          <w:p w:rsidR="00C738EB" w:rsidRPr="00E50C33" w:rsidRDefault="00924DA2" w:rsidP="00924DA2">
            <w:pPr>
              <w:jc w:val="both"/>
              <w:rPr>
                <w:color w:val="000000"/>
                <w:sz w:val="22"/>
                <w:szCs w:val="22"/>
                <w:lang w:val="es-AR"/>
              </w:rPr>
            </w:pPr>
            <w:r w:rsidRPr="00391513">
              <w:rPr>
                <w:lang w:val="es-ES_tradnl"/>
              </w:rPr>
              <w:t>Publicación de la Reglamentación de la Ley de Disposiciones para el Fortalecimiento del Sistema Tributario y El Combate a la Defraudación y Al Contrabando.</w:t>
            </w:r>
          </w:p>
        </w:tc>
        <w:tc>
          <w:tcPr>
            <w:tcW w:w="4428" w:type="dxa"/>
          </w:tcPr>
          <w:p w:rsidR="00C738EB" w:rsidRPr="00924DA2" w:rsidRDefault="00924DA2" w:rsidP="00370ABA">
            <w:pPr>
              <w:pStyle w:val="MyBullet"/>
              <w:suppressAutoHyphens w:val="0"/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szCs w:val="22"/>
                <w:lang w:val="es-AR" w:eastAsia="en-US"/>
              </w:rPr>
            </w:pPr>
            <w:r w:rsidRPr="00924DA2">
              <w:rPr>
                <w:i/>
                <w:lang w:val="es-ES_tradnl"/>
              </w:rPr>
              <w:t>Publicación en el Diario Oficial – Diario de Centroamérica de la reglamentación de la Ley de Disposiciones para el Fortalecimiento del Sistema Tributario y El Combate a la Defraudación y Al Contrabando</w:t>
            </w:r>
          </w:p>
        </w:tc>
      </w:tr>
      <w:tr w:rsidR="00C738EB">
        <w:tc>
          <w:tcPr>
            <w:tcW w:w="4428" w:type="dxa"/>
          </w:tcPr>
          <w:p w:rsidR="00C738EB" w:rsidRDefault="00924DA2" w:rsidP="00924DA2">
            <w:pPr>
              <w:spacing w:after="200"/>
              <w:ind w:left="-29"/>
              <w:jc w:val="both"/>
              <w:rPr>
                <w:lang w:val="es-ES_tradnl"/>
              </w:rPr>
            </w:pPr>
            <w:r w:rsidRPr="00391513">
              <w:rPr>
                <w:lang w:val="es-ES_tradnl"/>
              </w:rPr>
              <w:t>Puesta en marcha de la Dirección de Asistencia a la Administración Financiera Municipal (DAAFIM) en el Ministerio de Finanzas Públicas.</w:t>
            </w:r>
          </w:p>
          <w:p w:rsidR="00370ABA" w:rsidRPr="00E50C33" w:rsidRDefault="00370ABA" w:rsidP="00924DA2">
            <w:pPr>
              <w:spacing w:after="200"/>
              <w:ind w:left="-29"/>
              <w:jc w:val="both"/>
              <w:rPr>
                <w:color w:val="000000"/>
                <w:sz w:val="22"/>
                <w:szCs w:val="22"/>
                <w:lang w:val="es-AR"/>
              </w:rPr>
            </w:pPr>
          </w:p>
        </w:tc>
        <w:tc>
          <w:tcPr>
            <w:tcW w:w="4428" w:type="dxa"/>
          </w:tcPr>
          <w:p w:rsidR="00C738EB" w:rsidRPr="00924DA2" w:rsidRDefault="00924DA2" w:rsidP="00370ABA">
            <w:pPr>
              <w:pStyle w:val="MyBullet"/>
              <w:suppressAutoHyphens w:val="0"/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szCs w:val="22"/>
                <w:lang w:val="es-AR" w:eastAsia="en-US"/>
              </w:rPr>
            </w:pPr>
            <w:r w:rsidRPr="00924DA2">
              <w:rPr>
                <w:i/>
                <w:lang w:val="es-ES_tradnl"/>
              </w:rPr>
              <w:t>Contratación del Director y,  al menos,  un subdirector de la Dirección de Asistencia a la Administración Financiera Municipal (DAAFIM) en el Ministerio de Finanzas Públicas.</w:t>
            </w:r>
          </w:p>
        </w:tc>
      </w:tr>
      <w:tr w:rsidR="00C738EB">
        <w:tc>
          <w:tcPr>
            <w:tcW w:w="4428" w:type="dxa"/>
          </w:tcPr>
          <w:p w:rsidR="00924DA2" w:rsidRPr="00370ABA" w:rsidRDefault="00924DA2" w:rsidP="00924DA2">
            <w:pPr>
              <w:jc w:val="both"/>
              <w:rPr>
                <w:lang w:val="es-ES_tradnl"/>
              </w:rPr>
            </w:pPr>
            <w:r w:rsidRPr="00370ABA">
              <w:rPr>
                <w:lang w:val="es-ES_tradnl"/>
              </w:rPr>
              <w:lastRenderedPageBreak/>
              <w:t>(i)</w:t>
            </w:r>
            <w:r w:rsidR="00B07A0C">
              <w:rPr>
                <w:lang w:val="es-ES_tradnl"/>
              </w:rPr>
              <w:t xml:space="preserve"> </w:t>
            </w:r>
            <w:r w:rsidRPr="00370ABA">
              <w:rPr>
                <w:lang w:val="es-ES_tradnl"/>
              </w:rPr>
              <w:t>Elaboración e implementación de los lineamientos de organización, funciones, normas y procedimientos de la DAAFIM.</w:t>
            </w:r>
          </w:p>
          <w:p w:rsidR="00924DA2" w:rsidRPr="00370ABA" w:rsidRDefault="00924DA2" w:rsidP="00924DA2">
            <w:pPr>
              <w:jc w:val="both"/>
              <w:rPr>
                <w:lang w:val="es-ES_tradnl"/>
              </w:rPr>
            </w:pPr>
          </w:p>
          <w:p w:rsidR="00924DA2" w:rsidRPr="00370ABA" w:rsidRDefault="00924DA2" w:rsidP="00924DA2">
            <w:pPr>
              <w:jc w:val="both"/>
              <w:rPr>
                <w:lang w:val="es-ES_tradnl"/>
              </w:rPr>
            </w:pPr>
            <w:r w:rsidRPr="00370ABA">
              <w:rPr>
                <w:lang w:val="es-ES_tradnl"/>
              </w:rPr>
              <w:t>(ii)</w:t>
            </w:r>
            <w:r w:rsidR="00B07A0C">
              <w:rPr>
                <w:lang w:val="es-ES_tradnl"/>
              </w:rPr>
              <w:t xml:space="preserve"> </w:t>
            </w:r>
            <w:r w:rsidRPr="00370ABA">
              <w:rPr>
                <w:lang w:val="es-ES_tradnl"/>
              </w:rPr>
              <w:t>Elaboración e implementación de los lineamientos de organización, funciones, normas y procedimientos de las áreas de Crédito y Cartera de la Dirección Administrativa y Financiera del INFOM, la cuales se enmarcan en el  Plan de Reorganización Administrativa y Financiera del INFOM.</w:t>
            </w:r>
          </w:p>
          <w:p w:rsidR="00924DA2" w:rsidRDefault="00924DA2" w:rsidP="00924DA2">
            <w:pPr>
              <w:jc w:val="both"/>
              <w:rPr>
                <w:lang w:val="es-ES_tradnl"/>
              </w:rPr>
            </w:pPr>
          </w:p>
          <w:p w:rsidR="00924DA2" w:rsidRDefault="00924DA2" w:rsidP="00924DA2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(iii) Diseño e implementación de un mecanismo de seguimiento de las finanzas municipales que permita monitorear las finanzas municipales en forma permanente,  por parte de la DAAFIM. Esto último servirá de</w:t>
            </w:r>
            <w:r w:rsidRPr="00BB00D7">
              <w:rPr>
                <w:lang w:val="es-ES_tradnl"/>
              </w:rPr>
              <w:t xml:space="preserve"> insumo para la Dirección de Crédito Público</w:t>
            </w:r>
            <w:r>
              <w:rPr>
                <w:lang w:val="es-ES_tradnl"/>
              </w:rPr>
              <w:t xml:space="preserve"> y las áreas de Crédito y Cartera de la Dirección Financiera del </w:t>
            </w:r>
            <w:r w:rsidRPr="00BB00D7">
              <w:rPr>
                <w:lang w:val="es-ES_tradnl"/>
              </w:rPr>
              <w:t xml:space="preserve"> INFOM.</w:t>
            </w:r>
          </w:p>
          <w:p w:rsidR="00924DA2" w:rsidRDefault="00924DA2" w:rsidP="00924DA2">
            <w:pPr>
              <w:jc w:val="both"/>
              <w:rPr>
                <w:lang w:val="es-ES_tradnl"/>
              </w:rPr>
            </w:pPr>
          </w:p>
          <w:p w:rsidR="00C738EB" w:rsidRPr="00E50C33" w:rsidRDefault="00924DA2" w:rsidP="00924DA2">
            <w:pPr>
              <w:jc w:val="both"/>
              <w:rPr>
                <w:color w:val="000000"/>
                <w:sz w:val="22"/>
                <w:szCs w:val="22"/>
                <w:lang w:val="es-AR"/>
              </w:rPr>
            </w:pPr>
            <w:r>
              <w:rPr>
                <w:lang w:val="es-ES_tradnl"/>
              </w:rPr>
              <w:t>(iv)</w:t>
            </w:r>
            <w:r w:rsidR="00B07A0C">
              <w:rPr>
                <w:lang w:val="es-ES_tradnl"/>
              </w:rPr>
              <w:t xml:space="preserve"> </w:t>
            </w:r>
            <w:r w:rsidRPr="00BB00D7">
              <w:rPr>
                <w:lang w:val="es-ES_tradnl"/>
              </w:rPr>
              <w:t>Consolidar una metodología para cuantificar el stock de la deuda municipal.</w:t>
            </w:r>
          </w:p>
        </w:tc>
        <w:tc>
          <w:tcPr>
            <w:tcW w:w="4428" w:type="dxa"/>
          </w:tcPr>
          <w:p w:rsidR="00C738EB" w:rsidRPr="00924DA2" w:rsidRDefault="00924DA2" w:rsidP="00370AB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/>
                <w:bCs/>
                <w:i/>
                <w:sz w:val="22"/>
                <w:szCs w:val="22"/>
                <w:lang w:val="es-AR"/>
              </w:rPr>
            </w:pPr>
            <w:r w:rsidRPr="00924DA2">
              <w:rPr>
                <w:i/>
                <w:lang w:val="es-ES_tradnl"/>
              </w:rPr>
              <w:t>Reporte de Consultor Independiente.</w:t>
            </w:r>
          </w:p>
        </w:tc>
      </w:tr>
      <w:tr w:rsidR="00FB4BD3">
        <w:tc>
          <w:tcPr>
            <w:tcW w:w="4428" w:type="dxa"/>
          </w:tcPr>
          <w:p w:rsidR="00FB4BD3" w:rsidRPr="00924DA2" w:rsidRDefault="00924DA2" w:rsidP="00FB4BD3">
            <w:pPr>
              <w:jc w:val="both"/>
              <w:rPr>
                <w:lang w:val="es-ES_tradnl"/>
              </w:rPr>
            </w:pPr>
            <w:r w:rsidRPr="00391513">
              <w:rPr>
                <w:lang w:val="es-ES_tradnl"/>
              </w:rPr>
              <w:t>Actualización del PEFA.</w:t>
            </w:r>
          </w:p>
        </w:tc>
        <w:tc>
          <w:tcPr>
            <w:tcW w:w="4428" w:type="dxa"/>
          </w:tcPr>
          <w:p w:rsidR="00FB4BD3" w:rsidRPr="00924DA2" w:rsidRDefault="00924DA2" w:rsidP="00370ABA">
            <w:pPr>
              <w:autoSpaceDE w:val="0"/>
              <w:autoSpaceDN w:val="0"/>
              <w:adjustRightInd w:val="0"/>
              <w:spacing w:before="40" w:after="40"/>
              <w:jc w:val="both"/>
              <w:rPr>
                <w:i/>
                <w:iCs/>
                <w:color w:val="000000"/>
                <w:sz w:val="22"/>
                <w:szCs w:val="22"/>
                <w:lang w:val="es-AR"/>
              </w:rPr>
            </w:pPr>
            <w:r w:rsidRPr="00924DA2">
              <w:rPr>
                <w:i/>
                <w:lang w:val="es-ES_tradnl"/>
              </w:rPr>
              <w:t>Reporte de consultor independiente.</w:t>
            </w:r>
          </w:p>
        </w:tc>
      </w:tr>
      <w:tr w:rsidR="00827F5B">
        <w:tc>
          <w:tcPr>
            <w:tcW w:w="4428" w:type="dxa"/>
          </w:tcPr>
          <w:p w:rsidR="00924DA2" w:rsidRDefault="00924DA2" w:rsidP="00924DA2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>(i)</w:t>
            </w:r>
            <w:r w:rsidR="00B07A0C">
              <w:rPr>
                <w:lang w:val="es-ES_tradnl"/>
              </w:rPr>
              <w:t xml:space="preserve"> </w:t>
            </w:r>
            <w:r w:rsidRPr="00BB00D7">
              <w:rPr>
                <w:lang w:val="es-ES_tradnl"/>
              </w:rPr>
              <w:t>Elaboración del Marco de Política Fiscal de Mediano Plazo (3 años), que incluya un análisis y lineamiento del endeudamiento nacional y municipal como parte de la preparación de la Ley de Presupuesto para el año 2014.</w:t>
            </w:r>
          </w:p>
          <w:p w:rsidR="00924DA2" w:rsidRDefault="00924DA2" w:rsidP="00924DA2">
            <w:pPr>
              <w:jc w:val="both"/>
              <w:rPr>
                <w:lang w:val="es-ES_tradnl"/>
              </w:rPr>
            </w:pPr>
          </w:p>
          <w:p w:rsidR="00827F5B" w:rsidRPr="00827F5B" w:rsidRDefault="00924DA2" w:rsidP="00924DA2">
            <w:pPr>
              <w:jc w:val="both"/>
              <w:rPr>
                <w:color w:val="000000"/>
                <w:sz w:val="22"/>
                <w:szCs w:val="22"/>
                <w:lang w:val="es-AR"/>
              </w:rPr>
            </w:pPr>
            <w:r>
              <w:rPr>
                <w:lang w:val="es-ES_tradnl"/>
              </w:rPr>
              <w:t>(ii)</w:t>
            </w:r>
            <w:r w:rsidR="00B07A0C">
              <w:rPr>
                <w:lang w:val="es-ES_tradnl"/>
              </w:rPr>
              <w:t xml:space="preserve"> </w:t>
            </w:r>
            <w:r w:rsidRPr="00BB00D7">
              <w:rPr>
                <w:lang w:val="es-ES_tradnl"/>
              </w:rPr>
              <w:t>Puesta en marcha de plan piloto de Gestión por Resultados en el Ministerio de Salud Pública, basado en las recomendaciones del PEFA.</w:t>
            </w:r>
          </w:p>
        </w:tc>
        <w:tc>
          <w:tcPr>
            <w:tcW w:w="4428" w:type="dxa"/>
          </w:tcPr>
          <w:p w:rsidR="00924DA2" w:rsidRDefault="00924DA2" w:rsidP="00370ABA">
            <w:pPr>
              <w:jc w:val="both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(</w:t>
            </w:r>
            <w:r w:rsidRPr="00924DA2">
              <w:rPr>
                <w:i/>
                <w:lang w:val="es-ES_tradnl"/>
              </w:rPr>
              <w:t>i)</w:t>
            </w:r>
            <w:r w:rsidR="00B07A0C">
              <w:rPr>
                <w:i/>
                <w:lang w:val="es-ES_tradnl"/>
              </w:rPr>
              <w:t xml:space="preserve"> </w:t>
            </w:r>
            <w:r w:rsidRPr="00924DA2">
              <w:rPr>
                <w:i/>
                <w:lang w:val="es-ES_tradnl"/>
              </w:rPr>
              <w:t>Página Web del MINFIN</w:t>
            </w:r>
          </w:p>
          <w:p w:rsidR="00924DA2" w:rsidRDefault="00924DA2" w:rsidP="00370ABA">
            <w:pPr>
              <w:jc w:val="both"/>
              <w:rPr>
                <w:i/>
                <w:lang w:val="es-ES_tradnl"/>
              </w:rPr>
            </w:pPr>
          </w:p>
          <w:p w:rsidR="00827F5B" w:rsidRPr="00924DA2" w:rsidRDefault="00924DA2" w:rsidP="00370ABA">
            <w:pPr>
              <w:jc w:val="both"/>
              <w:rPr>
                <w:i/>
                <w:sz w:val="22"/>
                <w:szCs w:val="22"/>
                <w:lang w:val="es-AR"/>
              </w:rPr>
            </w:pPr>
            <w:r w:rsidRPr="00924DA2">
              <w:rPr>
                <w:i/>
                <w:lang w:val="es-ES_tradnl"/>
              </w:rPr>
              <w:t>(ii)</w:t>
            </w:r>
            <w:r w:rsidR="00B07A0C">
              <w:rPr>
                <w:i/>
                <w:lang w:val="es-ES_tradnl"/>
              </w:rPr>
              <w:t xml:space="preserve"> </w:t>
            </w:r>
            <w:r w:rsidRPr="00924DA2">
              <w:rPr>
                <w:i/>
                <w:lang w:val="es-ES_tradnl"/>
              </w:rPr>
              <w:t>Reporte de consultor Independiente.</w:t>
            </w:r>
          </w:p>
        </w:tc>
      </w:tr>
    </w:tbl>
    <w:p w:rsidR="00C738EB" w:rsidRDefault="00C738EB">
      <w:pPr>
        <w:autoSpaceDE w:val="0"/>
        <w:autoSpaceDN w:val="0"/>
        <w:adjustRightInd w:val="0"/>
        <w:rPr>
          <w:lang w:val="es-AR"/>
        </w:rPr>
      </w:pPr>
    </w:p>
    <w:p w:rsidR="00C738EB" w:rsidRDefault="00C738EB">
      <w:pPr>
        <w:rPr>
          <w:lang w:val="es-AR"/>
        </w:rPr>
      </w:pPr>
    </w:p>
    <w:sectPr w:rsidR="00C738EB" w:rsidSect="001F7C0D">
      <w:headerReference w:type="even" r:id="rId7"/>
      <w:headerReference w:type="default" r:id="rId8"/>
      <w:headerReference w:type="first" r:id="rId9"/>
      <w:type w:val="continuous"/>
      <w:pgSz w:w="12240" w:h="15840" w:code="1"/>
      <w:pgMar w:top="1440" w:right="1800" w:bottom="1440" w:left="1800" w:header="706" w:footer="706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D29" w:rsidRDefault="00081D29" w:rsidP="00C738EB">
      <w:pPr>
        <w:pStyle w:val="Paragraph"/>
      </w:pPr>
      <w:r>
        <w:separator/>
      </w:r>
    </w:p>
  </w:endnote>
  <w:endnote w:type="continuationSeparator" w:id="0">
    <w:p w:rsidR="00081D29" w:rsidRDefault="00081D29" w:rsidP="00C738EB">
      <w:pPr>
        <w:pStyle w:val="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D29" w:rsidRDefault="00081D29" w:rsidP="00C738EB">
      <w:pPr>
        <w:pStyle w:val="Paragraph"/>
      </w:pPr>
      <w:r>
        <w:separator/>
      </w:r>
    </w:p>
  </w:footnote>
  <w:footnote w:type="continuationSeparator" w:id="0">
    <w:p w:rsidR="00081D29" w:rsidRDefault="00081D29" w:rsidP="00C738EB">
      <w:pPr>
        <w:pStyle w:val="Paragraph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9C" w:rsidRDefault="00997F2D" w:rsidP="00CF79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F0F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0F9C" w:rsidRDefault="008F0F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9C" w:rsidRPr="00193A70" w:rsidRDefault="00193A70" w:rsidP="00193A70">
    <w:pPr>
      <w:pStyle w:val="Header"/>
      <w:jc w:val="right"/>
      <w:rPr>
        <w:sz w:val="20"/>
        <w:szCs w:val="20"/>
      </w:rPr>
    </w:pPr>
    <w:r w:rsidRPr="00193A70">
      <w:rPr>
        <w:sz w:val="20"/>
        <w:szCs w:val="20"/>
      </w:rPr>
      <w:t xml:space="preserve">Página </w:t>
    </w:r>
    <w:r w:rsidR="00997F2D" w:rsidRPr="00193A70">
      <w:rPr>
        <w:sz w:val="20"/>
        <w:szCs w:val="20"/>
      </w:rPr>
      <w:fldChar w:fldCharType="begin"/>
    </w:r>
    <w:r w:rsidRPr="00193A70">
      <w:rPr>
        <w:sz w:val="20"/>
        <w:szCs w:val="20"/>
      </w:rPr>
      <w:instrText xml:space="preserve"> PAGE </w:instrText>
    </w:r>
    <w:r w:rsidR="00997F2D" w:rsidRPr="00193A70">
      <w:rPr>
        <w:sz w:val="20"/>
        <w:szCs w:val="20"/>
      </w:rPr>
      <w:fldChar w:fldCharType="separate"/>
    </w:r>
    <w:r w:rsidR="001E5CD1">
      <w:rPr>
        <w:noProof/>
        <w:sz w:val="20"/>
        <w:szCs w:val="20"/>
      </w:rPr>
      <w:t>2</w:t>
    </w:r>
    <w:r w:rsidR="00997F2D" w:rsidRPr="00193A70">
      <w:rPr>
        <w:sz w:val="20"/>
        <w:szCs w:val="20"/>
      </w:rPr>
      <w:fldChar w:fldCharType="end"/>
    </w:r>
    <w:r w:rsidRPr="00193A70">
      <w:rPr>
        <w:sz w:val="20"/>
        <w:szCs w:val="20"/>
      </w:rPr>
      <w:t xml:space="preserve"> de </w:t>
    </w:r>
    <w:r w:rsidR="00997F2D" w:rsidRPr="00193A70">
      <w:rPr>
        <w:sz w:val="20"/>
        <w:szCs w:val="20"/>
      </w:rPr>
      <w:fldChar w:fldCharType="begin"/>
    </w:r>
    <w:r w:rsidRPr="00193A70">
      <w:rPr>
        <w:sz w:val="20"/>
        <w:szCs w:val="20"/>
      </w:rPr>
      <w:instrText xml:space="preserve"> NUMPAGES </w:instrText>
    </w:r>
    <w:r w:rsidR="00997F2D" w:rsidRPr="00193A70">
      <w:rPr>
        <w:sz w:val="20"/>
        <w:szCs w:val="20"/>
      </w:rPr>
      <w:fldChar w:fldCharType="separate"/>
    </w:r>
    <w:r w:rsidR="001E5CD1">
      <w:rPr>
        <w:noProof/>
        <w:sz w:val="20"/>
        <w:szCs w:val="20"/>
      </w:rPr>
      <w:t>2</w:t>
    </w:r>
    <w:r w:rsidR="00997F2D" w:rsidRPr="00193A70">
      <w:rPr>
        <w:sz w:val="20"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12" w:rsidRPr="00B57312" w:rsidRDefault="00B57312" w:rsidP="00193A70">
    <w:pPr>
      <w:pStyle w:val="Header"/>
      <w:jc w:val="right"/>
      <w:rPr>
        <w:b/>
      </w:rPr>
    </w:pPr>
    <w:r w:rsidRPr="00B57312">
      <w:rPr>
        <w:b/>
      </w:rPr>
      <w:t xml:space="preserve"> GU-L1064</w:t>
    </w:r>
  </w:p>
  <w:p w:rsidR="00193A70" w:rsidRPr="00193A70" w:rsidRDefault="00193A70" w:rsidP="00193A70">
    <w:pPr>
      <w:pStyle w:val="Header"/>
      <w:jc w:val="right"/>
      <w:rPr>
        <w:sz w:val="20"/>
        <w:szCs w:val="20"/>
      </w:rPr>
    </w:pPr>
    <w:r w:rsidRPr="00193A70">
      <w:rPr>
        <w:sz w:val="20"/>
        <w:szCs w:val="20"/>
      </w:rPr>
      <w:t xml:space="preserve">Página </w:t>
    </w:r>
    <w:r w:rsidR="00997F2D" w:rsidRPr="00193A70">
      <w:rPr>
        <w:sz w:val="20"/>
        <w:szCs w:val="20"/>
      </w:rPr>
      <w:fldChar w:fldCharType="begin"/>
    </w:r>
    <w:r w:rsidRPr="00193A70">
      <w:rPr>
        <w:sz w:val="20"/>
        <w:szCs w:val="20"/>
      </w:rPr>
      <w:instrText xml:space="preserve"> PAGE </w:instrText>
    </w:r>
    <w:r w:rsidR="00997F2D" w:rsidRPr="00193A70">
      <w:rPr>
        <w:sz w:val="20"/>
        <w:szCs w:val="20"/>
      </w:rPr>
      <w:fldChar w:fldCharType="separate"/>
    </w:r>
    <w:r w:rsidR="001E5CD1">
      <w:rPr>
        <w:noProof/>
        <w:sz w:val="20"/>
        <w:szCs w:val="20"/>
      </w:rPr>
      <w:t>1</w:t>
    </w:r>
    <w:r w:rsidR="00997F2D" w:rsidRPr="00193A70">
      <w:rPr>
        <w:sz w:val="20"/>
        <w:szCs w:val="20"/>
      </w:rPr>
      <w:fldChar w:fldCharType="end"/>
    </w:r>
    <w:r w:rsidRPr="00193A70">
      <w:rPr>
        <w:sz w:val="20"/>
        <w:szCs w:val="20"/>
      </w:rPr>
      <w:t xml:space="preserve"> de </w:t>
    </w:r>
    <w:r w:rsidR="00997F2D" w:rsidRPr="00193A70">
      <w:rPr>
        <w:sz w:val="20"/>
        <w:szCs w:val="20"/>
      </w:rPr>
      <w:fldChar w:fldCharType="begin"/>
    </w:r>
    <w:r w:rsidRPr="00193A70">
      <w:rPr>
        <w:sz w:val="20"/>
        <w:szCs w:val="20"/>
      </w:rPr>
      <w:instrText xml:space="preserve"> NUMPAGES </w:instrText>
    </w:r>
    <w:r w:rsidR="00997F2D" w:rsidRPr="00193A70">
      <w:rPr>
        <w:sz w:val="20"/>
        <w:szCs w:val="20"/>
      </w:rPr>
      <w:fldChar w:fldCharType="separate"/>
    </w:r>
    <w:r w:rsidR="001E5CD1">
      <w:rPr>
        <w:noProof/>
        <w:sz w:val="20"/>
        <w:szCs w:val="20"/>
      </w:rPr>
      <w:t>2</w:t>
    </w:r>
    <w:r w:rsidR="00997F2D" w:rsidRPr="00193A70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7FC9"/>
    <w:multiLevelType w:val="multilevel"/>
    <w:tmpl w:val="75304648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738EB"/>
    <w:rsid w:val="00004B7D"/>
    <w:rsid w:val="00041873"/>
    <w:rsid w:val="00081D29"/>
    <w:rsid w:val="000C1CFE"/>
    <w:rsid w:val="00193A70"/>
    <w:rsid w:val="001C600B"/>
    <w:rsid w:val="001E5CD1"/>
    <w:rsid w:val="001F7C0D"/>
    <w:rsid w:val="0020377C"/>
    <w:rsid w:val="0035038D"/>
    <w:rsid w:val="00370ABA"/>
    <w:rsid w:val="003D4477"/>
    <w:rsid w:val="003D7A69"/>
    <w:rsid w:val="0044017A"/>
    <w:rsid w:val="00475EDB"/>
    <w:rsid w:val="005B6625"/>
    <w:rsid w:val="00646AFB"/>
    <w:rsid w:val="006A4BF4"/>
    <w:rsid w:val="006F56CD"/>
    <w:rsid w:val="00827F5B"/>
    <w:rsid w:val="00861118"/>
    <w:rsid w:val="008F0F9C"/>
    <w:rsid w:val="00924DA2"/>
    <w:rsid w:val="009556DC"/>
    <w:rsid w:val="00997F2D"/>
    <w:rsid w:val="009F5D69"/>
    <w:rsid w:val="00A213B7"/>
    <w:rsid w:val="00AD2772"/>
    <w:rsid w:val="00B07A0C"/>
    <w:rsid w:val="00B42877"/>
    <w:rsid w:val="00B57312"/>
    <w:rsid w:val="00B936AC"/>
    <w:rsid w:val="00C46A91"/>
    <w:rsid w:val="00C47A60"/>
    <w:rsid w:val="00C72E96"/>
    <w:rsid w:val="00C738EB"/>
    <w:rsid w:val="00CD1461"/>
    <w:rsid w:val="00CF793F"/>
    <w:rsid w:val="00E06A85"/>
    <w:rsid w:val="00E45DB7"/>
    <w:rsid w:val="00E50C33"/>
    <w:rsid w:val="00E75082"/>
    <w:rsid w:val="00F560DF"/>
    <w:rsid w:val="00FB4BD3"/>
    <w:rsid w:val="00FE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7F2D"/>
    <w:rPr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997F2D"/>
    <w:rPr>
      <w:caps/>
      <w:szCs w:val="20"/>
      <w:lang w:val="en-US"/>
    </w:rPr>
  </w:style>
  <w:style w:type="paragraph" w:customStyle="1" w:styleId="Chapter">
    <w:name w:val="Chapter"/>
    <w:basedOn w:val="Normal"/>
    <w:next w:val="Normal"/>
    <w:autoRedefine/>
    <w:rsid w:val="00193A70"/>
    <w:pPr>
      <w:tabs>
        <w:tab w:val="left" w:pos="1440"/>
      </w:tabs>
      <w:spacing w:after="120"/>
      <w:ind w:left="288"/>
      <w:jc w:val="center"/>
    </w:pPr>
    <w:rPr>
      <w:b/>
      <w:smallCaps/>
      <w:noProof/>
      <w:lang w:val="en-US"/>
    </w:rPr>
  </w:style>
  <w:style w:type="paragraph" w:customStyle="1" w:styleId="Paragraph">
    <w:name w:val="Paragraph"/>
    <w:basedOn w:val="BodyTextIndent"/>
    <w:rsid w:val="00997F2D"/>
    <w:pPr>
      <w:numPr>
        <w:ilvl w:val="1"/>
        <w:numId w:val="1"/>
      </w:numPr>
      <w:spacing w:before="120"/>
      <w:jc w:val="both"/>
      <w:outlineLvl w:val="1"/>
    </w:pPr>
    <w:rPr>
      <w:szCs w:val="20"/>
      <w:lang w:val="en-US"/>
    </w:rPr>
  </w:style>
  <w:style w:type="paragraph" w:customStyle="1" w:styleId="subpar">
    <w:name w:val="subpar"/>
    <w:basedOn w:val="BodyTextIndent3"/>
    <w:rsid w:val="00997F2D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  <w:lang w:val="en-US"/>
    </w:rPr>
  </w:style>
  <w:style w:type="paragraph" w:customStyle="1" w:styleId="SubSubPar">
    <w:name w:val="SubSubPar"/>
    <w:basedOn w:val="subpar"/>
    <w:rsid w:val="00997F2D"/>
    <w:pPr>
      <w:numPr>
        <w:ilvl w:val="3"/>
      </w:numPr>
      <w:tabs>
        <w:tab w:val="clear" w:pos="1584"/>
        <w:tab w:val="left" w:pos="0"/>
        <w:tab w:val="num" w:pos="360"/>
      </w:tabs>
    </w:pPr>
  </w:style>
  <w:style w:type="paragraph" w:customStyle="1" w:styleId="MyBullet">
    <w:name w:val="MyBullet"/>
    <w:basedOn w:val="Normal"/>
    <w:rsid w:val="00997F2D"/>
    <w:pPr>
      <w:suppressAutoHyphens/>
    </w:pPr>
    <w:rPr>
      <w:sz w:val="22"/>
      <w:szCs w:val="20"/>
      <w:lang w:val="en-US" w:eastAsia="es-ES_tradnl"/>
    </w:rPr>
  </w:style>
  <w:style w:type="paragraph" w:styleId="BodyTextIndent">
    <w:name w:val="Body Text Indent"/>
    <w:basedOn w:val="Normal"/>
    <w:rsid w:val="00997F2D"/>
    <w:pPr>
      <w:spacing w:after="120"/>
      <w:ind w:left="360"/>
    </w:pPr>
  </w:style>
  <w:style w:type="paragraph" w:styleId="BodyTextIndent3">
    <w:name w:val="Body Text Indent 3"/>
    <w:basedOn w:val="Normal"/>
    <w:rsid w:val="00997F2D"/>
    <w:pPr>
      <w:spacing w:after="120"/>
      <w:ind w:left="360"/>
    </w:pPr>
    <w:rPr>
      <w:sz w:val="16"/>
      <w:szCs w:val="16"/>
    </w:rPr>
  </w:style>
  <w:style w:type="character" w:styleId="Hyperlink">
    <w:name w:val="Hyperlink"/>
    <w:rsid w:val="00997F2D"/>
    <w:rPr>
      <w:color w:val="0000FF"/>
      <w:u w:val="single"/>
    </w:rPr>
  </w:style>
  <w:style w:type="character" w:styleId="FollowedHyperlink">
    <w:name w:val="FollowedHyperlink"/>
    <w:rsid w:val="00C72E96"/>
    <w:rPr>
      <w:color w:val="800080"/>
      <w:u w:val="single"/>
    </w:rPr>
  </w:style>
  <w:style w:type="paragraph" w:styleId="Header">
    <w:name w:val="header"/>
    <w:basedOn w:val="Normal"/>
    <w:rsid w:val="000C1C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1CFE"/>
  </w:style>
  <w:style w:type="paragraph" w:styleId="Footer">
    <w:name w:val="footer"/>
    <w:basedOn w:val="Normal"/>
    <w:rsid w:val="00193A7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24DA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36937566</IDBDocs_x0020_Number>
    <TaxCatchAll xmlns="9c571b2f-e523-4ab2-ba2e-09e151a03ef4">
      <Value>3</Value>
      <Value>15</Value>
      <Value>14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Larios, Jose I.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GU-L1064</Project_x0020_Number>
    <Access_x0020_to_x0020_Information_x00a0_Policy xmlns="9c571b2f-e523-4ab2-ba2e-09e151a03ef4">Confidential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Guatemala</TermName>
          <TermId xmlns="http://schemas.microsoft.com/office/infopath/2007/PartnerControls">f4a7ece3-5197-4ac8-b0c6-9e241da9714f</TermId>
        </TermInfo>
      </Terms>
    </j8b96605ee2f4c4e988849e658583fee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Proposal&lt;/USER_STAGE&gt;&lt;PD_OBJ_TYPE&gt;0&lt;/PD_OBJ_TYPE&gt;&lt;MAKERECORD&gt;N&lt;/MAKERECORD&gt;&lt;PD_FILEPT_NO&gt;PO-GU-L1064-Plan&lt;/PD_FILEPT_NO&gt;&lt;PD_FILE_PART&gt;82840474&lt;/PD_FILE_PART&gt;&lt;/Data&gt;</Migration_x0020_Info>
    <Operation_x0020_Type xmlns="9c571b2f-e523-4ab2-ba2e-09e151a03ef4" xsi:nil="true"/>
    <Record_x0020_Number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Fiscal Issues and Public Finance</Webtopic>
    <Issue_x0020_Date xmlns="9c571b2f-e523-4ab2-ba2e-09e151a03ef4" xsi:nil="true"/>
    <Disclosed xmlns="9c571b2f-e523-4ab2-ba2e-09e151a03ef4">false</Disclosed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1BBC2C5B218D64EBEAB116DC50152F9" ma:contentTypeVersion="0" ma:contentTypeDescription="A content type to manage public (operations) IDB documents" ma:contentTypeScope="" ma:versionID="2a5afaf0a212fef74653a9420b54bb4b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1f3b02900e5bd28928a1fcfcee2d20b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3999a32-4629-41a1-8594-f973c4cff90a}" ma:internalName="TaxCatchAll" ma:showField="CatchAllData" ma:web="49efcff9-6b3b-4cc3-ad4f-4817b8b91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3999a32-4629-41a1-8594-f973c4cff90a}" ma:internalName="TaxCatchAllLabel" ma:readOnly="true" ma:showField="CatchAllDataLabel" ma:web="49efcff9-6b3b-4cc3-ad4f-4817b8b91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528C61FE-5045-4226-8EEB-B822C5EBA9D0}"/>
</file>

<file path=customXml/itemProps2.xml><?xml version="1.0" encoding="utf-8"?>
<ds:datastoreItem xmlns:ds="http://schemas.openxmlformats.org/officeDocument/2006/customXml" ds:itemID="{B4036264-CE2C-45D2-A0BE-1B2458FD9688}"/>
</file>

<file path=customXml/itemProps3.xml><?xml version="1.0" encoding="utf-8"?>
<ds:datastoreItem xmlns:ds="http://schemas.openxmlformats.org/officeDocument/2006/customXml" ds:itemID="{48EFB6AB-C15D-454C-8A39-6846995475F8}"/>
</file>

<file path=customXml/itemProps4.xml><?xml version="1.0" encoding="utf-8"?>
<ds:datastoreItem xmlns:ds="http://schemas.openxmlformats.org/officeDocument/2006/customXml" ds:itemID="{834BCEFA-687D-4891-95B6-2E4CD4AD6ECE}"/>
</file>

<file path=customXml/itemProps5.xml><?xml version="1.0" encoding="utf-8"?>
<ds:datastoreItem xmlns:ds="http://schemas.openxmlformats.org/officeDocument/2006/customXml" ds:itemID="{0183F292-A424-416F-91E9-E3D550593B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Inter-American Development Bank</Company>
  <LinksUpToDate>false</LinksUpToDate>
  <CharactersWithSpaces>3502</CharactersWithSpaces>
  <SharedDoc>false</SharedDoc>
  <HLinks>
    <vt:vector size="6" baseType="variant"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http://www.guatecompras.gt/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lectronico Requerido 3_ Matriz de Medios de Verificación (GU-L1064)</dc:title>
  <dc:subject/>
  <dc:creator>ALBERTOBA</dc:creator>
  <cp:keywords/>
  <dc:description/>
  <cp:lastModifiedBy>IADB</cp:lastModifiedBy>
  <cp:revision>2</cp:revision>
  <cp:lastPrinted>2008-05-02T18:59:00Z</cp:lastPrinted>
  <dcterms:created xsi:type="dcterms:W3CDTF">2012-06-20T13:17:00Z</dcterms:created>
  <dcterms:modified xsi:type="dcterms:W3CDTF">2012-06-20T13:17:00Z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0x01010046CF21643EE8D14686A648AA6DAD08920051BBC2C5B218D64EBEAB116DC50152F9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15;#Project Profile (PP)|ac5f0c28-f2f6-431c-8d05-62f851b6a822</vt:lpwstr>
  </property>
  <property fmtid="{D5CDD505-2E9C-101B-9397-08002B2CF9AE}" pid="8" name="Country">
    <vt:lpwstr>3;#Guatemala|f4a7ece3-5197-4ac8-b0c6-9e241da9714f</vt:lpwstr>
  </property>
  <property fmtid="{D5CDD505-2E9C-101B-9397-08002B2CF9AE}" pid="9" name="Fund IDB">
    <vt:lpwstr/>
  </property>
  <property fmtid="{D5CDD505-2E9C-101B-9397-08002B2CF9AE}" pid="10" name="Series_x0020_Operations_x0020_IDB">
    <vt:lpwstr>15;#Project Profile (PP)|ac5f0c28-f2f6-431c-8d05-62f851b6a822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14;#Project Preparation, Planning and Design|29ca0c72-1fc4-435f-a09c-28585cb5eac9</vt:lpwstr>
  </property>
  <property fmtid="{D5CDD505-2E9C-101B-9397-08002B2CF9AE}" pid="15" name="Sub-Sector">
    <vt:lpwstr/>
  </property>
</Properties>
</file>