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37163" w14:textId="4C99CFBA" w:rsidR="00402561" w:rsidRPr="0010085F" w:rsidRDefault="00ED528A">
      <w:pPr>
        <w:spacing w:before="200" w:after="200"/>
        <w:jc w:val="center"/>
        <w:rPr>
          <w:lang w:val="es-419"/>
        </w:rPr>
      </w:pPr>
      <w:r w:rsidRPr="0010085F">
        <w:rPr>
          <w:rFonts w:ascii="Arial" w:hAnsi="Arial" w:cs="Arial"/>
          <w:b/>
          <w:lang w:val="es-419"/>
        </w:rPr>
        <w:t>ABSTRACT</w:t>
      </w:r>
      <w:r w:rsidR="00763A77">
        <w:rPr>
          <w:rFonts w:ascii="Arial" w:hAnsi="Arial" w:cs="Arial"/>
          <w:b/>
          <w:lang w:val="es-419"/>
        </w:rPr>
        <w:t>O DE COOPERACIÓN TÉCNICA</w:t>
      </w:r>
    </w:p>
    <w:p w14:paraId="43A37164" w14:textId="485D424E" w:rsidR="00402561" w:rsidRPr="0010085F" w:rsidRDefault="00ED528A" w:rsidP="00763A77">
      <w:pPr>
        <w:spacing w:before="240" w:after="120"/>
        <w:ind w:left="576" w:hanging="576"/>
        <w:rPr>
          <w:lang w:val="es-419"/>
        </w:rPr>
      </w:pPr>
      <w:r w:rsidRPr="0010085F">
        <w:rPr>
          <w:rFonts w:ascii="Arial" w:hAnsi="Arial" w:cs="Arial"/>
          <w:b/>
          <w:lang w:val="es-419"/>
        </w:rPr>
        <w:t>I.</w:t>
      </w:r>
      <w:r w:rsidRPr="0010085F">
        <w:rPr>
          <w:rFonts w:ascii="Arial" w:hAnsi="Arial" w:cs="Arial"/>
          <w:b/>
          <w:lang w:val="es-419"/>
        </w:rPr>
        <w:tab/>
      </w:r>
      <w:r w:rsidR="0010085F" w:rsidRPr="0010085F">
        <w:rPr>
          <w:rFonts w:ascii="Arial" w:hAnsi="Arial" w:cs="Arial"/>
          <w:b/>
          <w:lang w:val="es-419"/>
        </w:rPr>
        <w:t>Información Básica de</w:t>
      </w:r>
      <w:r w:rsidR="0010085F">
        <w:rPr>
          <w:rFonts w:ascii="Arial" w:hAnsi="Arial" w:cs="Arial"/>
          <w:b/>
          <w:lang w:val="es-419"/>
        </w:rPr>
        <w:t xml:space="preserve">l </w:t>
      </w:r>
      <w:r w:rsidR="0010085F" w:rsidRPr="0010085F">
        <w:rPr>
          <w:rFonts w:ascii="Arial" w:hAnsi="Arial" w:cs="Arial"/>
          <w:b/>
          <w:lang w:val="es-419"/>
        </w:rPr>
        <w:t>P</w:t>
      </w:r>
      <w:r w:rsidR="0010085F">
        <w:rPr>
          <w:rFonts w:ascii="Arial" w:hAnsi="Arial" w:cs="Arial"/>
          <w:b/>
          <w:lang w:val="es-419"/>
        </w:rPr>
        <w:t>royecto</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33"/>
        <w:gridCol w:w="5109"/>
      </w:tblGrid>
      <w:tr w:rsidR="00402561" w14:paraId="43A37167" w14:textId="77777777" w:rsidTr="0086759A">
        <w:trPr>
          <w:jc w:val="center"/>
        </w:trPr>
        <w:tc>
          <w:tcPr>
            <w:tcW w:w="4133" w:type="dxa"/>
          </w:tcPr>
          <w:p w14:paraId="43A37165" w14:textId="31F75572" w:rsidR="00402561" w:rsidRDefault="00ED528A">
            <w:pPr>
              <w:spacing w:before="40" w:after="40"/>
              <w:ind w:left="115" w:hanging="115"/>
            </w:pPr>
            <w:r>
              <w:rPr>
                <w:rFonts w:ascii="Arial" w:hAnsi="Arial" w:cs="Arial"/>
                <w:sz w:val="18"/>
                <w:szCs w:val="18"/>
              </w:rPr>
              <w:t xml:space="preserve">▪ </w:t>
            </w:r>
            <w:r w:rsidR="00E33E73">
              <w:rPr>
                <w:rFonts w:ascii="Arial" w:hAnsi="Arial" w:cs="Arial"/>
                <w:sz w:val="18"/>
                <w:szCs w:val="18"/>
              </w:rPr>
              <w:t>País</w:t>
            </w:r>
            <w:r>
              <w:rPr>
                <w:rFonts w:ascii="Arial" w:hAnsi="Arial" w:cs="Arial"/>
                <w:sz w:val="18"/>
                <w:szCs w:val="18"/>
              </w:rPr>
              <w:t>/</w:t>
            </w:r>
            <w:proofErr w:type="spellStart"/>
            <w:r>
              <w:rPr>
                <w:rFonts w:ascii="Arial" w:hAnsi="Arial" w:cs="Arial"/>
                <w:sz w:val="18"/>
                <w:szCs w:val="18"/>
              </w:rPr>
              <w:t>Regi</w:t>
            </w:r>
            <w:r w:rsidR="00E33E73">
              <w:rPr>
                <w:rFonts w:ascii="Arial" w:hAnsi="Arial" w:cs="Arial"/>
                <w:sz w:val="18"/>
                <w:szCs w:val="18"/>
              </w:rPr>
              <w:t>ó</w:t>
            </w:r>
            <w:r>
              <w:rPr>
                <w:rFonts w:ascii="Arial" w:hAnsi="Arial" w:cs="Arial"/>
                <w:sz w:val="18"/>
                <w:szCs w:val="18"/>
              </w:rPr>
              <w:t>n</w:t>
            </w:r>
            <w:proofErr w:type="spellEnd"/>
            <w:r>
              <w:rPr>
                <w:rFonts w:ascii="Arial" w:hAnsi="Arial" w:cs="Arial"/>
                <w:sz w:val="18"/>
                <w:szCs w:val="18"/>
              </w:rPr>
              <w:t>:</w:t>
            </w:r>
          </w:p>
        </w:tc>
        <w:tc>
          <w:tcPr>
            <w:tcW w:w="5109" w:type="dxa"/>
          </w:tcPr>
          <w:p w14:paraId="43A37166" w14:textId="56EC2D47" w:rsidR="00402561" w:rsidRDefault="00ED528A">
            <w:pPr>
              <w:spacing w:before="40" w:after="40"/>
            </w:pPr>
            <w:r>
              <w:rPr>
                <w:rFonts w:ascii="Arial" w:hAnsi="Arial" w:cs="Arial"/>
                <w:sz w:val="18"/>
                <w:szCs w:val="18"/>
              </w:rPr>
              <w:t xml:space="preserve">PARAGUAY/CSC </w:t>
            </w:r>
            <w:r w:rsidR="00B42865">
              <w:rPr>
                <w:rFonts w:ascii="Arial" w:hAnsi="Arial" w:cs="Arial"/>
                <w:sz w:val="18"/>
                <w:szCs w:val="18"/>
              </w:rPr>
              <w:t>–</w:t>
            </w:r>
            <w:r>
              <w:rPr>
                <w:rFonts w:ascii="Arial" w:hAnsi="Arial" w:cs="Arial"/>
                <w:sz w:val="18"/>
                <w:szCs w:val="18"/>
              </w:rPr>
              <w:t xml:space="preserve"> </w:t>
            </w:r>
            <w:proofErr w:type="spellStart"/>
            <w:r w:rsidR="00B42865">
              <w:rPr>
                <w:rFonts w:ascii="Arial" w:hAnsi="Arial" w:cs="Arial"/>
                <w:sz w:val="18"/>
                <w:szCs w:val="18"/>
              </w:rPr>
              <w:t>Cono</w:t>
            </w:r>
            <w:proofErr w:type="spellEnd"/>
            <w:r w:rsidR="00B42865">
              <w:rPr>
                <w:rFonts w:ascii="Arial" w:hAnsi="Arial" w:cs="Arial"/>
                <w:sz w:val="18"/>
                <w:szCs w:val="18"/>
              </w:rPr>
              <w:t xml:space="preserve"> Sur</w:t>
            </w:r>
          </w:p>
        </w:tc>
      </w:tr>
      <w:tr w:rsidR="00402561" w14:paraId="43A3716A" w14:textId="77777777" w:rsidTr="0086759A">
        <w:trPr>
          <w:jc w:val="center"/>
        </w:trPr>
        <w:tc>
          <w:tcPr>
            <w:tcW w:w="4133" w:type="dxa"/>
          </w:tcPr>
          <w:p w14:paraId="43A37168" w14:textId="3694352E" w:rsidR="00402561" w:rsidRDefault="00ED528A">
            <w:pPr>
              <w:spacing w:before="40" w:after="40"/>
              <w:ind w:left="115" w:hanging="115"/>
            </w:pPr>
            <w:r>
              <w:rPr>
                <w:rFonts w:ascii="Arial" w:hAnsi="Arial" w:cs="Arial"/>
                <w:sz w:val="18"/>
                <w:szCs w:val="18"/>
              </w:rPr>
              <w:t xml:space="preserve">▪ </w:t>
            </w:r>
            <w:proofErr w:type="spellStart"/>
            <w:r>
              <w:rPr>
                <w:rFonts w:ascii="Arial" w:hAnsi="Arial" w:cs="Arial"/>
                <w:sz w:val="18"/>
                <w:szCs w:val="18"/>
              </w:rPr>
              <w:t>N</w:t>
            </w:r>
            <w:r w:rsidR="00E33E73">
              <w:rPr>
                <w:rFonts w:ascii="Arial" w:hAnsi="Arial" w:cs="Arial"/>
                <w:sz w:val="18"/>
                <w:szCs w:val="18"/>
              </w:rPr>
              <w:t>ombre</w:t>
            </w:r>
            <w:proofErr w:type="spellEnd"/>
            <w:r w:rsidR="00E33E73">
              <w:rPr>
                <w:rFonts w:ascii="Arial" w:hAnsi="Arial" w:cs="Arial"/>
                <w:sz w:val="18"/>
                <w:szCs w:val="18"/>
              </w:rPr>
              <w:t xml:space="preserve"> de CT</w:t>
            </w:r>
            <w:r>
              <w:rPr>
                <w:rFonts w:ascii="Arial" w:hAnsi="Arial" w:cs="Arial"/>
                <w:sz w:val="18"/>
                <w:szCs w:val="18"/>
              </w:rPr>
              <w:t>:</w:t>
            </w:r>
          </w:p>
        </w:tc>
        <w:tc>
          <w:tcPr>
            <w:tcW w:w="5109" w:type="dxa"/>
          </w:tcPr>
          <w:p w14:paraId="43A37169" w14:textId="77777777" w:rsidR="00402561" w:rsidRDefault="00ED528A">
            <w:pPr>
              <w:spacing w:before="40" w:after="40"/>
            </w:pPr>
            <w:r>
              <w:rPr>
                <w:rFonts w:ascii="Arial" w:hAnsi="Arial" w:cs="Arial"/>
                <w:sz w:val="18"/>
                <w:szCs w:val="18"/>
              </w:rPr>
              <w:t>Hydrological Analysis of Paraná River Basin</w:t>
            </w:r>
          </w:p>
        </w:tc>
      </w:tr>
      <w:tr w:rsidR="00402561" w14:paraId="43A3716D" w14:textId="77777777" w:rsidTr="0086759A">
        <w:trPr>
          <w:jc w:val="center"/>
        </w:trPr>
        <w:tc>
          <w:tcPr>
            <w:tcW w:w="4133" w:type="dxa"/>
          </w:tcPr>
          <w:p w14:paraId="43A3716B" w14:textId="2B0935DC" w:rsidR="00402561" w:rsidRDefault="00ED528A">
            <w:pPr>
              <w:spacing w:before="40" w:after="40"/>
              <w:ind w:left="115" w:hanging="115"/>
            </w:pPr>
            <w:r>
              <w:rPr>
                <w:rFonts w:ascii="Arial" w:hAnsi="Arial" w:cs="Arial"/>
                <w:sz w:val="18"/>
                <w:szCs w:val="18"/>
              </w:rPr>
              <w:t xml:space="preserve">▪ </w:t>
            </w:r>
            <w:proofErr w:type="spellStart"/>
            <w:r>
              <w:rPr>
                <w:rFonts w:ascii="Arial" w:hAnsi="Arial" w:cs="Arial"/>
                <w:sz w:val="18"/>
                <w:szCs w:val="18"/>
              </w:rPr>
              <w:t>N</w:t>
            </w:r>
            <w:r w:rsidR="00E33E73">
              <w:rPr>
                <w:rFonts w:ascii="Arial" w:hAnsi="Arial" w:cs="Arial"/>
                <w:sz w:val="18"/>
                <w:szCs w:val="18"/>
              </w:rPr>
              <w:t>úmero</w:t>
            </w:r>
            <w:proofErr w:type="spellEnd"/>
            <w:r w:rsidR="00E33E73">
              <w:rPr>
                <w:rFonts w:ascii="Arial" w:hAnsi="Arial" w:cs="Arial"/>
                <w:sz w:val="18"/>
                <w:szCs w:val="18"/>
              </w:rPr>
              <w:t xml:space="preserve"> de CT</w:t>
            </w:r>
            <w:r>
              <w:rPr>
                <w:rFonts w:ascii="Arial" w:hAnsi="Arial" w:cs="Arial"/>
                <w:sz w:val="18"/>
                <w:szCs w:val="18"/>
              </w:rPr>
              <w:t>:</w:t>
            </w:r>
          </w:p>
        </w:tc>
        <w:tc>
          <w:tcPr>
            <w:tcW w:w="5109" w:type="dxa"/>
          </w:tcPr>
          <w:p w14:paraId="43A3716C" w14:textId="77777777" w:rsidR="00402561" w:rsidRDefault="00ED528A">
            <w:pPr>
              <w:spacing w:before="40" w:after="40"/>
            </w:pPr>
            <w:r>
              <w:rPr>
                <w:rFonts w:ascii="Arial" w:hAnsi="Arial" w:cs="Arial"/>
                <w:sz w:val="18"/>
                <w:szCs w:val="18"/>
              </w:rPr>
              <w:t>PR-T1328</w:t>
            </w:r>
          </w:p>
        </w:tc>
      </w:tr>
      <w:tr w:rsidR="00402561" w:rsidRPr="006635F6" w14:paraId="43A37170" w14:textId="77777777" w:rsidTr="0086759A">
        <w:trPr>
          <w:jc w:val="center"/>
        </w:trPr>
        <w:tc>
          <w:tcPr>
            <w:tcW w:w="4133" w:type="dxa"/>
          </w:tcPr>
          <w:p w14:paraId="43A3716E" w14:textId="5540A9B3" w:rsidR="00402561" w:rsidRDefault="00ED528A">
            <w:pPr>
              <w:spacing w:before="40" w:after="40"/>
              <w:ind w:left="115" w:hanging="115"/>
            </w:pPr>
            <w:r>
              <w:rPr>
                <w:rFonts w:ascii="Arial" w:hAnsi="Arial" w:cs="Arial"/>
                <w:sz w:val="18"/>
                <w:szCs w:val="18"/>
              </w:rPr>
              <w:t xml:space="preserve">▪ </w:t>
            </w:r>
            <w:proofErr w:type="spellStart"/>
            <w:r>
              <w:rPr>
                <w:rFonts w:ascii="Arial" w:hAnsi="Arial" w:cs="Arial"/>
                <w:sz w:val="18"/>
                <w:szCs w:val="18"/>
              </w:rPr>
              <w:t>L</w:t>
            </w:r>
            <w:r w:rsidR="00E33E73">
              <w:rPr>
                <w:rFonts w:ascii="Arial" w:hAnsi="Arial" w:cs="Arial"/>
                <w:sz w:val="18"/>
                <w:szCs w:val="18"/>
              </w:rPr>
              <w:t>íder</w:t>
            </w:r>
            <w:proofErr w:type="spellEnd"/>
            <w:r w:rsidR="00E33E73">
              <w:rPr>
                <w:rFonts w:ascii="Arial" w:hAnsi="Arial" w:cs="Arial"/>
                <w:sz w:val="18"/>
                <w:szCs w:val="18"/>
              </w:rPr>
              <w:t xml:space="preserve"> de Equip</w:t>
            </w:r>
            <w:r w:rsidR="00E10AE7">
              <w:rPr>
                <w:rFonts w:ascii="Arial" w:hAnsi="Arial" w:cs="Arial"/>
                <w:sz w:val="18"/>
                <w:szCs w:val="18"/>
              </w:rPr>
              <w:t>o</w:t>
            </w:r>
            <w:r>
              <w:rPr>
                <w:rFonts w:ascii="Arial" w:hAnsi="Arial" w:cs="Arial"/>
                <w:sz w:val="18"/>
                <w:szCs w:val="18"/>
              </w:rPr>
              <w:t>/</w:t>
            </w:r>
            <w:proofErr w:type="spellStart"/>
            <w:r w:rsidR="00E10AE7">
              <w:rPr>
                <w:rFonts w:ascii="Arial" w:hAnsi="Arial" w:cs="Arial"/>
                <w:sz w:val="18"/>
                <w:szCs w:val="18"/>
              </w:rPr>
              <w:t>Integrantes</w:t>
            </w:r>
            <w:proofErr w:type="spellEnd"/>
            <w:r>
              <w:rPr>
                <w:rFonts w:ascii="Arial" w:hAnsi="Arial" w:cs="Arial"/>
                <w:sz w:val="18"/>
                <w:szCs w:val="18"/>
              </w:rPr>
              <w:t>:</w:t>
            </w:r>
          </w:p>
        </w:tc>
        <w:tc>
          <w:tcPr>
            <w:tcW w:w="5109" w:type="dxa"/>
          </w:tcPr>
          <w:p w14:paraId="43A3716F" w14:textId="54F2CC95" w:rsidR="00A61622" w:rsidRPr="006635F6" w:rsidRDefault="0010085F" w:rsidP="00A61622">
            <w:pPr>
              <w:spacing w:before="40" w:after="40"/>
              <w:jc w:val="both"/>
              <w:rPr>
                <w:rFonts w:ascii="Arial" w:hAnsi="Arial" w:cs="Arial"/>
                <w:sz w:val="18"/>
                <w:szCs w:val="18"/>
                <w:lang w:val="es-419"/>
              </w:rPr>
            </w:pPr>
            <w:r w:rsidRPr="006635F6">
              <w:rPr>
                <w:rFonts w:ascii="Arial" w:hAnsi="Arial" w:cs="Arial"/>
                <w:sz w:val="18"/>
                <w:szCs w:val="18"/>
                <w:lang w:val="es-419"/>
              </w:rPr>
              <w:t xml:space="preserve">Verónica Prado (INE/ENE), Líder Equipo; Hans </w:t>
            </w:r>
            <w:proofErr w:type="spellStart"/>
            <w:r w:rsidRPr="006635F6">
              <w:rPr>
                <w:rFonts w:ascii="Arial" w:hAnsi="Arial" w:cs="Arial"/>
                <w:sz w:val="18"/>
                <w:szCs w:val="18"/>
                <w:lang w:val="es-419"/>
              </w:rPr>
              <w:t>Grunwaldt</w:t>
            </w:r>
            <w:proofErr w:type="spellEnd"/>
            <w:r w:rsidRPr="006635F6">
              <w:rPr>
                <w:rFonts w:ascii="Arial" w:hAnsi="Arial" w:cs="Arial"/>
                <w:sz w:val="18"/>
                <w:szCs w:val="18"/>
                <w:lang w:val="es-419"/>
              </w:rPr>
              <w:t xml:space="preserve"> (CSD/CCS), Líder de Equipo Alterno; Mauro </w:t>
            </w:r>
            <w:proofErr w:type="spellStart"/>
            <w:r w:rsidRPr="006635F6">
              <w:rPr>
                <w:rFonts w:ascii="Arial" w:hAnsi="Arial" w:cs="Arial"/>
                <w:sz w:val="18"/>
                <w:szCs w:val="18"/>
                <w:lang w:val="es-419"/>
              </w:rPr>
              <w:t>Nalesso</w:t>
            </w:r>
            <w:proofErr w:type="spellEnd"/>
            <w:r w:rsidRPr="006635F6">
              <w:rPr>
                <w:rFonts w:ascii="Arial" w:hAnsi="Arial" w:cs="Arial"/>
                <w:sz w:val="18"/>
                <w:szCs w:val="18"/>
                <w:lang w:val="es-419"/>
              </w:rPr>
              <w:t xml:space="preserve"> (INE/WSA) Líder</w:t>
            </w:r>
            <w:r w:rsidR="00391486" w:rsidRPr="006635F6">
              <w:rPr>
                <w:rFonts w:ascii="Arial" w:hAnsi="Arial" w:cs="Arial"/>
                <w:sz w:val="18"/>
                <w:szCs w:val="18"/>
                <w:lang w:val="es-419"/>
              </w:rPr>
              <w:t xml:space="preserve"> de Equipo Alterno</w:t>
            </w:r>
            <w:r w:rsidRPr="006635F6">
              <w:rPr>
                <w:rFonts w:ascii="Arial" w:hAnsi="Arial" w:cs="Arial"/>
                <w:sz w:val="18"/>
                <w:szCs w:val="18"/>
                <w:lang w:val="es-419"/>
              </w:rPr>
              <w:t xml:space="preserve">; </w:t>
            </w:r>
            <w:r w:rsidR="00494FC4" w:rsidRPr="006635F6">
              <w:rPr>
                <w:rFonts w:ascii="Arial" w:hAnsi="Arial" w:cs="Arial"/>
                <w:sz w:val="18"/>
                <w:szCs w:val="18"/>
                <w:lang w:val="es-419"/>
              </w:rPr>
              <w:t xml:space="preserve">José </w:t>
            </w:r>
            <w:proofErr w:type="spellStart"/>
            <w:r w:rsidR="00494FC4" w:rsidRPr="006635F6">
              <w:rPr>
                <w:rFonts w:ascii="Arial" w:hAnsi="Arial" w:cs="Arial"/>
                <w:sz w:val="18"/>
                <w:szCs w:val="18"/>
                <w:lang w:val="es-419"/>
              </w:rPr>
              <w:t>M</w:t>
            </w:r>
            <w:r w:rsidRPr="006635F6">
              <w:rPr>
                <w:rFonts w:ascii="Arial" w:hAnsi="Arial" w:cs="Arial"/>
                <w:sz w:val="18"/>
                <w:szCs w:val="18"/>
                <w:lang w:val="es-419"/>
              </w:rPr>
              <w:t>anjarres</w:t>
            </w:r>
            <w:proofErr w:type="spellEnd"/>
            <w:r w:rsidRPr="006635F6">
              <w:rPr>
                <w:rFonts w:ascii="Arial" w:hAnsi="Arial" w:cs="Arial"/>
                <w:sz w:val="18"/>
                <w:szCs w:val="18"/>
                <w:lang w:val="es-419"/>
              </w:rPr>
              <w:t>, (</w:t>
            </w:r>
            <w:r w:rsidR="00494FC4" w:rsidRPr="006635F6">
              <w:rPr>
                <w:rFonts w:ascii="Arial" w:hAnsi="Arial" w:cs="Arial"/>
                <w:sz w:val="18"/>
                <w:szCs w:val="18"/>
                <w:lang w:val="es-419"/>
              </w:rPr>
              <w:t>INE</w:t>
            </w:r>
            <w:r w:rsidRPr="006635F6">
              <w:rPr>
                <w:rFonts w:ascii="Arial" w:hAnsi="Arial" w:cs="Arial"/>
                <w:sz w:val="18"/>
                <w:szCs w:val="18"/>
                <w:lang w:val="es-419"/>
              </w:rPr>
              <w:t>/</w:t>
            </w:r>
            <w:r w:rsidR="00494FC4" w:rsidRPr="006635F6">
              <w:rPr>
                <w:rFonts w:ascii="Arial" w:hAnsi="Arial" w:cs="Arial"/>
                <w:sz w:val="18"/>
                <w:szCs w:val="18"/>
                <w:lang w:val="es-419"/>
              </w:rPr>
              <w:t>WSA</w:t>
            </w:r>
            <w:r w:rsidRPr="006635F6">
              <w:rPr>
                <w:rFonts w:ascii="Arial" w:hAnsi="Arial" w:cs="Arial"/>
                <w:sz w:val="18"/>
                <w:szCs w:val="18"/>
                <w:lang w:val="es-419"/>
              </w:rPr>
              <w:t xml:space="preserve">); </w:t>
            </w:r>
            <w:r w:rsidR="00494FC4" w:rsidRPr="006635F6">
              <w:rPr>
                <w:rFonts w:ascii="Arial" w:hAnsi="Arial" w:cs="Arial"/>
                <w:sz w:val="18"/>
                <w:szCs w:val="18"/>
                <w:lang w:val="es-419"/>
              </w:rPr>
              <w:t>F</w:t>
            </w:r>
            <w:r w:rsidRPr="006635F6">
              <w:rPr>
                <w:rFonts w:ascii="Arial" w:hAnsi="Arial" w:cs="Arial"/>
                <w:sz w:val="18"/>
                <w:szCs w:val="18"/>
                <w:lang w:val="es-419"/>
              </w:rPr>
              <w:t xml:space="preserve">ederico </w:t>
            </w:r>
            <w:r w:rsidR="00494FC4" w:rsidRPr="006635F6">
              <w:rPr>
                <w:rFonts w:ascii="Arial" w:hAnsi="Arial" w:cs="Arial"/>
                <w:sz w:val="18"/>
                <w:szCs w:val="18"/>
                <w:lang w:val="es-419"/>
              </w:rPr>
              <w:t>Goldenberg</w:t>
            </w:r>
            <w:r w:rsidR="007F089A" w:rsidRPr="006635F6">
              <w:rPr>
                <w:rFonts w:ascii="Arial" w:hAnsi="Arial" w:cs="Arial"/>
                <w:sz w:val="18"/>
                <w:szCs w:val="18"/>
                <w:lang w:val="es-419"/>
              </w:rPr>
              <w:t>; Fidel Márquez</w:t>
            </w:r>
            <w:r w:rsidR="00494FC4" w:rsidRPr="006635F6">
              <w:rPr>
                <w:rFonts w:ascii="Arial" w:hAnsi="Arial" w:cs="Arial"/>
                <w:sz w:val="18"/>
                <w:szCs w:val="18"/>
                <w:lang w:val="es-419"/>
              </w:rPr>
              <w:t xml:space="preserve"> </w:t>
            </w:r>
            <w:r w:rsidRPr="006635F6">
              <w:rPr>
                <w:rFonts w:ascii="Arial" w:hAnsi="Arial" w:cs="Arial"/>
                <w:sz w:val="18"/>
                <w:szCs w:val="18"/>
                <w:lang w:val="es-419"/>
              </w:rPr>
              <w:t>(</w:t>
            </w:r>
            <w:r w:rsidR="00494FC4" w:rsidRPr="006635F6">
              <w:rPr>
                <w:rFonts w:ascii="Arial" w:hAnsi="Arial" w:cs="Arial"/>
                <w:sz w:val="18"/>
                <w:szCs w:val="18"/>
                <w:lang w:val="es-419"/>
              </w:rPr>
              <w:t>INE/ENE</w:t>
            </w:r>
            <w:r w:rsidRPr="006635F6">
              <w:rPr>
                <w:rFonts w:ascii="Arial" w:hAnsi="Arial" w:cs="Arial"/>
                <w:sz w:val="18"/>
                <w:szCs w:val="18"/>
                <w:lang w:val="es-419"/>
              </w:rPr>
              <w:t xml:space="preserve">); </w:t>
            </w:r>
            <w:r w:rsidR="00434CB8" w:rsidRPr="006635F6">
              <w:rPr>
                <w:rFonts w:ascii="Arial" w:hAnsi="Arial" w:cs="Arial"/>
                <w:sz w:val="18"/>
                <w:szCs w:val="18"/>
                <w:lang w:val="es-419"/>
              </w:rPr>
              <w:t>C</w:t>
            </w:r>
            <w:r w:rsidR="007F089A" w:rsidRPr="006635F6">
              <w:rPr>
                <w:rFonts w:ascii="Arial" w:hAnsi="Arial" w:cs="Arial"/>
                <w:sz w:val="18"/>
                <w:szCs w:val="18"/>
                <w:lang w:val="es-419"/>
              </w:rPr>
              <w:t xml:space="preserve">arolina </w:t>
            </w:r>
            <w:proofErr w:type="spellStart"/>
            <w:r w:rsidR="00434CB8" w:rsidRPr="006635F6">
              <w:rPr>
                <w:rFonts w:ascii="Arial" w:hAnsi="Arial" w:cs="Arial"/>
                <w:sz w:val="18"/>
                <w:szCs w:val="18"/>
                <w:lang w:val="es-419"/>
              </w:rPr>
              <w:t>V</w:t>
            </w:r>
            <w:r w:rsidRPr="006635F6">
              <w:rPr>
                <w:rFonts w:ascii="Arial" w:hAnsi="Arial" w:cs="Arial"/>
                <w:sz w:val="18"/>
                <w:szCs w:val="18"/>
                <w:lang w:val="es-419"/>
              </w:rPr>
              <w:t>erissimo</w:t>
            </w:r>
            <w:proofErr w:type="spellEnd"/>
            <w:r w:rsidR="003C6A73" w:rsidRPr="006635F6">
              <w:rPr>
                <w:rFonts w:ascii="Arial" w:hAnsi="Arial" w:cs="Arial"/>
                <w:sz w:val="18"/>
                <w:szCs w:val="18"/>
                <w:lang w:val="es-419"/>
              </w:rPr>
              <w:t xml:space="preserve"> </w:t>
            </w:r>
            <w:r w:rsidRPr="006635F6">
              <w:rPr>
                <w:rFonts w:ascii="Arial" w:hAnsi="Arial" w:cs="Arial"/>
                <w:sz w:val="18"/>
                <w:szCs w:val="18"/>
                <w:lang w:val="es-419"/>
              </w:rPr>
              <w:t xml:space="preserve">da </w:t>
            </w:r>
            <w:r w:rsidR="00434CB8" w:rsidRPr="006635F6">
              <w:rPr>
                <w:rFonts w:ascii="Arial" w:hAnsi="Arial" w:cs="Arial"/>
                <w:sz w:val="18"/>
                <w:szCs w:val="18"/>
                <w:lang w:val="es-419"/>
              </w:rPr>
              <w:t>S</w:t>
            </w:r>
            <w:r w:rsidRPr="006635F6">
              <w:rPr>
                <w:rFonts w:ascii="Arial" w:hAnsi="Arial" w:cs="Arial"/>
                <w:sz w:val="18"/>
                <w:szCs w:val="18"/>
                <w:lang w:val="es-419"/>
              </w:rPr>
              <w:t>ilva (</w:t>
            </w:r>
            <w:r w:rsidR="007F089A" w:rsidRPr="006635F6">
              <w:rPr>
                <w:rFonts w:ascii="Arial" w:hAnsi="Arial" w:cs="Arial"/>
                <w:sz w:val="18"/>
                <w:szCs w:val="18"/>
                <w:lang w:val="es-419"/>
              </w:rPr>
              <w:t>LEG</w:t>
            </w:r>
            <w:r w:rsidRPr="006635F6">
              <w:rPr>
                <w:rFonts w:ascii="Arial" w:hAnsi="Arial" w:cs="Arial"/>
                <w:sz w:val="18"/>
                <w:szCs w:val="18"/>
                <w:lang w:val="es-419"/>
              </w:rPr>
              <w:t>/</w:t>
            </w:r>
            <w:r w:rsidR="007F089A" w:rsidRPr="006635F6">
              <w:rPr>
                <w:rFonts w:ascii="Arial" w:hAnsi="Arial" w:cs="Arial"/>
                <w:sz w:val="18"/>
                <w:szCs w:val="18"/>
                <w:lang w:val="es-419"/>
              </w:rPr>
              <w:t>SGO</w:t>
            </w:r>
            <w:r w:rsidRPr="006635F6">
              <w:rPr>
                <w:rFonts w:ascii="Arial" w:hAnsi="Arial" w:cs="Arial"/>
                <w:sz w:val="18"/>
                <w:szCs w:val="18"/>
                <w:lang w:val="es-419"/>
              </w:rPr>
              <w:t xml:space="preserve">); </w:t>
            </w:r>
            <w:r w:rsidR="00434CB8" w:rsidRPr="006635F6">
              <w:rPr>
                <w:rFonts w:ascii="Arial" w:hAnsi="Arial" w:cs="Arial"/>
                <w:sz w:val="18"/>
                <w:szCs w:val="18"/>
                <w:lang w:val="es-419"/>
              </w:rPr>
              <w:t>R</w:t>
            </w:r>
            <w:r w:rsidRPr="006635F6">
              <w:rPr>
                <w:rFonts w:ascii="Arial" w:hAnsi="Arial" w:cs="Arial"/>
                <w:sz w:val="18"/>
                <w:szCs w:val="18"/>
                <w:lang w:val="es-419"/>
              </w:rPr>
              <w:t xml:space="preserve">uth </w:t>
            </w:r>
            <w:r w:rsidR="00434CB8" w:rsidRPr="006635F6">
              <w:rPr>
                <w:rFonts w:ascii="Arial" w:hAnsi="Arial" w:cs="Arial"/>
                <w:sz w:val="18"/>
                <w:szCs w:val="18"/>
                <w:lang w:val="es-419"/>
              </w:rPr>
              <w:t>C</w:t>
            </w:r>
            <w:r w:rsidR="007F089A" w:rsidRPr="006635F6">
              <w:rPr>
                <w:rFonts w:ascii="Arial" w:hAnsi="Arial" w:cs="Arial"/>
                <w:sz w:val="18"/>
                <w:szCs w:val="18"/>
                <w:lang w:val="es-419"/>
              </w:rPr>
              <w:t>abrera</w:t>
            </w:r>
            <w:r w:rsidRPr="006635F6">
              <w:rPr>
                <w:rFonts w:ascii="Arial" w:hAnsi="Arial" w:cs="Arial"/>
                <w:sz w:val="18"/>
                <w:szCs w:val="18"/>
                <w:lang w:val="es-419"/>
              </w:rPr>
              <w:t xml:space="preserve"> (</w:t>
            </w:r>
            <w:r w:rsidR="00434CB8" w:rsidRPr="006635F6">
              <w:rPr>
                <w:rFonts w:ascii="Arial" w:hAnsi="Arial" w:cs="Arial"/>
                <w:sz w:val="18"/>
                <w:szCs w:val="18"/>
                <w:lang w:val="es-419"/>
              </w:rPr>
              <w:t>CSC</w:t>
            </w:r>
            <w:r w:rsidRPr="006635F6">
              <w:rPr>
                <w:rFonts w:ascii="Arial" w:hAnsi="Arial" w:cs="Arial"/>
                <w:sz w:val="18"/>
                <w:szCs w:val="18"/>
                <w:lang w:val="es-419"/>
              </w:rPr>
              <w:t>/</w:t>
            </w:r>
            <w:r w:rsidR="00434CB8" w:rsidRPr="006635F6">
              <w:rPr>
                <w:rFonts w:ascii="Arial" w:hAnsi="Arial" w:cs="Arial"/>
                <w:sz w:val="18"/>
                <w:szCs w:val="18"/>
                <w:lang w:val="es-419"/>
              </w:rPr>
              <w:t>CPR</w:t>
            </w:r>
            <w:r w:rsidRPr="006635F6">
              <w:rPr>
                <w:rFonts w:ascii="Arial" w:hAnsi="Arial" w:cs="Arial"/>
                <w:sz w:val="18"/>
                <w:szCs w:val="18"/>
                <w:lang w:val="es-419"/>
              </w:rPr>
              <w:t>);</w:t>
            </w:r>
            <w:r w:rsidR="00434CB8" w:rsidRPr="006635F6">
              <w:rPr>
                <w:rFonts w:ascii="Arial" w:hAnsi="Arial" w:cs="Arial"/>
                <w:sz w:val="18"/>
                <w:szCs w:val="18"/>
                <w:lang w:val="es-419"/>
              </w:rPr>
              <w:t xml:space="preserve"> G</w:t>
            </w:r>
            <w:r w:rsidRPr="006635F6">
              <w:rPr>
                <w:rFonts w:ascii="Arial" w:hAnsi="Arial" w:cs="Arial"/>
                <w:sz w:val="18"/>
                <w:szCs w:val="18"/>
                <w:lang w:val="es-419"/>
              </w:rPr>
              <w:t xml:space="preserve">ilda </w:t>
            </w:r>
            <w:proofErr w:type="spellStart"/>
            <w:r w:rsidR="00434CB8" w:rsidRPr="006635F6">
              <w:rPr>
                <w:rFonts w:ascii="Arial" w:hAnsi="Arial" w:cs="Arial"/>
                <w:sz w:val="18"/>
                <w:szCs w:val="18"/>
                <w:lang w:val="es-419"/>
              </w:rPr>
              <w:t>Anazco</w:t>
            </w:r>
            <w:proofErr w:type="spellEnd"/>
            <w:r w:rsidR="00434CB8" w:rsidRPr="006635F6">
              <w:rPr>
                <w:rFonts w:ascii="Arial" w:hAnsi="Arial" w:cs="Arial"/>
                <w:sz w:val="18"/>
                <w:szCs w:val="18"/>
                <w:lang w:val="es-419"/>
              </w:rPr>
              <w:t xml:space="preserve"> </w:t>
            </w:r>
            <w:r w:rsidRPr="006635F6">
              <w:rPr>
                <w:rFonts w:ascii="Arial" w:hAnsi="Arial" w:cs="Arial"/>
                <w:sz w:val="18"/>
                <w:szCs w:val="18"/>
                <w:lang w:val="es-419"/>
              </w:rPr>
              <w:t>(</w:t>
            </w:r>
            <w:r w:rsidR="00434CB8" w:rsidRPr="006635F6">
              <w:rPr>
                <w:rFonts w:ascii="Arial" w:hAnsi="Arial" w:cs="Arial"/>
                <w:sz w:val="18"/>
                <w:szCs w:val="18"/>
                <w:lang w:val="es-419"/>
              </w:rPr>
              <w:t>IFD</w:t>
            </w:r>
            <w:r w:rsidRPr="006635F6">
              <w:rPr>
                <w:rFonts w:ascii="Arial" w:hAnsi="Arial" w:cs="Arial"/>
                <w:sz w:val="18"/>
                <w:szCs w:val="18"/>
                <w:lang w:val="es-419"/>
              </w:rPr>
              <w:t>/</w:t>
            </w:r>
            <w:r w:rsidR="00434CB8" w:rsidRPr="006635F6">
              <w:rPr>
                <w:rFonts w:ascii="Arial" w:hAnsi="Arial" w:cs="Arial"/>
                <w:sz w:val="18"/>
                <w:szCs w:val="18"/>
                <w:lang w:val="es-419"/>
              </w:rPr>
              <w:t>CMF</w:t>
            </w:r>
            <w:r w:rsidRPr="006635F6">
              <w:rPr>
                <w:rFonts w:ascii="Arial" w:hAnsi="Arial" w:cs="Arial"/>
                <w:sz w:val="18"/>
                <w:szCs w:val="18"/>
                <w:lang w:val="es-419"/>
              </w:rPr>
              <w:t>);</w:t>
            </w:r>
            <w:r w:rsidR="00434CB8" w:rsidRPr="006635F6">
              <w:rPr>
                <w:rFonts w:ascii="Arial" w:hAnsi="Arial" w:cs="Arial"/>
                <w:sz w:val="18"/>
                <w:szCs w:val="18"/>
                <w:lang w:val="es-419"/>
              </w:rPr>
              <w:t xml:space="preserve"> Jorge L. G</w:t>
            </w:r>
            <w:r w:rsidRPr="006635F6">
              <w:rPr>
                <w:rFonts w:ascii="Arial" w:hAnsi="Arial" w:cs="Arial"/>
                <w:sz w:val="18"/>
                <w:szCs w:val="18"/>
                <w:lang w:val="es-419"/>
              </w:rPr>
              <w:t>onz</w:t>
            </w:r>
            <w:r w:rsidR="00434CB8" w:rsidRPr="006635F6">
              <w:rPr>
                <w:rFonts w:ascii="Arial" w:hAnsi="Arial" w:cs="Arial"/>
                <w:sz w:val="18"/>
                <w:szCs w:val="18"/>
                <w:lang w:val="es-419"/>
              </w:rPr>
              <w:t>á</w:t>
            </w:r>
            <w:r w:rsidRPr="006635F6">
              <w:rPr>
                <w:rFonts w:ascii="Arial" w:hAnsi="Arial" w:cs="Arial"/>
                <w:sz w:val="18"/>
                <w:szCs w:val="18"/>
                <w:lang w:val="es-419"/>
              </w:rPr>
              <w:t>lez (</w:t>
            </w:r>
            <w:r w:rsidR="00434CB8" w:rsidRPr="006635F6">
              <w:rPr>
                <w:rFonts w:ascii="Arial" w:hAnsi="Arial" w:cs="Arial"/>
                <w:sz w:val="18"/>
                <w:szCs w:val="18"/>
                <w:lang w:val="es-419"/>
              </w:rPr>
              <w:t>VPC</w:t>
            </w:r>
            <w:r w:rsidRPr="006635F6">
              <w:rPr>
                <w:rFonts w:ascii="Arial" w:hAnsi="Arial" w:cs="Arial"/>
                <w:sz w:val="18"/>
                <w:szCs w:val="18"/>
                <w:lang w:val="es-419"/>
              </w:rPr>
              <w:t>/</w:t>
            </w:r>
            <w:r w:rsidR="00434CB8" w:rsidRPr="006635F6">
              <w:rPr>
                <w:rFonts w:ascii="Arial" w:hAnsi="Arial" w:cs="Arial"/>
                <w:sz w:val="18"/>
                <w:szCs w:val="18"/>
                <w:lang w:val="es-419"/>
              </w:rPr>
              <w:t>FMP</w:t>
            </w:r>
            <w:r w:rsidRPr="006635F6">
              <w:rPr>
                <w:rFonts w:ascii="Arial" w:hAnsi="Arial" w:cs="Arial"/>
                <w:sz w:val="18"/>
                <w:szCs w:val="18"/>
                <w:lang w:val="es-419"/>
              </w:rPr>
              <w:t>);</w:t>
            </w:r>
            <w:r w:rsidR="00434CB8" w:rsidRPr="006635F6">
              <w:rPr>
                <w:rFonts w:ascii="Arial" w:hAnsi="Arial" w:cs="Arial"/>
                <w:sz w:val="18"/>
                <w:szCs w:val="18"/>
                <w:lang w:val="es-419"/>
              </w:rPr>
              <w:t xml:space="preserve"> J</w:t>
            </w:r>
            <w:r w:rsidRPr="006635F6">
              <w:rPr>
                <w:rFonts w:ascii="Arial" w:hAnsi="Arial" w:cs="Arial"/>
                <w:sz w:val="18"/>
                <w:szCs w:val="18"/>
                <w:lang w:val="es-419"/>
              </w:rPr>
              <w:t xml:space="preserve">orge </w:t>
            </w:r>
            <w:proofErr w:type="spellStart"/>
            <w:r w:rsidR="00434CB8" w:rsidRPr="006635F6">
              <w:rPr>
                <w:rFonts w:ascii="Arial" w:hAnsi="Arial" w:cs="Arial"/>
                <w:sz w:val="18"/>
                <w:szCs w:val="18"/>
                <w:lang w:val="es-419"/>
              </w:rPr>
              <w:t>Seigneur</w:t>
            </w:r>
            <w:proofErr w:type="spellEnd"/>
            <w:r w:rsidRPr="006635F6">
              <w:rPr>
                <w:rFonts w:ascii="Arial" w:hAnsi="Arial" w:cs="Arial"/>
                <w:sz w:val="18"/>
                <w:szCs w:val="18"/>
                <w:lang w:val="es-419"/>
              </w:rPr>
              <w:t xml:space="preserve"> (</w:t>
            </w:r>
            <w:r w:rsidR="00434CB8" w:rsidRPr="006635F6">
              <w:rPr>
                <w:rFonts w:ascii="Arial" w:hAnsi="Arial" w:cs="Arial"/>
                <w:sz w:val="18"/>
                <w:szCs w:val="18"/>
                <w:lang w:val="es-419"/>
              </w:rPr>
              <w:t>VPC</w:t>
            </w:r>
            <w:r w:rsidRPr="006635F6">
              <w:rPr>
                <w:rFonts w:ascii="Arial" w:hAnsi="Arial" w:cs="Arial"/>
                <w:sz w:val="18"/>
                <w:szCs w:val="18"/>
                <w:lang w:val="es-419"/>
              </w:rPr>
              <w:t>/</w:t>
            </w:r>
            <w:r w:rsidR="00434CB8" w:rsidRPr="006635F6">
              <w:rPr>
                <w:rFonts w:ascii="Arial" w:hAnsi="Arial" w:cs="Arial"/>
                <w:sz w:val="18"/>
                <w:szCs w:val="18"/>
                <w:lang w:val="es-419"/>
              </w:rPr>
              <w:t>FMP</w:t>
            </w:r>
            <w:r w:rsidRPr="006635F6">
              <w:rPr>
                <w:rFonts w:ascii="Arial" w:hAnsi="Arial" w:cs="Arial"/>
                <w:sz w:val="18"/>
                <w:szCs w:val="18"/>
                <w:lang w:val="es-419"/>
              </w:rPr>
              <w:t xml:space="preserve">); </w:t>
            </w:r>
            <w:r w:rsidR="00434CB8" w:rsidRPr="006635F6">
              <w:rPr>
                <w:rFonts w:ascii="Arial" w:hAnsi="Arial" w:cs="Arial"/>
                <w:sz w:val="18"/>
                <w:szCs w:val="18"/>
                <w:lang w:val="es-419"/>
              </w:rPr>
              <w:t>T</w:t>
            </w:r>
            <w:r w:rsidRPr="006635F6">
              <w:rPr>
                <w:rFonts w:ascii="Arial" w:hAnsi="Arial" w:cs="Arial"/>
                <w:sz w:val="18"/>
                <w:szCs w:val="18"/>
                <w:lang w:val="es-419"/>
              </w:rPr>
              <w:t xml:space="preserve">heresa </w:t>
            </w:r>
            <w:r w:rsidR="003C6A73" w:rsidRPr="006635F6">
              <w:rPr>
                <w:rFonts w:ascii="Arial" w:hAnsi="Arial" w:cs="Arial"/>
                <w:sz w:val="18"/>
                <w:szCs w:val="18"/>
                <w:lang w:val="es-419"/>
              </w:rPr>
              <w:t>S</w:t>
            </w:r>
            <w:r w:rsidRPr="006635F6">
              <w:rPr>
                <w:rFonts w:ascii="Arial" w:hAnsi="Arial" w:cs="Arial"/>
                <w:sz w:val="18"/>
                <w:szCs w:val="18"/>
                <w:lang w:val="es-419"/>
              </w:rPr>
              <w:t>chutz (</w:t>
            </w:r>
            <w:r w:rsidR="003C6A73" w:rsidRPr="006635F6">
              <w:rPr>
                <w:rFonts w:ascii="Arial" w:hAnsi="Arial" w:cs="Arial"/>
                <w:sz w:val="18"/>
                <w:szCs w:val="18"/>
                <w:lang w:val="es-419"/>
              </w:rPr>
              <w:t>INE</w:t>
            </w:r>
            <w:r w:rsidRPr="006635F6">
              <w:rPr>
                <w:rFonts w:ascii="Arial" w:hAnsi="Arial" w:cs="Arial"/>
                <w:sz w:val="18"/>
                <w:szCs w:val="18"/>
                <w:lang w:val="es-419"/>
              </w:rPr>
              <w:t>/</w:t>
            </w:r>
            <w:r w:rsidR="003C6A73" w:rsidRPr="006635F6">
              <w:rPr>
                <w:rFonts w:ascii="Arial" w:hAnsi="Arial" w:cs="Arial"/>
                <w:sz w:val="18"/>
                <w:szCs w:val="18"/>
                <w:lang w:val="es-419"/>
              </w:rPr>
              <w:t>WSA</w:t>
            </w:r>
            <w:r w:rsidRPr="006635F6">
              <w:rPr>
                <w:rFonts w:ascii="Arial" w:hAnsi="Arial" w:cs="Arial"/>
                <w:sz w:val="18"/>
                <w:szCs w:val="18"/>
                <w:lang w:val="es-419"/>
              </w:rPr>
              <w:t>)</w:t>
            </w:r>
            <w:r w:rsidR="007F089A" w:rsidRPr="006635F6">
              <w:rPr>
                <w:rFonts w:ascii="Arial" w:hAnsi="Arial" w:cs="Arial"/>
                <w:sz w:val="18"/>
                <w:szCs w:val="18"/>
                <w:lang w:val="es-419"/>
              </w:rPr>
              <w:t>.</w:t>
            </w:r>
          </w:p>
        </w:tc>
      </w:tr>
      <w:tr w:rsidR="00402561" w14:paraId="43A37173" w14:textId="77777777" w:rsidTr="0086759A">
        <w:trPr>
          <w:jc w:val="center"/>
        </w:trPr>
        <w:tc>
          <w:tcPr>
            <w:tcW w:w="4133" w:type="dxa"/>
          </w:tcPr>
          <w:p w14:paraId="43A37171" w14:textId="3CEF0519" w:rsidR="00402561" w:rsidRDefault="00ED528A">
            <w:pPr>
              <w:spacing w:before="40" w:after="40"/>
              <w:ind w:left="115" w:hanging="115"/>
            </w:pPr>
            <w:r>
              <w:rPr>
                <w:rFonts w:ascii="Arial" w:hAnsi="Arial" w:cs="Arial"/>
                <w:sz w:val="18"/>
                <w:szCs w:val="18"/>
              </w:rPr>
              <w:t xml:space="preserve">▪ </w:t>
            </w:r>
            <w:proofErr w:type="spellStart"/>
            <w:r>
              <w:rPr>
                <w:rFonts w:ascii="Arial" w:hAnsi="Arial" w:cs="Arial"/>
                <w:sz w:val="18"/>
                <w:szCs w:val="18"/>
              </w:rPr>
              <w:t>Taxon</w:t>
            </w:r>
            <w:r w:rsidR="00E10AE7">
              <w:rPr>
                <w:rFonts w:ascii="Arial" w:hAnsi="Arial" w:cs="Arial"/>
                <w:sz w:val="18"/>
                <w:szCs w:val="18"/>
              </w:rPr>
              <w:t>om</w:t>
            </w:r>
            <w:r w:rsidR="00197889">
              <w:rPr>
                <w:rFonts w:ascii="Arial" w:hAnsi="Arial" w:cs="Arial"/>
                <w:sz w:val="18"/>
                <w:szCs w:val="18"/>
              </w:rPr>
              <w:t>í</w:t>
            </w:r>
            <w:r w:rsidR="00E10AE7">
              <w:rPr>
                <w:rFonts w:ascii="Arial" w:hAnsi="Arial" w:cs="Arial"/>
                <w:sz w:val="18"/>
                <w:szCs w:val="18"/>
              </w:rPr>
              <w:t>a</w:t>
            </w:r>
            <w:proofErr w:type="spellEnd"/>
            <w:r>
              <w:rPr>
                <w:rFonts w:ascii="Arial" w:hAnsi="Arial" w:cs="Arial"/>
                <w:sz w:val="18"/>
                <w:szCs w:val="18"/>
              </w:rPr>
              <w:t>:</w:t>
            </w:r>
          </w:p>
        </w:tc>
        <w:tc>
          <w:tcPr>
            <w:tcW w:w="5109" w:type="dxa"/>
          </w:tcPr>
          <w:p w14:paraId="43A37172" w14:textId="32454141" w:rsidR="00402561" w:rsidRDefault="006F6397">
            <w:pPr>
              <w:spacing w:before="40" w:after="40"/>
            </w:pPr>
            <w:proofErr w:type="spellStart"/>
            <w:r>
              <w:rPr>
                <w:rFonts w:ascii="Arial" w:hAnsi="Arial" w:cs="Arial"/>
                <w:sz w:val="18"/>
                <w:szCs w:val="18"/>
              </w:rPr>
              <w:t>Apoyo</w:t>
            </w:r>
            <w:proofErr w:type="spellEnd"/>
            <w:r>
              <w:rPr>
                <w:rFonts w:ascii="Arial" w:hAnsi="Arial" w:cs="Arial"/>
                <w:sz w:val="18"/>
                <w:szCs w:val="18"/>
              </w:rPr>
              <w:t xml:space="preserve"> al </w:t>
            </w:r>
            <w:proofErr w:type="spellStart"/>
            <w:r>
              <w:rPr>
                <w:rFonts w:ascii="Arial" w:hAnsi="Arial" w:cs="Arial"/>
                <w:sz w:val="18"/>
                <w:szCs w:val="18"/>
              </w:rPr>
              <w:t>Cliente</w:t>
            </w:r>
            <w:proofErr w:type="spellEnd"/>
          </w:p>
        </w:tc>
      </w:tr>
      <w:tr w:rsidR="00402561" w14:paraId="43A37176" w14:textId="77777777" w:rsidTr="0086759A">
        <w:trPr>
          <w:jc w:val="center"/>
        </w:trPr>
        <w:tc>
          <w:tcPr>
            <w:tcW w:w="4133" w:type="dxa"/>
          </w:tcPr>
          <w:p w14:paraId="43A37174" w14:textId="0B67E068" w:rsidR="00402561" w:rsidRPr="006F6397" w:rsidRDefault="00ED528A">
            <w:pPr>
              <w:spacing w:before="40" w:after="40"/>
              <w:ind w:left="115" w:hanging="115"/>
              <w:rPr>
                <w:lang w:val="es-419"/>
              </w:rPr>
            </w:pPr>
            <w:r w:rsidRPr="006F6397">
              <w:rPr>
                <w:rFonts w:ascii="Arial" w:hAnsi="Arial" w:cs="Arial"/>
                <w:sz w:val="18"/>
                <w:szCs w:val="18"/>
                <w:lang w:val="es-419"/>
              </w:rPr>
              <w:t>▪ N</w:t>
            </w:r>
            <w:r w:rsidR="00197889" w:rsidRPr="006F6397">
              <w:rPr>
                <w:rFonts w:ascii="Arial" w:hAnsi="Arial" w:cs="Arial"/>
                <w:sz w:val="18"/>
                <w:szCs w:val="18"/>
                <w:lang w:val="es-419"/>
              </w:rPr>
              <w:t>úmero y nombre de la operación a</w:t>
            </w:r>
            <w:r w:rsidR="006F6397" w:rsidRPr="006F6397">
              <w:rPr>
                <w:rFonts w:ascii="Arial" w:hAnsi="Arial" w:cs="Arial"/>
                <w:sz w:val="18"/>
                <w:szCs w:val="18"/>
                <w:lang w:val="es-419"/>
              </w:rPr>
              <w:t xml:space="preserve"> la cual apoya es</w:t>
            </w:r>
            <w:r w:rsidR="006F6397">
              <w:rPr>
                <w:rFonts w:ascii="Arial" w:hAnsi="Arial" w:cs="Arial"/>
                <w:sz w:val="18"/>
                <w:szCs w:val="18"/>
                <w:lang w:val="es-419"/>
              </w:rPr>
              <w:t>ta CT</w:t>
            </w:r>
            <w:r w:rsidRPr="006F6397">
              <w:rPr>
                <w:rFonts w:ascii="Arial" w:hAnsi="Arial" w:cs="Arial"/>
                <w:sz w:val="18"/>
                <w:szCs w:val="18"/>
                <w:lang w:val="es-419"/>
              </w:rPr>
              <w:t>:</w:t>
            </w:r>
          </w:p>
        </w:tc>
        <w:tc>
          <w:tcPr>
            <w:tcW w:w="5109" w:type="dxa"/>
          </w:tcPr>
          <w:p w14:paraId="43A37175" w14:textId="77777777" w:rsidR="00402561" w:rsidRDefault="00ED528A">
            <w:pPr>
              <w:spacing w:before="40" w:after="40"/>
            </w:pPr>
            <w:r>
              <w:rPr>
                <w:rFonts w:ascii="Arial" w:hAnsi="Arial" w:cs="Arial"/>
                <w:sz w:val="18"/>
                <w:szCs w:val="18"/>
              </w:rPr>
              <w:t>N/A</w:t>
            </w:r>
          </w:p>
        </w:tc>
      </w:tr>
      <w:tr w:rsidR="00402561" w14:paraId="43A37179" w14:textId="77777777" w:rsidTr="0086759A">
        <w:trPr>
          <w:jc w:val="center"/>
        </w:trPr>
        <w:tc>
          <w:tcPr>
            <w:tcW w:w="4133" w:type="dxa"/>
          </w:tcPr>
          <w:p w14:paraId="43A37177" w14:textId="3DACC27E" w:rsidR="00402561" w:rsidRPr="00F57C5F" w:rsidRDefault="00ED528A">
            <w:pPr>
              <w:spacing w:before="40" w:after="40"/>
              <w:ind w:left="115" w:hanging="115"/>
              <w:rPr>
                <w:lang w:val="es-419"/>
              </w:rPr>
            </w:pPr>
            <w:r w:rsidRPr="00F57C5F">
              <w:rPr>
                <w:rFonts w:ascii="Arial" w:hAnsi="Arial" w:cs="Arial"/>
                <w:sz w:val="18"/>
                <w:szCs w:val="18"/>
                <w:lang w:val="es-419"/>
              </w:rPr>
              <w:t xml:space="preserve">▪ </w:t>
            </w:r>
            <w:r w:rsidR="006F6397" w:rsidRPr="00F57C5F">
              <w:rPr>
                <w:rFonts w:ascii="Arial" w:hAnsi="Arial" w:cs="Arial"/>
                <w:sz w:val="18"/>
                <w:szCs w:val="18"/>
                <w:lang w:val="es-419"/>
              </w:rPr>
              <w:t>Fecha de</w:t>
            </w:r>
            <w:r w:rsidR="00F57C5F" w:rsidRPr="00F57C5F">
              <w:rPr>
                <w:rFonts w:ascii="Arial" w:hAnsi="Arial" w:cs="Arial"/>
                <w:sz w:val="18"/>
                <w:szCs w:val="18"/>
                <w:lang w:val="es-419"/>
              </w:rPr>
              <w:t xml:space="preserve"> creación del</w:t>
            </w:r>
            <w:r w:rsidR="006F6397" w:rsidRPr="00F57C5F">
              <w:rPr>
                <w:rFonts w:ascii="Arial" w:hAnsi="Arial" w:cs="Arial"/>
                <w:sz w:val="18"/>
                <w:szCs w:val="18"/>
                <w:lang w:val="es-419"/>
              </w:rPr>
              <w:t xml:space="preserve"> Abstracto de CT</w:t>
            </w:r>
            <w:r w:rsidRPr="00F57C5F">
              <w:rPr>
                <w:rFonts w:ascii="Arial" w:hAnsi="Arial" w:cs="Arial"/>
                <w:sz w:val="18"/>
                <w:szCs w:val="18"/>
                <w:lang w:val="es-419"/>
              </w:rPr>
              <w:t>:</w:t>
            </w:r>
          </w:p>
        </w:tc>
        <w:tc>
          <w:tcPr>
            <w:tcW w:w="5109" w:type="dxa"/>
          </w:tcPr>
          <w:p w14:paraId="43A37178" w14:textId="24C58DB6" w:rsidR="00402561" w:rsidRDefault="00ED528A">
            <w:pPr>
              <w:spacing w:before="40" w:after="40"/>
            </w:pPr>
            <w:r>
              <w:rPr>
                <w:rFonts w:ascii="Arial" w:hAnsi="Arial" w:cs="Arial"/>
                <w:sz w:val="18"/>
                <w:szCs w:val="18"/>
              </w:rPr>
              <w:t>03</w:t>
            </w:r>
            <w:r w:rsidR="00F57C5F">
              <w:rPr>
                <w:rFonts w:ascii="Arial" w:hAnsi="Arial" w:cs="Arial"/>
                <w:sz w:val="18"/>
                <w:szCs w:val="18"/>
              </w:rPr>
              <w:t xml:space="preserve"> de</w:t>
            </w:r>
            <w:r>
              <w:rPr>
                <w:rFonts w:ascii="Arial" w:hAnsi="Arial" w:cs="Arial"/>
                <w:sz w:val="18"/>
                <w:szCs w:val="18"/>
              </w:rPr>
              <w:t xml:space="preserve"> </w:t>
            </w:r>
            <w:proofErr w:type="spellStart"/>
            <w:r w:rsidR="00F57C5F">
              <w:rPr>
                <w:rFonts w:ascii="Arial" w:hAnsi="Arial" w:cs="Arial"/>
                <w:sz w:val="18"/>
                <w:szCs w:val="18"/>
              </w:rPr>
              <w:t>m</w:t>
            </w:r>
            <w:r>
              <w:rPr>
                <w:rFonts w:ascii="Arial" w:hAnsi="Arial" w:cs="Arial"/>
                <w:sz w:val="18"/>
                <w:szCs w:val="18"/>
              </w:rPr>
              <w:t>ar</w:t>
            </w:r>
            <w:r w:rsidR="00F57C5F">
              <w:rPr>
                <w:rFonts w:ascii="Arial" w:hAnsi="Arial" w:cs="Arial"/>
                <w:sz w:val="18"/>
                <w:szCs w:val="18"/>
              </w:rPr>
              <w:t>zo</w:t>
            </w:r>
            <w:proofErr w:type="spellEnd"/>
            <w:r w:rsidR="00F57C5F">
              <w:rPr>
                <w:rFonts w:ascii="Arial" w:hAnsi="Arial" w:cs="Arial"/>
                <w:sz w:val="18"/>
                <w:szCs w:val="18"/>
              </w:rPr>
              <w:t>,</w:t>
            </w:r>
            <w:r>
              <w:rPr>
                <w:rFonts w:ascii="Arial" w:hAnsi="Arial" w:cs="Arial"/>
                <w:sz w:val="18"/>
                <w:szCs w:val="18"/>
              </w:rPr>
              <w:t xml:space="preserve"> 2022</w:t>
            </w:r>
          </w:p>
        </w:tc>
      </w:tr>
      <w:tr w:rsidR="00402561" w14:paraId="43A3717C" w14:textId="77777777" w:rsidTr="0086759A">
        <w:trPr>
          <w:jc w:val="center"/>
        </w:trPr>
        <w:tc>
          <w:tcPr>
            <w:tcW w:w="4133" w:type="dxa"/>
          </w:tcPr>
          <w:p w14:paraId="43A3717A" w14:textId="15642544" w:rsidR="00402561" w:rsidRDefault="00ED528A">
            <w:pPr>
              <w:spacing w:before="40" w:after="40"/>
              <w:ind w:left="115" w:hanging="115"/>
            </w:pPr>
            <w:r>
              <w:rPr>
                <w:rFonts w:ascii="Arial" w:hAnsi="Arial" w:cs="Arial"/>
                <w:sz w:val="18"/>
                <w:szCs w:val="18"/>
              </w:rPr>
              <w:t xml:space="preserve">▪ </w:t>
            </w:r>
            <w:proofErr w:type="spellStart"/>
            <w:r>
              <w:rPr>
                <w:rFonts w:ascii="Arial" w:hAnsi="Arial" w:cs="Arial"/>
                <w:sz w:val="18"/>
                <w:szCs w:val="18"/>
              </w:rPr>
              <w:t>Benefici</w:t>
            </w:r>
            <w:r w:rsidR="00F57C5F">
              <w:rPr>
                <w:rFonts w:ascii="Arial" w:hAnsi="Arial" w:cs="Arial"/>
                <w:sz w:val="18"/>
                <w:szCs w:val="18"/>
              </w:rPr>
              <w:t>ario</w:t>
            </w:r>
            <w:proofErr w:type="spellEnd"/>
            <w:r>
              <w:rPr>
                <w:rFonts w:ascii="Arial" w:hAnsi="Arial" w:cs="Arial"/>
                <w:sz w:val="18"/>
                <w:szCs w:val="18"/>
              </w:rPr>
              <w:t>:</w:t>
            </w:r>
          </w:p>
        </w:tc>
        <w:tc>
          <w:tcPr>
            <w:tcW w:w="5109" w:type="dxa"/>
          </w:tcPr>
          <w:p w14:paraId="43A3717B" w14:textId="77777777" w:rsidR="00402561" w:rsidRDefault="00ED528A">
            <w:pPr>
              <w:spacing w:before="40" w:after="40"/>
            </w:pPr>
            <w:r>
              <w:rPr>
                <w:rFonts w:ascii="Arial" w:hAnsi="Arial" w:cs="Arial"/>
                <w:sz w:val="18"/>
                <w:szCs w:val="18"/>
              </w:rPr>
              <w:t>Paraguay</w:t>
            </w:r>
          </w:p>
        </w:tc>
      </w:tr>
      <w:tr w:rsidR="00402561" w:rsidRPr="006635F6" w14:paraId="43A3717F" w14:textId="77777777" w:rsidTr="0086759A">
        <w:trPr>
          <w:jc w:val="center"/>
        </w:trPr>
        <w:tc>
          <w:tcPr>
            <w:tcW w:w="4133" w:type="dxa"/>
          </w:tcPr>
          <w:p w14:paraId="43A3717D" w14:textId="49D352AF" w:rsidR="00402561" w:rsidRDefault="00ED528A">
            <w:pPr>
              <w:spacing w:before="40" w:after="40"/>
              <w:ind w:left="115" w:hanging="115"/>
            </w:pPr>
            <w:r>
              <w:rPr>
                <w:rFonts w:ascii="Arial" w:hAnsi="Arial" w:cs="Arial"/>
                <w:sz w:val="18"/>
                <w:szCs w:val="18"/>
              </w:rPr>
              <w:t xml:space="preserve">▪ </w:t>
            </w:r>
            <w:proofErr w:type="spellStart"/>
            <w:r w:rsidR="00F57C5F">
              <w:rPr>
                <w:rFonts w:ascii="Arial" w:hAnsi="Arial" w:cs="Arial"/>
                <w:sz w:val="18"/>
                <w:szCs w:val="18"/>
              </w:rPr>
              <w:t>Agencia</w:t>
            </w:r>
            <w:proofErr w:type="spellEnd"/>
            <w:r w:rsidR="00F57C5F">
              <w:rPr>
                <w:rFonts w:ascii="Arial" w:hAnsi="Arial" w:cs="Arial"/>
                <w:sz w:val="18"/>
                <w:szCs w:val="18"/>
              </w:rPr>
              <w:t xml:space="preserve"> </w:t>
            </w:r>
            <w:proofErr w:type="spellStart"/>
            <w:r w:rsidR="00F57C5F">
              <w:rPr>
                <w:rFonts w:ascii="Arial" w:hAnsi="Arial" w:cs="Arial"/>
                <w:sz w:val="18"/>
                <w:szCs w:val="18"/>
              </w:rPr>
              <w:t>Ejecutora</w:t>
            </w:r>
            <w:proofErr w:type="spellEnd"/>
            <w:r>
              <w:rPr>
                <w:rFonts w:ascii="Arial" w:hAnsi="Arial" w:cs="Arial"/>
                <w:sz w:val="18"/>
                <w:szCs w:val="18"/>
              </w:rPr>
              <w:t>:</w:t>
            </w:r>
          </w:p>
        </w:tc>
        <w:tc>
          <w:tcPr>
            <w:tcW w:w="5109" w:type="dxa"/>
          </w:tcPr>
          <w:p w14:paraId="43A3717E" w14:textId="52F87F2D" w:rsidR="00402561" w:rsidRPr="00FC2ADD" w:rsidRDefault="00F57C5F">
            <w:pPr>
              <w:spacing w:before="40" w:after="40"/>
              <w:rPr>
                <w:lang w:val="es-419"/>
              </w:rPr>
            </w:pPr>
            <w:r w:rsidRPr="00FC2ADD">
              <w:rPr>
                <w:rFonts w:ascii="Arial" w:hAnsi="Arial" w:cs="Arial"/>
                <w:sz w:val="18"/>
                <w:szCs w:val="18"/>
                <w:lang w:val="es-419"/>
              </w:rPr>
              <w:t>Banco Interamericano de</w:t>
            </w:r>
            <w:r w:rsidR="00ED528A" w:rsidRPr="00FC2ADD">
              <w:rPr>
                <w:rFonts w:ascii="Arial" w:hAnsi="Arial" w:cs="Arial"/>
                <w:sz w:val="18"/>
                <w:szCs w:val="18"/>
                <w:lang w:val="es-419"/>
              </w:rPr>
              <w:t xml:space="preserve"> D</w:t>
            </w:r>
            <w:r w:rsidRPr="00FC2ADD">
              <w:rPr>
                <w:rFonts w:ascii="Arial" w:hAnsi="Arial" w:cs="Arial"/>
                <w:sz w:val="18"/>
                <w:szCs w:val="18"/>
                <w:lang w:val="es-419"/>
              </w:rPr>
              <w:t>esarrollo (BID)</w:t>
            </w:r>
          </w:p>
        </w:tc>
      </w:tr>
      <w:tr w:rsidR="00402561" w14:paraId="43A37182" w14:textId="77777777" w:rsidTr="0086759A">
        <w:trPr>
          <w:jc w:val="center"/>
        </w:trPr>
        <w:tc>
          <w:tcPr>
            <w:tcW w:w="4133" w:type="dxa"/>
          </w:tcPr>
          <w:p w14:paraId="43A37180" w14:textId="354D3543" w:rsidR="00402561" w:rsidRDefault="00ED528A">
            <w:pPr>
              <w:spacing w:before="40" w:after="40"/>
              <w:ind w:left="115" w:hanging="115"/>
            </w:pPr>
            <w:r>
              <w:rPr>
                <w:rFonts w:ascii="Arial" w:hAnsi="Arial" w:cs="Arial"/>
                <w:sz w:val="18"/>
                <w:szCs w:val="18"/>
              </w:rPr>
              <w:t xml:space="preserve">▪ </w:t>
            </w:r>
            <w:proofErr w:type="spellStart"/>
            <w:r w:rsidR="00F57C5F">
              <w:rPr>
                <w:rFonts w:ascii="Arial" w:hAnsi="Arial" w:cs="Arial"/>
                <w:sz w:val="18"/>
                <w:szCs w:val="18"/>
              </w:rPr>
              <w:t>Fondos</w:t>
            </w:r>
            <w:proofErr w:type="spellEnd"/>
            <w:r w:rsidR="00F57C5F">
              <w:rPr>
                <w:rFonts w:ascii="Arial" w:hAnsi="Arial" w:cs="Arial"/>
                <w:sz w:val="18"/>
                <w:szCs w:val="18"/>
              </w:rPr>
              <w:t xml:space="preserve"> </w:t>
            </w:r>
            <w:proofErr w:type="spellStart"/>
            <w:r w:rsidR="00F57C5F">
              <w:rPr>
                <w:rFonts w:ascii="Arial" w:hAnsi="Arial" w:cs="Arial"/>
                <w:sz w:val="18"/>
                <w:szCs w:val="18"/>
              </w:rPr>
              <w:t>solicitados</w:t>
            </w:r>
            <w:proofErr w:type="spellEnd"/>
            <w:r w:rsidR="00F57C5F">
              <w:rPr>
                <w:rFonts w:ascii="Arial" w:hAnsi="Arial" w:cs="Arial"/>
                <w:sz w:val="18"/>
                <w:szCs w:val="18"/>
              </w:rPr>
              <w:t xml:space="preserve"> al BID</w:t>
            </w:r>
            <w:r>
              <w:rPr>
                <w:rFonts w:ascii="Arial" w:hAnsi="Arial" w:cs="Arial"/>
                <w:sz w:val="18"/>
                <w:szCs w:val="18"/>
              </w:rPr>
              <w:t>:</w:t>
            </w:r>
          </w:p>
        </w:tc>
        <w:tc>
          <w:tcPr>
            <w:tcW w:w="5109" w:type="dxa"/>
          </w:tcPr>
          <w:p w14:paraId="43A37181" w14:textId="5AB95892" w:rsidR="00402561" w:rsidRDefault="00ED528A" w:rsidP="00F57C5F">
            <w:pPr>
              <w:bidi/>
              <w:spacing w:before="40" w:after="40"/>
              <w:jc w:val="right"/>
            </w:pPr>
            <w:r>
              <w:rPr>
                <w:rFonts w:ascii="Arial" w:hAnsi="Arial" w:cs="Arial"/>
                <w:sz w:val="18"/>
                <w:szCs w:val="18"/>
              </w:rPr>
              <w:t>US$350</w:t>
            </w:r>
            <w:r w:rsidR="00FC2ADD">
              <w:rPr>
                <w:rFonts w:ascii="Arial" w:hAnsi="Arial" w:cs="Arial"/>
                <w:sz w:val="18"/>
                <w:szCs w:val="18"/>
              </w:rPr>
              <w:t>.</w:t>
            </w:r>
            <w:r>
              <w:rPr>
                <w:rFonts w:ascii="Arial" w:hAnsi="Arial" w:cs="Arial"/>
                <w:sz w:val="18"/>
                <w:szCs w:val="18"/>
              </w:rPr>
              <w:t>000</w:t>
            </w:r>
            <w:r w:rsidR="00FC2ADD">
              <w:rPr>
                <w:rFonts w:ascii="Arial" w:hAnsi="Arial" w:cs="Arial"/>
                <w:sz w:val="18"/>
                <w:szCs w:val="18"/>
              </w:rPr>
              <w:t>,</w:t>
            </w:r>
            <w:r>
              <w:rPr>
                <w:rFonts w:ascii="Arial" w:hAnsi="Arial" w:cs="Arial"/>
                <w:sz w:val="18"/>
                <w:szCs w:val="18"/>
              </w:rPr>
              <w:t>00</w:t>
            </w:r>
          </w:p>
        </w:tc>
      </w:tr>
      <w:tr w:rsidR="00402561" w14:paraId="43A37185" w14:textId="77777777" w:rsidTr="0086759A">
        <w:trPr>
          <w:jc w:val="center"/>
        </w:trPr>
        <w:tc>
          <w:tcPr>
            <w:tcW w:w="4133" w:type="dxa"/>
          </w:tcPr>
          <w:p w14:paraId="43A37183" w14:textId="225D3EC5" w:rsidR="00402561" w:rsidRDefault="00ED528A">
            <w:pPr>
              <w:spacing w:before="40" w:after="40"/>
              <w:ind w:left="115" w:hanging="115"/>
            </w:pPr>
            <w:r>
              <w:rPr>
                <w:rFonts w:ascii="Arial" w:hAnsi="Arial" w:cs="Arial"/>
                <w:sz w:val="18"/>
                <w:szCs w:val="18"/>
              </w:rPr>
              <w:t xml:space="preserve">▪ </w:t>
            </w:r>
            <w:proofErr w:type="spellStart"/>
            <w:r w:rsidR="00FC2ADD">
              <w:rPr>
                <w:rFonts w:ascii="Arial" w:hAnsi="Arial" w:cs="Arial"/>
                <w:sz w:val="18"/>
                <w:szCs w:val="18"/>
              </w:rPr>
              <w:t>Financiamiento</w:t>
            </w:r>
            <w:proofErr w:type="spellEnd"/>
            <w:r w:rsidR="00FC2ADD">
              <w:rPr>
                <w:rFonts w:ascii="Arial" w:hAnsi="Arial" w:cs="Arial"/>
                <w:sz w:val="18"/>
                <w:szCs w:val="18"/>
              </w:rPr>
              <w:t xml:space="preserve"> </w:t>
            </w:r>
            <w:r w:rsidR="00CB0295">
              <w:rPr>
                <w:rFonts w:ascii="Arial" w:hAnsi="Arial" w:cs="Arial"/>
                <w:sz w:val="18"/>
                <w:szCs w:val="18"/>
              </w:rPr>
              <w:t xml:space="preserve">de </w:t>
            </w:r>
            <w:proofErr w:type="spellStart"/>
            <w:r w:rsidR="00CB0295">
              <w:rPr>
                <w:rFonts w:ascii="Arial" w:hAnsi="Arial" w:cs="Arial"/>
                <w:sz w:val="18"/>
                <w:szCs w:val="18"/>
              </w:rPr>
              <w:t>Contrapartida</w:t>
            </w:r>
            <w:proofErr w:type="spellEnd"/>
            <w:r w:rsidR="00CB0295">
              <w:rPr>
                <w:rFonts w:ascii="Arial" w:hAnsi="Arial" w:cs="Arial"/>
                <w:sz w:val="18"/>
                <w:szCs w:val="18"/>
              </w:rPr>
              <w:t xml:space="preserve"> Local</w:t>
            </w:r>
            <w:r>
              <w:rPr>
                <w:rFonts w:ascii="Arial" w:hAnsi="Arial" w:cs="Arial"/>
                <w:sz w:val="18"/>
                <w:szCs w:val="18"/>
              </w:rPr>
              <w:t>:</w:t>
            </w:r>
          </w:p>
        </w:tc>
        <w:tc>
          <w:tcPr>
            <w:tcW w:w="5109" w:type="dxa"/>
          </w:tcPr>
          <w:p w14:paraId="43A37184" w14:textId="5A50379B" w:rsidR="00402561" w:rsidRDefault="00ED528A" w:rsidP="00F57C5F">
            <w:pPr>
              <w:bidi/>
              <w:spacing w:before="40" w:after="40"/>
              <w:jc w:val="right"/>
            </w:pPr>
            <w:r>
              <w:rPr>
                <w:rFonts w:ascii="Arial" w:hAnsi="Arial" w:cs="Arial"/>
                <w:sz w:val="18"/>
                <w:szCs w:val="18"/>
              </w:rPr>
              <w:t>US$0</w:t>
            </w:r>
            <w:r w:rsidR="00FC2ADD">
              <w:rPr>
                <w:rFonts w:ascii="Arial" w:hAnsi="Arial" w:cs="Arial"/>
                <w:sz w:val="18"/>
                <w:szCs w:val="18"/>
              </w:rPr>
              <w:t>,</w:t>
            </w:r>
            <w:r>
              <w:rPr>
                <w:rFonts w:ascii="Arial" w:hAnsi="Arial" w:cs="Arial"/>
                <w:sz w:val="18"/>
                <w:szCs w:val="18"/>
              </w:rPr>
              <w:t>00</w:t>
            </w:r>
          </w:p>
        </w:tc>
      </w:tr>
      <w:tr w:rsidR="00402561" w14:paraId="43A37188" w14:textId="77777777" w:rsidTr="0086759A">
        <w:trPr>
          <w:jc w:val="center"/>
        </w:trPr>
        <w:tc>
          <w:tcPr>
            <w:tcW w:w="4133" w:type="dxa"/>
          </w:tcPr>
          <w:p w14:paraId="43A37186" w14:textId="228E7B69" w:rsidR="00402561" w:rsidRDefault="00ED528A">
            <w:pPr>
              <w:spacing w:before="40" w:after="40"/>
              <w:ind w:left="115" w:hanging="115"/>
            </w:pPr>
            <w:r>
              <w:rPr>
                <w:rFonts w:ascii="Arial" w:hAnsi="Arial" w:cs="Arial"/>
                <w:sz w:val="18"/>
                <w:szCs w:val="18"/>
              </w:rPr>
              <w:t xml:space="preserve">▪ </w:t>
            </w:r>
            <w:proofErr w:type="spellStart"/>
            <w:r w:rsidR="00CB0295">
              <w:rPr>
                <w:rFonts w:ascii="Arial" w:hAnsi="Arial" w:cs="Arial"/>
                <w:sz w:val="18"/>
                <w:szCs w:val="18"/>
              </w:rPr>
              <w:t>Período</w:t>
            </w:r>
            <w:proofErr w:type="spellEnd"/>
            <w:r w:rsidR="00CB0295">
              <w:rPr>
                <w:rFonts w:ascii="Arial" w:hAnsi="Arial" w:cs="Arial"/>
                <w:sz w:val="18"/>
                <w:szCs w:val="18"/>
              </w:rPr>
              <w:t xml:space="preserve"> de </w:t>
            </w:r>
            <w:proofErr w:type="spellStart"/>
            <w:r w:rsidR="00CB0295">
              <w:rPr>
                <w:rFonts w:ascii="Arial" w:hAnsi="Arial" w:cs="Arial"/>
                <w:sz w:val="18"/>
                <w:szCs w:val="18"/>
              </w:rPr>
              <w:t>desembolso</w:t>
            </w:r>
            <w:proofErr w:type="spellEnd"/>
            <w:r>
              <w:rPr>
                <w:rFonts w:ascii="Arial" w:hAnsi="Arial" w:cs="Arial"/>
                <w:sz w:val="18"/>
                <w:szCs w:val="18"/>
              </w:rPr>
              <w:t>:</w:t>
            </w:r>
          </w:p>
        </w:tc>
        <w:tc>
          <w:tcPr>
            <w:tcW w:w="5109" w:type="dxa"/>
          </w:tcPr>
          <w:p w14:paraId="43A37187" w14:textId="04237514" w:rsidR="00402561" w:rsidRDefault="00ED528A" w:rsidP="00F57C5F">
            <w:pPr>
              <w:bidi/>
              <w:spacing w:before="40" w:after="40"/>
              <w:jc w:val="right"/>
            </w:pPr>
            <w:r>
              <w:rPr>
                <w:rFonts w:ascii="Arial" w:hAnsi="Arial" w:cs="Arial"/>
                <w:sz w:val="18"/>
                <w:szCs w:val="18"/>
              </w:rPr>
              <w:t>36 m</w:t>
            </w:r>
            <w:r w:rsidR="00CB0295">
              <w:rPr>
                <w:rFonts w:ascii="Arial" w:hAnsi="Arial" w:cs="Arial"/>
                <w:sz w:val="18"/>
                <w:szCs w:val="18"/>
              </w:rPr>
              <w:t>ese</w:t>
            </w:r>
            <w:r>
              <w:rPr>
                <w:rFonts w:ascii="Arial" w:hAnsi="Arial" w:cs="Arial"/>
                <w:sz w:val="18"/>
                <w:szCs w:val="18"/>
              </w:rPr>
              <w:t>s</w:t>
            </w:r>
          </w:p>
        </w:tc>
      </w:tr>
      <w:tr w:rsidR="00402561" w14:paraId="43A3718B" w14:textId="77777777" w:rsidTr="0086759A">
        <w:trPr>
          <w:jc w:val="center"/>
        </w:trPr>
        <w:tc>
          <w:tcPr>
            <w:tcW w:w="4133" w:type="dxa"/>
          </w:tcPr>
          <w:p w14:paraId="43A37189" w14:textId="482A83AF" w:rsidR="00402561" w:rsidRDefault="00ED528A">
            <w:pPr>
              <w:spacing w:before="40" w:after="40"/>
              <w:ind w:left="115" w:hanging="115"/>
            </w:pPr>
            <w:r>
              <w:rPr>
                <w:rFonts w:ascii="Arial" w:hAnsi="Arial" w:cs="Arial"/>
                <w:sz w:val="18"/>
                <w:szCs w:val="18"/>
              </w:rPr>
              <w:t>▪ T</w:t>
            </w:r>
            <w:r w:rsidR="00FE1109">
              <w:rPr>
                <w:rFonts w:ascii="Arial" w:hAnsi="Arial" w:cs="Arial"/>
                <w:sz w:val="18"/>
                <w:szCs w:val="18"/>
              </w:rPr>
              <w:t xml:space="preserve">ipo de </w:t>
            </w:r>
            <w:proofErr w:type="spellStart"/>
            <w:r w:rsidR="00FE1109">
              <w:rPr>
                <w:rFonts w:ascii="Arial" w:hAnsi="Arial" w:cs="Arial"/>
                <w:sz w:val="18"/>
                <w:szCs w:val="18"/>
              </w:rPr>
              <w:t>consulorías</w:t>
            </w:r>
            <w:proofErr w:type="spellEnd"/>
            <w:r>
              <w:rPr>
                <w:rFonts w:ascii="Arial" w:hAnsi="Arial" w:cs="Arial"/>
                <w:sz w:val="18"/>
                <w:szCs w:val="18"/>
              </w:rPr>
              <w:t>:</w:t>
            </w:r>
          </w:p>
        </w:tc>
        <w:tc>
          <w:tcPr>
            <w:tcW w:w="5109" w:type="dxa"/>
          </w:tcPr>
          <w:p w14:paraId="43A3718A" w14:textId="7ADCA9A9" w:rsidR="00402561" w:rsidRDefault="00ED528A">
            <w:pPr>
              <w:spacing w:before="40" w:after="40"/>
            </w:pPr>
            <w:proofErr w:type="spellStart"/>
            <w:r>
              <w:rPr>
                <w:rFonts w:ascii="Arial" w:hAnsi="Arial" w:cs="Arial"/>
                <w:sz w:val="18"/>
                <w:szCs w:val="18"/>
              </w:rPr>
              <w:t>Individ</w:t>
            </w:r>
            <w:r w:rsidR="00FE1109">
              <w:rPr>
                <w:rFonts w:ascii="Arial" w:hAnsi="Arial" w:cs="Arial"/>
                <w:sz w:val="18"/>
                <w:szCs w:val="18"/>
              </w:rPr>
              <w:t>uos</w:t>
            </w:r>
            <w:proofErr w:type="spellEnd"/>
            <w:r>
              <w:rPr>
                <w:rFonts w:ascii="Arial" w:hAnsi="Arial" w:cs="Arial"/>
                <w:sz w:val="18"/>
                <w:szCs w:val="18"/>
              </w:rPr>
              <w:t xml:space="preserve">; </w:t>
            </w:r>
            <w:proofErr w:type="spellStart"/>
            <w:r>
              <w:rPr>
                <w:rFonts w:ascii="Arial" w:hAnsi="Arial" w:cs="Arial"/>
                <w:sz w:val="18"/>
                <w:szCs w:val="18"/>
              </w:rPr>
              <w:t>Firm</w:t>
            </w:r>
            <w:r w:rsidR="00FE1109">
              <w:rPr>
                <w:rFonts w:ascii="Arial" w:hAnsi="Arial" w:cs="Arial"/>
                <w:sz w:val="18"/>
                <w:szCs w:val="18"/>
              </w:rPr>
              <w:t>a</w:t>
            </w:r>
            <w:r>
              <w:rPr>
                <w:rFonts w:ascii="Arial" w:hAnsi="Arial" w:cs="Arial"/>
                <w:sz w:val="18"/>
                <w:szCs w:val="18"/>
              </w:rPr>
              <w:t>s</w:t>
            </w:r>
            <w:proofErr w:type="spellEnd"/>
          </w:p>
        </w:tc>
      </w:tr>
      <w:tr w:rsidR="00402561" w:rsidRPr="006635F6" w14:paraId="43A3718E" w14:textId="77777777" w:rsidTr="0086759A">
        <w:trPr>
          <w:jc w:val="center"/>
        </w:trPr>
        <w:tc>
          <w:tcPr>
            <w:tcW w:w="4133" w:type="dxa"/>
          </w:tcPr>
          <w:p w14:paraId="43A3718C" w14:textId="3CAD59A3" w:rsidR="00402561" w:rsidRDefault="00ED528A">
            <w:pPr>
              <w:spacing w:before="40" w:after="40"/>
              <w:ind w:left="115" w:hanging="115"/>
            </w:pPr>
            <w:r>
              <w:rPr>
                <w:rFonts w:ascii="Arial" w:hAnsi="Arial" w:cs="Arial"/>
                <w:sz w:val="18"/>
                <w:szCs w:val="18"/>
              </w:rPr>
              <w:t xml:space="preserve">▪ </w:t>
            </w:r>
            <w:proofErr w:type="spellStart"/>
            <w:r>
              <w:rPr>
                <w:rFonts w:ascii="Arial" w:hAnsi="Arial" w:cs="Arial"/>
                <w:sz w:val="18"/>
                <w:szCs w:val="18"/>
              </w:rPr>
              <w:t>Pre</w:t>
            </w:r>
            <w:r w:rsidR="00FE1109">
              <w:rPr>
                <w:rFonts w:ascii="Arial" w:hAnsi="Arial" w:cs="Arial"/>
                <w:sz w:val="18"/>
                <w:szCs w:val="18"/>
              </w:rPr>
              <w:t>parado</w:t>
            </w:r>
            <w:proofErr w:type="spellEnd"/>
            <w:r w:rsidR="00FE1109">
              <w:rPr>
                <w:rFonts w:ascii="Arial" w:hAnsi="Arial" w:cs="Arial"/>
                <w:sz w:val="18"/>
                <w:szCs w:val="18"/>
              </w:rPr>
              <w:t xml:space="preserve"> </w:t>
            </w:r>
            <w:proofErr w:type="spellStart"/>
            <w:r w:rsidR="00FE1109">
              <w:rPr>
                <w:rFonts w:ascii="Arial" w:hAnsi="Arial" w:cs="Arial"/>
                <w:sz w:val="18"/>
                <w:szCs w:val="18"/>
              </w:rPr>
              <w:t>por</w:t>
            </w:r>
            <w:proofErr w:type="spellEnd"/>
            <w:r>
              <w:rPr>
                <w:rFonts w:ascii="Arial" w:hAnsi="Arial" w:cs="Arial"/>
                <w:sz w:val="18"/>
                <w:szCs w:val="18"/>
              </w:rPr>
              <w:t>:</w:t>
            </w:r>
          </w:p>
        </w:tc>
        <w:tc>
          <w:tcPr>
            <w:tcW w:w="5109" w:type="dxa"/>
          </w:tcPr>
          <w:p w14:paraId="43A3718D" w14:textId="76408F1B" w:rsidR="00402561" w:rsidRPr="00FE1109" w:rsidRDefault="00ED528A">
            <w:pPr>
              <w:spacing w:before="40" w:after="40"/>
              <w:rPr>
                <w:lang w:val="es-419"/>
              </w:rPr>
            </w:pPr>
            <w:r w:rsidRPr="00FE1109">
              <w:rPr>
                <w:rFonts w:ascii="Arial" w:hAnsi="Arial" w:cs="Arial"/>
                <w:sz w:val="18"/>
                <w:szCs w:val="18"/>
                <w:lang w:val="es-419"/>
              </w:rPr>
              <w:t xml:space="preserve">INE/ENE </w:t>
            </w:r>
            <w:r w:rsidR="00FE1109" w:rsidRPr="00FE1109">
              <w:rPr>
                <w:rFonts w:ascii="Arial" w:hAnsi="Arial" w:cs="Arial"/>
                <w:sz w:val="18"/>
                <w:szCs w:val="18"/>
                <w:lang w:val="es-419"/>
              </w:rPr>
              <w:t>–</w:t>
            </w:r>
            <w:r w:rsidRPr="00FE1109">
              <w:rPr>
                <w:rFonts w:ascii="Arial" w:hAnsi="Arial" w:cs="Arial"/>
                <w:sz w:val="18"/>
                <w:szCs w:val="18"/>
                <w:lang w:val="es-419"/>
              </w:rPr>
              <w:t xml:space="preserve"> </w:t>
            </w:r>
            <w:r w:rsidR="00FE1109" w:rsidRPr="00FE1109">
              <w:rPr>
                <w:rFonts w:ascii="Arial" w:hAnsi="Arial" w:cs="Arial"/>
                <w:sz w:val="18"/>
                <w:szCs w:val="18"/>
                <w:lang w:val="es-419"/>
              </w:rPr>
              <w:t>División de E</w:t>
            </w:r>
            <w:r w:rsidR="00FE1109">
              <w:rPr>
                <w:rFonts w:ascii="Arial" w:hAnsi="Arial" w:cs="Arial"/>
                <w:sz w:val="18"/>
                <w:szCs w:val="18"/>
                <w:lang w:val="es-419"/>
              </w:rPr>
              <w:t>nergía</w:t>
            </w:r>
          </w:p>
        </w:tc>
      </w:tr>
      <w:tr w:rsidR="00402561" w:rsidRPr="006635F6" w14:paraId="43A37191" w14:textId="77777777" w:rsidTr="0086759A">
        <w:trPr>
          <w:jc w:val="center"/>
        </w:trPr>
        <w:tc>
          <w:tcPr>
            <w:tcW w:w="4133" w:type="dxa"/>
          </w:tcPr>
          <w:p w14:paraId="43A3718F" w14:textId="7ABF22A5" w:rsidR="00402561" w:rsidRDefault="00ED528A">
            <w:pPr>
              <w:spacing w:before="40" w:after="40"/>
              <w:ind w:left="115" w:hanging="115"/>
            </w:pPr>
            <w:r>
              <w:rPr>
                <w:rFonts w:ascii="Arial" w:hAnsi="Arial" w:cs="Arial"/>
                <w:sz w:val="18"/>
                <w:szCs w:val="18"/>
              </w:rPr>
              <w:t>▪ Un</w:t>
            </w:r>
            <w:r w:rsidR="004D75A9">
              <w:rPr>
                <w:rFonts w:ascii="Arial" w:hAnsi="Arial" w:cs="Arial"/>
                <w:sz w:val="18"/>
                <w:szCs w:val="18"/>
              </w:rPr>
              <w:t xml:space="preserve">idad </w:t>
            </w:r>
            <w:proofErr w:type="spellStart"/>
            <w:r w:rsidR="004D75A9">
              <w:rPr>
                <w:rFonts w:ascii="Arial" w:hAnsi="Arial" w:cs="Arial"/>
                <w:sz w:val="18"/>
                <w:szCs w:val="18"/>
              </w:rPr>
              <w:t>Responsab</w:t>
            </w:r>
            <w:r w:rsidR="005F16B7">
              <w:rPr>
                <w:rFonts w:ascii="Arial" w:hAnsi="Arial" w:cs="Arial"/>
                <w:sz w:val="18"/>
                <w:szCs w:val="18"/>
              </w:rPr>
              <w:t>le</w:t>
            </w:r>
            <w:proofErr w:type="spellEnd"/>
            <w:r w:rsidR="004D75A9">
              <w:rPr>
                <w:rFonts w:ascii="Arial" w:hAnsi="Arial" w:cs="Arial"/>
                <w:sz w:val="18"/>
                <w:szCs w:val="18"/>
              </w:rPr>
              <w:t xml:space="preserve"> de</w:t>
            </w:r>
            <w:r w:rsidR="005F16B7">
              <w:rPr>
                <w:rFonts w:ascii="Arial" w:hAnsi="Arial" w:cs="Arial"/>
                <w:sz w:val="18"/>
                <w:szCs w:val="18"/>
              </w:rPr>
              <w:t>l</w:t>
            </w:r>
            <w:r w:rsidR="004D75A9">
              <w:rPr>
                <w:rFonts w:ascii="Arial" w:hAnsi="Arial" w:cs="Arial"/>
                <w:sz w:val="18"/>
                <w:szCs w:val="18"/>
              </w:rPr>
              <w:t xml:space="preserve"> </w:t>
            </w:r>
            <w:proofErr w:type="spellStart"/>
            <w:r w:rsidR="004D75A9">
              <w:rPr>
                <w:rFonts w:ascii="Arial" w:hAnsi="Arial" w:cs="Arial"/>
                <w:sz w:val="18"/>
                <w:szCs w:val="18"/>
              </w:rPr>
              <w:t>Desembolso</w:t>
            </w:r>
            <w:proofErr w:type="spellEnd"/>
            <w:r>
              <w:rPr>
                <w:rFonts w:ascii="Arial" w:hAnsi="Arial" w:cs="Arial"/>
                <w:sz w:val="18"/>
                <w:szCs w:val="18"/>
              </w:rPr>
              <w:t>:</w:t>
            </w:r>
          </w:p>
        </w:tc>
        <w:tc>
          <w:tcPr>
            <w:tcW w:w="5109" w:type="dxa"/>
          </w:tcPr>
          <w:p w14:paraId="43A37190" w14:textId="38F9016B" w:rsidR="00402561" w:rsidRPr="005F16B7" w:rsidRDefault="00ED528A">
            <w:pPr>
              <w:spacing w:before="40" w:after="40"/>
              <w:rPr>
                <w:lang w:val="pt-BR"/>
              </w:rPr>
            </w:pPr>
            <w:r w:rsidRPr="005F16B7">
              <w:rPr>
                <w:rFonts w:ascii="Arial" w:hAnsi="Arial" w:cs="Arial"/>
                <w:sz w:val="18"/>
                <w:szCs w:val="18"/>
                <w:lang w:val="pt-BR"/>
              </w:rPr>
              <w:t xml:space="preserve">CSC/CPR </w:t>
            </w:r>
            <w:r w:rsidR="005F16B7" w:rsidRPr="005F16B7">
              <w:rPr>
                <w:rFonts w:ascii="Arial" w:hAnsi="Arial" w:cs="Arial"/>
                <w:sz w:val="18"/>
                <w:szCs w:val="18"/>
                <w:lang w:val="pt-BR"/>
              </w:rPr>
              <w:t>–</w:t>
            </w:r>
            <w:r w:rsidRPr="005F16B7">
              <w:rPr>
                <w:rFonts w:ascii="Arial" w:hAnsi="Arial" w:cs="Arial"/>
                <w:sz w:val="18"/>
                <w:szCs w:val="18"/>
                <w:lang w:val="pt-BR"/>
              </w:rPr>
              <w:t xml:space="preserve"> Ofic</w:t>
            </w:r>
            <w:r w:rsidR="005F16B7" w:rsidRPr="005F16B7">
              <w:rPr>
                <w:rFonts w:ascii="Arial" w:hAnsi="Arial" w:cs="Arial"/>
                <w:sz w:val="18"/>
                <w:szCs w:val="18"/>
                <w:lang w:val="pt-BR"/>
              </w:rPr>
              <w:t>ina País Paragu</w:t>
            </w:r>
            <w:r w:rsidR="005F16B7">
              <w:rPr>
                <w:rFonts w:ascii="Arial" w:hAnsi="Arial" w:cs="Arial"/>
                <w:sz w:val="18"/>
                <w:szCs w:val="18"/>
                <w:lang w:val="pt-BR"/>
              </w:rPr>
              <w:t>ay</w:t>
            </w:r>
          </w:p>
        </w:tc>
      </w:tr>
      <w:tr w:rsidR="00402561" w14:paraId="43A37194" w14:textId="77777777" w:rsidTr="0086759A">
        <w:trPr>
          <w:jc w:val="center"/>
        </w:trPr>
        <w:tc>
          <w:tcPr>
            <w:tcW w:w="4133" w:type="dxa"/>
          </w:tcPr>
          <w:p w14:paraId="43A37192" w14:textId="09D54A01" w:rsidR="00402561" w:rsidRPr="006635F6" w:rsidRDefault="00ED528A">
            <w:pPr>
              <w:spacing w:before="40" w:after="40"/>
              <w:rPr>
                <w:lang w:val="es-419"/>
              </w:rPr>
            </w:pPr>
            <w:r w:rsidRPr="006635F6">
              <w:rPr>
                <w:rFonts w:ascii="Arial" w:hAnsi="Arial" w:cs="Arial"/>
                <w:sz w:val="18"/>
                <w:szCs w:val="18"/>
                <w:lang w:val="es-419"/>
              </w:rPr>
              <w:t>▪ C</w:t>
            </w:r>
            <w:r w:rsidR="004C3DEB" w:rsidRPr="006635F6">
              <w:rPr>
                <w:rFonts w:ascii="Arial" w:hAnsi="Arial" w:cs="Arial"/>
                <w:sz w:val="18"/>
                <w:szCs w:val="18"/>
                <w:lang w:val="es-419"/>
              </w:rPr>
              <w:t>T</w:t>
            </w:r>
            <w:r w:rsidRPr="006635F6">
              <w:rPr>
                <w:rFonts w:ascii="Arial" w:hAnsi="Arial" w:cs="Arial"/>
                <w:sz w:val="18"/>
                <w:szCs w:val="18"/>
                <w:lang w:val="es-419"/>
              </w:rPr>
              <w:t xml:space="preserve"> inclu</w:t>
            </w:r>
            <w:r w:rsidR="004C3DEB" w:rsidRPr="006635F6">
              <w:rPr>
                <w:rFonts w:ascii="Arial" w:hAnsi="Arial" w:cs="Arial"/>
                <w:sz w:val="18"/>
                <w:szCs w:val="18"/>
                <w:lang w:val="es-419"/>
              </w:rPr>
              <w:t>ida</w:t>
            </w:r>
            <w:r w:rsidRPr="006635F6">
              <w:rPr>
                <w:rFonts w:ascii="Arial" w:hAnsi="Arial" w:cs="Arial"/>
                <w:sz w:val="18"/>
                <w:szCs w:val="18"/>
                <w:lang w:val="es-419"/>
              </w:rPr>
              <w:t xml:space="preserve"> </w:t>
            </w:r>
            <w:r w:rsidR="004C3DEB" w:rsidRPr="006635F6">
              <w:rPr>
                <w:rFonts w:ascii="Arial" w:hAnsi="Arial" w:cs="Arial"/>
                <w:sz w:val="18"/>
                <w:szCs w:val="18"/>
                <w:lang w:val="es-419"/>
              </w:rPr>
              <w:t>e</w:t>
            </w:r>
            <w:r w:rsidRPr="006635F6">
              <w:rPr>
                <w:rFonts w:ascii="Arial" w:hAnsi="Arial" w:cs="Arial"/>
                <w:sz w:val="18"/>
                <w:szCs w:val="18"/>
                <w:lang w:val="es-419"/>
              </w:rPr>
              <w:t xml:space="preserve">n </w:t>
            </w:r>
            <w:r w:rsidR="004C3DEB" w:rsidRPr="006635F6">
              <w:rPr>
                <w:rFonts w:ascii="Arial" w:hAnsi="Arial" w:cs="Arial"/>
                <w:sz w:val="18"/>
                <w:szCs w:val="18"/>
                <w:lang w:val="es-419"/>
              </w:rPr>
              <w:t xml:space="preserve">la Estrategia </w:t>
            </w:r>
            <w:r w:rsidRPr="006635F6">
              <w:rPr>
                <w:rFonts w:ascii="Arial" w:hAnsi="Arial" w:cs="Arial"/>
                <w:sz w:val="18"/>
                <w:szCs w:val="18"/>
                <w:lang w:val="es-419"/>
              </w:rPr>
              <w:t>(</w:t>
            </w:r>
            <w:r w:rsidR="004C3DEB" w:rsidRPr="006635F6">
              <w:rPr>
                <w:rFonts w:ascii="Arial" w:hAnsi="Arial" w:cs="Arial"/>
                <w:sz w:val="18"/>
                <w:szCs w:val="18"/>
                <w:lang w:val="es-419"/>
              </w:rPr>
              <w:t>s</w:t>
            </w:r>
            <w:r w:rsidRPr="006635F6">
              <w:rPr>
                <w:rFonts w:ascii="Arial" w:hAnsi="Arial" w:cs="Arial"/>
                <w:sz w:val="18"/>
                <w:szCs w:val="18"/>
                <w:lang w:val="es-419"/>
              </w:rPr>
              <w:t>/n):</w:t>
            </w:r>
            <w:r w:rsidRPr="006635F6">
              <w:rPr>
                <w:rFonts w:ascii="Arial" w:hAnsi="Arial" w:cs="Arial"/>
                <w:sz w:val="18"/>
                <w:szCs w:val="18"/>
                <w:lang w:val="es-419"/>
              </w:rPr>
              <w:br/>
            </w:r>
            <w:r w:rsidRPr="006635F6">
              <w:rPr>
                <w:rFonts w:ascii="Arial" w:hAnsi="Arial" w:cs="Arial"/>
                <w:sz w:val="18"/>
                <w:szCs w:val="18"/>
                <w:lang w:val="es-419"/>
              </w:rPr>
              <w:br/>
              <w:t>▪ C</w:t>
            </w:r>
            <w:r w:rsidR="004C3DEB" w:rsidRPr="006635F6">
              <w:rPr>
                <w:rFonts w:ascii="Arial" w:hAnsi="Arial" w:cs="Arial"/>
                <w:sz w:val="18"/>
                <w:szCs w:val="18"/>
                <w:lang w:val="es-419"/>
              </w:rPr>
              <w:t>T</w:t>
            </w:r>
            <w:r w:rsidRPr="006635F6">
              <w:rPr>
                <w:rFonts w:ascii="Arial" w:hAnsi="Arial" w:cs="Arial"/>
                <w:sz w:val="18"/>
                <w:szCs w:val="18"/>
                <w:lang w:val="es-419"/>
              </w:rPr>
              <w:t xml:space="preserve"> inclu</w:t>
            </w:r>
            <w:r w:rsidR="004C3DEB" w:rsidRPr="006635F6">
              <w:rPr>
                <w:rFonts w:ascii="Arial" w:hAnsi="Arial" w:cs="Arial"/>
                <w:sz w:val="18"/>
                <w:szCs w:val="18"/>
                <w:lang w:val="es-419"/>
              </w:rPr>
              <w:t>ida</w:t>
            </w:r>
            <w:r w:rsidRPr="006635F6">
              <w:rPr>
                <w:rFonts w:ascii="Arial" w:hAnsi="Arial" w:cs="Arial"/>
                <w:sz w:val="18"/>
                <w:szCs w:val="18"/>
                <w:lang w:val="es-419"/>
              </w:rPr>
              <w:t xml:space="preserve"> </w:t>
            </w:r>
            <w:r w:rsidR="004C3DEB" w:rsidRPr="006635F6">
              <w:rPr>
                <w:rFonts w:ascii="Arial" w:hAnsi="Arial" w:cs="Arial"/>
                <w:sz w:val="18"/>
                <w:szCs w:val="18"/>
                <w:lang w:val="es-419"/>
              </w:rPr>
              <w:t>e</w:t>
            </w:r>
            <w:r w:rsidRPr="006635F6">
              <w:rPr>
                <w:rFonts w:ascii="Arial" w:hAnsi="Arial" w:cs="Arial"/>
                <w:sz w:val="18"/>
                <w:szCs w:val="18"/>
                <w:lang w:val="es-419"/>
              </w:rPr>
              <w:t>n CPD (</w:t>
            </w:r>
            <w:r w:rsidR="004C3DEB" w:rsidRPr="006635F6">
              <w:rPr>
                <w:rFonts w:ascii="Arial" w:hAnsi="Arial" w:cs="Arial"/>
                <w:sz w:val="18"/>
                <w:szCs w:val="18"/>
                <w:lang w:val="es-419"/>
              </w:rPr>
              <w:t>s</w:t>
            </w:r>
            <w:r w:rsidRPr="006635F6">
              <w:rPr>
                <w:rFonts w:ascii="Arial" w:hAnsi="Arial" w:cs="Arial"/>
                <w:sz w:val="18"/>
                <w:szCs w:val="18"/>
                <w:lang w:val="es-419"/>
              </w:rPr>
              <w:t>/n):</w:t>
            </w:r>
          </w:p>
        </w:tc>
        <w:tc>
          <w:tcPr>
            <w:tcW w:w="5109" w:type="dxa"/>
          </w:tcPr>
          <w:p w14:paraId="43A37193" w14:textId="21F1CA38" w:rsidR="00402561" w:rsidRDefault="004C3DEB">
            <w:pPr>
              <w:spacing w:before="40" w:after="40"/>
            </w:pPr>
            <w:proofErr w:type="spellStart"/>
            <w:r>
              <w:rPr>
                <w:rFonts w:ascii="Arial" w:hAnsi="Arial" w:cs="Arial"/>
                <w:sz w:val="18"/>
                <w:szCs w:val="18"/>
              </w:rPr>
              <w:t>Sí</w:t>
            </w:r>
            <w:proofErr w:type="spellEnd"/>
            <w:r w:rsidR="00ED528A">
              <w:rPr>
                <w:rFonts w:ascii="Arial" w:hAnsi="Arial" w:cs="Arial"/>
                <w:sz w:val="18"/>
                <w:szCs w:val="18"/>
              </w:rPr>
              <w:br/>
            </w:r>
            <w:r w:rsidR="00ED528A">
              <w:rPr>
                <w:rFonts w:ascii="Arial" w:hAnsi="Arial" w:cs="Arial"/>
                <w:sz w:val="18"/>
                <w:szCs w:val="18"/>
              </w:rPr>
              <w:br/>
            </w:r>
            <w:proofErr w:type="spellStart"/>
            <w:r>
              <w:rPr>
                <w:rFonts w:ascii="Arial" w:hAnsi="Arial" w:cs="Arial"/>
                <w:sz w:val="18"/>
                <w:szCs w:val="18"/>
              </w:rPr>
              <w:t>Sí</w:t>
            </w:r>
            <w:proofErr w:type="spellEnd"/>
          </w:p>
        </w:tc>
      </w:tr>
      <w:tr w:rsidR="00402561" w:rsidRPr="006635F6" w14:paraId="43A37197" w14:textId="77777777" w:rsidTr="0086759A">
        <w:trPr>
          <w:jc w:val="center"/>
        </w:trPr>
        <w:tc>
          <w:tcPr>
            <w:tcW w:w="4133" w:type="dxa"/>
          </w:tcPr>
          <w:p w14:paraId="43A37195" w14:textId="15088BA5" w:rsidR="00402561" w:rsidRPr="004C3DEB" w:rsidRDefault="00ED528A">
            <w:pPr>
              <w:spacing w:before="40" w:after="40"/>
              <w:ind w:left="115" w:hanging="115"/>
              <w:rPr>
                <w:lang w:val="es-419"/>
              </w:rPr>
            </w:pPr>
            <w:r w:rsidRPr="004C3DEB">
              <w:rPr>
                <w:rFonts w:ascii="Arial" w:hAnsi="Arial" w:cs="Arial"/>
                <w:sz w:val="18"/>
                <w:szCs w:val="18"/>
                <w:lang w:val="es-419"/>
              </w:rPr>
              <w:t>▪ Ali</w:t>
            </w:r>
            <w:r w:rsidR="004C3DEB" w:rsidRPr="004C3DEB">
              <w:rPr>
                <w:rFonts w:ascii="Arial" w:hAnsi="Arial" w:cs="Arial"/>
                <w:sz w:val="18"/>
                <w:szCs w:val="18"/>
                <w:lang w:val="es-419"/>
              </w:rPr>
              <w:t>neamiento a la</w:t>
            </w:r>
            <w:r w:rsidRPr="004C3DEB">
              <w:rPr>
                <w:rFonts w:ascii="Arial" w:hAnsi="Arial" w:cs="Arial"/>
                <w:sz w:val="18"/>
                <w:szCs w:val="18"/>
                <w:lang w:val="es-419"/>
              </w:rPr>
              <w:t xml:space="preserve"> </w:t>
            </w:r>
            <w:r w:rsidR="004C3DEB" w:rsidRPr="004C3DEB">
              <w:rPr>
                <w:rFonts w:ascii="Arial" w:hAnsi="Arial" w:cs="Arial"/>
                <w:sz w:val="18"/>
                <w:szCs w:val="18"/>
                <w:lang w:val="es-419"/>
              </w:rPr>
              <w:t>Actualizaci</w:t>
            </w:r>
            <w:r w:rsidR="004C3DEB">
              <w:rPr>
                <w:rFonts w:ascii="Arial" w:hAnsi="Arial" w:cs="Arial"/>
                <w:sz w:val="18"/>
                <w:szCs w:val="18"/>
                <w:lang w:val="es-419"/>
              </w:rPr>
              <w:t>ón de la Estrategia</w:t>
            </w:r>
            <w:r w:rsidRPr="004C3DEB">
              <w:rPr>
                <w:rFonts w:ascii="Arial" w:hAnsi="Arial" w:cs="Arial"/>
                <w:sz w:val="18"/>
                <w:szCs w:val="18"/>
                <w:lang w:val="es-419"/>
              </w:rPr>
              <w:t xml:space="preserve"> Instit</w:t>
            </w:r>
            <w:r w:rsidR="004C3DEB">
              <w:rPr>
                <w:rFonts w:ascii="Arial" w:hAnsi="Arial" w:cs="Arial"/>
                <w:sz w:val="18"/>
                <w:szCs w:val="18"/>
                <w:lang w:val="es-419"/>
              </w:rPr>
              <w:t>ucional</w:t>
            </w:r>
            <w:r w:rsidRPr="004C3DEB">
              <w:rPr>
                <w:rFonts w:ascii="Arial" w:hAnsi="Arial" w:cs="Arial"/>
                <w:sz w:val="18"/>
                <w:szCs w:val="18"/>
                <w:lang w:val="es-419"/>
              </w:rPr>
              <w:t xml:space="preserve"> 2010-2020:</w:t>
            </w:r>
          </w:p>
        </w:tc>
        <w:tc>
          <w:tcPr>
            <w:tcW w:w="5109" w:type="dxa"/>
          </w:tcPr>
          <w:p w14:paraId="43A37196" w14:textId="5E7D041D" w:rsidR="00402561" w:rsidRPr="00C509A8" w:rsidRDefault="0086759A">
            <w:pPr>
              <w:spacing w:before="40" w:after="40"/>
              <w:rPr>
                <w:lang w:val="es-419"/>
              </w:rPr>
            </w:pPr>
            <w:r w:rsidRPr="00C509A8">
              <w:rPr>
                <w:rFonts w:ascii="Arial" w:hAnsi="Arial" w:cs="Arial"/>
                <w:sz w:val="18"/>
                <w:szCs w:val="18"/>
                <w:lang w:val="es-419"/>
              </w:rPr>
              <w:t xml:space="preserve">Integración Económica; </w:t>
            </w:r>
            <w:r w:rsidR="00C509A8" w:rsidRPr="00C509A8">
              <w:rPr>
                <w:rFonts w:ascii="Arial" w:hAnsi="Arial" w:cs="Arial"/>
                <w:sz w:val="18"/>
                <w:szCs w:val="18"/>
                <w:lang w:val="es-419"/>
              </w:rPr>
              <w:t>Sostenibilidad</w:t>
            </w:r>
            <w:r w:rsidR="00C509A8">
              <w:rPr>
                <w:rFonts w:ascii="Arial" w:hAnsi="Arial" w:cs="Arial"/>
                <w:sz w:val="18"/>
                <w:szCs w:val="18"/>
                <w:lang w:val="es-419"/>
              </w:rPr>
              <w:t xml:space="preserve"> Ambiental; Igualdad de Género; Diversidad.</w:t>
            </w:r>
          </w:p>
        </w:tc>
      </w:tr>
    </w:tbl>
    <w:p w14:paraId="43A3719B" w14:textId="5AA3CD25" w:rsidR="00402561" w:rsidRPr="006635F6" w:rsidRDefault="00ED528A" w:rsidP="0086759A">
      <w:pPr>
        <w:spacing w:before="240" w:after="120"/>
        <w:ind w:left="576" w:hanging="576"/>
        <w:rPr>
          <w:lang w:val="es-419"/>
        </w:rPr>
      </w:pPr>
      <w:r w:rsidRPr="006635F6">
        <w:rPr>
          <w:rFonts w:ascii="Arial" w:hAnsi="Arial" w:cs="Arial"/>
          <w:b/>
          <w:lang w:val="es-419"/>
        </w:rPr>
        <w:t>II.</w:t>
      </w:r>
      <w:r w:rsidRPr="006635F6">
        <w:rPr>
          <w:rFonts w:ascii="Arial" w:hAnsi="Arial" w:cs="Arial"/>
          <w:b/>
          <w:lang w:val="es-419"/>
        </w:rPr>
        <w:tab/>
      </w:r>
      <w:r w:rsidR="000718FC" w:rsidRPr="006635F6">
        <w:rPr>
          <w:rFonts w:ascii="Arial" w:hAnsi="Arial" w:cs="Arial"/>
          <w:b/>
          <w:lang w:val="es-419"/>
        </w:rPr>
        <w:t>Objetivo y Justificación</w:t>
      </w:r>
    </w:p>
    <w:p w14:paraId="43A3719C" w14:textId="543145EB" w:rsidR="00402561" w:rsidRPr="00F11CEF" w:rsidRDefault="00ED528A">
      <w:pPr>
        <w:spacing w:before="120" w:after="120"/>
        <w:ind w:left="579" w:hanging="579"/>
        <w:jc w:val="both"/>
        <w:rPr>
          <w:lang w:val="es-419"/>
        </w:rPr>
      </w:pPr>
      <w:r w:rsidRPr="00F11CEF">
        <w:rPr>
          <w:rFonts w:ascii="Arial" w:hAnsi="Arial" w:cs="Arial"/>
          <w:lang w:val="es-419"/>
        </w:rPr>
        <w:t>2.1</w:t>
      </w:r>
      <w:r w:rsidRPr="00F11CEF">
        <w:rPr>
          <w:rFonts w:ascii="Arial" w:hAnsi="Arial" w:cs="Arial"/>
          <w:lang w:val="es-419"/>
        </w:rPr>
        <w:tab/>
      </w:r>
      <w:r w:rsidR="000718FC" w:rsidRPr="00F11CEF">
        <w:rPr>
          <w:rFonts w:ascii="Arial" w:hAnsi="Arial" w:cs="Arial"/>
          <w:lang w:val="es-419"/>
        </w:rPr>
        <w:t xml:space="preserve">El objetivo de esta Cooperación Técnica es fortalecer </w:t>
      </w:r>
      <w:r w:rsidR="00D257A9" w:rsidRPr="00F11CEF">
        <w:rPr>
          <w:rFonts w:ascii="Arial" w:hAnsi="Arial" w:cs="Arial"/>
          <w:lang w:val="es-419"/>
        </w:rPr>
        <w:t>la capacidad de Paraguay para hacer frente a los impactos del cambio climático</w:t>
      </w:r>
      <w:r w:rsidR="004B5112" w:rsidRPr="00F11CEF">
        <w:rPr>
          <w:rFonts w:ascii="Arial" w:hAnsi="Arial" w:cs="Arial"/>
          <w:lang w:val="es-419"/>
        </w:rPr>
        <w:t xml:space="preserve"> en los sistemas de generación de la cuenca del </w:t>
      </w:r>
      <w:r w:rsidR="003C4435" w:rsidRPr="00F11CEF">
        <w:rPr>
          <w:rFonts w:ascii="Arial" w:hAnsi="Arial" w:cs="Arial"/>
          <w:lang w:val="es-419"/>
        </w:rPr>
        <w:t>R</w:t>
      </w:r>
      <w:r w:rsidR="004B5112" w:rsidRPr="00F11CEF">
        <w:rPr>
          <w:rFonts w:ascii="Arial" w:hAnsi="Arial" w:cs="Arial"/>
          <w:lang w:val="es-419"/>
        </w:rPr>
        <w:t>ío Paraná</w:t>
      </w:r>
      <w:r w:rsidR="003C4435" w:rsidRPr="00F11CEF">
        <w:rPr>
          <w:rFonts w:ascii="Arial" w:hAnsi="Arial" w:cs="Arial"/>
          <w:lang w:val="es-419"/>
        </w:rPr>
        <w:t xml:space="preserve"> mediante </w:t>
      </w:r>
      <w:r w:rsidR="0012560D" w:rsidRPr="00F11CEF">
        <w:rPr>
          <w:rFonts w:ascii="Arial" w:hAnsi="Arial" w:cs="Arial"/>
          <w:lang w:val="es-419"/>
        </w:rPr>
        <w:t xml:space="preserve">tecnologías de punta para </w:t>
      </w:r>
      <w:r w:rsidR="00382F69" w:rsidRPr="00F11CEF">
        <w:rPr>
          <w:rFonts w:ascii="Arial" w:hAnsi="Arial" w:cs="Arial"/>
          <w:lang w:val="es-419"/>
        </w:rPr>
        <w:t xml:space="preserve">la elaboración de modelos hidrológicos y climáticos para estimar </w:t>
      </w:r>
      <w:r w:rsidR="00F11CEF" w:rsidRPr="00F11CEF">
        <w:rPr>
          <w:rFonts w:ascii="Arial" w:hAnsi="Arial" w:cs="Arial"/>
          <w:lang w:val="es-419"/>
        </w:rPr>
        <w:t>cambios en la generación de electricidad, y el Desarrollo de medidas de adaptación</w:t>
      </w:r>
      <w:r w:rsidRPr="00F11CEF">
        <w:rPr>
          <w:rFonts w:ascii="Arial" w:hAnsi="Arial" w:cs="Arial"/>
          <w:lang w:val="es-419"/>
        </w:rPr>
        <w:t>.</w:t>
      </w:r>
    </w:p>
    <w:p w14:paraId="43A3719D" w14:textId="5834CCD6" w:rsidR="00402561" w:rsidRPr="00F216E1" w:rsidRDefault="00ED528A">
      <w:pPr>
        <w:spacing w:before="120" w:after="120"/>
        <w:ind w:left="579" w:hanging="579"/>
        <w:jc w:val="both"/>
        <w:rPr>
          <w:lang w:val="es-419"/>
        </w:rPr>
      </w:pPr>
      <w:r w:rsidRPr="00F216E1">
        <w:rPr>
          <w:rFonts w:ascii="Arial" w:hAnsi="Arial" w:cs="Arial"/>
          <w:lang w:val="es-419"/>
        </w:rPr>
        <w:t>2.2</w:t>
      </w:r>
      <w:r w:rsidRPr="00F216E1">
        <w:rPr>
          <w:rFonts w:ascii="Arial" w:hAnsi="Arial" w:cs="Arial"/>
          <w:lang w:val="es-419"/>
        </w:rPr>
        <w:tab/>
        <w:t>La seguridad eléctrica de Paraguay es altamente dependiente de la energía hidroeléctrica. Pese a esa dependencia</w:t>
      </w:r>
      <w:r w:rsidR="00A704F2">
        <w:rPr>
          <w:rFonts w:ascii="Arial" w:hAnsi="Arial" w:cs="Arial"/>
          <w:lang w:val="es-419"/>
        </w:rPr>
        <w:t>,</w:t>
      </w:r>
      <w:r w:rsidRPr="00F216E1">
        <w:rPr>
          <w:rFonts w:ascii="Arial" w:hAnsi="Arial" w:cs="Arial"/>
          <w:lang w:val="es-419"/>
        </w:rPr>
        <w:t xml:space="preserve"> existen pocos estudios que identifiquen y cuantifiquen los impactos del cambio climático sobre la generación hidroeléctrica proveniente de alteraciones en los caudales que alimentan las centrales hidroeléctricas. La eventual escasez energética resultante de reducciones de la disponibilidad del recurso hídrico podría llevar a los países andinos a verse obligados a cortes de suministro eléctrico, impactando de forma adversa las economías locales. Es por esto </w:t>
      </w:r>
      <w:proofErr w:type="gramStart"/>
      <w:r w:rsidRPr="00F216E1">
        <w:rPr>
          <w:rFonts w:ascii="Arial" w:hAnsi="Arial" w:cs="Arial"/>
          <w:lang w:val="es-419"/>
        </w:rPr>
        <w:t>que</w:t>
      </w:r>
      <w:proofErr w:type="gramEnd"/>
      <w:r w:rsidRPr="00F216E1">
        <w:rPr>
          <w:rFonts w:ascii="Arial" w:hAnsi="Arial" w:cs="Arial"/>
          <w:lang w:val="es-419"/>
        </w:rPr>
        <w:t xml:space="preserve"> es necesario identificar un conjunto de medidas de adaptación que aseguren relativamente la futura productividad hidroeléctrica, aliviando la posible presión climática sobre los sistemas eléctricos. El resultado esperado será el estudio en detalle de la interrelación entre los fenómenos climáticos actuales y la disponibilidad del recurso hídrico con la generación eléctrica a futuro, pudiendo de esta forma anticiparse a cambios y formular estrategias de adaptación.</w:t>
      </w:r>
    </w:p>
    <w:p w14:paraId="43A3719E" w14:textId="5EED82B7" w:rsidR="00402561" w:rsidRPr="00A704F2" w:rsidRDefault="00ED528A" w:rsidP="00A704F2">
      <w:pPr>
        <w:spacing w:before="240" w:after="120"/>
        <w:ind w:left="576" w:hanging="576"/>
        <w:rPr>
          <w:lang w:val="es-419"/>
        </w:rPr>
      </w:pPr>
      <w:r w:rsidRPr="00A704F2">
        <w:rPr>
          <w:rFonts w:ascii="Arial" w:hAnsi="Arial" w:cs="Arial"/>
          <w:b/>
          <w:lang w:val="es-419"/>
        </w:rPr>
        <w:lastRenderedPageBreak/>
        <w:t>III.</w:t>
      </w:r>
      <w:r w:rsidRPr="00A704F2">
        <w:rPr>
          <w:rFonts w:ascii="Arial" w:hAnsi="Arial" w:cs="Arial"/>
          <w:b/>
          <w:lang w:val="es-419"/>
        </w:rPr>
        <w:tab/>
      </w:r>
      <w:r w:rsidR="00A704F2" w:rsidRPr="00A704F2">
        <w:rPr>
          <w:rFonts w:ascii="Arial" w:hAnsi="Arial" w:cs="Arial"/>
          <w:b/>
          <w:lang w:val="es-419"/>
        </w:rPr>
        <w:t>Descripción de Actividades y Componentes</w:t>
      </w:r>
    </w:p>
    <w:p w14:paraId="43A3719F" w14:textId="58BC98F8" w:rsidR="00402561" w:rsidRPr="00F216E1" w:rsidRDefault="00ED528A">
      <w:pPr>
        <w:spacing w:before="120" w:after="120"/>
        <w:ind w:left="579" w:hanging="579"/>
        <w:jc w:val="both"/>
        <w:rPr>
          <w:lang w:val="es-419"/>
        </w:rPr>
      </w:pPr>
      <w:r w:rsidRPr="00F216E1">
        <w:rPr>
          <w:rFonts w:ascii="Arial" w:hAnsi="Arial" w:cs="Arial"/>
          <w:lang w:val="es-419"/>
        </w:rPr>
        <w:t>3.1</w:t>
      </w:r>
      <w:r w:rsidRPr="00F216E1">
        <w:rPr>
          <w:rFonts w:ascii="Arial" w:hAnsi="Arial" w:cs="Arial"/>
          <w:lang w:val="es-419"/>
        </w:rPr>
        <w:tab/>
      </w:r>
      <w:r w:rsidRPr="00F216E1">
        <w:rPr>
          <w:rFonts w:ascii="Arial" w:hAnsi="Arial" w:cs="Arial"/>
          <w:b/>
          <w:lang w:val="es-419"/>
        </w:rPr>
        <w:t>Component</w:t>
      </w:r>
      <w:r w:rsidR="00A704F2">
        <w:rPr>
          <w:rFonts w:ascii="Arial" w:hAnsi="Arial" w:cs="Arial"/>
          <w:b/>
          <w:lang w:val="es-419"/>
        </w:rPr>
        <w:t>e</w:t>
      </w:r>
      <w:r w:rsidRPr="00F216E1">
        <w:rPr>
          <w:rFonts w:ascii="Arial" w:hAnsi="Arial" w:cs="Arial"/>
          <w:b/>
          <w:lang w:val="es-419"/>
        </w:rPr>
        <w:t xml:space="preserve"> I: Recopilación de datos hidrometeorológicos y energéticos para analizar la vulnerabilidad de sistemas hidroeléctricos frente al cambio climático. </w:t>
      </w:r>
      <w:r w:rsidRPr="00F216E1">
        <w:rPr>
          <w:rFonts w:ascii="Arial" w:hAnsi="Arial" w:cs="Arial"/>
          <w:lang w:val="es-419"/>
        </w:rPr>
        <w:t>Este componente comprende la recopilación de datos hidrometeorológicos y energéticos, así como el modelaje climático e hidrológico de última generación para la cuenca del Paraná. Los productos serán: (i) análisis profundo de cambios en temperatura, precipitación, ocurrencia y magnitud de eventos extremos hasta el final del siglo; y (</w:t>
      </w:r>
      <w:proofErr w:type="spellStart"/>
      <w:r w:rsidRPr="00F216E1">
        <w:rPr>
          <w:rFonts w:ascii="Arial" w:hAnsi="Arial" w:cs="Arial"/>
          <w:lang w:val="es-419"/>
        </w:rPr>
        <w:t>iii</w:t>
      </w:r>
      <w:proofErr w:type="spellEnd"/>
      <w:r w:rsidRPr="00F216E1">
        <w:rPr>
          <w:rFonts w:ascii="Arial" w:hAnsi="Arial" w:cs="Arial"/>
          <w:lang w:val="es-419"/>
        </w:rPr>
        <w:t>) un análisis de las consecuencias energéticas y económicas relacionadas a la variación del caudal a nivel intra e interanual en la cuenca.</w:t>
      </w:r>
    </w:p>
    <w:p w14:paraId="43A371A0" w14:textId="79A04185" w:rsidR="00402561" w:rsidRPr="00F216E1" w:rsidRDefault="00ED528A">
      <w:pPr>
        <w:spacing w:before="120" w:after="120"/>
        <w:ind w:left="579" w:hanging="579"/>
        <w:jc w:val="both"/>
        <w:rPr>
          <w:lang w:val="es-419"/>
        </w:rPr>
      </w:pPr>
      <w:r w:rsidRPr="00F216E1">
        <w:rPr>
          <w:rFonts w:ascii="Arial" w:hAnsi="Arial" w:cs="Arial"/>
          <w:lang w:val="es-419"/>
        </w:rPr>
        <w:t>3.2</w:t>
      </w:r>
      <w:r w:rsidRPr="00F216E1">
        <w:rPr>
          <w:rFonts w:ascii="Arial" w:hAnsi="Arial" w:cs="Arial"/>
          <w:lang w:val="es-419"/>
        </w:rPr>
        <w:tab/>
      </w:r>
      <w:r w:rsidRPr="00F216E1">
        <w:rPr>
          <w:rFonts w:ascii="Arial" w:hAnsi="Arial" w:cs="Arial"/>
          <w:b/>
          <w:lang w:val="es-419"/>
        </w:rPr>
        <w:t>Component</w:t>
      </w:r>
      <w:r w:rsidR="00A704F2">
        <w:rPr>
          <w:rFonts w:ascii="Arial" w:hAnsi="Arial" w:cs="Arial"/>
          <w:b/>
          <w:lang w:val="es-419"/>
        </w:rPr>
        <w:t>e</w:t>
      </w:r>
      <w:r w:rsidRPr="00F216E1">
        <w:rPr>
          <w:rFonts w:ascii="Arial" w:hAnsi="Arial" w:cs="Arial"/>
          <w:b/>
          <w:lang w:val="es-419"/>
        </w:rPr>
        <w:t xml:space="preserve"> II: Identificación y análisis económico de medidas de adaptación. </w:t>
      </w:r>
      <w:r w:rsidRPr="00F216E1">
        <w:rPr>
          <w:rFonts w:ascii="Arial" w:hAnsi="Arial" w:cs="Arial"/>
          <w:lang w:val="es-419"/>
        </w:rPr>
        <w:t>Basado en los resultados del componente I, se identificarán diferentes acciones de adaptación para las plantas hidroeléctricas y se llevará a cabo un análisis de costo- beneficio para las medidas priorizadas a nivel de central en la cuenca de Paraná y a nivel de matriz nacional dependiendo de la relevancia de la cuenca analizada en la matriz energética del país.</w:t>
      </w:r>
    </w:p>
    <w:p w14:paraId="43A371A1" w14:textId="470DB1E4" w:rsidR="00402561" w:rsidRDefault="00ED528A" w:rsidP="00A704F2">
      <w:pPr>
        <w:spacing w:before="240" w:after="120"/>
        <w:ind w:left="576" w:hanging="576"/>
      </w:pPr>
      <w:r>
        <w:rPr>
          <w:rFonts w:ascii="Arial" w:hAnsi="Arial" w:cs="Arial"/>
          <w:b/>
        </w:rPr>
        <w:t>IV.</w:t>
      </w:r>
      <w:r>
        <w:rPr>
          <w:rFonts w:ascii="Arial" w:hAnsi="Arial" w:cs="Arial"/>
          <w:b/>
        </w:rPr>
        <w:tab/>
      </w:r>
      <w:proofErr w:type="spellStart"/>
      <w:r w:rsidR="00A704F2">
        <w:rPr>
          <w:rFonts w:ascii="Arial" w:hAnsi="Arial" w:cs="Arial"/>
          <w:b/>
        </w:rPr>
        <w:t>Presupuesto</w:t>
      </w:r>
      <w:proofErr w:type="spellEnd"/>
    </w:p>
    <w:p w14:paraId="43A371A2" w14:textId="07EF1F6A" w:rsidR="00402561" w:rsidRDefault="00A704F2">
      <w:pPr>
        <w:spacing w:before="240" w:after="120"/>
        <w:jc w:val="center"/>
      </w:pPr>
      <w:proofErr w:type="spellStart"/>
      <w:r>
        <w:rPr>
          <w:rFonts w:ascii="Arial" w:hAnsi="Arial" w:cs="Arial"/>
          <w:b/>
          <w:sz w:val="18"/>
          <w:szCs w:val="18"/>
        </w:rPr>
        <w:t>Presupuesto</w:t>
      </w:r>
      <w:proofErr w:type="spellEnd"/>
      <w:r>
        <w:rPr>
          <w:rFonts w:ascii="Arial" w:hAnsi="Arial" w:cs="Arial"/>
          <w:b/>
          <w:sz w:val="18"/>
          <w:szCs w:val="18"/>
        </w:rPr>
        <w:t xml:space="preserve"> </w:t>
      </w:r>
      <w:proofErr w:type="spellStart"/>
      <w:r>
        <w:rPr>
          <w:rFonts w:ascii="Arial" w:hAnsi="Arial" w:cs="Arial"/>
          <w:b/>
          <w:sz w:val="18"/>
          <w:szCs w:val="18"/>
        </w:rPr>
        <w:t>Indicativo</w:t>
      </w:r>
      <w:proofErr w:type="spellEnd"/>
    </w:p>
    <w:tbl>
      <w:tblPr>
        <w:tblStyle w:val="TableGrid"/>
        <w:tblW w:w="0" w:type="auto"/>
        <w:tblLook w:val="04A0" w:firstRow="1" w:lastRow="0" w:firstColumn="1" w:lastColumn="0" w:noHBand="0" w:noVBand="1"/>
      </w:tblPr>
      <w:tblGrid>
        <w:gridCol w:w="2310"/>
        <w:gridCol w:w="2310"/>
        <w:gridCol w:w="2310"/>
        <w:gridCol w:w="2310"/>
      </w:tblGrid>
      <w:tr w:rsidR="00402561" w14:paraId="43A371A7" w14:textId="77777777" w:rsidTr="00BD4C97">
        <w:tc>
          <w:tcPr>
            <w:tcW w:w="2310" w:type="dxa"/>
            <w:vAlign w:val="center"/>
          </w:tcPr>
          <w:p w14:paraId="43A371A3" w14:textId="512886E2" w:rsidR="00402561" w:rsidRDefault="00ED528A">
            <w:pPr>
              <w:spacing w:before="40" w:after="40"/>
              <w:jc w:val="center"/>
            </w:pPr>
            <w:proofErr w:type="spellStart"/>
            <w:r>
              <w:rPr>
                <w:rFonts w:ascii="Arial" w:hAnsi="Arial" w:cs="Arial"/>
                <w:b/>
                <w:sz w:val="18"/>
                <w:szCs w:val="18"/>
              </w:rPr>
              <w:t>Activi</w:t>
            </w:r>
            <w:r w:rsidR="00A704F2">
              <w:rPr>
                <w:rFonts w:ascii="Arial" w:hAnsi="Arial" w:cs="Arial"/>
                <w:b/>
                <w:sz w:val="18"/>
                <w:szCs w:val="18"/>
              </w:rPr>
              <w:t>dad</w:t>
            </w:r>
            <w:proofErr w:type="spellEnd"/>
            <w:r>
              <w:rPr>
                <w:rFonts w:ascii="Arial" w:hAnsi="Arial" w:cs="Arial"/>
                <w:b/>
                <w:sz w:val="18"/>
                <w:szCs w:val="18"/>
              </w:rPr>
              <w:t>/</w:t>
            </w:r>
            <w:proofErr w:type="spellStart"/>
            <w:r>
              <w:rPr>
                <w:rFonts w:ascii="Arial" w:hAnsi="Arial" w:cs="Arial"/>
                <w:b/>
                <w:sz w:val="18"/>
                <w:szCs w:val="18"/>
              </w:rPr>
              <w:t>Component</w:t>
            </w:r>
            <w:r w:rsidR="00A704F2">
              <w:rPr>
                <w:rFonts w:ascii="Arial" w:hAnsi="Arial" w:cs="Arial"/>
                <w:b/>
                <w:sz w:val="18"/>
                <w:szCs w:val="18"/>
              </w:rPr>
              <w:t>e</w:t>
            </w:r>
            <w:proofErr w:type="spellEnd"/>
          </w:p>
        </w:tc>
        <w:tc>
          <w:tcPr>
            <w:tcW w:w="2310" w:type="dxa"/>
          </w:tcPr>
          <w:p w14:paraId="43A371A4" w14:textId="2CFF9BA6" w:rsidR="00402561" w:rsidRDefault="00A704F2">
            <w:pPr>
              <w:spacing w:before="40" w:after="40"/>
              <w:jc w:val="center"/>
            </w:pPr>
            <w:proofErr w:type="spellStart"/>
            <w:r>
              <w:rPr>
                <w:rFonts w:ascii="Arial" w:hAnsi="Arial" w:cs="Arial"/>
                <w:b/>
                <w:sz w:val="18"/>
                <w:szCs w:val="18"/>
              </w:rPr>
              <w:t>Financiamiento</w:t>
            </w:r>
            <w:proofErr w:type="spellEnd"/>
            <w:r>
              <w:rPr>
                <w:rFonts w:ascii="Arial" w:hAnsi="Arial" w:cs="Arial"/>
                <w:b/>
                <w:sz w:val="18"/>
                <w:szCs w:val="18"/>
              </w:rPr>
              <w:t xml:space="preserve"> BID</w:t>
            </w:r>
          </w:p>
        </w:tc>
        <w:tc>
          <w:tcPr>
            <w:tcW w:w="2310" w:type="dxa"/>
          </w:tcPr>
          <w:p w14:paraId="43A371A5" w14:textId="63C1390E" w:rsidR="00402561" w:rsidRDefault="00A704F2">
            <w:pPr>
              <w:spacing w:before="40" w:after="40"/>
              <w:jc w:val="center"/>
            </w:pPr>
            <w:proofErr w:type="spellStart"/>
            <w:r>
              <w:rPr>
                <w:rFonts w:ascii="Arial" w:hAnsi="Arial" w:cs="Arial"/>
                <w:b/>
                <w:sz w:val="18"/>
                <w:szCs w:val="18"/>
              </w:rPr>
              <w:t>Contrapartida</w:t>
            </w:r>
            <w:proofErr w:type="spellEnd"/>
          </w:p>
        </w:tc>
        <w:tc>
          <w:tcPr>
            <w:tcW w:w="2310" w:type="dxa"/>
          </w:tcPr>
          <w:p w14:paraId="43A371A6" w14:textId="62B135A4" w:rsidR="00402561" w:rsidRDefault="00A704F2">
            <w:pPr>
              <w:spacing w:before="40" w:after="40"/>
              <w:jc w:val="center"/>
            </w:pPr>
            <w:proofErr w:type="spellStart"/>
            <w:r>
              <w:rPr>
                <w:rFonts w:ascii="Arial" w:hAnsi="Arial" w:cs="Arial"/>
                <w:b/>
                <w:sz w:val="18"/>
                <w:szCs w:val="18"/>
              </w:rPr>
              <w:t>Financiamiento</w:t>
            </w:r>
            <w:proofErr w:type="spellEnd"/>
            <w:r>
              <w:rPr>
                <w:rFonts w:ascii="Arial" w:hAnsi="Arial" w:cs="Arial"/>
                <w:b/>
                <w:sz w:val="18"/>
                <w:szCs w:val="18"/>
              </w:rPr>
              <w:t xml:space="preserve"> </w:t>
            </w:r>
            <w:r w:rsidR="00ED528A">
              <w:rPr>
                <w:rFonts w:ascii="Arial" w:hAnsi="Arial" w:cs="Arial"/>
                <w:b/>
                <w:sz w:val="18"/>
                <w:szCs w:val="18"/>
              </w:rPr>
              <w:t>Total</w:t>
            </w:r>
          </w:p>
        </w:tc>
      </w:tr>
      <w:tr w:rsidR="00BD4C97" w14:paraId="43A371AC" w14:textId="77777777" w:rsidTr="00BD4C97">
        <w:tc>
          <w:tcPr>
            <w:tcW w:w="2310" w:type="dxa"/>
            <w:vAlign w:val="center"/>
          </w:tcPr>
          <w:p w14:paraId="43A371A8" w14:textId="77777777" w:rsidR="00BD4C97" w:rsidRPr="00F216E1" w:rsidRDefault="00BD4C97" w:rsidP="00BD4C97">
            <w:pPr>
              <w:spacing w:before="40" w:after="40"/>
              <w:rPr>
                <w:lang w:val="es-419"/>
              </w:rPr>
            </w:pPr>
            <w:r w:rsidRPr="00F216E1">
              <w:rPr>
                <w:rFonts w:ascii="Arial" w:hAnsi="Arial" w:cs="Arial"/>
                <w:sz w:val="18"/>
                <w:szCs w:val="18"/>
                <w:lang w:val="es-419"/>
              </w:rPr>
              <w:t>Recopilación de datos hidrometeorológicos y energéticos para analizar la vulnerabilidad de sistemas hidroeléctricos frente al cambio climático</w:t>
            </w:r>
          </w:p>
        </w:tc>
        <w:tc>
          <w:tcPr>
            <w:tcW w:w="2310" w:type="dxa"/>
            <w:vAlign w:val="center"/>
          </w:tcPr>
          <w:p w14:paraId="43A371A9" w14:textId="3132F9B5" w:rsidR="00BD4C97" w:rsidRDefault="00BD4C97" w:rsidP="00BD4C97">
            <w:pPr>
              <w:spacing w:before="40" w:after="40"/>
              <w:jc w:val="right"/>
            </w:pPr>
            <w:r>
              <w:rPr>
                <w:rFonts w:ascii="Arial" w:hAnsi="Arial" w:cs="Arial"/>
                <w:sz w:val="18"/>
                <w:szCs w:val="18"/>
              </w:rPr>
              <w:t>US$80.000,00</w:t>
            </w:r>
          </w:p>
        </w:tc>
        <w:tc>
          <w:tcPr>
            <w:tcW w:w="2310" w:type="dxa"/>
            <w:vAlign w:val="center"/>
          </w:tcPr>
          <w:p w14:paraId="43A371AA" w14:textId="55139CE2" w:rsidR="00BD4C97" w:rsidRDefault="00BD4C97" w:rsidP="00BD4C97">
            <w:pPr>
              <w:spacing w:before="40" w:after="40"/>
              <w:jc w:val="right"/>
            </w:pPr>
            <w:r>
              <w:rPr>
                <w:rFonts w:ascii="Arial" w:hAnsi="Arial" w:cs="Arial"/>
                <w:sz w:val="18"/>
                <w:szCs w:val="18"/>
              </w:rPr>
              <w:t>US$0,00</w:t>
            </w:r>
          </w:p>
        </w:tc>
        <w:tc>
          <w:tcPr>
            <w:tcW w:w="2310" w:type="dxa"/>
            <w:vAlign w:val="center"/>
          </w:tcPr>
          <w:p w14:paraId="43A371AB" w14:textId="0D52FFB3" w:rsidR="00BD4C97" w:rsidRDefault="00BD4C97" w:rsidP="00BD4C97">
            <w:pPr>
              <w:spacing w:before="40" w:after="40"/>
              <w:jc w:val="right"/>
            </w:pPr>
            <w:r>
              <w:rPr>
                <w:rFonts w:ascii="Arial" w:hAnsi="Arial" w:cs="Arial"/>
                <w:sz w:val="18"/>
                <w:szCs w:val="18"/>
              </w:rPr>
              <w:t>US$80.000,00</w:t>
            </w:r>
          </w:p>
        </w:tc>
      </w:tr>
      <w:tr w:rsidR="00BD4C97" w14:paraId="43A371B1" w14:textId="77777777" w:rsidTr="00BD4C97">
        <w:tc>
          <w:tcPr>
            <w:tcW w:w="2310" w:type="dxa"/>
            <w:vAlign w:val="center"/>
          </w:tcPr>
          <w:p w14:paraId="43A371AD" w14:textId="77777777" w:rsidR="00BD4C97" w:rsidRPr="00F216E1" w:rsidRDefault="00BD4C97" w:rsidP="00BD4C97">
            <w:pPr>
              <w:spacing w:before="40" w:after="40"/>
              <w:rPr>
                <w:lang w:val="es-419"/>
              </w:rPr>
            </w:pPr>
            <w:r w:rsidRPr="00F216E1">
              <w:rPr>
                <w:rFonts w:ascii="Arial" w:hAnsi="Arial" w:cs="Arial"/>
                <w:sz w:val="18"/>
                <w:szCs w:val="18"/>
                <w:lang w:val="es-419"/>
              </w:rPr>
              <w:t>Identificación y análisis económico de medidas de adaptación</w:t>
            </w:r>
          </w:p>
        </w:tc>
        <w:tc>
          <w:tcPr>
            <w:tcW w:w="2310" w:type="dxa"/>
            <w:vAlign w:val="center"/>
          </w:tcPr>
          <w:p w14:paraId="43A371AE" w14:textId="0B4F01B7" w:rsidR="00BD4C97" w:rsidRDefault="00BD4C97" w:rsidP="00BD4C97">
            <w:pPr>
              <w:spacing w:before="40" w:after="40"/>
              <w:jc w:val="right"/>
            </w:pPr>
            <w:r>
              <w:rPr>
                <w:rFonts w:ascii="Arial" w:hAnsi="Arial" w:cs="Arial"/>
                <w:sz w:val="18"/>
                <w:szCs w:val="18"/>
              </w:rPr>
              <w:t>US$270.000,00</w:t>
            </w:r>
          </w:p>
        </w:tc>
        <w:tc>
          <w:tcPr>
            <w:tcW w:w="2310" w:type="dxa"/>
            <w:vAlign w:val="center"/>
          </w:tcPr>
          <w:p w14:paraId="43A371AF" w14:textId="16D90FB9" w:rsidR="00BD4C97" w:rsidRDefault="00BD4C97" w:rsidP="00BD4C97">
            <w:pPr>
              <w:spacing w:before="40" w:after="40"/>
              <w:jc w:val="right"/>
            </w:pPr>
            <w:r>
              <w:rPr>
                <w:rFonts w:ascii="Arial" w:hAnsi="Arial" w:cs="Arial"/>
                <w:sz w:val="18"/>
                <w:szCs w:val="18"/>
              </w:rPr>
              <w:t>US$0,00</w:t>
            </w:r>
          </w:p>
        </w:tc>
        <w:tc>
          <w:tcPr>
            <w:tcW w:w="2310" w:type="dxa"/>
            <w:vAlign w:val="center"/>
          </w:tcPr>
          <w:p w14:paraId="43A371B0" w14:textId="6646DDEB" w:rsidR="00BD4C97" w:rsidRDefault="00BD4C97" w:rsidP="00BD4C97">
            <w:pPr>
              <w:spacing w:before="40" w:after="40"/>
              <w:jc w:val="right"/>
            </w:pPr>
            <w:r>
              <w:rPr>
                <w:rFonts w:ascii="Arial" w:hAnsi="Arial" w:cs="Arial"/>
                <w:sz w:val="18"/>
                <w:szCs w:val="18"/>
              </w:rPr>
              <w:t>US$270.000,00</w:t>
            </w:r>
          </w:p>
        </w:tc>
      </w:tr>
      <w:tr w:rsidR="00BD4C97" w14:paraId="43A371B6" w14:textId="77777777" w:rsidTr="00BD4C97">
        <w:tc>
          <w:tcPr>
            <w:tcW w:w="2310" w:type="dxa"/>
            <w:vAlign w:val="center"/>
          </w:tcPr>
          <w:p w14:paraId="43A371B2" w14:textId="77777777" w:rsidR="00BD4C97" w:rsidRDefault="00BD4C97" w:rsidP="00BD4C97">
            <w:pPr>
              <w:spacing w:before="40" w:after="40"/>
            </w:pPr>
            <w:r>
              <w:rPr>
                <w:rFonts w:ascii="Arial" w:hAnsi="Arial" w:cs="Arial"/>
                <w:b/>
                <w:sz w:val="18"/>
                <w:szCs w:val="18"/>
              </w:rPr>
              <w:t>Total</w:t>
            </w:r>
          </w:p>
        </w:tc>
        <w:tc>
          <w:tcPr>
            <w:tcW w:w="2310" w:type="dxa"/>
            <w:vAlign w:val="center"/>
          </w:tcPr>
          <w:p w14:paraId="43A371B3" w14:textId="4DB535E5" w:rsidR="00BD4C97" w:rsidRDefault="00BD4C97" w:rsidP="00BD4C97">
            <w:pPr>
              <w:spacing w:before="40" w:after="40"/>
              <w:jc w:val="right"/>
            </w:pPr>
            <w:r>
              <w:rPr>
                <w:rFonts w:ascii="Arial" w:hAnsi="Arial" w:cs="Arial"/>
                <w:b/>
                <w:sz w:val="18"/>
                <w:szCs w:val="18"/>
              </w:rPr>
              <w:t>US$350.000,00</w:t>
            </w:r>
          </w:p>
        </w:tc>
        <w:tc>
          <w:tcPr>
            <w:tcW w:w="2310" w:type="dxa"/>
            <w:vAlign w:val="center"/>
          </w:tcPr>
          <w:p w14:paraId="43A371B4" w14:textId="5C12FA96" w:rsidR="00BD4C97" w:rsidRDefault="00BD4C97" w:rsidP="00BD4C97">
            <w:pPr>
              <w:spacing w:before="40" w:after="40"/>
              <w:jc w:val="right"/>
            </w:pPr>
            <w:r>
              <w:rPr>
                <w:rFonts w:ascii="Arial" w:hAnsi="Arial" w:cs="Arial"/>
                <w:b/>
                <w:sz w:val="18"/>
                <w:szCs w:val="18"/>
              </w:rPr>
              <w:t>US$0,00</w:t>
            </w:r>
          </w:p>
        </w:tc>
        <w:tc>
          <w:tcPr>
            <w:tcW w:w="2310" w:type="dxa"/>
            <w:vAlign w:val="center"/>
          </w:tcPr>
          <w:p w14:paraId="43A371B5" w14:textId="45B48B53" w:rsidR="00BD4C97" w:rsidRDefault="00BD4C97" w:rsidP="00BD4C97">
            <w:pPr>
              <w:spacing w:before="40" w:after="40"/>
              <w:jc w:val="right"/>
            </w:pPr>
            <w:r>
              <w:rPr>
                <w:rFonts w:ascii="Arial" w:hAnsi="Arial" w:cs="Arial"/>
                <w:b/>
                <w:sz w:val="18"/>
                <w:szCs w:val="18"/>
              </w:rPr>
              <w:t>US$350.000,00</w:t>
            </w:r>
          </w:p>
        </w:tc>
      </w:tr>
    </w:tbl>
    <w:p w14:paraId="43A371B7" w14:textId="29CE5C1C" w:rsidR="00402561" w:rsidRPr="00A704F2" w:rsidRDefault="00ED528A" w:rsidP="00763A77">
      <w:pPr>
        <w:spacing w:before="240" w:after="120"/>
        <w:ind w:left="576" w:hanging="576"/>
        <w:rPr>
          <w:lang w:val="es-419"/>
        </w:rPr>
      </w:pPr>
      <w:r w:rsidRPr="00A704F2">
        <w:rPr>
          <w:rFonts w:ascii="Arial" w:hAnsi="Arial" w:cs="Arial"/>
          <w:b/>
          <w:lang w:val="es-419"/>
        </w:rPr>
        <w:t>V.</w:t>
      </w:r>
      <w:r w:rsidRPr="00A704F2">
        <w:rPr>
          <w:rFonts w:ascii="Arial" w:hAnsi="Arial" w:cs="Arial"/>
          <w:b/>
          <w:lang w:val="es-419"/>
        </w:rPr>
        <w:tab/>
        <w:t>Agenc</w:t>
      </w:r>
      <w:r w:rsidR="00A704F2" w:rsidRPr="00A704F2">
        <w:rPr>
          <w:rFonts w:ascii="Arial" w:hAnsi="Arial" w:cs="Arial"/>
          <w:b/>
          <w:lang w:val="es-419"/>
        </w:rPr>
        <w:t>ia Ejecutora</w:t>
      </w:r>
      <w:r w:rsidRPr="00A704F2">
        <w:rPr>
          <w:rFonts w:ascii="Arial" w:hAnsi="Arial" w:cs="Arial"/>
          <w:b/>
          <w:lang w:val="es-419"/>
        </w:rPr>
        <w:t xml:space="preserve"> </w:t>
      </w:r>
      <w:r w:rsidR="00A704F2" w:rsidRPr="00A704F2">
        <w:rPr>
          <w:rFonts w:ascii="Arial" w:hAnsi="Arial" w:cs="Arial"/>
          <w:b/>
          <w:lang w:val="es-419"/>
        </w:rPr>
        <w:t>y Estructura de Ejecución</w:t>
      </w:r>
    </w:p>
    <w:p w14:paraId="43A371B8" w14:textId="47B12B81" w:rsidR="00402561" w:rsidRPr="00F216E1" w:rsidRDefault="00ED528A">
      <w:pPr>
        <w:spacing w:before="200" w:after="200"/>
        <w:ind w:left="579" w:hanging="579"/>
        <w:jc w:val="both"/>
        <w:rPr>
          <w:lang w:val="es-419"/>
        </w:rPr>
      </w:pPr>
      <w:r w:rsidRPr="00F216E1">
        <w:rPr>
          <w:rFonts w:ascii="Arial" w:hAnsi="Arial" w:cs="Arial"/>
          <w:lang w:val="es-419"/>
        </w:rPr>
        <w:t>5.1</w:t>
      </w:r>
      <w:r w:rsidRPr="00F216E1">
        <w:rPr>
          <w:rFonts w:ascii="Arial" w:hAnsi="Arial" w:cs="Arial"/>
          <w:lang w:val="es-419"/>
        </w:rPr>
        <w:tab/>
        <w:t xml:space="preserve">A pedido del Beneficiario esta CT será ejecutada por el Banco a través de la División de Energía, en línea con la guía operativa para los productos de cooperación técnica (GN-2470-2). </w:t>
      </w:r>
      <w:r w:rsidRPr="00F216E1">
        <w:rPr>
          <w:rFonts w:ascii="Arial" w:hAnsi="Arial" w:cs="Arial"/>
          <w:lang w:val="es-419"/>
        </w:rPr>
        <w:br/>
        <w:t xml:space="preserve">El punto focal designado y responsable por la ejecución es Veronica R Prado, especialista senior de la División de Energía, con el soporte de otros especialistas de Cambio Climático y Agua y Saneamiento. El Viceministerio de </w:t>
      </w:r>
      <w:r w:rsidR="00A704F2" w:rsidRPr="00F216E1">
        <w:rPr>
          <w:rFonts w:ascii="Arial" w:hAnsi="Arial" w:cs="Arial"/>
          <w:lang w:val="es-419"/>
        </w:rPr>
        <w:t>Energía</w:t>
      </w:r>
      <w:r w:rsidRPr="00F216E1">
        <w:rPr>
          <w:rFonts w:ascii="Arial" w:hAnsi="Arial" w:cs="Arial"/>
          <w:lang w:val="es-419"/>
        </w:rPr>
        <w:t xml:space="preserve"> y Minas ha designado un punto focal técnico para la coordinación con el Banco. El equipo de proyecto será responsable del reporte de progreso anual.</w:t>
      </w:r>
    </w:p>
    <w:p w14:paraId="43A371B9" w14:textId="20765E38" w:rsidR="00402561" w:rsidRDefault="00ED528A">
      <w:pPr>
        <w:spacing w:before="200" w:after="200"/>
        <w:ind w:left="579" w:hanging="579"/>
        <w:jc w:val="both"/>
        <w:rPr>
          <w:rFonts w:ascii="Arial" w:hAnsi="Arial" w:cs="Arial"/>
          <w:lang w:val="es-419"/>
        </w:rPr>
      </w:pPr>
      <w:r w:rsidRPr="00F216E1">
        <w:rPr>
          <w:rFonts w:ascii="Arial" w:hAnsi="Arial" w:cs="Arial"/>
          <w:lang w:val="es-419"/>
        </w:rPr>
        <w:t>5.2</w:t>
      </w:r>
      <w:r w:rsidRPr="00F216E1">
        <w:rPr>
          <w:rFonts w:ascii="Arial" w:hAnsi="Arial" w:cs="Arial"/>
          <w:lang w:val="es-419"/>
        </w:rPr>
        <w:tab/>
        <w:t>Esta condición ha sido determinada como una circunstancia excepcional considerando que la entidad beneficiara tiene capacidad operacional limitada para ejecutar de forma apropiada y a tiempo las actividades de esta CT. El Banco tendrá a su cargo la selección y contratación de las firmas consultoras y consultorías individuales. Las adquisiciones identificadas en esta operación se llevarán a cabo de acuerdo con las siguientes políticas y procedimientos: políticas para la adquisición de Obras y Bienes Financiados por el BID (GN2349-15) y de selección y contratación de consultores financiados por el BID (GN-2350-15).</w:t>
      </w:r>
    </w:p>
    <w:p w14:paraId="78095019" w14:textId="1852D368" w:rsidR="00763A77" w:rsidRDefault="00763A77">
      <w:pPr>
        <w:spacing w:before="200" w:after="200"/>
        <w:ind w:left="579" w:hanging="579"/>
        <w:jc w:val="both"/>
        <w:rPr>
          <w:rFonts w:ascii="Arial" w:hAnsi="Arial" w:cs="Arial"/>
          <w:lang w:val="es-419"/>
        </w:rPr>
      </w:pPr>
    </w:p>
    <w:p w14:paraId="3C850E3B" w14:textId="577FB1EB" w:rsidR="00763A77" w:rsidRDefault="00763A77">
      <w:pPr>
        <w:spacing w:before="200" w:after="200"/>
        <w:ind w:left="579" w:hanging="579"/>
        <w:jc w:val="both"/>
        <w:rPr>
          <w:rFonts w:ascii="Arial" w:hAnsi="Arial" w:cs="Arial"/>
          <w:lang w:val="es-419"/>
        </w:rPr>
      </w:pPr>
    </w:p>
    <w:p w14:paraId="43A371BA" w14:textId="239127C4" w:rsidR="00402561" w:rsidRPr="009A4E00" w:rsidRDefault="00ED528A" w:rsidP="00763A77">
      <w:pPr>
        <w:spacing w:before="240" w:after="120"/>
        <w:ind w:left="576" w:hanging="576"/>
        <w:rPr>
          <w:lang w:val="es-419"/>
        </w:rPr>
      </w:pPr>
      <w:r w:rsidRPr="009A4E00">
        <w:rPr>
          <w:rFonts w:ascii="Arial" w:hAnsi="Arial" w:cs="Arial"/>
          <w:b/>
          <w:lang w:val="es-419"/>
        </w:rPr>
        <w:lastRenderedPageBreak/>
        <w:t>VI.</w:t>
      </w:r>
      <w:r w:rsidRPr="009A4E00">
        <w:rPr>
          <w:rFonts w:ascii="Arial" w:hAnsi="Arial" w:cs="Arial"/>
          <w:b/>
          <w:lang w:val="es-419"/>
        </w:rPr>
        <w:tab/>
      </w:r>
      <w:r w:rsidR="009A4E00" w:rsidRPr="009A4E00">
        <w:rPr>
          <w:rFonts w:ascii="Arial" w:hAnsi="Arial" w:cs="Arial"/>
          <w:b/>
          <w:lang w:val="es-419"/>
        </w:rPr>
        <w:t>Riesgos de Proyecto y ot</w:t>
      </w:r>
      <w:r w:rsidR="009A4E00">
        <w:rPr>
          <w:rFonts w:ascii="Arial" w:hAnsi="Arial" w:cs="Arial"/>
          <w:b/>
          <w:lang w:val="es-419"/>
        </w:rPr>
        <w:t>ros temas</w:t>
      </w:r>
    </w:p>
    <w:p w14:paraId="43A371BB" w14:textId="77777777" w:rsidR="00402561" w:rsidRPr="00F216E1" w:rsidRDefault="00ED528A">
      <w:pPr>
        <w:spacing w:before="200" w:after="200"/>
        <w:ind w:left="579" w:hanging="579"/>
        <w:jc w:val="both"/>
        <w:rPr>
          <w:lang w:val="es-419"/>
        </w:rPr>
      </w:pPr>
      <w:r w:rsidRPr="00F216E1">
        <w:rPr>
          <w:rFonts w:ascii="Arial" w:hAnsi="Arial" w:cs="Arial"/>
          <w:lang w:val="es-419"/>
        </w:rPr>
        <w:t>6.1</w:t>
      </w:r>
      <w:r w:rsidRPr="00F216E1">
        <w:rPr>
          <w:rFonts w:ascii="Arial" w:hAnsi="Arial" w:cs="Arial"/>
          <w:lang w:val="es-419"/>
        </w:rPr>
        <w:tab/>
        <w:t>El principal riesgo identificado con esta cooperación técnica está relacionado con la incertidumbre de la pandemia sanitaria, que puede distorsionar el trabajo natural de las firmas y consultores, generando retrasos en la entrega de los productos.</w:t>
      </w:r>
    </w:p>
    <w:p w14:paraId="43A371BC" w14:textId="6228536B" w:rsidR="00402561" w:rsidRPr="009A4E00" w:rsidRDefault="00ED528A" w:rsidP="00763A77">
      <w:pPr>
        <w:spacing w:before="240" w:after="120"/>
        <w:ind w:left="576" w:hanging="576"/>
        <w:rPr>
          <w:lang w:val="es-419"/>
        </w:rPr>
      </w:pPr>
      <w:r w:rsidRPr="009A4E00">
        <w:rPr>
          <w:rFonts w:ascii="Arial" w:hAnsi="Arial" w:cs="Arial"/>
          <w:b/>
          <w:lang w:val="es-419"/>
        </w:rPr>
        <w:t>VII.</w:t>
      </w:r>
      <w:r w:rsidRPr="009A4E00">
        <w:rPr>
          <w:rFonts w:ascii="Arial" w:hAnsi="Arial" w:cs="Arial"/>
          <w:b/>
          <w:lang w:val="es-419"/>
        </w:rPr>
        <w:tab/>
      </w:r>
      <w:r w:rsidR="009A4E00" w:rsidRPr="009A4E00">
        <w:rPr>
          <w:rFonts w:ascii="Arial" w:hAnsi="Arial" w:cs="Arial"/>
          <w:b/>
          <w:lang w:val="es-419"/>
        </w:rPr>
        <w:t>Clasificación Ambiental y S</w:t>
      </w:r>
      <w:r w:rsidR="009A4E00">
        <w:rPr>
          <w:rFonts w:ascii="Arial" w:hAnsi="Arial" w:cs="Arial"/>
          <w:b/>
          <w:lang w:val="es-419"/>
        </w:rPr>
        <w:t>ocial</w:t>
      </w:r>
    </w:p>
    <w:p w14:paraId="43A371BD" w14:textId="74EEDEDC" w:rsidR="00402561" w:rsidRPr="00633242" w:rsidRDefault="00ED528A">
      <w:pPr>
        <w:spacing w:before="240" w:after="120"/>
        <w:ind w:left="579" w:hanging="579"/>
        <w:jc w:val="both"/>
        <w:rPr>
          <w:lang w:val="es-419"/>
        </w:rPr>
      </w:pPr>
      <w:r w:rsidRPr="00633242">
        <w:rPr>
          <w:rFonts w:ascii="Arial" w:hAnsi="Arial" w:cs="Arial"/>
          <w:lang w:val="es-419"/>
        </w:rPr>
        <w:t>7.1</w:t>
      </w:r>
      <w:r w:rsidRPr="00633242">
        <w:rPr>
          <w:rFonts w:ascii="Arial" w:hAnsi="Arial" w:cs="Arial"/>
          <w:lang w:val="es-419"/>
        </w:rPr>
        <w:tab/>
      </w:r>
      <w:r w:rsidR="00F216E1" w:rsidRPr="00633242">
        <w:rPr>
          <w:rFonts w:ascii="Arial" w:hAnsi="Arial" w:cs="Arial"/>
          <w:lang w:val="es-419"/>
        </w:rPr>
        <w:t>La CT no fi</w:t>
      </w:r>
      <w:r w:rsidR="00633242" w:rsidRPr="00633242">
        <w:rPr>
          <w:rFonts w:ascii="Arial" w:hAnsi="Arial" w:cs="Arial"/>
          <w:lang w:val="es-419"/>
        </w:rPr>
        <w:t>nanciará estudios de prefactibilidad</w:t>
      </w:r>
      <w:r w:rsidR="00633242">
        <w:rPr>
          <w:rFonts w:ascii="Arial" w:hAnsi="Arial" w:cs="Arial"/>
          <w:lang w:val="es-419"/>
        </w:rPr>
        <w:t xml:space="preserve"> </w:t>
      </w:r>
      <w:r w:rsidR="00801DD3">
        <w:rPr>
          <w:rFonts w:ascii="Arial" w:hAnsi="Arial" w:cs="Arial"/>
          <w:lang w:val="es-419"/>
        </w:rPr>
        <w:t xml:space="preserve">o factibilidad </w:t>
      </w:r>
      <w:r w:rsidR="006173F0">
        <w:rPr>
          <w:rFonts w:ascii="Arial" w:hAnsi="Arial" w:cs="Arial"/>
          <w:lang w:val="es-419"/>
        </w:rPr>
        <w:t xml:space="preserve">de proyectos de inversión que incluyan </w:t>
      </w:r>
      <w:r w:rsidR="002D4823">
        <w:rPr>
          <w:rFonts w:ascii="Arial" w:hAnsi="Arial" w:cs="Arial"/>
          <w:lang w:val="es-419"/>
        </w:rPr>
        <w:t>estudios ambientales o sociales</w:t>
      </w:r>
      <w:r w:rsidR="00B054F6">
        <w:rPr>
          <w:rFonts w:ascii="Arial" w:hAnsi="Arial" w:cs="Arial"/>
          <w:lang w:val="es-419"/>
        </w:rPr>
        <w:t>.</w:t>
      </w:r>
      <w:r w:rsidR="002D4823">
        <w:rPr>
          <w:rFonts w:ascii="Arial" w:hAnsi="Arial" w:cs="Arial"/>
          <w:lang w:val="es-419"/>
        </w:rPr>
        <w:t xml:space="preserve"> </w:t>
      </w:r>
      <w:r w:rsidR="00B054F6">
        <w:rPr>
          <w:rFonts w:ascii="Arial" w:hAnsi="Arial" w:cs="Arial"/>
          <w:lang w:val="es-419"/>
        </w:rPr>
        <w:t>P</w:t>
      </w:r>
      <w:r w:rsidR="002D4823">
        <w:rPr>
          <w:rFonts w:ascii="Arial" w:hAnsi="Arial" w:cs="Arial"/>
          <w:lang w:val="es-419"/>
        </w:rPr>
        <w:t xml:space="preserve">or </w:t>
      </w:r>
      <w:r w:rsidR="002569E5">
        <w:rPr>
          <w:rFonts w:ascii="Arial" w:hAnsi="Arial" w:cs="Arial"/>
          <w:lang w:val="es-419"/>
        </w:rPr>
        <w:t>tanto</w:t>
      </w:r>
      <w:r w:rsidR="00B054F6">
        <w:rPr>
          <w:rFonts w:ascii="Arial" w:hAnsi="Arial" w:cs="Arial"/>
          <w:lang w:val="es-419"/>
        </w:rPr>
        <w:t>,</w:t>
      </w:r>
      <w:r w:rsidR="002569E5">
        <w:rPr>
          <w:rFonts w:ascii="Arial" w:hAnsi="Arial" w:cs="Arial"/>
          <w:lang w:val="es-419"/>
        </w:rPr>
        <w:t xml:space="preserve"> ESG no asignará especialistas </w:t>
      </w:r>
      <w:r w:rsidR="00677453">
        <w:rPr>
          <w:rFonts w:ascii="Arial" w:hAnsi="Arial" w:cs="Arial"/>
          <w:lang w:val="es-419"/>
        </w:rPr>
        <w:t>para brindar apoyo en la preparación</w:t>
      </w:r>
      <w:r w:rsidR="009F0B67">
        <w:rPr>
          <w:rFonts w:ascii="Arial" w:hAnsi="Arial" w:cs="Arial"/>
          <w:lang w:val="es-419"/>
        </w:rPr>
        <w:t xml:space="preserve"> o ejecución de esta CT</w:t>
      </w:r>
      <w:r w:rsidRPr="00633242">
        <w:rPr>
          <w:rFonts w:ascii="Arial" w:hAnsi="Arial" w:cs="Arial"/>
          <w:lang w:val="es-419"/>
        </w:rPr>
        <w:t>.</w:t>
      </w:r>
    </w:p>
    <w:sectPr w:rsidR="00402561" w:rsidRPr="00633242" w:rsidSect="00FC3028">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D1D4E" w14:textId="77777777" w:rsidR="00ED528A" w:rsidRDefault="00ED528A">
      <w:r>
        <w:separator/>
      </w:r>
    </w:p>
  </w:endnote>
  <w:endnote w:type="continuationSeparator" w:id="0">
    <w:p w14:paraId="5B967925" w14:textId="77777777" w:rsidR="00ED528A" w:rsidRDefault="00ED5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71BE" w14:textId="60E6545C" w:rsidR="00402561" w:rsidRDefault="00ED528A">
    <w:pPr>
      <w:pStyle w:val="FooterStyle"/>
      <w:jc w:val="center"/>
    </w:pPr>
    <w:r>
      <w:t xml:space="preserve"> - </w:t>
    </w:r>
    <w:r>
      <w:fldChar w:fldCharType="begin"/>
    </w:r>
    <w:r>
      <w:instrText xml:space="preserve"> PAGE </w:instrText>
    </w:r>
    <w:r>
      <w:fldChar w:fldCharType="separate"/>
    </w:r>
    <w:r w:rsidR="00F216E1">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248A3" w14:textId="77777777" w:rsidR="00ED528A" w:rsidRDefault="00ED528A">
      <w:r>
        <w:separator/>
      </w:r>
    </w:p>
  </w:footnote>
  <w:footnote w:type="continuationSeparator" w:id="0">
    <w:p w14:paraId="59F8F845" w14:textId="77777777" w:rsidR="00ED528A" w:rsidRDefault="00ED52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0718FC"/>
    <w:rsid w:val="0010085F"/>
    <w:rsid w:val="0012560D"/>
    <w:rsid w:val="001915A3"/>
    <w:rsid w:val="00197889"/>
    <w:rsid w:val="00217F62"/>
    <w:rsid w:val="0024119B"/>
    <w:rsid w:val="002569E5"/>
    <w:rsid w:val="002D4823"/>
    <w:rsid w:val="002E000A"/>
    <w:rsid w:val="00382F69"/>
    <w:rsid w:val="00391486"/>
    <w:rsid w:val="003C4435"/>
    <w:rsid w:val="003C6A73"/>
    <w:rsid w:val="00402561"/>
    <w:rsid w:val="00434CB8"/>
    <w:rsid w:val="00494FC4"/>
    <w:rsid w:val="004B5112"/>
    <w:rsid w:val="004C3DEB"/>
    <w:rsid w:val="004D75A9"/>
    <w:rsid w:val="005F16B7"/>
    <w:rsid w:val="006173F0"/>
    <w:rsid w:val="00633242"/>
    <w:rsid w:val="00635E05"/>
    <w:rsid w:val="006635F6"/>
    <w:rsid w:val="00677453"/>
    <w:rsid w:val="006F6397"/>
    <w:rsid w:val="00763A77"/>
    <w:rsid w:val="007749FD"/>
    <w:rsid w:val="007F089A"/>
    <w:rsid w:val="00801DD3"/>
    <w:rsid w:val="0086759A"/>
    <w:rsid w:val="009A4E00"/>
    <w:rsid w:val="009F0B67"/>
    <w:rsid w:val="00A61622"/>
    <w:rsid w:val="00A704F2"/>
    <w:rsid w:val="00A906D8"/>
    <w:rsid w:val="00AB5A74"/>
    <w:rsid w:val="00B054F6"/>
    <w:rsid w:val="00B42865"/>
    <w:rsid w:val="00BD4C97"/>
    <w:rsid w:val="00C509A8"/>
    <w:rsid w:val="00CB0295"/>
    <w:rsid w:val="00D257A9"/>
    <w:rsid w:val="00E10AE7"/>
    <w:rsid w:val="00E33E73"/>
    <w:rsid w:val="00ED528A"/>
    <w:rsid w:val="00F071AE"/>
    <w:rsid w:val="00F11CEF"/>
    <w:rsid w:val="00F216E1"/>
    <w:rsid w:val="00F57C5F"/>
    <w:rsid w:val="00FA5B03"/>
    <w:rsid w:val="00FC2ADD"/>
    <w:rsid w:val="00FE11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37163"/>
  <w15:docId w15:val="{5F560EB3-363E-4791-8568-E6103D6E5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Marquez Barroeta Fidel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62</Value>
      <Value>95</Value>
      <Value>29</Value>
      <Value>1</Value>
      <Value>259</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PR-T1328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Extracted_x0020_Keywords xmlns="cdc7663a-08f0-4737-9e8c-148ce897a09c" xsi:nil="true"/>
    <_dlc_DocId xmlns="cdc7663a-08f0-4737-9e8c-148ce897a09c">EZSHARE-505309969-1</_dlc_DocId>
    <_dlc_DocIdUrl xmlns="cdc7663a-08f0-4737-9e8c-148ce897a09c">
      <Url>https://idbg.sharepoint.com/teams/EZ-PR-TCP/PR-T1328/_layouts/15/DocIdRedir.aspx?ID=EZSHARE-505309969-1</Url>
      <Description>EZSHARE-505309969-1</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B36F25814F16143A7ECDF8276943059" ma:contentTypeVersion="1847" ma:contentTypeDescription="A content type to manage public (operations) IDB documents" ma:contentTypeScope="" ma:versionID="208d36436f2e0c0eed02714af2391ea5">
  <xsd:schema xmlns:xsd="http://www.w3.org/2001/XMLSchema" xmlns:xs="http://www.w3.org/2001/XMLSchema" xmlns:p="http://schemas.microsoft.com/office/2006/metadata/properties" xmlns:ns2="cdc7663a-08f0-4737-9e8c-148ce897a09c" targetNamespace="http://schemas.microsoft.com/office/2006/metadata/properties" ma:root="true" ma:fieldsID="2e64ed62e8b7ed3c8d9d948ae628f62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95CB5E-4F22-4789-BB24-6E72F8F56CFE}">
  <ds:schemaRefs>
    <ds:schemaRef ds:uri="http://schemas.microsoft.com/sharepoint/events"/>
  </ds:schemaRefs>
</ds:datastoreItem>
</file>

<file path=customXml/itemProps2.xml><?xml version="1.0" encoding="utf-8"?>
<ds:datastoreItem xmlns:ds="http://schemas.openxmlformats.org/officeDocument/2006/customXml" ds:itemID="{A694389A-2C2F-4A77-9D65-C6C4679253A3}">
  <ds:schemaRefs>
    <ds:schemaRef ds:uri="Microsoft.SharePoint.Taxonomy.ContentTypeSync"/>
  </ds:schemaRefs>
</ds:datastoreItem>
</file>

<file path=customXml/itemProps3.xml><?xml version="1.0" encoding="utf-8"?>
<ds:datastoreItem xmlns:ds="http://schemas.openxmlformats.org/officeDocument/2006/customXml" ds:itemID="{D704969E-B039-4F41-9305-9EBB4334E6DA}">
  <ds:schemaRefs>
    <ds:schemaRef ds:uri="http://schemas.microsoft.com/sharepoint/v3/contenttype/forms/url"/>
  </ds:schemaRefs>
</ds:datastoreItem>
</file>

<file path=customXml/itemProps4.xml><?xml version="1.0" encoding="utf-8"?>
<ds:datastoreItem xmlns:ds="http://schemas.openxmlformats.org/officeDocument/2006/customXml" ds:itemID="{9E74627C-BBDB-4F32-899E-7BCE7F7929A3}">
  <ds:schemaRefs>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http://purl.org/dc/terms/"/>
    <ds:schemaRef ds:uri="http://purl.org/dc/elements/1.1/"/>
    <ds:schemaRef ds:uri="http://www.w3.org/XML/1998/namespace"/>
    <ds:schemaRef ds:uri="cdc7663a-08f0-4737-9e8c-148ce897a09c"/>
    <ds:schemaRef ds:uri="http://purl.org/dc/dcmitype/"/>
  </ds:schemaRefs>
</ds:datastoreItem>
</file>

<file path=customXml/itemProps5.xml><?xml version="1.0" encoding="utf-8"?>
<ds:datastoreItem xmlns:ds="http://schemas.openxmlformats.org/officeDocument/2006/customXml" ds:itemID="{1031A9AD-A29F-4B2A-BF32-9629F80E61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8C2A9B6-9E77-4003-805E-8C512A2F29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3</Pages>
  <Words>927</Words>
  <Characters>5288</Characters>
  <Application>Microsoft Office Word</Application>
  <DocSecurity>0</DocSecurity>
  <Lines>44</Lines>
  <Paragraphs>12</Paragraphs>
  <ScaleCrop>false</ScaleCrop>
  <Company/>
  <LinksUpToDate>false</LinksUpToDate>
  <CharactersWithSpaces>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Loana Vega</cp:lastModifiedBy>
  <cp:revision>47</cp:revision>
  <dcterms:created xsi:type="dcterms:W3CDTF">2022-03-30T16:34:00Z</dcterms:created>
  <dcterms:modified xsi:type="dcterms:W3CDTF">2022-05-17T18:52:00Z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0x0101001A458A224826124E8B45B1D613300CFC00AB36F25814F16143A7ECDF8276943059</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29;#Paraguay|50282442-27e7-4526-9d04-55bf5da33a10</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259;#ENERGY INSTITUTIONAL STRENGTHENING AND CAPACITY BUILDING|83f37b93-89a4-4e9a-88eb-1c116bee7b97</vt:lpwstr>
  </property>
  <property fmtid="{D5CDD505-2E9C-101B-9397-08002B2CF9AE}" pid="12" name="Series Operations IDB">
    <vt:lpwstr/>
  </property>
  <property fmtid="{D5CDD505-2E9C-101B-9397-08002B2CF9AE}" pid="13" name="Fund IDB">
    <vt:lpwstr>62;#TBD|d62f6e05-3e80-4abd-9bb4-5f10b4906ff6</vt:lpwstr>
  </property>
  <property fmtid="{D5CDD505-2E9C-101B-9397-08002B2CF9AE}" pid="14" name="Sector IDB">
    <vt:lpwstr>95;#ENERGY|4fed196a-cd0b-4970-87de-42da17f9b203</vt:lpwstr>
  </property>
  <property fmtid="{D5CDD505-2E9C-101B-9397-08002B2CF9AE}" pid="15" name="_dlc_DocIdItemGuid">
    <vt:lpwstr>ffa562c5-fab6-4d22-9112-85610cc7e6d8</vt:lpwstr>
  </property>
  <property fmtid="{D5CDD505-2E9C-101B-9397-08002B2CF9AE}" pid="16" name="Disclosure Activity">
    <vt:lpwstr>TC Abstract</vt:lpwstr>
  </property>
  <property fmtid="{D5CDD505-2E9C-101B-9397-08002B2CF9AE}" pid="17" name="ATI Disclose Document Workflow v6">
    <vt:lpwstr>, </vt:lpwstr>
  </property>
  <property fmtid="{D5CDD505-2E9C-101B-9397-08002B2CF9AE}" pid="18" name="ATI Undisclose Document Workflow">
    <vt:lpwstr>, </vt:lpwstr>
  </property>
</Properties>
</file>