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pPr>
        <w:spacing w:before="200" w:after="200"/>
        <w:jc w:val="center"/>
      </w:pPr>
      <w:r>
        <w:rPr>
          <w:rFonts w:ascii="Arial" w:hAnsi="Arial" w:cs="Arial"/>
          <w:b/>
          <w:sz w:val="22"/>
          <w:szCs w:val="22"/>
        </w:rPr>
        <w:t>TC ABSTRACT</w:t>
      </w:r>
    </w:p>
    <w:p>
      <w:pPr>
        <w:spacing w:before="120" w:after="120"/>
        <w:ind w:left="579" w:hanging="579"/>
      </w:pPr>
      <w:r>
        <w:rPr>
          <w:rFonts w:ascii="Arial" w:hAnsi="Arial" w:cs="Arial"/>
          <w:b/>
          <w:sz w:val="22"/>
          <w:szCs w:val="22"/>
        </w:rPr>
        <w:t>I.</w:t>
      </w:r>
      <w:r>
        <w:rPr>
          <w:rFonts w:ascii="Arial" w:hAnsi="Arial" w:cs="Arial"/>
          <w:b/>
          <w:sz w:val="22"/>
          <w:szCs w:val="22"/>
        </w:rPr>
        <w:tab/>
      </w:r>
      <w:r>
        <w:rPr>
          <w:rFonts w:ascii="Arial" w:hAnsi="Arial" w:cs="Arial"/>
          <w:b/>
          <w:sz w:val="22"/>
          <w:szCs w:val="22"/>
        </w:rPr>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tblPr>
      <w:tblGrid>
        <w:gridCol w:w="4094"/>
        <w:gridCol w:w="4922"/>
      </w:tblGrid>
      <w:tr>
        <w:tblPrEx>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tblPrEx>
        <w:trPr>
          <w:jc w:val="center"/>
        </w:trPr>
        <w:tc>
          <w:tcPr>
            <w:tcW w:w="5250" w:type="dxa"/>
          </w:tcPr>
          <w:p>
            <w:pPr>
              <w:spacing w:before="40" w:after="40"/>
              <w:ind w:left="115" w:hanging="115"/>
            </w:pPr>
            <w:r>
              <w:rPr>
                <w:rFonts w:ascii="Arial" w:hAnsi="Arial" w:cs="Arial"/>
                <w:sz w:val="18"/>
                <w:szCs w:val="18"/>
              </w:rPr>
              <w:t>▪ Country/Region:</w:t>
            </w:r>
          </w:p>
        </w:tc>
        <w:tc>
          <w:tcPr>
            <w:tcW w:w="6750" w:type="dxa"/>
          </w:tcPr>
          <w:p>
            <w:pPr>
              <w:spacing w:before="40" w:after="40"/>
            </w:pPr>
            <w:r>
              <w:rPr>
                <w:rFonts w:ascii="Arial" w:hAnsi="Arial" w:cs="Arial"/>
                <w:sz w:val="18"/>
                <w:szCs w:val="18"/>
              </w:rPr>
              <w:t>COLOMBIA/CAN - Andean Group</w:t>
            </w:r>
          </w:p>
        </w:tc>
      </w:tr>
      <w:tr>
        <w:tblPrEx>
          <w:tblW w:w="5000" w:type="auto"/>
          <w:jc w:val="center"/>
          <w:tblLook w:val="04A0"/>
        </w:tblPrEx>
        <w:trPr>
          <w:jc w:val="center"/>
        </w:trPr>
        <w:tc>
          <w:tcPr>
            <w:tcW w:w="5250" w:type="dxa"/>
          </w:tcPr>
          <w:p>
            <w:pPr>
              <w:spacing w:before="40" w:after="40"/>
              <w:ind w:left="115" w:hanging="115"/>
            </w:pPr>
            <w:r>
              <w:rPr>
                <w:rFonts w:ascii="Arial" w:hAnsi="Arial" w:cs="Arial"/>
                <w:sz w:val="18"/>
                <w:szCs w:val="18"/>
              </w:rPr>
              <w:t>▪ TC Name:</w:t>
            </w:r>
          </w:p>
        </w:tc>
        <w:tc>
          <w:tcPr>
            <w:tcW w:w="6750" w:type="dxa"/>
          </w:tcPr>
          <w:p>
            <w:pPr>
              <w:spacing w:before="40" w:after="40"/>
            </w:pPr>
            <w:r>
              <w:rPr>
                <w:rFonts w:ascii="Arial" w:hAnsi="Arial" w:cs="Arial"/>
                <w:sz w:val="18"/>
                <w:szCs w:val="18"/>
              </w:rPr>
              <w:t>SACUDETE: Technical and Operational Support for the Design of a Program for Youth</w:t>
            </w:r>
          </w:p>
        </w:tc>
      </w:tr>
      <w:tr>
        <w:tblPrEx>
          <w:tblW w:w="5000" w:type="auto"/>
          <w:jc w:val="center"/>
          <w:tblLook w:val="04A0"/>
        </w:tblPrEx>
        <w:trPr>
          <w:jc w:val="center"/>
        </w:trPr>
        <w:tc>
          <w:tcPr>
            <w:tcW w:w="5250" w:type="dxa"/>
          </w:tcPr>
          <w:p>
            <w:pPr>
              <w:spacing w:before="40" w:after="40"/>
              <w:ind w:left="115" w:hanging="115"/>
            </w:pPr>
            <w:r>
              <w:rPr>
                <w:rFonts w:ascii="Arial" w:hAnsi="Arial" w:cs="Arial"/>
                <w:sz w:val="18"/>
                <w:szCs w:val="18"/>
              </w:rPr>
              <w:t>▪ TC Number:</w:t>
            </w:r>
          </w:p>
        </w:tc>
        <w:tc>
          <w:tcPr>
            <w:tcW w:w="6750" w:type="dxa"/>
          </w:tcPr>
          <w:p>
            <w:pPr>
              <w:spacing w:before="40" w:after="40"/>
            </w:pPr>
            <w:r>
              <w:rPr>
                <w:rFonts w:ascii="Arial" w:hAnsi="Arial" w:cs="Arial"/>
                <w:sz w:val="18"/>
                <w:szCs w:val="18"/>
              </w:rPr>
              <w:t>CO-T1576</w:t>
            </w:r>
          </w:p>
        </w:tc>
      </w:tr>
      <w:tr>
        <w:tblPrEx>
          <w:tblW w:w="5000" w:type="auto"/>
          <w:jc w:val="center"/>
          <w:tblLook w:val="04A0"/>
        </w:tblPrEx>
        <w:trPr>
          <w:jc w:val="center"/>
        </w:trPr>
        <w:tc>
          <w:tcPr>
            <w:tcW w:w="5250" w:type="dxa"/>
          </w:tcPr>
          <w:p>
            <w:pPr>
              <w:spacing w:before="40" w:after="40"/>
              <w:ind w:left="115" w:hanging="115"/>
            </w:pPr>
            <w:r>
              <w:rPr>
                <w:rFonts w:ascii="Arial" w:hAnsi="Arial" w:cs="Arial"/>
                <w:sz w:val="18"/>
                <w:szCs w:val="18"/>
              </w:rPr>
              <w:t>▪ Team Leader/Members:</w:t>
            </w:r>
          </w:p>
        </w:tc>
        <w:tc>
          <w:tcPr>
            <w:tcW w:w="6750" w:type="dxa"/>
          </w:tcPr>
          <w:p>
            <w:pPr>
              <w:spacing w:before="40" w:after="40"/>
            </w:pPr>
            <w:r>
              <w:rPr>
                <w:rFonts w:ascii="Arial" w:hAnsi="Arial" w:cs="Arial"/>
                <w:sz w:val="18"/>
                <w:szCs w:val="18"/>
              </w:rPr>
              <w:t>MATEO-BERGANZA DIAZ, MARIA MERCEDES (SCL/EDU) Team Leader; CAYCEDO DUQUE, JUANITA (SCL/EDU); BLASCO, IVANA (SCL/EDU); GONZALEZ VELOSA, CAROLINA (SCL/LMK); MARAGALL, JUAN ERNESTO (SCL/EDU); CRAUSAZ SARZOSA, ERNESTO PATRICIO (VPC/FMP); HILLMAN, EUGENIO F. (VPC/FMP); BECERRA LUNA, LAURA NATALIA (SCL/EDU); JIMENEZ MOSQUERA, JAVIER I. (LEG/SGO)</w:t>
            </w:r>
          </w:p>
        </w:tc>
      </w:tr>
      <w:tr>
        <w:tblPrEx>
          <w:tblW w:w="5000" w:type="auto"/>
          <w:jc w:val="center"/>
          <w:tblLook w:val="04A0"/>
        </w:tblPrEx>
        <w:trPr>
          <w:jc w:val="center"/>
        </w:trPr>
        <w:tc>
          <w:tcPr>
            <w:tcW w:w="5250" w:type="dxa"/>
          </w:tcPr>
          <w:p>
            <w:pPr>
              <w:spacing w:before="40" w:after="40"/>
              <w:ind w:left="115" w:hanging="115"/>
            </w:pPr>
            <w:r>
              <w:rPr>
                <w:rFonts w:ascii="Arial" w:hAnsi="Arial" w:cs="Arial"/>
                <w:sz w:val="18"/>
                <w:szCs w:val="18"/>
              </w:rPr>
              <w:t>▪ Taxonomy:</w:t>
            </w:r>
          </w:p>
        </w:tc>
        <w:tc>
          <w:tcPr>
            <w:tcW w:w="6750" w:type="dxa"/>
          </w:tcPr>
          <w:p>
            <w:pPr>
              <w:spacing w:before="40" w:after="40"/>
            </w:pPr>
            <w:r>
              <w:rPr>
                <w:rFonts w:ascii="Arial" w:hAnsi="Arial" w:cs="Arial"/>
                <w:sz w:val="18"/>
                <w:szCs w:val="18"/>
              </w:rPr>
              <w:t>Operational Support</w:t>
            </w:r>
          </w:p>
        </w:tc>
      </w:tr>
      <w:tr>
        <w:tblPrEx>
          <w:tblW w:w="5000" w:type="auto"/>
          <w:jc w:val="center"/>
          <w:tblLook w:val="04A0"/>
        </w:tblPrEx>
        <w:trPr>
          <w:jc w:val="center"/>
        </w:trPr>
        <w:tc>
          <w:tcPr>
            <w:tcW w:w="5250" w:type="dxa"/>
          </w:tcPr>
          <w:p>
            <w:pPr>
              <w:spacing w:before="40" w:after="40"/>
              <w:ind w:left="115" w:hanging="115"/>
            </w:pPr>
            <w:r>
              <w:rPr>
                <w:rFonts w:ascii="Arial" w:hAnsi="Arial" w:cs="Arial"/>
                <w:sz w:val="18"/>
                <w:szCs w:val="18"/>
              </w:rPr>
              <w:t>▪ Number and name of operation supported by the TC:</w:t>
            </w:r>
          </w:p>
        </w:tc>
        <w:tc>
          <w:tcPr>
            <w:tcW w:w="6750" w:type="dxa"/>
          </w:tcPr>
          <w:p>
            <w:pPr>
              <w:spacing w:before="40" w:after="40"/>
            </w:pPr>
            <w:r>
              <w:rPr>
                <w:rFonts w:ascii="Arial" w:hAnsi="Arial" w:cs="Arial"/>
                <w:sz w:val="18"/>
                <w:szCs w:val="18"/>
              </w:rPr>
              <w:t xml:space="preserve">SACUDETE: Program to Develop 21st Century Skills in Youth - CO-L1261 </w:t>
            </w:r>
            <w:r>
              <w:rPr>
                <w:rFonts w:ascii="Arial" w:hAnsi="Arial" w:cs="Arial"/>
                <w:sz w:val="18"/>
                <w:szCs w:val="18"/>
              </w:rPr>
              <w:br/>
            </w:r>
            <w:r>
              <w:rPr>
                <w:rFonts w:ascii="Arial" w:hAnsi="Arial" w:cs="Arial"/>
                <w:sz w:val="18"/>
                <w:szCs w:val="18"/>
              </w:rPr>
              <w:br/>
            </w:r>
          </w:p>
        </w:tc>
      </w:tr>
      <w:tr>
        <w:tblPrEx>
          <w:tblW w:w="5000" w:type="auto"/>
          <w:jc w:val="center"/>
          <w:tblLook w:val="04A0"/>
        </w:tblPrEx>
        <w:trPr>
          <w:jc w:val="center"/>
        </w:trPr>
        <w:tc>
          <w:tcPr>
            <w:tcW w:w="5250" w:type="dxa"/>
          </w:tcPr>
          <w:p>
            <w:pPr>
              <w:spacing w:before="40" w:after="40"/>
              <w:ind w:left="115" w:hanging="115"/>
            </w:pPr>
            <w:r>
              <w:rPr>
                <w:rFonts w:ascii="Arial" w:hAnsi="Arial" w:cs="Arial"/>
                <w:sz w:val="18"/>
                <w:szCs w:val="18"/>
              </w:rPr>
              <w:t>▪ Date of TC Abstract:</w:t>
            </w:r>
          </w:p>
        </w:tc>
        <w:tc>
          <w:tcPr>
            <w:tcW w:w="6750" w:type="dxa"/>
          </w:tcPr>
          <w:p>
            <w:pPr>
              <w:spacing w:before="40" w:after="40"/>
            </w:pPr>
            <w:r>
              <w:rPr>
                <w:rFonts w:ascii="Arial" w:hAnsi="Arial" w:cs="Arial"/>
                <w:sz w:val="18"/>
                <w:szCs w:val="18"/>
              </w:rPr>
              <w:t>12 Mar 2020</w:t>
            </w:r>
          </w:p>
        </w:tc>
      </w:tr>
      <w:tr>
        <w:tblPrEx>
          <w:tblW w:w="5000" w:type="auto"/>
          <w:jc w:val="center"/>
          <w:tblLook w:val="04A0"/>
        </w:tblPrEx>
        <w:trPr>
          <w:jc w:val="center"/>
        </w:trPr>
        <w:tc>
          <w:tcPr>
            <w:tcW w:w="5250" w:type="dxa"/>
          </w:tcPr>
          <w:p>
            <w:pPr>
              <w:spacing w:before="40" w:after="40"/>
              <w:ind w:left="115" w:hanging="115"/>
            </w:pPr>
            <w:r>
              <w:rPr>
                <w:rFonts w:ascii="Arial" w:hAnsi="Arial" w:cs="Arial"/>
                <w:sz w:val="18"/>
                <w:szCs w:val="18"/>
              </w:rPr>
              <w:t>▪ Beneficiary:</w:t>
            </w:r>
          </w:p>
        </w:tc>
        <w:tc>
          <w:tcPr>
            <w:tcW w:w="6750" w:type="dxa"/>
          </w:tcPr>
          <w:p>
            <w:pPr>
              <w:spacing w:before="40" w:after="40"/>
            </w:pPr>
            <w:r>
              <w:rPr>
                <w:rFonts w:ascii="Arial" w:hAnsi="Arial" w:cs="Arial"/>
                <w:sz w:val="18"/>
                <w:szCs w:val="18"/>
              </w:rPr>
              <w:t>Colombia</w:t>
            </w:r>
          </w:p>
        </w:tc>
      </w:tr>
      <w:tr>
        <w:tblPrEx>
          <w:tblW w:w="5000" w:type="auto"/>
          <w:jc w:val="center"/>
          <w:tblLook w:val="04A0"/>
        </w:tblPrEx>
        <w:trPr>
          <w:jc w:val="center"/>
        </w:trPr>
        <w:tc>
          <w:tcPr>
            <w:tcW w:w="5250" w:type="dxa"/>
          </w:tcPr>
          <w:p>
            <w:pPr>
              <w:spacing w:before="40" w:after="40"/>
              <w:ind w:left="115" w:hanging="115"/>
            </w:pPr>
            <w:r>
              <w:rPr>
                <w:rFonts w:ascii="Arial" w:hAnsi="Arial" w:cs="Arial"/>
                <w:sz w:val="18"/>
                <w:szCs w:val="18"/>
              </w:rPr>
              <w:t>▪ Executing Agency:</w:t>
            </w:r>
          </w:p>
        </w:tc>
        <w:tc>
          <w:tcPr>
            <w:tcW w:w="6750" w:type="dxa"/>
          </w:tcPr>
          <w:p>
            <w:pPr>
              <w:spacing w:before="40" w:after="40"/>
            </w:pPr>
            <w:r>
              <w:rPr>
                <w:rFonts w:ascii="Arial" w:hAnsi="Arial" w:cs="Arial"/>
                <w:sz w:val="18"/>
                <w:szCs w:val="18"/>
              </w:rPr>
              <w:t>INTER-AMERICAN DEVELOPMENT BANK</w:t>
            </w:r>
          </w:p>
        </w:tc>
      </w:tr>
      <w:tr>
        <w:tblPrEx>
          <w:tblW w:w="5000" w:type="auto"/>
          <w:jc w:val="center"/>
          <w:tblLook w:val="04A0"/>
        </w:tblPrEx>
        <w:trPr>
          <w:jc w:val="center"/>
        </w:trPr>
        <w:tc>
          <w:tcPr>
            <w:tcW w:w="5250" w:type="dxa"/>
          </w:tcPr>
          <w:p>
            <w:pPr>
              <w:spacing w:before="40" w:after="40"/>
              <w:ind w:left="115" w:hanging="115"/>
            </w:pPr>
            <w:r>
              <w:rPr>
                <w:rFonts w:ascii="Arial" w:hAnsi="Arial" w:cs="Arial"/>
                <w:sz w:val="18"/>
                <w:szCs w:val="18"/>
              </w:rPr>
              <w:t>▪ IDB funding requested:</w:t>
            </w:r>
          </w:p>
        </w:tc>
        <w:tc>
          <w:tcPr>
            <w:tcW w:w="6750" w:type="dxa"/>
          </w:tcPr>
          <w:p>
            <w:pPr>
              <w:bidi/>
              <w:spacing w:before="40" w:after="40"/>
            </w:pPr>
            <w:r>
              <w:rPr>
                <w:rFonts w:ascii="Arial" w:hAnsi="Arial" w:cs="Arial"/>
                <w:sz w:val="18"/>
                <w:szCs w:val="18"/>
              </w:rPr>
              <w:t>US$200,000.00</w:t>
            </w:r>
          </w:p>
        </w:tc>
      </w:tr>
      <w:tr>
        <w:tblPrEx>
          <w:tblW w:w="5000" w:type="auto"/>
          <w:jc w:val="center"/>
          <w:tblLook w:val="04A0"/>
        </w:tblPrEx>
        <w:trPr>
          <w:jc w:val="center"/>
        </w:trPr>
        <w:tc>
          <w:tcPr>
            <w:tcW w:w="5250" w:type="dxa"/>
          </w:tcPr>
          <w:p>
            <w:pPr>
              <w:spacing w:before="40" w:after="40"/>
              <w:ind w:left="115" w:hanging="115"/>
            </w:pPr>
            <w:r>
              <w:rPr>
                <w:rFonts w:ascii="Arial" w:hAnsi="Arial" w:cs="Arial"/>
                <w:sz w:val="18"/>
                <w:szCs w:val="18"/>
              </w:rPr>
              <w:t>▪ Local counterpart funding:</w:t>
            </w:r>
          </w:p>
        </w:tc>
        <w:tc>
          <w:tcPr>
            <w:tcW w:w="6750" w:type="dxa"/>
          </w:tcPr>
          <w:p>
            <w:pPr>
              <w:bidi/>
              <w:spacing w:before="40" w:after="40"/>
            </w:pPr>
            <w:r>
              <w:rPr>
                <w:rFonts w:ascii="Arial" w:hAnsi="Arial" w:cs="Arial"/>
                <w:sz w:val="18"/>
                <w:szCs w:val="18"/>
              </w:rPr>
              <w:t>US$0.00</w:t>
            </w:r>
          </w:p>
        </w:tc>
      </w:tr>
      <w:tr>
        <w:tblPrEx>
          <w:tblW w:w="5000" w:type="auto"/>
          <w:jc w:val="center"/>
          <w:tblLook w:val="04A0"/>
        </w:tblPrEx>
        <w:trPr>
          <w:jc w:val="center"/>
        </w:trPr>
        <w:tc>
          <w:tcPr>
            <w:tcW w:w="5250" w:type="dxa"/>
          </w:tcPr>
          <w:p>
            <w:pPr>
              <w:spacing w:before="40" w:after="40"/>
              <w:ind w:left="115" w:hanging="115"/>
            </w:pPr>
            <w:r>
              <w:rPr>
                <w:rFonts w:ascii="Arial" w:hAnsi="Arial" w:cs="Arial"/>
                <w:sz w:val="18"/>
                <w:szCs w:val="18"/>
              </w:rPr>
              <w:t>▪ Disbursement period:</w:t>
            </w:r>
          </w:p>
        </w:tc>
        <w:tc>
          <w:tcPr>
            <w:tcW w:w="6750" w:type="dxa"/>
          </w:tcPr>
          <w:p>
            <w:pPr>
              <w:bidi/>
              <w:spacing w:before="40" w:after="40"/>
            </w:pPr>
            <w:r>
              <w:rPr>
                <w:rFonts w:ascii="Arial" w:hAnsi="Arial" w:cs="Arial"/>
                <w:sz w:val="18"/>
                <w:szCs w:val="18"/>
              </w:rPr>
              <w:t>24 months</w:t>
            </w:r>
          </w:p>
        </w:tc>
      </w:tr>
      <w:tr>
        <w:tblPrEx>
          <w:tblW w:w="5000" w:type="auto"/>
          <w:jc w:val="center"/>
          <w:tblLook w:val="04A0"/>
        </w:tblPrEx>
        <w:trPr>
          <w:jc w:val="center"/>
        </w:trPr>
        <w:tc>
          <w:tcPr>
            <w:tcW w:w="5250" w:type="dxa"/>
          </w:tcPr>
          <w:p>
            <w:pPr>
              <w:spacing w:before="40" w:after="40"/>
              <w:ind w:left="115" w:hanging="115"/>
            </w:pPr>
            <w:r>
              <w:rPr>
                <w:rFonts w:ascii="Arial" w:hAnsi="Arial" w:cs="Arial"/>
                <w:sz w:val="18"/>
                <w:szCs w:val="18"/>
              </w:rPr>
              <w:t>▪ Types of consultants:</w:t>
            </w:r>
          </w:p>
        </w:tc>
        <w:tc>
          <w:tcPr>
            <w:tcW w:w="6750" w:type="dxa"/>
          </w:tcPr>
          <w:p>
            <w:pPr>
              <w:spacing w:before="40" w:after="40"/>
            </w:pPr>
            <w:r>
              <w:rPr>
                <w:rFonts w:ascii="Arial" w:hAnsi="Arial" w:cs="Arial"/>
                <w:sz w:val="18"/>
                <w:szCs w:val="18"/>
              </w:rPr>
              <w:t>Individuals</w:t>
            </w:r>
          </w:p>
        </w:tc>
      </w:tr>
      <w:tr>
        <w:tblPrEx>
          <w:tblW w:w="5000" w:type="auto"/>
          <w:jc w:val="center"/>
          <w:tblLook w:val="04A0"/>
        </w:tblPrEx>
        <w:trPr>
          <w:jc w:val="center"/>
        </w:trPr>
        <w:tc>
          <w:tcPr>
            <w:tcW w:w="5250" w:type="dxa"/>
          </w:tcPr>
          <w:p>
            <w:pPr>
              <w:spacing w:before="40" w:after="40"/>
              <w:ind w:left="115" w:hanging="115"/>
            </w:pPr>
            <w:r>
              <w:rPr>
                <w:rFonts w:ascii="Arial" w:hAnsi="Arial" w:cs="Arial"/>
                <w:sz w:val="18"/>
                <w:szCs w:val="18"/>
              </w:rPr>
              <w:t>▪ Prepared by Unit:</w:t>
            </w:r>
          </w:p>
        </w:tc>
        <w:tc>
          <w:tcPr>
            <w:tcW w:w="6750" w:type="dxa"/>
          </w:tcPr>
          <w:p>
            <w:pPr>
              <w:spacing w:before="40" w:after="40"/>
            </w:pPr>
            <w:r>
              <w:rPr>
                <w:rFonts w:ascii="Arial" w:hAnsi="Arial" w:cs="Arial"/>
                <w:sz w:val="18"/>
                <w:szCs w:val="18"/>
              </w:rPr>
              <w:t>SCL/EDU - Education</w:t>
            </w:r>
          </w:p>
        </w:tc>
      </w:tr>
      <w:tr>
        <w:tblPrEx>
          <w:tblW w:w="5000" w:type="auto"/>
          <w:jc w:val="center"/>
          <w:tblLook w:val="04A0"/>
        </w:tblPrEx>
        <w:trPr>
          <w:jc w:val="center"/>
        </w:trPr>
        <w:tc>
          <w:tcPr>
            <w:tcW w:w="5250" w:type="dxa"/>
          </w:tcPr>
          <w:p>
            <w:pPr>
              <w:spacing w:before="40" w:after="40"/>
              <w:ind w:left="115" w:hanging="115"/>
            </w:pPr>
            <w:r>
              <w:rPr>
                <w:rFonts w:ascii="Arial" w:hAnsi="Arial" w:cs="Arial"/>
                <w:sz w:val="18"/>
                <w:szCs w:val="18"/>
              </w:rPr>
              <w:t>▪ Unit of Disbursement Responsibility:</w:t>
            </w:r>
          </w:p>
        </w:tc>
        <w:tc>
          <w:tcPr>
            <w:tcW w:w="6750" w:type="dxa"/>
          </w:tcPr>
          <w:p>
            <w:pPr>
              <w:spacing w:before="40" w:after="40"/>
            </w:pPr>
            <w:r>
              <w:rPr>
                <w:rFonts w:ascii="Arial" w:hAnsi="Arial" w:cs="Arial"/>
                <w:sz w:val="18"/>
                <w:szCs w:val="18"/>
              </w:rPr>
              <w:t>SCL - Social Sector</w:t>
            </w:r>
          </w:p>
        </w:tc>
      </w:tr>
      <w:tr>
        <w:tblPrEx>
          <w:tblW w:w="5000" w:type="auto"/>
          <w:jc w:val="center"/>
          <w:tblLook w:val="04A0"/>
        </w:tblPrEx>
        <w:trPr>
          <w:jc w:val="center"/>
        </w:trPr>
        <w:tc>
          <w:tcPr>
            <w:tcW w:w="5250" w:type="dxa"/>
          </w:tcPr>
          <w:p>
            <w:pPr>
              <w:spacing w:before="40" w:after="40"/>
            </w:pPr>
            <w:r>
              <w:rPr>
                <w:rFonts w:ascii="Arial" w:hAnsi="Arial" w:cs="Arial"/>
                <w:sz w:val="18"/>
                <w:szCs w:val="18"/>
              </w:rPr>
              <w:t>▪ TC included in Country Strategy (y/n):</w:t>
            </w:r>
            <w:r>
              <w:rPr>
                <w:rFonts w:ascii="Arial" w:hAnsi="Arial" w:cs="Arial"/>
                <w:sz w:val="18"/>
                <w:szCs w:val="18"/>
              </w:rPr>
              <w:br/>
            </w:r>
            <w:r>
              <w:rPr>
                <w:rFonts w:ascii="Arial" w:hAnsi="Arial" w:cs="Arial"/>
                <w:sz w:val="18"/>
                <w:szCs w:val="18"/>
              </w:rPr>
              <w:br/>
            </w:r>
            <w:r>
              <w:rPr>
                <w:rFonts w:ascii="Arial" w:hAnsi="Arial" w:cs="Arial"/>
                <w:sz w:val="18"/>
                <w:szCs w:val="18"/>
              </w:rPr>
              <w:t>▪ TC included in CPD (y/n):</w:t>
            </w:r>
          </w:p>
        </w:tc>
        <w:tc>
          <w:tcPr>
            <w:tcW w:w="6750" w:type="dxa"/>
          </w:tcPr>
          <w:p>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r>
            <w:r>
              <w:rPr>
                <w:rFonts w:ascii="Arial" w:hAnsi="Arial" w:cs="Arial"/>
                <w:sz w:val="18"/>
                <w:szCs w:val="18"/>
              </w:rPr>
              <w:t>No</w:t>
            </w:r>
          </w:p>
        </w:tc>
      </w:tr>
      <w:tr>
        <w:tblPrEx>
          <w:tblW w:w="5000" w:type="auto"/>
          <w:jc w:val="center"/>
          <w:tblLook w:val="04A0"/>
        </w:tblPrEx>
        <w:trPr>
          <w:jc w:val="center"/>
        </w:trPr>
        <w:tc>
          <w:tcPr>
            <w:tcW w:w="5250" w:type="dxa"/>
          </w:tcPr>
          <w:p>
            <w:pPr>
              <w:spacing w:before="40" w:after="40"/>
              <w:ind w:left="115" w:hanging="115"/>
            </w:pPr>
            <w:r>
              <w:rPr>
                <w:rFonts w:ascii="Arial" w:hAnsi="Arial" w:cs="Arial"/>
                <w:sz w:val="18"/>
                <w:szCs w:val="18"/>
              </w:rPr>
              <w:t>▪ Alignment to the Update to the Institutional Strategy 2010-2020:</w:t>
            </w:r>
          </w:p>
        </w:tc>
        <w:tc>
          <w:tcPr>
            <w:tcW w:w="6750" w:type="dxa"/>
          </w:tcPr>
          <w:p>
            <w:pPr>
              <w:spacing w:before="40" w:after="40"/>
            </w:pPr>
            <w:r>
              <w:rPr>
                <w:rFonts w:ascii="Arial" w:hAnsi="Arial" w:cs="Arial"/>
                <w:sz w:val="18"/>
                <w:szCs w:val="18"/>
              </w:rPr>
              <w:t>Social inclusion and equality</w:t>
            </w:r>
          </w:p>
        </w:tc>
      </w:tr>
      <w:tr>
        <w:tblPrEx>
          <w:tblW w:w="5000" w:type="auto"/>
          <w:jc w:val="center"/>
          <w:tblLook w:val="04A0"/>
        </w:tblPrEx>
        <w:trPr>
          <w:jc w:val="center"/>
        </w:trPr>
        <w:tc>
          <w:tcPr>
            <w:tcW w:w="5250" w:type="dxa"/>
          </w:tcPr>
          <w:p/>
        </w:tc>
        <w:tc>
          <w:tcPr>
            <w:tcW w:w="6750" w:type="dxa"/>
          </w:tcPr>
          <w:p/>
        </w:tc>
      </w:tr>
    </w:tbl>
    <w:p>
      <w:pPr>
        <w:spacing w:before="120" w:after="120"/>
        <w:ind w:left="579" w:hanging="579"/>
      </w:pPr>
      <w:r>
        <w:rPr>
          <w:rFonts w:ascii="Arial" w:hAnsi="Arial" w:cs="Arial"/>
          <w:b/>
          <w:sz w:val="22"/>
          <w:szCs w:val="22"/>
        </w:rPr>
        <w:t>II.</w:t>
      </w:r>
      <w:r>
        <w:rPr>
          <w:rFonts w:ascii="Arial" w:hAnsi="Arial" w:cs="Arial"/>
          <w:b/>
          <w:sz w:val="22"/>
          <w:szCs w:val="22"/>
        </w:rPr>
        <w:tab/>
      </w:r>
      <w:r>
        <w:rPr>
          <w:rFonts w:ascii="Arial" w:hAnsi="Arial" w:cs="Arial"/>
          <w:b/>
          <w:sz w:val="22"/>
          <w:szCs w:val="22"/>
        </w:rPr>
        <w:t>Objective and Justification</w:t>
      </w:r>
    </w:p>
    <w:p>
      <w:pPr>
        <w:spacing w:before="120" w:after="120"/>
        <w:ind w:left="579" w:hanging="579"/>
        <w:jc w:val="both"/>
      </w:pPr>
      <w:r>
        <w:rPr>
          <w:rFonts w:ascii="Arial" w:hAnsi="Arial" w:cs="Arial"/>
          <w:sz w:val="22"/>
          <w:szCs w:val="22"/>
        </w:rPr>
        <w:t>2.1</w:t>
      </w:r>
      <w:r>
        <w:rPr>
          <w:rFonts w:ascii="Arial" w:hAnsi="Arial" w:cs="Arial"/>
          <w:sz w:val="22"/>
          <w:szCs w:val="22"/>
        </w:rPr>
        <w:tab/>
      </w:r>
      <w:r>
        <w:rPr>
          <w:rFonts w:ascii="Arial" w:hAnsi="Arial" w:cs="Arial"/>
          <w:sz w:val="22"/>
          <w:szCs w:val="22"/>
        </w:rPr>
        <w:t>This Technical Cooperation (TC) will provide technical support to the Consejería Presidencial para la Juventud of Colombia for the design of the SACÚDETE program: 21st century skills for youth, within the framework of the Orange Youth Line of the National Development Plan 2018-2022.</w:t>
      </w:r>
    </w:p>
    <w:p>
      <w:pPr>
        <w:spacing w:before="120" w:after="120"/>
        <w:ind w:left="579" w:hanging="579"/>
        <w:jc w:val="both"/>
      </w:pPr>
      <w:r>
        <w:rPr>
          <w:rFonts w:ascii="Arial" w:hAnsi="Arial" w:cs="Arial"/>
          <w:sz w:val="22"/>
          <w:szCs w:val="22"/>
        </w:rPr>
        <w:t>2.2</w:t>
      </w:r>
      <w:r>
        <w:rPr>
          <w:rFonts w:ascii="Arial" w:hAnsi="Arial" w:cs="Arial"/>
          <w:sz w:val="22"/>
          <w:szCs w:val="22"/>
        </w:rPr>
        <w:tab/>
      </w:r>
      <w:r>
        <w:rPr>
          <w:rFonts w:ascii="Arial" w:hAnsi="Arial" w:cs="Arial"/>
          <w:sz w:val="22"/>
          <w:szCs w:val="22"/>
        </w:rPr>
        <w:t>Las tendencias globales imponen mayores retos en la formación de habilidades de los jóvenes. Frente a los nuevos retos propios del siglo 21 es necesario asegurar que el sistema de formación les brinde a los jóvenes las competencias que requiere el mundo productivo y social. En Colombia el 26% de la población son jóvenes entre los 15 y 29 años, más de doce millones y medio de personas a quienes el sistema educativo y de formación debe asegurar competencias relacionadas con cultura digital y tecnologías de la información, y habilidades transversales como trabajo en equipo, creatividad, asertividad, resiliencia, responsabilidad, entre otras.</w:t>
      </w:r>
    </w:p>
    <w:p>
      <w:pPr>
        <w:spacing w:before="120" w:after="120"/>
        <w:ind w:left="579" w:hanging="579"/>
        <w:jc w:val="both"/>
      </w:pPr>
      <w:r>
        <w:rPr>
          <w:rFonts w:ascii="Arial" w:hAnsi="Arial" w:cs="Arial"/>
          <w:sz w:val="22"/>
          <w:szCs w:val="22"/>
        </w:rPr>
        <w:t>2.3</w:t>
      </w:r>
      <w:r>
        <w:rPr>
          <w:rFonts w:ascii="Arial" w:hAnsi="Arial" w:cs="Arial"/>
          <w:sz w:val="22"/>
          <w:szCs w:val="22"/>
        </w:rPr>
        <w:tab/>
      </w:r>
      <w:r>
        <w:rPr>
          <w:rFonts w:ascii="Arial" w:hAnsi="Arial" w:cs="Arial"/>
          <w:sz w:val="22"/>
          <w:szCs w:val="22"/>
        </w:rPr>
        <w:t xml:space="preserve">A pesar de los avances en materia social, en Colombia aún persisten importantes retos en educación e inclusión productiva de los jóvenes. Sólo el 47% de los jóvenes completan la secundaria (CIMA) y la tasa de deserción universitaria para el total de la población es del 45% por cohorte en el décimo semestre (Novella et al. Eds., 2018). En el mercado laboral los jóvenes, en especial las mujeres, enfrentan mayores dificultades para acceder a un empleo en comparación con los demás adultos.  </w:t>
      </w:r>
      <w:r>
        <w:rPr>
          <w:rFonts w:ascii="Arial" w:hAnsi="Arial" w:cs="Arial"/>
          <w:sz w:val="22"/>
          <w:szCs w:val="22"/>
        </w:rPr>
        <w:br/>
      </w:r>
      <w:r>
        <w:rPr>
          <w:rFonts w:ascii="Arial" w:hAnsi="Arial" w:cs="Arial"/>
          <w:sz w:val="22"/>
          <w:szCs w:val="22"/>
        </w:rPr>
        <w:t xml:space="preserve">Las dificultades de acceso al empleo y al sistema educativo han dado lugar a un problema severo de inactividad en la juventud colombiana. Se estima que el 22% de jóvenes entre 15 y 29 años ni estudian ni trabajan y 14% ni estudian, ni trabajan, ni buscan empleo, situándolos por encima del promedio en los países andinos (19%). Las dificultades de logro educativo e inserción productiva de los jóvenes colombianos revelan deficiencias en el desarrollo de habilidades cognitivas básicas (lectoescritura y matemáticas), formación en habilidades transversales. </w:t>
      </w:r>
    </w:p>
    <w:p>
      <w:pPr>
        <w:spacing w:before="120" w:after="120"/>
        <w:ind w:left="579" w:hanging="579"/>
        <w:jc w:val="both"/>
      </w:pPr>
      <w:r>
        <w:rPr>
          <w:rFonts w:ascii="Arial" w:hAnsi="Arial" w:cs="Arial"/>
          <w:sz w:val="22"/>
          <w:szCs w:val="22"/>
        </w:rPr>
        <w:t>2.4</w:t>
      </w:r>
      <w:r>
        <w:rPr>
          <w:rFonts w:ascii="Arial" w:hAnsi="Arial" w:cs="Arial"/>
          <w:sz w:val="22"/>
          <w:szCs w:val="22"/>
        </w:rPr>
        <w:tab/>
      </w:r>
      <w:r>
        <w:rPr>
          <w:rFonts w:ascii="Arial" w:hAnsi="Arial" w:cs="Arial"/>
          <w:sz w:val="22"/>
          <w:szCs w:val="22"/>
        </w:rPr>
        <w:t xml:space="preserve">El Estado colombiano ha hecho esfuerzos para propiciar una adecuada inserción social y económica de los jóvenes. Sin embargo, buena parte de los retos para la juventud colombiana persisten. Por ello el actual Plan Nacional de Desarrollo (PND) ha planteado nuevas metas para jóvenes en reducción de desempleo, cobertura en educación media y superior, acceso a becas y programas de empleabilidad y reducción de embarazos adolescentes. Se trata de acciones que involucran a una multiplicidad de responsables y que requieren de una fuerte coordinación interinstitucional. En este PND surge Sacúdete como herramienta para mejorar el acceso y la oferta de programas formativos para los jóvenes colombianos que impacte su desempeño en el mercado laboral. </w:t>
      </w:r>
    </w:p>
    <w:p>
      <w:pPr>
        <w:spacing w:before="120" w:after="120"/>
        <w:ind w:left="579" w:hanging="579"/>
        <w:jc w:val="both"/>
      </w:pPr>
      <w:r>
        <w:rPr>
          <w:rFonts w:ascii="Arial" w:hAnsi="Arial" w:cs="Arial"/>
          <w:sz w:val="22"/>
          <w:szCs w:val="22"/>
        </w:rPr>
        <w:t>2.5</w:t>
      </w:r>
      <w:r>
        <w:rPr>
          <w:rFonts w:ascii="Arial" w:hAnsi="Arial" w:cs="Arial"/>
          <w:sz w:val="22"/>
          <w:szCs w:val="22"/>
        </w:rPr>
        <w:tab/>
      </w:r>
      <w:r>
        <w:rPr>
          <w:rFonts w:ascii="Arial" w:hAnsi="Arial" w:cs="Arial"/>
          <w:sz w:val="22"/>
          <w:szCs w:val="22"/>
        </w:rPr>
        <w:t>La Consejería Presidencial de la Juventud será la institución que ejerza este rol articulador. Este organismo requiere fortalecer su capacidad y enfrenta el reto de coordinar la multiplicidad de actores y acciones para el empleo inclusivo de jóvenes con la agenda nacional. ; sólo en 2020 se estimaban más de 200 iniciativas llevadas a cabo por entidades del Gobierno Nacional, de los gobiernos subnacionales, fundaciones empresariales, ONG, Organismos de Cooperación Internacional, Cajas de Compensación Familiar, Agencias de Empleo, Instituciones Educativas, Instituciones de Educación Superior, entre otros (Fundación Corona, 2020). Dentro del marco global de la política de juventud, Sacúdete es una estrategia para lograr este fin.</w:t>
      </w:r>
    </w:p>
    <w:p>
      <w:pPr>
        <w:spacing w:before="120" w:after="120"/>
        <w:ind w:left="579" w:hanging="579"/>
      </w:pPr>
      <w:r>
        <w:rPr>
          <w:rFonts w:ascii="Arial" w:hAnsi="Arial" w:cs="Arial"/>
          <w:b/>
          <w:sz w:val="22"/>
          <w:szCs w:val="22"/>
        </w:rPr>
        <w:t>III.</w:t>
      </w:r>
      <w:r>
        <w:rPr>
          <w:rFonts w:ascii="Arial" w:hAnsi="Arial" w:cs="Arial"/>
          <w:b/>
          <w:sz w:val="22"/>
          <w:szCs w:val="22"/>
        </w:rPr>
        <w:tab/>
      </w:r>
      <w:r>
        <w:rPr>
          <w:rFonts w:ascii="Arial" w:hAnsi="Arial" w:cs="Arial"/>
          <w:b/>
          <w:sz w:val="22"/>
          <w:szCs w:val="22"/>
        </w:rPr>
        <w:t>Description of Activities and Outputs</w:t>
      </w:r>
    </w:p>
    <w:p>
      <w:pPr>
        <w:spacing w:before="120" w:after="120"/>
        <w:ind w:left="579" w:hanging="579"/>
        <w:jc w:val="both"/>
      </w:pPr>
      <w:r>
        <w:rPr>
          <w:rFonts w:ascii="Arial" w:hAnsi="Arial" w:cs="Arial"/>
          <w:sz w:val="22"/>
          <w:szCs w:val="22"/>
        </w:rPr>
        <w:t>3.1</w:t>
      </w:r>
      <w:r>
        <w:rPr>
          <w:rFonts w:ascii="Arial" w:hAnsi="Arial" w:cs="Arial"/>
          <w:sz w:val="22"/>
          <w:szCs w:val="22"/>
        </w:rPr>
        <w:tab/>
      </w:r>
      <w:r>
        <w:rPr>
          <w:rFonts w:ascii="Arial" w:hAnsi="Arial" w:cs="Arial"/>
          <w:b/>
          <w:sz w:val="22"/>
          <w:szCs w:val="22"/>
        </w:rPr>
        <w:t xml:space="preserve">Component I: Componente I: Actualización del marco de política y elaboración de una estrategia de implementación para el desarrollo de habilidades del siglo 21. </w:t>
      </w:r>
      <w:r>
        <w:rPr>
          <w:rFonts w:ascii="Arial" w:hAnsi="Arial" w:cs="Arial"/>
          <w:sz w:val="22"/>
          <w:szCs w:val="22"/>
        </w:rPr>
        <w:t xml:space="preserve">Financiará la actualización del marco normativo y desarrollo de la estrategia de programas para la juventud en el que se enmarcará Sacúdete. Incluirá una descripción de antecedentes, problemas y retos para el desarrollo y la medición de habilidades transversales, detallando el marco normativo actual, una tipificación y análisis de brechas de la oferta existente, así la elaboración de propuestas de modelos de implementación basados en mejores prácticas a nivel regional e internacional. </w:t>
      </w:r>
    </w:p>
    <w:p>
      <w:pPr>
        <w:spacing w:before="120" w:after="120"/>
        <w:ind w:left="579" w:hanging="579"/>
        <w:jc w:val="both"/>
      </w:pPr>
      <w:r>
        <w:rPr>
          <w:rFonts w:ascii="Arial" w:hAnsi="Arial" w:cs="Arial"/>
          <w:sz w:val="22"/>
          <w:szCs w:val="22"/>
        </w:rPr>
        <w:t>3.2</w:t>
      </w:r>
      <w:r>
        <w:rPr>
          <w:rFonts w:ascii="Arial" w:hAnsi="Arial" w:cs="Arial"/>
          <w:sz w:val="22"/>
          <w:szCs w:val="22"/>
        </w:rPr>
        <w:tab/>
      </w:r>
      <w:r>
        <w:rPr>
          <w:rFonts w:ascii="Arial" w:hAnsi="Arial" w:cs="Arial"/>
          <w:b/>
          <w:sz w:val="22"/>
          <w:szCs w:val="22"/>
        </w:rPr>
        <w:t xml:space="preserve">Component II: Componente II: Diseño institucional y estructura de gestión del programa Sacúdete. . </w:t>
      </w:r>
      <w:r>
        <w:rPr>
          <w:rFonts w:ascii="Arial" w:hAnsi="Arial" w:cs="Arial"/>
          <w:sz w:val="22"/>
          <w:szCs w:val="22"/>
        </w:rPr>
        <w:t>Financiará una evaluación institucional de la Consejería Presidencial para la Juventud en materia de programas y servicios para la juventud. Se identificarán posibles riesgos para la ejecución e insumos para la toma de decisiones en el diseño del esquema de ejecución. La evaluación de la capacidad institucional incluirá el análisis de los flujos de procesos para poder definir acuerdos y arreglos eficientes a fin de alcanzar los objetivos de desarrollo.</w:t>
      </w:r>
    </w:p>
    <w:p>
      <w:pPr>
        <w:spacing w:before="120" w:after="120"/>
        <w:ind w:left="579" w:hanging="579"/>
        <w:jc w:val="both"/>
      </w:pPr>
      <w:r>
        <w:rPr>
          <w:rFonts w:ascii="Arial" w:hAnsi="Arial" w:cs="Arial"/>
          <w:sz w:val="22"/>
          <w:szCs w:val="22"/>
        </w:rPr>
        <w:t>3.3</w:t>
      </w:r>
      <w:r>
        <w:rPr>
          <w:rFonts w:ascii="Arial" w:hAnsi="Arial" w:cs="Arial"/>
          <w:sz w:val="22"/>
          <w:szCs w:val="22"/>
        </w:rPr>
        <w:tab/>
      </w:r>
      <w:r>
        <w:rPr>
          <w:rFonts w:ascii="Arial" w:hAnsi="Arial" w:cs="Arial"/>
          <w:b/>
          <w:sz w:val="22"/>
          <w:szCs w:val="22"/>
        </w:rPr>
        <w:t xml:space="preserve">Component III: Componente III: Diseño del sistema de monitoreo y evaluación de Sacúdete. </w:t>
      </w:r>
      <w:r>
        <w:rPr>
          <w:rFonts w:ascii="Arial" w:hAnsi="Arial" w:cs="Arial"/>
          <w:sz w:val="22"/>
          <w:szCs w:val="22"/>
        </w:rPr>
        <w:t xml:space="preserve">Financiará el diseño del sistema de monitoreo y evaluación para el programa, incluyendo los requerimientos técnicos de la plataforma digital que lo soportará. Se definirán los indicadores de monitoreo y resultados, herramientas de recolección de información y métodos de seguimiento a los participantes para analizar el impacto de la estrategia. Este componente financiará también el análisis de los posibles impactos sociales y ambientales del desarrollo del programa Sacúdete. </w:t>
      </w:r>
    </w:p>
    <w:p>
      <w:pPr>
        <w:spacing w:before="120" w:after="120"/>
        <w:ind w:left="579" w:hanging="579"/>
      </w:pPr>
      <w:r>
        <w:rPr>
          <w:rFonts w:ascii="Arial" w:hAnsi="Arial" w:cs="Arial"/>
          <w:b/>
          <w:sz w:val="22"/>
          <w:szCs w:val="22"/>
        </w:rPr>
        <w:t>IV.</w:t>
      </w:r>
      <w:r>
        <w:rPr>
          <w:rFonts w:ascii="Arial" w:hAnsi="Arial" w:cs="Arial"/>
          <w:b/>
          <w:sz w:val="22"/>
          <w:szCs w:val="22"/>
        </w:rPr>
        <w:tab/>
      </w:r>
      <w:r>
        <w:rPr>
          <w:rFonts w:ascii="Arial" w:hAnsi="Arial" w:cs="Arial"/>
          <w:b/>
          <w:sz w:val="22"/>
          <w:szCs w:val="22"/>
        </w:rPr>
        <w:t>Budget</w:t>
      </w:r>
    </w:p>
    <w:p>
      <w:pPr>
        <w:spacing w:before="240" w:after="120"/>
        <w:jc w:val="center"/>
      </w:pPr>
      <w:r>
        <w:rPr>
          <w:rFonts w:ascii="Arial" w:hAnsi="Arial" w:cs="Arial"/>
          <w:b/>
          <w:sz w:val="18"/>
          <w:szCs w:val="18"/>
        </w:rPr>
        <w:t>Indicative Budget</w:t>
      </w:r>
    </w:p>
    <w:tbl>
      <w:tblPr>
        <w:tblStyle w:val="TableGrid"/>
        <w:tblW w:w="5000" w:type="auto"/>
        <w:tblLook w:val="04A0"/>
      </w:tblPr>
      <w:tblGrid>
        <w:gridCol w:w="2251"/>
        <w:gridCol w:w="2251"/>
        <w:gridCol w:w="2251"/>
        <w:gridCol w:w="2251"/>
      </w:tblGrid>
      <w:tr>
        <w:tblPrEx>
          <w:tblW w:w="5000" w:type="auto"/>
          <w:tblLook w:val="04A0"/>
        </w:tblPrEx>
        <w:tc>
          <w:tcPr>
            <w:tcW w:w="2310" w:type="dxa"/>
            <w:vAlign w:val="center"/>
          </w:tcPr>
          <w:p>
            <w:pPr>
              <w:spacing w:before="40" w:after="40"/>
              <w:jc w:val="center"/>
            </w:pPr>
            <w:r>
              <w:rPr>
                <w:rFonts w:ascii="Arial" w:hAnsi="Arial" w:cs="Arial"/>
                <w:b/>
                <w:sz w:val="18"/>
                <w:szCs w:val="18"/>
              </w:rPr>
              <w:t>Activity/Component</w:t>
            </w:r>
          </w:p>
        </w:tc>
        <w:tc>
          <w:tcPr>
            <w:tcW w:w="2310" w:type="dxa"/>
            <w:vAlign w:val="top"/>
          </w:tcPr>
          <w:p>
            <w:pPr>
              <w:spacing w:before="40" w:after="40"/>
              <w:jc w:val="center"/>
            </w:pPr>
            <w:r>
              <w:rPr>
                <w:rFonts w:ascii="Arial" w:hAnsi="Arial" w:cs="Arial"/>
                <w:b/>
                <w:sz w:val="18"/>
                <w:szCs w:val="18"/>
              </w:rPr>
              <w:t>IDB/Fund Funding</w:t>
            </w:r>
          </w:p>
        </w:tc>
        <w:tc>
          <w:tcPr>
            <w:tcW w:w="2310" w:type="dxa"/>
            <w:vAlign w:val="top"/>
          </w:tcPr>
          <w:p>
            <w:pPr>
              <w:spacing w:before="40" w:after="40"/>
              <w:jc w:val="center"/>
            </w:pPr>
            <w:r>
              <w:rPr>
                <w:rFonts w:ascii="Arial" w:hAnsi="Arial" w:cs="Arial"/>
                <w:b/>
                <w:sz w:val="18"/>
                <w:szCs w:val="18"/>
              </w:rPr>
              <w:t>Counterpart Funding</w:t>
            </w:r>
          </w:p>
        </w:tc>
        <w:tc>
          <w:tcPr>
            <w:tcW w:w="2310" w:type="dxa"/>
            <w:vAlign w:val="top"/>
          </w:tcPr>
          <w:p>
            <w:pPr>
              <w:spacing w:before="40" w:after="40"/>
              <w:jc w:val="center"/>
            </w:pPr>
            <w:r>
              <w:rPr>
                <w:rFonts w:ascii="Arial" w:hAnsi="Arial" w:cs="Arial"/>
                <w:b/>
                <w:sz w:val="18"/>
                <w:szCs w:val="18"/>
              </w:rPr>
              <w:t>Total Funding</w:t>
            </w:r>
          </w:p>
        </w:tc>
      </w:tr>
      <w:tr>
        <w:tblPrEx>
          <w:tblW w:w="5000" w:type="auto"/>
          <w:tblLook w:val="04A0"/>
        </w:tblPrEx>
        <w:tc>
          <w:tcPr>
            <w:tcW w:w="2310" w:type="dxa"/>
            <w:vAlign w:val="center"/>
          </w:tcPr>
          <w:p>
            <w:pPr>
              <w:spacing w:before="40" w:after="40"/>
            </w:pPr>
            <w:r>
              <w:rPr>
                <w:rFonts w:ascii="Arial" w:hAnsi="Arial" w:cs="Arial"/>
                <w:sz w:val="18"/>
                <w:szCs w:val="18"/>
              </w:rPr>
              <w:t>Componente I: Actualización del marco de política y elaboración de una estrategia de implementación para el desarrollo de habilidades del siglo 21</w:t>
            </w:r>
          </w:p>
        </w:tc>
        <w:tc>
          <w:tcPr>
            <w:tcW w:w="2310" w:type="dxa"/>
            <w:vAlign w:val="center"/>
          </w:tcPr>
          <w:p>
            <w:pPr>
              <w:spacing w:before="40" w:after="40"/>
              <w:jc w:val="right"/>
            </w:pPr>
            <w:r>
              <w:rPr>
                <w:rFonts w:ascii="Arial" w:hAnsi="Arial" w:cs="Arial"/>
                <w:sz w:val="18"/>
                <w:szCs w:val="18"/>
              </w:rPr>
              <w:t>US$65,000.00</w:t>
            </w:r>
          </w:p>
        </w:tc>
        <w:tc>
          <w:tcPr>
            <w:tcW w:w="2310" w:type="dxa"/>
            <w:vAlign w:val="center"/>
          </w:tcPr>
          <w:p>
            <w:pPr>
              <w:spacing w:before="40" w:after="40"/>
              <w:jc w:val="right"/>
            </w:pPr>
            <w:r>
              <w:rPr>
                <w:rFonts w:ascii="Arial" w:hAnsi="Arial" w:cs="Arial"/>
                <w:sz w:val="18"/>
                <w:szCs w:val="18"/>
              </w:rPr>
              <w:t>US$0.00</w:t>
            </w:r>
          </w:p>
        </w:tc>
        <w:tc>
          <w:tcPr>
            <w:tcW w:w="2310" w:type="dxa"/>
            <w:vAlign w:val="center"/>
          </w:tcPr>
          <w:p>
            <w:pPr>
              <w:spacing w:before="40" w:after="40"/>
              <w:jc w:val="right"/>
            </w:pPr>
            <w:r>
              <w:rPr>
                <w:rFonts w:ascii="Arial" w:hAnsi="Arial" w:cs="Arial"/>
                <w:sz w:val="18"/>
                <w:szCs w:val="18"/>
              </w:rPr>
              <w:t>US$65,000.00</w:t>
            </w:r>
          </w:p>
        </w:tc>
      </w:tr>
      <w:tr>
        <w:tblPrEx>
          <w:tblW w:w="5000" w:type="auto"/>
          <w:tblLook w:val="04A0"/>
        </w:tblPrEx>
        <w:tc>
          <w:tcPr>
            <w:tcW w:w="2310" w:type="dxa"/>
            <w:vAlign w:val="center"/>
          </w:tcPr>
          <w:p>
            <w:pPr>
              <w:spacing w:before="40" w:after="40"/>
            </w:pPr>
            <w:r>
              <w:rPr>
                <w:rFonts w:ascii="Arial" w:hAnsi="Arial" w:cs="Arial"/>
                <w:sz w:val="18"/>
                <w:szCs w:val="18"/>
              </w:rPr>
              <w:t xml:space="preserve">Componente II: Diseño institucional y estructura de gestión del programa Sacúdete. </w:t>
            </w:r>
          </w:p>
        </w:tc>
        <w:tc>
          <w:tcPr>
            <w:tcW w:w="2310" w:type="dxa"/>
            <w:vAlign w:val="center"/>
          </w:tcPr>
          <w:p>
            <w:pPr>
              <w:spacing w:before="40" w:after="40"/>
              <w:jc w:val="right"/>
            </w:pPr>
            <w:r>
              <w:rPr>
                <w:rFonts w:ascii="Arial" w:hAnsi="Arial" w:cs="Arial"/>
                <w:sz w:val="18"/>
                <w:szCs w:val="18"/>
              </w:rPr>
              <w:t>US$75,000.00</w:t>
            </w:r>
          </w:p>
        </w:tc>
        <w:tc>
          <w:tcPr>
            <w:tcW w:w="2310" w:type="dxa"/>
            <w:vAlign w:val="center"/>
          </w:tcPr>
          <w:p>
            <w:pPr>
              <w:spacing w:before="40" w:after="40"/>
              <w:jc w:val="right"/>
            </w:pPr>
            <w:r>
              <w:rPr>
                <w:rFonts w:ascii="Arial" w:hAnsi="Arial" w:cs="Arial"/>
                <w:sz w:val="18"/>
                <w:szCs w:val="18"/>
              </w:rPr>
              <w:t>US$0.00</w:t>
            </w:r>
          </w:p>
        </w:tc>
        <w:tc>
          <w:tcPr>
            <w:tcW w:w="2310" w:type="dxa"/>
            <w:vAlign w:val="center"/>
          </w:tcPr>
          <w:p>
            <w:pPr>
              <w:spacing w:before="40" w:after="40"/>
              <w:jc w:val="right"/>
            </w:pPr>
            <w:r>
              <w:rPr>
                <w:rFonts w:ascii="Arial" w:hAnsi="Arial" w:cs="Arial"/>
                <w:sz w:val="18"/>
                <w:szCs w:val="18"/>
              </w:rPr>
              <w:t>US$75,000.00</w:t>
            </w:r>
          </w:p>
        </w:tc>
      </w:tr>
      <w:tr>
        <w:tblPrEx>
          <w:tblW w:w="5000" w:type="auto"/>
          <w:tblLook w:val="04A0"/>
        </w:tblPrEx>
        <w:tc>
          <w:tcPr>
            <w:tcW w:w="2310" w:type="dxa"/>
            <w:vAlign w:val="center"/>
          </w:tcPr>
          <w:p>
            <w:pPr>
              <w:spacing w:before="40" w:after="40"/>
            </w:pPr>
            <w:r>
              <w:rPr>
                <w:rFonts w:ascii="Arial" w:hAnsi="Arial" w:cs="Arial"/>
                <w:sz w:val="18"/>
                <w:szCs w:val="18"/>
              </w:rPr>
              <w:t>Componente III: Diseño del sistema de monitoreo y evaluación de Sacúdete</w:t>
            </w:r>
          </w:p>
        </w:tc>
        <w:tc>
          <w:tcPr>
            <w:tcW w:w="2310" w:type="dxa"/>
            <w:vAlign w:val="center"/>
          </w:tcPr>
          <w:p>
            <w:pPr>
              <w:spacing w:before="40" w:after="40"/>
              <w:jc w:val="right"/>
            </w:pPr>
            <w:r>
              <w:rPr>
                <w:rFonts w:ascii="Arial" w:hAnsi="Arial" w:cs="Arial"/>
                <w:sz w:val="18"/>
                <w:szCs w:val="18"/>
              </w:rPr>
              <w:t>US$60,000.00</w:t>
            </w:r>
          </w:p>
        </w:tc>
        <w:tc>
          <w:tcPr>
            <w:tcW w:w="2310" w:type="dxa"/>
            <w:vAlign w:val="center"/>
          </w:tcPr>
          <w:p>
            <w:pPr>
              <w:spacing w:before="40" w:after="40"/>
              <w:jc w:val="right"/>
            </w:pPr>
            <w:r>
              <w:rPr>
                <w:rFonts w:ascii="Arial" w:hAnsi="Arial" w:cs="Arial"/>
                <w:sz w:val="18"/>
                <w:szCs w:val="18"/>
              </w:rPr>
              <w:t>US$0.00</w:t>
            </w:r>
          </w:p>
        </w:tc>
        <w:tc>
          <w:tcPr>
            <w:tcW w:w="2310" w:type="dxa"/>
            <w:vAlign w:val="center"/>
          </w:tcPr>
          <w:p>
            <w:pPr>
              <w:spacing w:before="40" w:after="40"/>
              <w:jc w:val="right"/>
            </w:pPr>
            <w:r>
              <w:rPr>
                <w:rFonts w:ascii="Arial" w:hAnsi="Arial" w:cs="Arial"/>
                <w:sz w:val="18"/>
                <w:szCs w:val="18"/>
              </w:rPr>
              <w:t>US$60,000.00</w:t>
            </w:r>
          </w:p>
        </w:tc>
      </w:tr>
      <w:tr>
        <w:tblPrEx>
          <w:tblW w:w="5000" w:type="auto"/>
          <w:tblLook w:val="04A0"/>
        </w:tblPrEx>
        <w:tc>
          <w:tcPr>
            <w:tcW w:w="2310" w:type="dxa"/>
            <w:vAlign w:val="center"/>
          </w:tcPr>
          <w:p>
            <w:pPr>
              <w:spacing w:before="40" w:after="40"/>
            </w:pPr>
            <w:r>
              <w:rPr>
                <w:rFonts w:ascii="Arial" w:hAnsi="Arial" w:cs="Arial"/>
                <w:b/>
                <w:sz w:val="18"/>
                <w:szCs w:val="18"/>
              </w:rPr>
              <w:t>Total</w:t>
            </w:r>
          </w:p>
        </w:tc>
        <w:tc>
          <w:tcPr>
            <w:tcW w:w="2310" w:type="dxa"/>
            <w:vAlign w:val="center"/>
          </w:tcPr>
          <w:p>
            <w:pPr>
              <w:spacing w:before="40" w:after="40"/>
              <w:jc w:val="right"/>
            </w:pPr>
            <w:r>
              <w:rPr>
                <w:rFonts w:ascii="Arial" w:hAnsi="Arial" w:cs="Arial"/>
                <w:b/>
                <w:sz w:val="18"/>
                <w:szCs w:val="18"/>
              </w:rPr>
              <w:t>US$200,000.00</w:t>
            </w:r>
          </w:p>
        </w:tc>
        <w:tc>
          <w:tcPr>
            <w:tcW w:w="2310" w:type="dxa"/>
            <w:vAlign w:val="center"/>
          </w:tcPr>
          <w:p>
            <w:pPr>
              <w:spacing w:before="40" w:after="40"/>
              <w:jc w:val="right"/>
            </w:pPr>
            <w:r>
              <w:rPr>
                <w:rFonts w:ascii="Arial" w:hAnsi="Arial" w:cs="Arial"/>
                <w:b/>
                <w:sz w:val="18"/>
                <w:szCs w:val="18"/>
              </w:rPr>
              <w:t>US$0.00</w:t>
            </w:r>
          </w:p>
        </w:tc>
        <w:tc>
          <w:tcPr>
            <w:tcW w:w="2310" w:type="dxa"/>
            <w:vAlign w:val="center"/>
          </w:tcPr>
          <w:p>
            <w:pPr>
              <w:spacing w:before="40" w:after="40"/>
              <w:jc w:val="right"/>
            </w:pPr>
            <w:r>
              <w:rPr>
                <w:rFonts w:ascii="Arial" w:hAnsi="Arial" w:cs="Arial"/>
                <w:b/>
                <w:sz w:val="18"/>
                <w:szCs w:val="18"/>
              </w:rPr>
              <w:t>US$200,000.00</w:t>
            </w:r>
          </w:p>
        </w:tc>
      </w:tr>
    </w:tbl>
    <w:p>
      <w:pPr>
        <w:spacing w:before="120" w:after="120"/>
        <w:ind w:left="579" w:hanging="579"/>
      </w:pPr>
      <w:r>
        <w:rPr>
          <w:rFonts w:ascii="Arial" w:hAnsi="Arial" w:cs="Arial"/>
          <w:b/>
          <w:sz w:val="22"/>
          <w:szCs w:val="22"/>
        </w:rPr>
        <w:t>V.</w:t>
      </w:r>
      <w:r>
        <w:rPr>
          <w:rFonts w:ascii="Arial" w:hAnsi="Arial" w:cs="Arial"/>
          <w:b/>
          <w:sz w:val="22"/>
          <w:szCs w:val="22"/>
        </w:rPr>
        <w:tab/>
      </w:r>
      <w:r>
        <w:rPr>
          <w:rFonts w:ascii="Arial" w:hAnsi="Arial" w:cs="Arial"/>
          <w:b/>
          <w:sz w:val="22"/>
          <w:szCs w:val="22"/>
        </w:rPr>
        <w:t>Executing Agency and Execution Structure</w:t>
      </w:r>
    </w:p>
    <w:p>
      <w:pPr>
        <w:spacing w:before="200" w:after="200"/>
        <w:ind w:left="579" w:hanging="579"/>
        <w:jc w:val="both"/>
      </w:pPr>
      <w:r>
        <w:rPr>
          <w:rFonts w:ascii="Arial" w:hAnsi="Arial" w:cs="Arial"/>
          <w:sz w:val="22"/>
          <w:szCs w:val="22"/>
        </w:rPr>
        <w:t>5.1</w:t>
      </w:r>
      <w:r>
        <w:rPr>
          <w:rFonts w:ascii="Arial" w:hAnsi="Arial" w:cs="Arial"/>
          <w:sz w:val="22"/>
          <w:szCs w:val="22"/>
        </w:rPr>
        <w:tab/>
      </w:r>
      <w:r>
        <w:rPr>
          <w:rFonts w:ascii="Arial" w:hAnsi="Arial" w:cs="Arial"/>
          <w:sz w:val="22"/>
          <w:szCs w:val="22"/>
        </w:rPr>
        <w:t>Esta TC será ejecutada por el Banco Interamericano de Desarrollo.</w:t>
      </w:r>
    </w:p>
    <w:p>
      <w:pPr>
        <w:spacing w:before="200" w:after="200"/>
        <w:ind w:left="579" w:hanging="579"/>
        <w:jc w:val="both"/>
      </w:pPr>
      <w:r>
        <w:rPr>
          <w:rFonts w:ascii="Arial" w:hAnsi="Arial" w:cs="Arial"/>
          <w:sz w:val="22"/>
          <w:szCs w:val="22"/>
        </w:rPr>
        <w:t>5.2</w:t>
      </w:r>
      <w:r>
        <w:rPr>
          <w:rFonts w:ascii="Arial" w:hAnsi="Arial" w:cs="Arial"/>
          <w:sz w:val="22"/>
          <w:szCs w:val="22"/>
        </w:rPr>
        <w:tab/>
      </w:r>
      <w:r>
        <w:rPr>
          <w:rFonts w:ascii="Arial" w:hAnsi="Arial" w:cs="Arial"/>
          <w:sz w:val="22"/>
          <w:szCs w:val="22"/>
        </w:rPr>
        <w:t>Por solicitud del Gobierno de Colombia la Cooperación Técnica será ejecutada por el Banco. El esquema de ejecución que desarrolle el Banco garantizará que se mantenga una visión integral de las diversas intervenciones realizadas con las consultorías financiadas por la CT. Lo anterior, con el fin de asegurar una contribución efectiva y de calidad.</w:t>
      </w:r>
    </w:p>
    <w:p>
      <w:pPr>
        <w:spacing w:before="120" w:after="120"/>
        <w:ind w:left="579" w:hanging="579"/>
      </w:pPr>
      <w:r>
        <w:rPr>
          <w:rFonts w:ascii="Arial" w:hAnsi="Arial" w:cs="Arial"/>
          <w:b/>
          <w:sz w:val="22"/>
          <w:szCs w:val="22"/>
        </w:rPr>
        <w:t>VI.</w:t>
      </w:r>
      <w:r>
        <w:rPr>
          <w:rFonts w:ascii="Arial" w:hAnsi="Arial" w:cs="Arial"/>
          <w:b/>
          <w:sz w:val="22"/>
          <w:szCs w:val="22"/>
        </w:rPr>
        <w:tab/>
      </w:r>
      <w:r>
        <w:rPr>
          <w:rFonts w:ascii="Arial" w:hAnsi="Arial" w:cs="Arial"/>
          <w:b/>
          <w:sz w:val="22"/>
          <w:szCs w:val="22"/>
        </w:rPr>
        <w:t>Project Risks and Issues</w:t>
      </w:r>
    </w:p>
    <w:p>
      <w:pPr>
        <w:spacing w:before="200" w:after="200"/>
        <w:ind w:left="579" w:hanging="579"/>
        <w:jc w:val="both"/>
      </w:pPr>
      <w:r>
        <w:rPr>
          <w:rFonts w:ascii="Arial" w:hAnsi="Arial" w:cs="Arial"/>
          <w:sz w:val="22"/>
          <w:szCs w:val="22"/>
        </w:rPr>
        <w:t>6.1</w:t>
      </w:r>
      <w:r>
        <w:rPr>
          <w:rFonts w:ascii="Arial" w:hAnsi="Arial" w:cs="Arial"/>
          <w:sz w:val="22"/>
          <w:szCs w:val="22"/>
        </w:rPr>
        <w:tab/>
      </w:r>
      <w:r>
        <w:rPr>
          <w:rFonts w:ascii="Arial" w:hAnsi="Arial" w:cs="Arial"/>
          <w:sz w:val="22"/>
          <w:szCs w:val="22"/>
        </w:rPr>
        <w:t>No se han identificado riesgos para esta operación.</w:t>
      </w:r>
    </w:p>
    <w:p>
      <w:pPr>
        <w:spacing w:before="120" w:after="120"/>
        <w:ind w:left="579" w:hanging="579"/>
      </w:pPr>
      <w:r>
        <w:rPr>
          <w:rFonts w:ascii="Arial" w:hAnsi="Arial" w:cs="Arial"/>
          <w:b/>
          <w:sz w:val="22"/>
          <w:szCs w:val="22"/>
        </w:rPr>
        <w:t>VII.</w:t>
      </w:r>
      <w:r>
        <w:rPr>
          <w:rFonts w:ascii="Arial" w:hAnsi="Arial" w:cs="Arial"/>
          <w:b/>
          <w:sz w:val="22"/>
          <w:szCs w:val="22"/>
        </w:rPr>
        <w:tab/>
      </w:r>
      <w:r>
        <w:rPr>
          <w:rFonts w:ascii="Arial" w:hAnsi="Arial" w:cs="Arial"/>
          <w:b/>
          <w:sz w:val="22"/>
          <w:szCs w:val="22"/>
        </w:rPr>
        <w:t>Environmental and Social Classification</w:t>
      </w:r>
    </w:p>
    <w:p>
      <w:pPr>
        <w:spacing w:before="240" w:after="120"/>
        <w:ind w:left="579" w:hanging="579"/>
        <w:jc w:val="both"/>
      </w:pPr>
      <w:r>
        <w:rPr>
          <w:rFonts w:ascii="Arial" w:hAnsi="Arial" w:cs="Arial"/>
          <w:sz w:val="22"/>
          <w:szCs w:val="22"/>
        </w:rPr>
        <w:t>7.1</w:t>
      </w:r>
      <w:r>
        <w:rPr>
          <w:rFonts w:ascii="Arial" w:hAnsi="Arial" w:cs="Arial"/>
          <w:sz w:val="22"/>
          <w:szCs w:val="22"/>
        </w:rPr>
        <w:tab/>
      </w:r>
      <w:r>
        <w:rPr>
          <w:rFonts w:ascii="Arial" w:hAnsi="Arial" w:cs="Arial"/>
          <w:sz w:val="22"/>
          <w:szCs w:val="22"/>
        </w:rPr>
        <w:t>The ESG classification for this operation is "C".</w:t>
      </w:r>
    </w:p>
    <w:sectPr w:rsidSect="00FC3028">
      <w:footerReference w:type="default" r:id="rI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Style"/>
      <w:jc w:val="center"/>
    </w:pPr>
    <w:r>
      <w:t xml:space="preserve"> - </w:t>
    </w:r>
    <w:r>
      <w:fldChar w:fldCharType="begin"/>
    </w:r>
    <w:r>
      <w:instrText xml:space="preserve"> PAGE </w:instrText>
    </w:r>
    <w:r>
      <w:fldChar w:fldCharType="separate"/>
    </w:r>
    <w:r>
      <w:fldChar w:fldCharType="end"/>
    </w:r>
    <w:r>
      <w:t xml:space="preserve"> - </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mathPr>
  <w:themeFontLang w:val="en-US"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erStyle">
    <w:name w:val="FooterStyle"/>
    <w:rPr>
      <w:rFonts w:ascii="Arial" w:eastAsia="Arial" w:hAnsi="Arial" w:cs="Arial"/>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12" Type="http://schemas.openxmlformats.org/officeDocument/2006/relationships/customXml" Target="../customXml/item7.xml"/><Relationship Id="rId2" Type="http://schemas.openxmlformats.org/officeDocument/2006/relationships/webSettings" Target="webSettings.xml"/><Relationship Id="rId1" Type="http://schemas.openxmlformats.org/officeDocument/2006/relationships/settings" Target="setting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styles" Target="styles.xml"/><Relationship Id="rId4" Type="http://schemas.openxmlformats.org/officeDocument/2006/relationships/footer" Target="footer1.xml"/><Relationship Id="rId9" Type="http://schemas.openxmlformats.org/officeDocument/2006/relationships/customXml" Target="../customXml/item4.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77BA7511590354C9E1E4214215EFE72" ma:contentTypeVersion="3830" ma:contentTypeDescription="A content type to manage public (operations) IDB documents" ma:contentTypeScope="" ma:versionID="8354787d69261c45bb872f53c57a2bb2">
  <xsd:schema xmlns:xsd="http://www.w3.org/2001/XMLSchema" xmlns:xs="http://www.w3.org/2001/XMLSchema" xmlns:p="http://schemas.microsoft.com/office/2006/metadata/properties" xmlns:ns2="cdc7663a-08f0-4737-9e8c-148ce897a09c" targetNamespace="http://schemas.microsoft.com/office/2006/metadata/properties" ma:root="true" ma:fieldsID="cd522fe6aa5cd6f2d1572131f344b5e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T157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Becerra LunaLaura Natalia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SCHOOL-TO-WORK TRANSITION</TermName>
          <TermId xmlns="http://schemas.microsoft.com/office/infopath/2007/PartnerControls">1cfcc1e4-42f4-47fa-912b-ad357c0d8177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389</Value>
      <Value>105</Value>
      <Value>32</Value>
      <Value>1</Value>
      <Value>98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CO-T1576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EZSHARE-514164993-10</_dlc_DocId>
    <_dlc_DocIdUrl xmlns="cdc7663a-08f0-4737-9e8c-148ce897a09c">
      <Url>https://idbg.sharepoint.com/teams/EZ-CO-TCP/CO-T1576/_layouts/15/DocIdRedir.aspx?ID=EZSHARE-514164993-10</Url>
      <Description>EZSHARE-514164993-10</Description>
    </_dlc_DocIdUrl>
    <Extracted_x0020_Keywords xmlns="cdc7663a-08f0-4737-9e8c-148ce897a09c">
      <Value>Actualización</Value>
      <Value>elaboración</Value>
      <Value>implementación</Value>
      <Value>política</Value>
      <Value>marco normativo</Value>
      <Value>habilidades transversales</Value>
      <Value>desarrollo</Value>
      <Value>oferta</Value>
      <Value>estrategia</Value>
      <Value>fin</Value>
      <Value>Consejería Presidencial para la Juventud</Value>
      <Value>INTER-AMERICAN DEVELOPMENT BANK IDB funding</Value>
      <Value>La Consejería Presidencial</Value>
      <Value>Basic Project Data Country</Value>
      <Value>fuerte coordinación interinstitucional</Value>
      <Value>actual Plan Nacional de</Value>
      <Value>Andean Group TC Name</Value>
      <Value>adecuada inserción social</Value>
      <Value>National Development Plan</Value>
      <Value>Local counterpart funding</Value>
      <Value>21st Century Skills</Value>
      <Value>décimo semestre</Value>
      <Value>demás adultos</Value>
      <Value>países andinos</Value>
      <Value>inserción productiva</Value>
    </Extracted_x0020_Keywords>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82942B5-82FC-4A79-923C-9728045C88F5}"/>
</file>

<file path=customXml/itemProps2.xml><?xml version="1.0" encoding="utf-8"?>
<ds:datastoreItem xmlns:ds="http://schemas.openxmlformats.org/officeDocument/2006/customXml" ds:itemID="{A321E244-9EE0-4E4A-AEA2-9F93CC9BC1B2}"/>
</file>

<file path=customXml/itemProps3.xml><?xml version="1.0" encoding="utf-8"?>
<ds:datastoreItem xmlns:ds="http://schemas.openxmlformats.org/officeDocument/2006/customXml" ds:itemID="{C9754602-5542-46CD-8EC8-6FBC3A5A2FC0}"/>
</file>

<file path=customXml/itemProps4.xml><?xml version="1.0" encoding="utf-8"?>
<ds:datastoreItem xmlns:ds="http://schemas.openxmlformats.org/officeDocument/2006/customXml" ds:itemID="{CAC538C1-9246-4FFF-8085-71B2AD5268C8}"/>
</file>

<file path=customXml/itemProps5.xml><?xml version="1.0" encoding="utf-8"?>
<ds:datastoreItem xmlns:ds="http://schemas.openxmlformats.org/officeDocument/2006/customXml" ds:itemID="{A4C0D992-6792-4C80-87D7-DB2855627337}"/>
</file>

<file path=customXml/itemProps6.xml><?xml version="1.0" encoding="utf-8"?>
<ds:datastoreItem xmlns:ds="http://schemas.openxmlformats.org/officeDocument/2006/customXml" ds:itemID="{8E289E2D-5F63-4A05-A102-02CE10FB53B8}"/>
</file>

<file path=customXml/itemProps7.xml><?xml version="1.0" encoding="utf-8"?>
<ds:datastoreItem xmlns:ds="http://schemas.openxmlformats.org/officeDocument/2006/customXml" ds:itemID="{BDCAE1B0-66D8-4CB6-AE0B-02E6B76700D5}"/>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389;#SCHOOL-TO-WORK TRANSITION|1cfcc1e4-42f4-47fa-912b-ad357c0d8177</vt:lpwstr>
  </property>
  <property fmtid="{D5CDD505-2E9C-101B-9397-08002B2CF9AE}" pid="7" name="Fund IDB">
    <vt:lpwstr>98;#SOC|3086ce3f-38db-462a-ad79-6fb1ca9264c8</vt:lpwstr>
  </property>
  <property fmtid="{D5CDD505-2E9C-101B-9397-08002B2CF9AE}" pid="8" name="Country">
    <vt:lpwstr>32;#Colombia|c7d386d6-75f3-4fc0-bde8-e021ccd68f5c</vt:lpwstr>
  </property>
  <property fmtid="{D5CDD505-2E9C-101B-9397-08002B2CF9AE}" pid="9" name="Sector IDB">
    <vt:lpwstr>105;#EDUCATION|e61db9d8-dcb9-423f-a737-53d6e603e7c4</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10b47b05-528e-4a95-8606-0eec39d49b61</vt:lpwstr>
  </property>
  <property fmtid="{D5CDD505-2E9C-101B-9397-08002B2CF9AE}" pid="12" name="Disclosure Activity">
    <vt:lpwstr>TC Abstract</vt:lpwstr>
  </property>
  <property fmtid="{D5CDD505-2E9C-101B-9397-08002B2CF9AE}" pid="14" name="ContentTypeId">
    <vt:lpwstr>0x0101001A458A224826124E8B45B1D613300CFC00A77BA7511590354C9E1E4214215EFE72</vt:lpwstr>
  </property>
</Properties>
</file>