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ED9DD" w14:textId="77777777" w:rsidR="00917807" w:rsidRPr="0045232D" w:rsidRDefault="003367A0">
      <w:pPr>
        <w:spacing w:before="200" w:after="200"/>
        <w:jc w:val="center"/>
        <w:rPr>
          <w:lang w:val="es-419"/>
        </w:rPr>
      </w:pPr>
      <w:r w:rsidRPr="0045232D">
        <w:rPr>
          <w:rFonts w:ascii="Arial" w:hAnsi="Arial" w:cs="Arial"/>
          <w:b/>
          <w:lang w:val="es-419"/>
        </w:rPr>
        <w:t>ABSTRACTO DE COOPERACIÓN TÉCNICA</w:t>
      </w:r>
    </w:p>
    <w:p w14:paraId="2008BB72" w14:textId="77777777" w:rsidR="00917807" w:rsidRPr="0045232D" w:rsidRDefault="003367A0">
      <w:pPr>
        <w:spacing w:before="120" w:after="120"/>
        <w:ind w:left="579" w:hanging="579"/>
        <w:rPr>
          <w:lang w:val="es-419"/>
        </w:rPr>
      </w:pPr>
      <w:r w:rsidRPr="0045232D">
        <w:rPr>
          <w:rFonts w:ascii="Arial" w:hAnsi="Arial" w:cs="Arial"/>
          <w:b/>
          <w:lang w:val="es-419"/>
        </w:rPr>
        <w:t>I.</w:t>
      </w:r>
      <w:r w:rsidRPr="0045232D">
        <w:rPr>
          <w:rFonts w:ascii="Arial" w:hAnsi="Arial" w:cs="Arial"/>
          <w:b/>
          <w:lang w:val="es-419"/>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0"/>
        <w:gridCol w:w="4970"/>
      </w:tblGrid>
      <w:tr w:rsidR="00917807" w:rsidRPr="0045232D" w14:paraId="5DA04D5F" w14:textId="77777777">
        <w:trPr>
          <w:jc w:val="center"/>
        </w:trPr>
        <w:tc>
          <w:tcPr>
            <w:tcW w:w="5250" w:type="dxa"/>
          </w:tcPr>
          <w:p w14:paraId="0A0BB4D2" w14:textId="77777777" w:rsidR="00917807" w:rsidRPr="0045232D" w:rsidRDefault="003367A0">
            <w:pPr>
              <w:spacing w:before="40" w:after="40"/>
              <w:ind w:left="115" w:hanging="115"/>
              <w:rPr>
                <w:lang w:val="es-419"/>
              </w:rPr>
            </w:pPr>
            <w:r w:rsidRPr="0045232D">
              <w:rPr>
                <w:rFonts w:ascii="Arial" w:hAnsi="Arial" w:cs="Arial"/>
                <w:sz w:val="18"/>
                <w:szCs w:val="18"/>
                <w:lang w:val="es-419"/>
              </w:rPr>
              <w:t>▪ País/Región:</w:t>
            </w:r>
          </w:p>
        </w:tc>
        <w:tc>
          <w:tcPr>
            <w:tcW w:w="6750" w:type="dxa"/>
          </w:tcPr>
          <w:p w14:paraId="7E249CCD" w14:textId="77777777" w:rsidR="00917807" w:rsidRPr="0045232D" w:rsidRDefault="003367A0">
            <w:pPr>
              <w:spacing w:before="40" w:after="40"/>
              <w:rPr>
                <w:lang w:val="es-419"/>
              </w:rPr>
            </w:pPr>
            <w:r w:rsidRPr="0045232D">
              <w:rPr>
                <w:rFonts w:ascii="Arial" w:hAnsi="Arial" w:cs="Arial"/>
                <w:sz w:val="18"/>
                <w:szCs w:val="18"/>
                <w:lang w:val="es-419"/>
              </w:rPr>
              <w:t>HONDURAS/CID - Istmo y RD</w:t>
            </w:r>
          </w:p>
        </w:tc>
      </w:tr>
      <w:tr w:rsidR="00917807" w:rsidRPr="0045232D" w14:paraId="0DD7EBEC" w14:textId="77777777">
        <w:trPr>
          <w:jc w:val="center"/>
        </w:trPr>
        <w:tc>
          <w:tcPr>
            <w:tcW w:w="5250" w:type="dxa"/>
          </w:tcPr>
          <w:p w14:paraId="69C51ABD" w14:textId="77777777" w:rsidR="00917807" w:rsidRPr="0045232D" w:rsidRDefault="003367A0">
            <w:pPr>
              <w:spacing w:before="40" w:after="40"/>
              <w:ind w:left="115" w:hanging="115"/>
              <w:rPr>
                <w:lang w:val="es-419"/>
              </w:rPr>
            </w:pPr>
            <w:r w:rsidRPr="0045232D">
              <w:rPr>
                <w:rFonts w:ascii="Arial" w:hAnsi="Arial" w:cs="Arial"/>
                <w:sz w:val="18"/>
                <w:szCs w:val="18"/>
                <w:lang w:val="es-419"/>
              </w:rPr>
              <w:t>▪ Nombre de la CT:</w:t>
            </w:r>
          </w:p>
        </w:tc>
        <w:tc>
          <w:tcPr>
            <w:tcW w:w="6750" w:type="dxa"/>
          </w:tcPr>
          <w:p w14:paraId="499FADB6" w14:textId="77777777" w:rsidR="00917807" w:rsidRPr="0045232D" w:rsidRDefault="003367A0">
            <w:pPr>
              <w:spacing w:before="40" w:after="40"/>
              <w:rPr>
                <w:lang w:val="es-419"/>
              </w:rPr>
            </w:pPr>
            <w:r w:rsidRPr="0045232D">
              <w:rPr>
                <w:rFonts w:ascii="Arial" w:hAnsi="Arial" w:cs="Arial"/>
                <w:sz w:val="18"/>
                <w:szCs w:val="18"/>
                <w:lang w:val="es-419"/>
              </w:rPr>
              <w:t>Apoyo Operacional y Técnico para el Sistema de Protección Social de Honduras.</w:t>
            </w:r>
          </w:p>
        </w:tc>
      </w:tr>
      <w:tr w:rsidR="00917807" w:rsidRPr="0045232D" w14:paraId="45F4FD1B" w14:textId="77777777">
        <w:trPr>
          <w:jc w:val="center"/>
        </w:trPr>
        <w:tc>
          <w:tcPr>
            <w:tcW w:w="5250" w:type="dxa"/>
          </w:tcPr>
          <w:p w14:paraId="2F82772E" w14:textId="77777777" w:rsidR="00917807" w:rsidRPr="0045232D" w:rsidRDefault="003367A0">
            <w:pPr>
              <w:spacing w:before="40" w:after="40"/>
              <w:ind w:left="115" w:hanging="115"/>
              <w:rPr>
                <w:lang w:val="es-419"/>
              </w:rPr>
            </w:pPr>
            <w:r w:rsidRPr="0045232D">
              <w:rPr>
                <w:rFonts w:ascii="Arial" w:hAnsi="Arial" w:cs="Arial"/>
                <w:sz w:val="18"/>
                <w:szCs w:val="18"/>
                <w:lang w:val="es-419"/>
              </w:rPr>
              <w:t>▪ Número de CT:</w:t>
            </w:r>
          </w:p>
        </w:tc>
        <w:tc>
          <w:tcPr>
            <w:tcW w:w="6750" w:type="dxa"/>
          </w:tcPr>
          <w:p w14:paraId="3B22ED43" w14:textId="77777777" w:rsidR="00917807" w:rsidRPr="0045232D" w:rsidRDefault="003367A0">
            <w:pPr>
              <w:spacing w:before="40" w:after="40"/>
              <w:rPr>
                <w:lang w:val="es-419"/>
              </w:rPr>
            </w:pPr>
            <w:r w:rsidRPr="0045232D">
              <w:rPr>
                <w:rFonts w:ascii="Arial" w:hAnsi="Arial" w:cs="Arial"/>
                <w:sz w:val="18"/>
                <w:szCs w:val="18"/>
                <w:lang w:val="es-419"/>
              </w:rPr>
              <w:t>HO-T1408</w:t>
            </w:r>
          </w:p>
        </w:tc>
      </w:tr>
      <w:tr w:rsidR="00917807" w:rsidRPr="0045232D" w14:paraId="6B5FCD4B" w14:textId="77777777">
        <w:trPr>
          <w:jc w:val="center"/>
        </w:trPr>
        <w:tc>
          <w:tcPr>
            <w:tcW w:w="5250" w:type="dxa"/>
          </w:tcPr>
          <w:p w14:paraId="629EBF83" w14:textId="77777777" w:rsidR="00917807" w:rsidRPr="0045232D" w:rsidRDefault="003367A0">
            <w:pPr>
              <w:spacing w:before="40" w:after="40"/>
              <w:ind w:left="115" w:hanging="115"/>
              <w:rPr>
                <w:lang w:val="es-419"/>
              </w:rPr>
            </w:pPr>
            <w:r w:rsidRPr="0045232D">
              <w:rPr>
                <w:rFonts w:ascii="Arial" w:hAnsi="Arial" w:cs="Arial"/>
                <w:sz w:val="18"/>
                <w:szCs w:val="18"/>
                <w:lang w:val="es-419"/>
              </w:rPr>
              <w:t>▪ Jefe de Equipo/Miembros:</w:t>
            </w:r>
          </w:p>
        </w:tc>
        <w:tc>
          <w:tcPr>
            <w:tcW w:w="6750" w:type="dxa"/>
          </w:tcPr>
          <w:p w14:paraId="7F25E219" w14:textId="77777777" w:rsidR="00917807" w:rsidRPr="0045232D" w:rsidRDefault="003367A0">
            <w:pPr>
              <w:spacing w:before="40" w:after="40"/>
              <w:rPr>
                <w:lang w:val="es-419"/>
              </w:rPr>
            </w:pPr>
            <w:r w:rsidRPr="0045232D">
              <w:rPr>
                <w:rFonts w:ascii="Arial" w:hAnsi="Arial" w:cs="Arial"/>
                <w:sz w:val="18"/>
                <w:szCs w:val="18"/>
                <w:lang w:val="es-419"/>
              </w:rPr>
              <w:t>O'CONNELL, LESLEY DEANNE (SCL/SPH) Líder del Equipo; ROMERO REYES, BESSY LORENA (CID/CHO) Jefe Alterno del Equipo de Proyecto; DEL PUERTO CORREA, MARIA CECILIA (VPC/FMP); CONTIN STEINEMANN, CHRISTIAN ALBERTO (VPC/FMP); NINA MENDOZA (CID/CHO); JARA MALES, PATRICIA CAROLINA (SCL/SPH); TEJERINA, LUIS R. (SCL/SPH); GODOY, HUGO DANILO (SCL/SPH); LANDAZURI-LEVEY, MARIA C. (LEG/SGO); CURRAN, VANESSA ALEXANDRA (SCL/SPH)</w:t>
            </w:r>
          </w:p>
        </w:tc>
      </w:tr>
      <w:tr w:rsidR="00917807" w:rsidRPr="0045232D" w14:paraId="328FAB59" w14:textId="77777777">
        <w:trPr>
          <w:jc w:val="center"/>
        </w:trPr>
        <w:tc>
          <w:tcPr>
            <w:tcW w:w="5250" w:type="dxa"/>
          </w:tcPr>
          <w:p w14:paraId="5553ABF5" w14:textId="77777777" w:rsidR="00917807" w:rsidRPr="0045232D" w:rsidRDefault="003367A0">
            <w:pPr>
              <w:spacing w:before="40" w:after="40"/>
              <w:ind w:left="115" w:hanging="115"/>
              <w:rPr>
                <w:lang w:val="es-419"/>
              </w:rPr>
            </w:pPr>
            <w:r w:rsidRPr="0045232D">
              <w:rPr>
                <w:rFonts w:ascii="Arial" w:hAnsi="Arial" w:cs="Arial"/>
                <w:sz w:val="18"/>
                <w:szCs w:val="18"/>
                <w:lang w:val="es-419"/>
              </w:rPr>
              <w:t>▪ Taxonomía:</w:t>
            </w:r>
          </w:p>
        </w:tc>
        <w:tc>
          <w:tcPr>
            <w:tcW w:w="6750" w:type="dxa"/>
          </w:tcPr>
          <w:p w14:paraId="05F8BDA2" w14:textId="77777777" w:rsidR="00917807" w:rsidRPr="0045232D" w:rsidRDefault="003367A0">
            <w:pPr>
              <w:spacing w:before="40" w:after="40"/>
              <w:rPr>
                <w:lang w:val="es-419"/>
              </w:rPr>
            </w:pPr>
            <w:r w:rsidRPr="0045232D">
              <w:rPr>
                <w:rFonts w:ascii="Arial" w:hAnsi="Arial" w:cs="Arial"/>
                <w:sz w:val="18"/>
                <w:szCs w:val="18"/>
                <w:lang w:val="es-419"/>
              </w:rPr>
              <w:t>Apoyo Operativo</w:t>
            </w:r>
          </w:p>
        </w:tc>
      </w:tr>
      <w:tr w:rsidR="00917807" w:rsidRPr="0045232D" w14:paraId="79B691EF" w14:textId="77777777">
        <w:trPr>
          <w:jc w:val="center"/>
        </w:trPr>
        <w:tc>
          <w:tcPr>
            <w:tcW w:w="5250" w:type="dxa"/>
          </w:tcPr>
          <w:p w14:paraId="4CAD3159" w14:textId="77777777" w:rsidR="00917807" w:rsidRPr="0045232D" w:rsidRDefault="003367A0">
            <w:pPr>
              <w:spacing w:before="40" w:after="40"/>
              <w:ind w:left="115" w:hanging="115"/>
              <w:rPr>
                <w:lang w:val="es-419"/>
              </w:rPr>
            </w:pPr>
            <w:r w:rsidRPr="0045232D">
              <w:rPr>
                <w:rFonts w:ascii="Arial" w:hAnsi="Arial" w:cs="Arial"/>
                <w:sz w:val="18"/>
                <w:szCs w:val="18"/>
                <w:lang w:val="es-419"/>
              </w:rPr>
              <w:t>▪ Número y nombre de la operación que apoyará la CT:</w:t>
            </w:r>
          </w:p>
        </w:tc>
        <w:tc>
          <w:tcPr>
            <w:tcW w:w="6750" w:type="dxa"/>
          </w:tcPr>
          <w:p w14:paraId="2B4B1021" w14:textId="77777777" w:rsidR="00917807" w:rsidRPr="0045232D" w:rsidRDefault="003367A0">
            <w:pPr>
              <w:spacing w:before="40" w:after="40"/>
              <w:rPr>
                <w:lang w:val="es-419"/>
              </w:rPr>
            </w:pPr>
            <w:r w:rsidRPr="0045232D">
              <w:rPr>
                <w:rFonts w:ascii="Arial" w:hAnsi="Arial" w:cs="Arial"/>
                <w:sz w:val="18"/>
                <w:szCs w:val="18"/>
                <w:lang w:val="es-419"/>
              </w:rPr>
              <w:t xml:space="preserve">Programa de Apoyo al Sistema Integral de Protección Social II - HO-L1230 </w:t>
            </w:r>
            <w:r w:rsidRPr="0045232D">
              <w:rPr>
                <w:rFonts w:ascii="Arial" w:hAnsi="Arial" w:cs="Arial"/>
                <w:sz w:val="18"/>
                <w:szCs w:val="18"/>
                <w:lang w:val="es-419"/>
              </w:rPr>
              <w:br/>
            </w:r>
            <w:r w:rsidRPr="0045232D">
              <w:rPr>
                <w:rFonts w:ascii="Arial" w:hAnsi="Arial" w:cs="Arial"/>
                <w:sz w:val="18"/>
                <w:szCs w:val="18"/>
                <w:lang w:val="es-419"/>
              </w:rPr>
              <w:br/>
            </w:r>
          </w:p>
        </w:tc>
      </w:tr>
      <w:tr w:rsidR="00917807" w:rsidRPr="0045232D" w14:paraId="0CE44BCC" w14:textId="77777777">
        <w:trPr>
          <w:jc w:val="center"/>
        </w:trPr>
        <w:tc>
          <w:tcPr>
            <w:tcW w:w="5250" w:type="dxa"/>
          </w:tcPr>
          <w:p w14:paraId="6C0976C2" w14:textId="77777777" w:rsidR="00917807" w:rsidRPr="0045232D" w:rsidRDefault="003367A0">
            <w:pPr>
              <w:spacing w:before="40" w:after="40"/>
              <w:ind w:left="115" w:hanging="115"/>
              <w:rPr>
                <w:lang w:val="es-419"/>
              </w:rPr>
            </w:pPr>
            <w:r w:rsidRPr="0045232D">
              <w:rPr>
                <w:rFonts w:ascii="Arial" w:hAnsi="Arial" w:cs="Arial"/>
                <w:sz w:val="18"/>
                <w:szCs w:val="18"/>
                <w:lang w:val="es-419"/>
              </w:rPr>
              <w:t>▪ Fecha del Abstracto de CT:</w:t>
            </w:r>
          </w:p>
        </w:tc>
        <w:tc>
          <w:tcPr>
            <w:tcW w:w="6750" w:type="dxa"/>
          </w:tcPr>
          <w:p w14:paraId="421DD0E9" w14:textId="77777777" w:rsidR="00917807" w:rsidRPr="0045232D" w:rsidRDefault="003367A0">
            <w:pPr>
              <w:spacing w:before="40" w:after="40"/>
              <w:rPr>
                <w:lang w:val="es-419"/>
              </w:rPr>
            </w:pPr>
            <w:r w:rsidRPr="0045232D">
              <w:rPr>
                <w:rFonts w:ascii="Arial" w:hAnsi="Arial" w:cs="Arial"/>
                <w:sz w:val="18"/>
                <w:szCs w:val="18"/>
                <w:lang w:val="es-419"/>
              </w:rPr>
              <w:t>07 Jun 2022</w:t>
            </w:r>
          </w:p>
        </w:tc>
      </w:tr>
      <w:tr w:rsidR="00917807" w:rsidRPr="0045232D" w14:paraId="6C436A80" w14:textId="77777777">
        <w:trPr>
          <w:jc w:val="center"/>
        </w:trPr>
        <w:tc>
          <w:tcPr>
            <w:tcW w:w="5250" w:type="dxa"/>
          </w:tcPr>
          <w:p w14:paraId="2D3C79B9" w14:textId="77777777" w:rsidR="00917807" w:rsidRPr="0045232D" w:rsidRDefault="003367A0">
            <w:pPr>
              <w:spacing w:before="40" w:after="40"/>
              <w:ind w:left="115" w:hanging="115"/>
              <w:rPr>
                <w:lang w:val="es-419"/>
              </w:rPr>
            </w:pPr>
            <w:r w:rsidRPr="0045232D">
              <w:rPr>
                <w:rFonts w:ascii="Arial" w:hAnsi="Arial" w:cs="Arial"/>
                <w:sz w:val="18"/>
                <w:szCs w:val="18"/>
                <w:lang w:val="es-419"/>
              </w:rPr>
              <w:t>▪ Beneficiario:</w:t>
            </w:r>
          </w:p>
        </w:tc>
        <w:tc>
          <w:tcPr>
            <w:tcW w:w="6750" w:type="dxa"/>
          </w:tcPr>
          <w:p w14:paraId="041672EC" w14:textId="77777777" w:rsidR="00917807" w:rsidRPr="0045232D" w:rsidRDefault="003367A0">
            <w:pPr>
              <w:spacing w:before="40" w:after="40"/>
              <w:rPr>
                <w:lang w:val="es-419"/>
              </w:rPr>
            </w:pPr>
            <w:r w:rsidRPr="0045232D">
              <w:rPr>
                <w:rFonts w:ascii="Arial" w:hAnsi="Arial" w:cs="Arial"/>
                <w:sz w:val="18"/>
                <w:szCs w:val="18"/>
                <w:lang w:val="es-419"/>
              </w:rPr>
              <w:t>Secretaría de Desarrollo e Inclusión Social</w:t>
            </w:r>
          </w:p>
        </w:tc>
      </w:tr>
      <w:tr w:rsidR="00917807" w:rsidRPr="0045232D" w14:paraId="61CBD662" w14:textId="77777777">
        <w:trPr>
          <w:jc w:val="center"/>
        </w:trPr>
        <w:tc>
          <w:tcPr>
            <w:tcW w:w="5250" w:type="dxa"/>
          </w:tcPr>
          <w:p w14:paraId="71599520" w14:textId="77777777" w:rsidR="00917807" w:rsidRPr="0045232D" w:rsidRDefault="003367A0">
            <w:pPr>
              <w:spacing w:before="40" w:after="40"/>
              <w:ind w:left="115" w:hanging="115"/>
              <w:rPr>
                <w:lang w:val="es-419"/>
              </w:rPr>
            </w:pPr>
            <w:r w:rsidRPr="0045232D">
              <w:rPr>
                <w:rFonts w:ascii="Arial" w:hAnsi="Arial" w:cs="Arial"/>
                <w:sz w:val="18"/>
                <w:szCs w:val="18"/>
                <w:lang w:val="es-419"/>
              </w:rPr>
              <w:t>▪ Agencia Ejecutora:</w:t>
            </w:r>
          </w:p>
        </w:tc>
        <w:tc>
          <w:tcPr>
            <w:tcW w:w="6750" w:type="dxa"/>
          </w:tcPr>
          <w:p w14:paraId="14BAEABB" w14:textId="77777777" w:rsidR="00917807" w:rsidRPr="0045232D" w:rsidRDefault="003367A0">
            <w:pPr>
              <w:spacing w:before="40" w:after="40"/>
              <w:rPr>
                <w:lang w:val="es-419"/>
              </w:rPr>
            </w:pPr>
            <w:r w:rsidRPr="0045232D">
              <w:rPr>
                <w:rFonts w:ascii="Arial" w:hAnsi="Arial" w:cs="Arial"/>
                <w:sz w:val="18"/>
                <w:szCs w:val="18"/>
                <w:lang w:val="es-419"/>
              </w:rPr>
              <w:t>INTER-AMERICAN DEVELOPMENT BANK</w:t>
            </w:r>
          </w:p>
        </w:tc>
      </w:tr>
      <w:tr w:rsidR="00917807" w:rsidRPr="0045232D" w14:paraId="706DB5A5" w14:textId="77777777">
        <w:trPr>
          <w:jc w:val="center"/>
        </w:trPr>
        <w:tc>
          <w:tcPr>
            <w:tcW w:w="5250" w:type="dxa"/>
          </w:tcPr>
          <w:p w14:paraId="63EC4E42" w14:textId="77777777" w:rsidR="00917807" w:rsidRPr="0045232D" w:rsidRDefault="003367A0">
            <w:pPr>
              <w:spacing w:before="40" w:after="40"/>
              <w:ind w:left="115" w:hanging="115"/>
              <w:rPr>
                <w:lang w:val="es-419"/>
              </w:rPr>
            </w:pPr>
            <w:r w:rsidRPr="0045232D">
              <w:rPr>
                <w:rFonts w:ascii="Arial" w:hAnsi="Arial" w:cs="Arial"/>
                <w:sz w:val="18"/>
                <w:szCs w:val="18"/>
                <w:lang w:val="es-419"/>
              </w:rPr>
              <w:t>▪ Financiamiento solicitado del BID:</w:t>
            </w:r>
          </w:p>
        </w:tc>
        <w:tc>
          <w:tcPr>
            <w:tcW w:w="6750" w:type="dxa"/>
          </w:tcPr>
          <w:p w14:paraId="7B831FF3" w14:textId="77777777" w:rsidR="00917807" w:rsidRPr="0045232D" w:rsidRDefault="003367A0">
            <w:pPr>
              <w:bidi/>
              <w:spacing w:before="40" w:after="40"/>
              <w:rPr>
                <w:lang w:val="es-419"/>
              </w:rPr>
            </w:pPr>
            <w:r w:rsidRPr="0045232D">
              <w:rPr>
                <w:rFonts w:ascii="Arial" w:hAnsi="Arial" w:cs="Arial"/>
                <w:sz w:val="18"/>
                <w:szCs w:val="18"/>
                <w:lang w:val="es-419"/>
              </w:rPr>
              <w:t>US$550,000.00</w:t>
            </w:r>
          </w:p>
        </w:tc>
      </w:tr>
      <w:tr w:rsidR="00917807" w:rsidRPr="0045232D" w14:paraId="5FBBBCF9" w14:textId="77777777">
        <w:trPr>
          <w:jc w:val="center"/>
        </w:trPr>
        <w:tc>
          <w:tcPr>
            <w:tcW w:w="5250" w:type="dxa"/>
          </w:tcPr>
          <w:p w14:paraId="3BDE6B42" w14:textId="77777777" w:rsidR="00917807" w:rsidRPr="0045232D" w:rsidRDefault="003367A0">
            <w:pPr>
              <w:spacing w:before="40" w:after="40"/>
              <w:ind w:left="115" w:hanging="115"/>
              <w:rPr>
                <w:lang w:val="es-419"/>
              </w:rPr>
            </w:pPr>
            <w:r w:rsidRPr="0045232D">
              <w:rPr>
                <w:rFonts w:ascii="Arial" w:hAnsi="Arial" w:cs="Arial"/>
                <w:sz w:val="18"/>
                <w:szCs w:val="18"/>
                <w:lang w:val="es-419"/>
              </w:rPr>
              <w:t>▪ Contrapartida Local:</w:t>
            </w:r>
          </w:p>
        </w:tc>
        <w:tc>
          <w:tcPr>
            <w:tcW w:w="6750" w:type="dxa"/>
          </w:tcPr>
          <w:p w14:paraId="5EC5A79B" w14:textId="77777777" w:rsidR="00917807" w:rsidRPr="0045232D" w:rsidRDefault="003367A0">
            <w:pPr>
              <w:bidi/>
              <w:spacing w:before="40" w:after="40"/>
              <w:rPr>
                <w:lang w:val="es-419"/>
              </w:rPr>
            </w:pPr>
            <w:r w:rsidRPr="0045232D">
              <w:rPr>
                <w:rFonts w:ascii="Arial" w:hAnsi="Arial" w:cs="Arial"/>
                <w:sz w:val="18"/>
                <w:szCs w:val="18"/>
                <w:lang w:val="es-419"/>
              </w:rPr>
              <w:t>US$0.00</w:t>
            </w:r>
          </w:p>
        </w:tc>
      </w:tr>
      <w:tr w:rsidR="00917807" w:rsidRPr="0045232D" w14:paraId="56DA9176" w14:textId="77777777">
        <w:trPr>
          <w:jc w:val="center"/>
        </w:trPr>
        <w:tc>
          <w:tcPr>
            <w:tcW w:w="5250" w:type="dxa"/>
          </w:tcPr>
          <w:p w14:paraId="404D8A3A" w14:textId="77777777" w:rsidR="00917807" w:rsidRPr="0045232D" w:rsidRDefault="003367A0">
            <w:pPr>
              <w:spacing w:before="40" w:after="40"/>
              <w:ind w:left="115" w:hanging="115"/>
              <w:rPr>
                <w:lang w:val="es-419"/>
              </w:rPr>
            </w:pPr>
            <w:r w:rsidRPr="0045232D">
              <w:rPr>
                <w:rFonts w:ascii="Arial" w:hAnsi="Arial" w:cs="Arial"/>
                <w:sz w:val="18"/>
                <w:szCs w:val="18"/>
                <w:lang w:val="es-419"/>
              </w:rPr>
              <w:t>▪ Periodo de Desembolso:</w:t>
            </w:r>
          </w:p>
        </w:tc>
        <w:tc>
          <w:tcPr>
            <w:tcW w:w="6750" w:type="dxa"/>
          </w:tcPr>
          <w:p w14:paraId="79BCB0E1" w14:textId="77777777" w:rsidR="00917807" w:rsidRPr="0045232D" w:rsidRDefault="003367A0">
            <w:pPr>
              <w:bidi/>
              <w:spacing w:before="40" w:after="40"/>
              <w:rPr>
                <w:lang w:val="es-419"/>
              </w:rPr>
            </w:pPr>
            <w:r w:rsidRPr="0045232D">
              <w:rPr>
                <w:rFonts w:ascii="Arial" w:hAnsi="Arial" w:cs="Arial"/>
                <w:sz w:val="18"/>
                <w:szCs w:val="18"/>
                <w:lang w:val="es-419"/>
              </w:rPr>
              <w:t>36 meses</w:t>
            </w:r>
          </w:p>
        </w:tc>
      </w:tr>
      <w:tr w:rsidR="00917807" w:rsidRPr="0045232D" w14:paraId="2422385F" w14:textId="77777777">
        <w:trPr>
          <w:jc w:val="center"/>
        </w:trPr>
        <w:tc>
          <w:tcPr>
            <w:tcW w:w="5250" w:type="dxa"/>
          </w:tcPr>
          <w:p w14:paraId="1A0B4119" w14:textId="77777777" w:rsidR="00917807" w:rsidRPr="0045232D" w:rsidRDefault="003367A0">
            <w:pPr>
              <w:spacing w:before="40" w:after="40"/>
              <w:ind w:left="115" w:hanging="115"/>
              <w:rPr>
                <w:lang w:val="es-419"/>
              </w:rPr>
            </w:pPr>
            <w:r w:rsidRPr="0045232D">
              <w:rPr>
                <w:rFonts w:ascii="Arial" w:hAnsi="Arial" w:cs="Arial"/>
                <w:sz w:val="18"/>
                <w:szCs w:val="18"/>
                <w:lang w:val="es-419"/>
              </w:rPr>
              <w:t>▪ Tipos de consultores:</w:t>
            </w:r>
          </w:p>
        </w:tc>
        <w:tc>
          <w:tcPr>
            <w:tcW w:w="6750" w:type="dxa"/>
          </w:tcPr>
          <w:p w14:paraId="3CCD1EC5" w14:textId="77777777" w:rsidR="00917807" w:rsidRPr="0045232D" w:rsidRDefault="003367A0">
            <w:pPr>
              <w:spacing w:before="40" w:after="40"/>
              <w:rPr>
                <w:lang w:val="es-419"/>
              </w:rPr>
            </w:pPr>
            <w:r w:rsidRPr="0045232D">
              <w:rPr>
                <w:rFonts w:ascii="Arial" w:hAnsi="Arial" w:cs="Arial"/>
                <w:sz w:val="18"/>
                <w:szCs w:val="18"/>
                <w:lang w:val="es-419"/>
              </w:rPr>
              <w:t>Individuos; Empresas</w:t>
            </w:r>
          </w:p>
        </w:tc>
      </w:tr>
      <w:tr w:rsidR="00917807" w:rsidRPr="0045232D" w14:paraId="27EB535A" w14:textId="77777777">
        <w:trPr>
          <w:jc w:val="center"/>
        </w:trPr>
        <w:tc>
          <w:tcPr>
            <w:tcW w:w="5250" w:type="dxa"/>
          </w:tcPr>
          <w:p w14:paraId="4FD94EF5" w14:textId="77777777" w:rsidR="00917807" w:rsidRPr="0045232D" w:rsidRDefault="003367A0">
            <w:pPr>
              <w:spacing w:before="40" w:after="40"/>
              <w:ind w:left="115" w:hanging="115"/>
              <w:rPr>
                <w:lang w:val="es-419"/>
              </w:rPr>
            </w:pPr>
            <w:r w:rsidRPr="0045232D">
              <w:rPr>
                <w:rFonts w:ascii="Arial" w:hAnsi="Arial" w:cs="Arial"/>
                <w:sz w:val="18"/>
                <w:szCs w:val="18"/>
                <w:lang w:val="es-419"/>
              </w:rPr>
              <w:t>▪ Unidad Responsable de Preparación:</w:t>
            </w:r>
          </w:p>
        </w:tc>
        <w:tc>
          <w:tcPr>
            <w:tcW w:w="6750" w:type="dxa"/>
          </w:tcPr>
          <w:p w14:paraId="5EB6DA8E" w14:textId="05829963" w:rsidR="00917807" w:rsidRPr="0045232D" w:rsidRDefault="003367A0">
            <w:pPr>
              <w:spacing w:before="40" w:after="40"/>
              <w:rPr>
                <w:lang w:val="es-419"/>
              </w:rPr>
            </w:pPr>
            <w:r w:rsidRPr="0045232D">
              <w:rPr>
                <w:rFonts w:ascii="Arial" w:hAnsi="Arial" w:cs="Arial"/>
                <w:sz w:val="18"/>
                <w:szCs w:val="18"/>
                <w:lang w:val="es-419"/>
              </w:rPr>
              <w:t xml:space="preserve">SCL/SPH - </w:t>
            </w:r>
            <w:r w:rsidR="001B2449" w:rsidRPr="0045232D">
              <w:rPr>
                <w:rFonts w:ascii="Arial" w:hAnsi="Arial" w:cs="Arial"/>
                <w:sz w:val="18"/>
                <w:szCs w:val="18"/>
                <w:lang w:val="es-419"/>
              </w:rPr>
              <w:t>Protección</w:t>
            </w:r>
            <w:r w:rsidRPr="0045232D">
              <w:rPr>
                <w:rFonts w:ascii="Arial" w:hAnsi="Arial" w:cs="Arial"/>
                <w:sz w:val="18"/>
                <w:szCs w:val="18"/>
                <w:lang w:val="es-419"/>
              </w:rPr>
              <w:t xml:space="preserve"> Social y Salud</w:t>
            </w:r>
          </w:p>
        </w:tc>
      </w:tr>
      <w:tr w:rsidR="00917807" w:rsidRPr="0045232D" w14:paraId="527DB487" w14:textId="77777777">
        <w:trPr>
          <w:jc w:val="center"/>
        </w:trPr>
        <w:tc>
          <w:tcPr>
            <w:tcW w:w="5250" w:type="dxa"/>
          </w:tcPr>
          <w:p w14:paraId="09E96E67" w14:textId="77777777" w:rsidR="00917807" w:rsidRPr="0045232D" w:rsidRDefault="003367A0">
            <w:pPr>
              <w:spacing w:before="40" w:after="40"/>
              <w:ind w:left="115" w:hanging="115"/>
              <w:rPr>
                <w:lang w:val="es-419"/>
              </w:rPr>
            </w:pPr>
            <w:r w:rsidRPr="0045232D">
              <w:rPr>
                <w:rFonts w:ascii="Arial" w:hAnsi="Arial" w:cs="Arial"/>
                <w:sz w:val="18"/>
                <w:szCs w:val="18"/>
                <w:lang w:val="es-419"/>
              </w:rPr>
              <w:t>▪ Unidad Responsable de Desembolso:</w:t>
            </w:r>
          </w:p>
        </w:tc>
        <w:tc>
          <w:tcPr>
            <w:tcW w:w="6750" w:type="dxa"/>
          </w:tcPr>
          <w:p w14:paraId="5B3D1C90" w14:textId="77777777" w:rsidR="00917807" w:rsidRPr="0045232D" w:rsidRDefault="003367A0">
            <w:pPr>
              <w:spacing w:before="40" w:after="40"/>
              <w:rPr>
                <w:lang w:val="es-419"/>
              </w:rPr>
            </w:pPr>
            <w:r w:rsidRPr="0045232D">
              <w:rPr>
                <w:rFonts w:ascii="Arial" w:hAnsi="Arial" w:cs="Arial"/>
                <w:sz w:val="18"/>
                <w:szCs w:val="18"/>
                <w:lang w:val="es-419"/>
              </w:rPr>
              <w:t>CID/CHO - Representación Honduras</w:t>
            </w:r>
          </w:p>
        </w:tc>
      </w:tr>
      <w:tr w:rsidR="00917807" w:rsidRPr="0045232D" w14:paraId="7E22FDBB" w14:textId="77777777">
        <w:trPr>
          <w:jc w:val="center"/>
        </w:trPr>
        <w:tc>
          <w:tcPr>
            <w:tcW w:w="5250" w:type="dxa"/>
          </w:tcPr>
          <w:p w14:paraId="3B836E51" w14:textId="77777777" w:rsidR="00917807" w:rsidRPr="0045232D" w:rsidRDefault="003367A0">
            <w:pPr>
              <w:spacing w:before="40" w:after="40"/>
              <w:rPr>
                <w:lang w:val="es-419"/>
              </w:rPr>
            </w:pPr>
            <w:r w:rsidRPr="0045232D">
              <w:rPr>
                <w:rFonts w:ascii="Arial" w:hAnsi="Arial" w:cs="Arial"/>
                <w:sz w:val="18"/>
                <w:szCs w:val="18"/>
                <w:lang w:val="es-419"/>
              </w:rPr>
              <w:t>▪ CT incluida en la Estrategia de País (s/n):</w:t>
            </w:r>
            <w:r w:rsidRPr="0045232D">
              <w:rPr>
                <w:rFonts w:ascii="Arial" w:hAnsi="Arial" w:cs="Arial"/>
                <w:sz w:val="18"/>
                <w:szCs w:val="18"/>
                <w:lang w:val="es-419"/>
              </w:rPr>
              <w:br/>
            </w:r>
            <w:r w:rsidRPr="0045232D">
              <w:rPr>
                <w:rFonts w:ascii="Arial" w:hAnsi="Arial" w:cs="Arial"/>
                <w:sz w:val="18"/>
                <w:szCs w:val="18"/>
                <w:lang w:val="es-419"/>
              </w:rPr>
              <w:br/>
              <w:t>▪ CT incluida en CPD (s/n):</w:t>
            </w:r>
          </w:p>
        </w:tc>
        <w:tc>
          <w:tcPr>
            <w:tcW w:w="6750" w:type="dxa"/>
          </w:tcPr>
          <w:p w14:paraId="3C2BFA02" w14:textId="77777777" w:rsidR="00917807" w:rsidRPr="0045232D" w:rsidRDefault="003367A0">
            <w:pPr>
              <w:spacing w:before="40" w:after="40"/>
              <w:rPr>
                <w:lang w:val="es-419"/>
              </w:rPr>
            </w:pPr>
            <w:r w:rsidRPr="0045232D">
              <w:rPr>
                <w:rFonts w:ascii="Arial" w:hAnsi="Arial" w:cs="Arial"/>
                <w:sz w:val="18"/>
                <w:szCs w:val="18"/>
                <w:lang w:val="es-419"/>
              </w:rPr>
              <w:t>No</w:t>
            </w:r>
            <w:r w:rsidRPr="0045232D">
              <w:rPr>
                <w:rFonts w:ascii="Arial" w:hAnsi="Arial" w:cs="Arial"/>
                <w:sz w:val="18"/>
                <w:szCs w:val="18"/>
                <w:lang w:val="es-419"/>
              </w:rPr>
              <w:br/>
            </w:r>
            <w:r w:rsidRPr="0045232D">
              <w:rPr>
                <w:rFonts w:ascii="Arial" w:hAnsi="Arial" w:cs="Arial"/>
                <w:sz w:val="18"/>
                <w:szCs w:val="18"/>
                <w:lang w:val="es-419"/>
              </w:rPr>
              <w:br/>
              <w:t>No</w:t>
            </w:r>
          </w:p>
        </w:tc>
      </w:tr>
      <w:tr w:rsidR="00917807" w:rsidRPr="0045232D" w14:paraId="2E24DC4C" w14:textId="77777777">
        <w:trPr>
          <w:jc w:val="center"/>
        </w:trPr>
        <w:tc>
          <w:tcPr>
            <w:tcW w:w="5250" w:type="dxa"/>
          </w:tcPr>
          <w:p w14:paraId="1F6CFB6D" w14:textId="77777777" w:rsidR="00917807" w:rsidRPr="0045232D" w:rsidRDefault="003367A0">
            <w:pPr>
              <w:spacing w:before="40" w:after="40"/>
              <w:ind w:left="115" w:hanging="115"/>
              <w:rPr>
                <w:lang w:val="es-419"/>
              </w:rPr>
            </w:pPr>
            <w:r w:rsidRPr="0045232D">
              <w:rPr>
                <w:rFonts w:ascii="Arial" w:hAnsi="Arial" w:cs="Arial"/>
                <w:sz w:val="18"/>
                <w:szCs w:val="18"/>
                <w:lang w:val="es-419"/>
              </w:rPr>
              <w:t>▪ Alineación a la Actualización de la Estrategia Institucional 2010-2020:</w:t>
            </w:r>
          </w:p>
        </w:tc>
        <w:tc>
          <w:tcPr>
            <w:tcW w:w="6750" w:type="dxa"/>
          </w:tcPr>
          <w:p w14:paraId="32F64E41" w14:textId="77777777" w:rsidR="00917807" w:rsidRPr="0045232D" w:rsidRDefault="003367A0">
            <w:pPr>
              <w:spacing w:before="40" w:after="40"/>
              <w:rPr>
                <w:lang w:val="es-419"/>
              </w:rPr>
            </w:pPr>
            <w:r w:rsidRPr="0045232D">
              <w:rPr>
                <w:rFonts w:ascii="Arial" w:hAnsi="Arial" w:cs="Arial"/>
                <w:sz w:val="18"/>
                <w:szCs w:val="18"/>
                <w:lang w:val="es-419"/>
              </w:rPr>
              <w:t>Inclusión social e igualdad; Capacidad institucional y estado de derecho</w:t>
            </w:r>
          </w:p>
        </w:tc>
      </w:tr>
      <w:tr w:rsidR="00917807" w:rsidRPr="0045232D" w14:paraId="49C0C06F" w14:textId="77777777">
        <w:trPr>
          <w:jc w:val="center"/>
        </w:trPr>
        <w:tc>
          <w:tcPr>
            <w:tcW w:w="5250" w:type="dxa"/>
          </w:tcPr>
          <w:p w14:paraId="57240A6D" w14:textId="77777777" w:rsidR="00917807" w:rsidRPr="0045232D" w:rsidRDefault="00917807">
            <w:pPr>
              <w:rPr>
                <w:lang w:val="es-419"/>
              </w:rPr>
            </w:pPr>
          </w:p>
        </w:tc>
        <w:tc>
          <w:tcPr>
            <w:tcW w:w="6750" w:type="dxa"/>
          </w:tcPr>
          <w:p w14:paraId="1CB0E7FE" w14:textId="77777777" w:rsidR="00917807" w:rsidRPr="0045232D" w:rsidRDefault="00917807">
            <w:pPr>
              <w:rPr>
                <w:lang w:val="es-419"/>
              </w:rPr>
            </w:pPr>
          </w:p>
        </w:tc>
      </w:tr>
    </w:tbl>
    <w:p w14:paraId="02A32EE8" w14:textId="77777777" w:rsidR="00917807" w:rsidRPr="0045232D" w:rsidRDefault="003367A0" w:rsidP="001D56E1">
      <w:pPr>
        <w:spacing w:before="120" w:after="120"/>
        <w:ind w:left="579" w:hanging="579"/>
        <w:rPr>
          <w:lang w:val="es-419"/>
        </w:rPr>
      </w:pPr>
      <w:r w:rsidRPr="0045232D">
        <w:rPr>
          <w:rFonts w:ascii="Arial" w:hAnsi="Arial" w:cs="Arial"/>
          <w:b/>
          <w:lang w:val="es-419"/>
        </w:rPr>
        <w:t>II.</w:t>
      </w:r>
      <w:r w:rsidRPr="0045232D">
        <w:rPr>
          <w:rFonts w:ascii="Arial" w:hAnsi="Arial" w:cs="Arial"/>
          <w:b/>
          <w:lang w:val="es-419"/>
        </w:rPr>
        <w:tab/>
        <w:t>Objetivos y Justificación de la CT</w:t>
      </w:r>
    </w:p>
    <w:p w14:paraId="494B1FD2" w14:textId="7BE9AD92" w:rsidR="00917807" w:rsidRPr="0045232D" w:rsidRDefault="003367A0">
      <w:pPr>
        <w:spacing w:before="120" w:after="120"/>
        <w:ind w:left="579" w:hanging="579"/>
        <w:jc w:val="both"/>
        <w:rPr>
          <w:lang w:val="es-419"/>
        </w:rPr>
      </w:pPr>
      <w:r w:rsidRPr="0045232D">
        <w:rPr>
          <w:rFonts w:ascii="Arial" w:hAnsi="Arial" w:cs="Arial"/>
          <w:lang w:val="es-419"/>
        </w:rPr>
        <w:t>2.1</w:t>
      </w:r>
      <w:r w:rsidRPr="0045232D">
        <w:rPr>
          <w:rFonts w:ascii="Arial" w:hAnsi="Arial" w:cs="Arial"/>
          <w:lang w:val="es-419"/>
        </w:rPr>
        <w:tab/>
        <w:t xml:space="preserve">La cooperación técnica (CT) tiene por objetivo apoyar al Gobierno de Honduras (GOH) </w:t>
      </w:r>
      <w:r w:rsidR="00D77355">
        <w:rPr>
          <w:rFonts w:ascii="Arial" w:hAnsi="Arial" w:cs="Arial"/>
          <w:lang w:val="es-419"/>
        </w:rPr>
        <w:t xml:space="preserve">en </w:t>
      </w:r>
      <w:r w:rsidRPr="0045232D">
        <w:rPr>
          <w:rFonts w:ascii="Arial" w:hAnsi="Arial" w:cs="Arial"/>
          <w:lang w:val="es-419"/>
        </w:rPr>
        <w:t xml:space="preserve">fortalecer el Sistema de Protección Social (SPS) mediante la </w:t>
      </w:r>
      <w:r w:rsidR="001B2449" w:rsidRPr="0045232D">
        <w:rPr>
          <w:rFonts w:ascii="Arial" w:hAnsi="Arial" w:cs="Arial"/>
          <w:lang w:val="es-419"/>
        </w:rPr>
        <w:t>reestructuración</w:t>
      </w:r>
      <w:r w:rsidRPr="0045232D">
        <w:rPr>
          <w:rFonts w:ascii="Arial" w:hAnsi="Arial" w:cs="Arial"/>
          <w:lang w:val="es-419"/>
        </w:rPr>
        <w:t xml:space="preserve"> del marco institucional y el diseño de la Red Solidaria (RS) con fines de proveer una intervención integral para los hogares en situación de extrema pobreza, priorizando la primera infancia.</w:t>
      </w:r>
    </w:p>
    <w:p w14:paraId="62109534" w14:textId="2E3614F2" w:rsidR="00917807" w:rsidRPr="0045232D" w:rsidRDefault="003367A0">
      <w:pPr>
        <w:spacing w:before="120" w:after="120"/>
        <w:ind w:left="579" w:hanging="579"/>
        <w:jc w:val="both"/>
        <w:rPr>
          <w:lang w:val="es-419"/>
        </w:rPr>
      </w:pPr>
      <w:r w:rsidRPr="0045232D">
        <w:rPr>
          <w:rFonts w:ascii="Arial" w:hAnsi="Arial" w:cs="Arial"/>
          <w:lang w:val="es-419"/>
        </w:rPr>
        <w:t>2.2</w:t>
      </w:r>
      <w:r w:rsidRPr="0045232D">
        <w:rPr>
          <w:rFonts w:ascii="Arial" w:hAnsi="Arial" w:cs="Arial"/>
          <w:lang w:val="es-419"/>
        </w:rPr>
        <w:tab/>
        <w:t>Durante 2020, además de sufrir la Pandemia COVID-19, Honduras fue golpeada por dos huracanes de categoría 4 (Eta e Iota). Entre 2019 y 2021, la pobreza extrema se duplicó en las áreas urbanas pasando de 10% a 21,7%, y aumentó de 31,9% a 38,6% en las áreas rurales. La inseguridad alimentaria incrementó un</w:t>
      </w:r>
      <w:r w:rsidR="0045232D" w:rsidRPr="0045232D">
        <w:rPr>
          <w:rFonts w:ascii="Arial" w:hAnsi="Arial" w:cs="Arial"/>
          <w:lang w:val="es-419"/>
        </w:rPr>
        <w:t xml:space="preserve"> </w:t>
      </w:r>
      <w:r w:rsidRPr="0045232D">
        <w:rPr>
          <w:rFonts w:ascii="Arial" w:hAnsi="Arial" w:cs="Arial"/>
          <w:lang w:val="es-419"/>
        </w:rPr>
        <w:t>25,6% y la matrícula de educación básica se redujo un 14,28%.</w:t>
      </w:r>
    </w:p>
    <w:p w14:paraId="3138DB89" w14:textId="6BCE4923" w:rsidR="00917807" w:rsidRPr="0045232D" w:rsidRDefault="003367A0">
      <w:pPr>
        <w:spacing w:before="120" w:after="120"/>
        <w:ind w:left="579" w:hanging="579"/>
        <w:jc w:val="both"/>
        <w:rPr>
          <w:lang w:val="es-419"/>
        </w:rPr>
      </w:pPr>
      <w:r w:rsidRPr="0045232D">
        <w:rPr>
          <w:rFonts w:ascii="Arial" w:hAnsi="Arial" w:cs="Arial"/>
          <w:lang w:val="es-419"/>
        </w:rPr>
        <w:t>2.3</w:t>
      </w:r>
      <w:r w:rsidRPr="0045232D">
        <w:rPr>
          <w:rFonts w:ascii="Arial" w:hAnsi="Arial" w:cs="Arial"/>
          <w:lang w:val="es-419"/>
        </w:rPr>
        <w:tab/>
        <w:t xml:space="preserve">La respuesta a la crisis socioeconómica por el SPS ha sido dificultada por problemas de gobernanza, funciones superpuestas, debilidades institucionales, presupuestarias, y carencias en planificación y focalización. Los programas sociales se ejecutan de forma aislada; la mayoría de los hogares en extrema pobreza beneficiarias del </w:t>
      </w:r>
      <w:r w:rsidRPr="0045232D">
        <w:rPr>
          <w:rFonts w:ascii="Arial" w:hAnsi="Arial" w:cs="Arial"/>
          <w:lang w:val="es-419"/>
        </w:rPr>
        <w:lastRenderedPageBreak/>
        <w:t>programa de transferencias monetarias condicionadas (TMC) no se benefician de otras intervenciones como mejoramiento de vivienda, bono de discapacidad, y alimentación escolar, etc. Hay limitada articulación de con las estrategias para promover la nutrición, desarrollo infantil temprano, y protección de los derechos de la niñez.</w:t>
      </w:r>
    </w:p>
    <w:p w14:paraId="6D4AE2F8" w14:textId="63D8B544" w:rsidR="00917807" w:rsidRPr="0045232D" w:rsidRDefault="003367A0" w:rsidP="00F125E9">
      <w:pPr>
        <w:spacing w:before="120" w:after="120"/>
        <w:ind w:left="579" w:hanging="579"/>
        <w:jc w:val="both"/>
        <w:rPr>
          <w:lang w:val="es-419"/>
        </w:rPr>
      </w:pPr>
      <w:r w:rsidRPr="0045232D">
        <w:rPr>
          <w:rFonts w:ascii="Arial" w:hAnsi="Arial" w:cs="Arial"/>
          <w:lang w:val="es-419"/>
        </w:rPr>
        <w:t>2.4</w:t>
      </w:r>
      <w:r w:rsidRPr="0045232D">
        <w:rPr>
          <w:rFonts w:ascii="Arial" w:hAnsi="Arial" w:cs="Arial"/>
          <w:lang w:val="es-419"/>
        </w:rPr>
        <w:tab/>
        <w:t xml:space="preserve">La nueva Administración ha priorizado la reducción de la pobreza extrema mediante la integración de acciones con enfoque territorial mediante la Red Solidaria que busca garantizar la entrega de un conjunto de servicios a los hogares en extrema pobreza como parte del Piso de Protección Social (PPS), con enfoque de ciclo de vida, priorizando la primera infancia. (El PPS es el pilar no contributivo que garantiza el acceso a servicios esenciales y transferencias sociales con énfasis en las personas más pobres y vulnerables según la Política de Protección Social y la Ley Marco del Sistema de Protección Social 2015 de Honduras.)  El GOH ya inició la implementación de una importante reestructuración institucional mediante la cual creó la Secretaría de Desarrollo Social y adscrita a ella creó el Programa de Protección Social (PROSOLH) para Grupos Vulnerables, y el Programa de la Red Solidaria (PRS).  El PRS es un ente desconcentrado autónomo a que se traspasará catorce proyectos, incluyendo diez operaciones con financiamiento del Banco, y sus estructuras de ejecución, incluyendo la Unidad Coordinadora de Proyectos de la Subsecretaria de Integración Social (SSIS) y la Agencia Estratégica de Proyectos Productivos, Ambientales y Sociales de Honduras (AEPAS-H).  </w:t>
      </w:r>
    </w:p>
    <w:p w14:paraId="6CF239E1" w14:textId="31B11D78" w:rsidR="00917807" w:rsidRPr="0045232D" w:rsidRDefault="003367A0" w:rsidP="00F125E9">
      <w:pPr>
        <w:spacing w:before="120" w:after="120"/>
        <w:ind w:left="579" w:hanging="579"/>
        <w:jc w:val="both"/>
        <w:rPr>
          <w:lang w:val="es-419"/>
        </w:rPr>
      </w:pPr>
      <w:r w:rsidRPr="0045232D">
        <w:rPr>
          <w:rFonts w:ascii="Arial" w:hAnsi="Arial" w:cs="Arial"/>
          <w:lang w:val="es-419"/>
        </w:rPr>
        <w:t>2.5</w:t>
      </w:r>
      <w:r w:rsidRPr="0045232D">
        <w:rPr>
          <w:rFonts w:ascii="Arial" w:hAnsi="Arial" w:cs="Arial"/>
          <w:lang w:val="es-419"/>
        </w:rPr>
        <w:tab/>
        <w:t>El Banco está preparando el Programa de Apoyo al Sistema Integral de Protección Social II (HO-L1230) que busca mejorar las condiciones de vida de los hogares en pobreza extrema mediante la interacción de tres componentes que buscan: i)</w:t>
      </w:r>
      <w:r w:rsidR="001B2449">
        <w:rPr>
          <w:rFonts w:ascii="Arial" w:hAnsi="Arial" w:cs="Arial"/>
          <w:lang w:val="es-419"/>
        </w:rPr>
        <w:t> </w:t>
      </w:r>
      <w:r w:rsidRPr="0045232D">
        <w:rPr>
          <w:rFonts w:ascii="Arial" w:hAnsi="Arial" w:cs="Arial"/>
          <w:lang w:val="es-419"/>
        </w:rPr>
        <w:t xml:space="preserve">consolidar y expandir el programa de TMC; </w:t>
      </w:r>
      <w:proofErr w:type="spellStart"/>
      <w:r w:rsidRPr="0045232D">
        <w:rPr>
          <w:rFonts w:ascii="Arial" w:hAnsi="Arial" w:cs="Arial"/>
          <w:lang w:val="es-419"/>
        </w:rPr>
        <w:t>ii</w:t>
      </w:r>
      <w:proofErr w:type="spellEnd"/>
      <w:r w:rsidRPr="0045232D">
        <w:rPr>
          <w:rFonts w:ascii="Arial" w:hAnsi="Arial" w:cs="Arial"/>
          <w:lang w:val="es-419"/>
        </w:rPr>
        <w:t xml:space="preserve">) fortalecer los programas de atención temprana a la niñez; y </w:t>
      </w:r>
      <w:proofErr w:type="spellStart"/>
      <w:r w:rsidRPr="0045232D">
        <w:rPr>
          <w:rFonts w:ascii="Arial" w:hAnsi="Arial" w:cs="Arial"/>
          <w:lang w:val="es-419"/>
        </w:rPr>
        <w:t>iii</w:t>
      </w:r>
      <w:proofErr w:type="spellEnd"/>
      <w:r w:rsidRPr="0045232D">
        <w:rPr>
          <w:rFonts w:ascii="Arial" w:hAnsi="Arial" w:cs="Arial"/>
          <w:lang w:val="es-419"/>
        </w:rPr>
        <w:t>) ordenar el PPS.  La presente CT financiará asistencia técnica que apoyará el diseño y la implementación del HO-L1230 en sus tres componentes, y fortalecerá su marco de ejecución.</w:t>
      </w:r>
    </w:p>
    <w:p w14:paraId="23A35B42" w14:textId="77777777" w:rsidR="00917807" w:rsidRPr="0045232D" w:rsidRDefault="003367A0">
      <w:pPr>
        <w:spacing w:before="120" w:after="120"/>
        <w:ind w:left="579" w:hanging="579"/>
        <w:rPr>
          <w:lang w:val="es-419"/>
        </w:rPr>
      </w:pPr>
      <w:r w:rsidRPr="0045232D">
        <w:rPr>
          <w:rFonts w:ascii="Arial" w:hAnsi="Arial" w:cs="Arial"/>
          <w:b/>
          <w:lang w:val="es-419"/>
        </w:rPr>
        <w:t>III.</w:t>
      </w:r>
      <w:r w:rsidRPr="0045232D">
        <w:rPr>
          <w:rFonts w:ascii="Arial" w:hAnsi="Arial" w:cs="Arial"/>
          <w:b/>
          <w:lang w:val="es-419"/>
        </w:rPr>
        <w:tab/>
        <w:t>Descripción de las Actividades y Resultados</w:t>
      </w:r>
    </w:p>
    <w:p w14:paraId="4CF0C9D1" w14:textId="77777777" w:rsidR="00917807" w:rsidRPr="0045232D" w:rsidRDefault="003367A0">
      <w:pPr>
        <w:spacing w:before="120" w:after="120"/>
        <w:ind w:left="579" w:hanging="579"/>
        <w:jc w:val="both"/>
        <w:rPr>
          <w:lang w:val="es-419"/>
        </w:rPr>
      </w:pPr>
      <w:r w:rsidRPr="0045232D">
        <w:rPr>
          <w:rFonts w:ascii="Arial" w:hAnsi="Arial" w:cs="Arial"/>
          <w:lang w:val="es-419"/>
        </w:rPr>
        <w:t>3.1</w:t>
      </w:r>
      <w:r w:rsidRPr="0045232D">
        <w:rPr>
          <w:rFonts w:ascii="Arial" w:hAnsi="Arial" w:cs="Arial"/>
          <w:lang w:val="es-419"/>
        </w:rPr>
        <w:tab/>
      </w:r>
      <w:r w:rsidRPr="0045232D">
        <w:rPr>
          <w:rFonts w:ascii="Arial" w:hAnsi="Arial" w:cs="Arial"/>
          <w:b/>
          <w:lang w:val="es-419"/>
        </w:rPr>
        <w:t xml:space="preserve">Componente I: Fortalecimiento del SPS-Red Solidaria. </w:t>
      </w:r>
      <w:r w:rsidRPr="0045232D">
        <w:rPr>
          <w:rFonts w:ascii="Arial" w:hAnsi="Arial" w:cs="Arial"/>
          <w:lang w:val="es-419"/>
        </w:rPr>
        <w:t xml:space="preserve">Este componente financiará asistencia técnica para reestructurar el marco institucional del SPS para fortalecer la conducción estratégica, la rectoría y la alineación presupuestaria del sector. Esto incluye el diseño de la metodología de focalización, de los arreglos institucionales, el análisis de las necesidades de los hogares en extrema pobreza y los paquetes de servicios para atenderlas, la definición de los servicios esenciales del PPS, y de la estrategia de monitoreo y evaluación. </w:t>
      </w:r>
    </w:p>
    <w:p w14:paraId="4C7B44C5" w14:textId="77777777" w:rsidR="00917807" w:rsidRPr="0045232D" w:rsidRDefault="003367A0">
      <w:pPr>
        <w:spacing w:before="120" w:after="120"/>
        <w:ind w:left="579" w:hanging="579"/>
        <w:jc w:val="both"/>
        <w:rPr>
          <w:lang w:val="es-419"/>
        </w:rPr>
      </w:pPr>
      <w:r w:rsidRPr="0045232D">
        <w:rPr>
          <w:rFonts w:ascii="Arial" w:hAnsi="Arial" w:cs="Arial"/>
          <w:lang w:val="es-419"/>
        </w:rPr>
        <w:t>3.2</w:t>
      </w:r>
      <w:r w:rsidRPr="0045232D">
        <w:rPr>
          <w:rFonts w:ascii="Arial" w:hAnsi="Arial" w:cs="Arial"/>
          <w:lang w:val="es-419"/>
        </w:rPr>
        <w:tab/>
      </w:r>
      <w:r w:rsidRPr="0045232D">
        <w:rPr>
          <w:rFonts w:ascii="Arial" w:hAnsi="Arial" w:cs="Arial"/>
          <w:b/>
          <w:lang w:val="es-419"/>
        </w:rPr>
        <w:t xml:space="preserve">Componente II: Fortalecimiento del Programa de Transferencias Monetarias Condicionadas (TMC). </w:t>
      </w:r>
      <w:r w:rsidRPr="0045232D">
        <w:rPr>
          <w:rFonts w:ascii="Arial" w:hAnsi="Arial" w:cs="Arial"/>
          <w:lang w:val="es-419"/>
        </w:rPr>
        <w:t>Este componente financiará asistencia técnica para la revisión del diseño de la TMC, incluyendo análisis de las condiciones socioeconómicas de los hogares en extrema pobreza después de los efectos de la Pandemia y los huracanes ETA e IOTA, la trayectoria educativa de los niños/as, la revisión del monto y la estructura de las transferencias en los dominios rurales y urbanos, y la definición de las corresponsabilidades.</w:t>
      </w:r>
    </w:p>
    <w:p w14:paraId="300A1E59" w14:textId="48CAF086" w:rsidR="00917807" w:rsidRPr="0045232D" w:rsidRDefault="003367A0">
      <w:pPr>
        <w:spacing w:before="120" w:after="120"/>
        <w:ind w:left="579" w:hanging="579"/>
        <w:jc w:val="both"/>
        <w:rPr>
          <w:lang w:val="es-419"/>
        </w:rPr>
      </w:pPr>
      <w:r w:rsidRPr="0045232D">
        <w:rPr>
          <w:rFonts w:ascii="Arial" w:hAnsi="Arial" w:cs="Arial"/>
          <w:lang w:val="es-419"/>
        </w:rPr>
        <w:t>3.3</w:t>
      </w:r>
      <w:r w:rsidRPr="0045232D">
        <w:rPr>
          <w:rFonts w:ascii="Arial" w:hAnsi="Arial" w:cs="Arial"/>
          <w:lang w:val="es-419"/>
        </w:rPr>
        <w:tab/>
      </w:r>
      <w:r w:rsidRPr="0045232D">
        <w:rPr>
          <w:rFonts w:ascii="Arial" w:hAnsi="Arial" w:cs="Arial"/>
          <w:b/>
          <w:lang w:val="es-419"/>
        </w:rPr>
        <w:t xml:space="preserve">Componente III: Atención temprana a la niñez. </w:t>
      </w:r>
      <w:r w:rsidRPr="0045232D">
        <w:rPr>
          <w:rFonts w:ascii="Arial" w:hAnsi="Arial" w:cs="Arial"/>
          <w:lang w:val="es-419"/>
        </w:rPr>
        <w:t>Este componente financiará</w:t>
      </w:r>
      <w:r w:rsidR="0045232D">
        <w:rPr>
          <w:rFonts w:ascii="Arial" w:hAnsi="Arial" w:cs="Arial"/>
          <w:lang w:val="es-419"/>
        </w:rPr>
        <w:t>:</w:t>
      </w:r>
      <w:r w:rsidRPr="0045232D">
        <w:rPr>
          <w:rFonts w:ascii="Arial" w:hAnsi="Arial" w:cs="Arial"/>
          <w:lang w:val="es-419"/>
        </w:rPr>
        <w:t xml:space="preserve"> </w:t>
      </w:r>
      <w:r w:rsidR="0045232D">
        <w:rPr>
          <w:rFonts w:ascii="Arial" w:hAnsi="Arial" w:cs="Arial"/>
          <w:lang w:val="es-419"/>
        </w:rPr>
        <w:t>i)</w:t>
      </w:r>
      <w:r w:rsidR="001B2449">
        <w:rPr>
          <w:rFonts w:ascii="Arial" w:hAnsi="Arial" w:cs="Arial"/>
          <w:lang w:val="es-419"/>
        </w:rPr>
        <w:t> </w:t>
      </w:r>
      <w:r w:rsidRPr="0045232D">
        <w:rPr>
          <w:rFonts w:ascii="Arial" w:hAnsi="Arial" w:cs="Arial"/>
          <w:lang w:val="es-419"/>
        </w:rPr>
        <w:t>asistencia técnica para fortalecer las políticas y programas de la atención temprana a la niñez, incluyendo la definición del modelo de atención y los mecanismos de gestión para la prestación de servicios en los dominios urbanos y rurales</w:t>
      </w:r>
      <w:r w:rsidR="0045232D">
        <w:rPr>
          <w:rFonts w:ascii="Arial" w:hAnsi="Arial" w:cs="Arial"/>
          <w:lang w:val="es-419"/>
        </w:rPr>
        <w:t>;</w:t>
      </w:r>
      <w:r w:rsidRPr="0045232D">
        <w:rPr>
          <w:rFonts w:ascii="Arial" w:hAnsi="Arial" w:cs="Arial"/>
          <w:lang w:val="es-419"/>
        </w:rPr>
        <w:t xml:space="preserve"> </w:t>
      </w:r>
      <w:proofErr w:type="spellStart"/>
      <w:r w:rsidRPr="0045232D">
        <w:rPr>
          <w:rFonts w:ascii="Arial" w:hAnsi="Arial" w:cs="Arial"/>
          <w:lang w:val="es-419"/>
        </w:rPr>
        <w:t>ii</w:t>
      </w:r>
      <w:proofErr w:type="spellEnd"/>
      <w:r w:rsidRPr="0045232D">
        <w:rPr>
          <w:rFonts w:ascii="Arial" w:hAnsi="Arial" w:cs="Arial"/>
          <w:lang w:val="es-419"/>
        </w:rPr>
        <w:t>) análisis de la brecha de servicios de cuidado infantil para los hogares en extrema pobreza y la estratégica para ampliación de cobertura</w:t>
      </w:r>
      <w:r w:rsidR="0045232D">
        <w:rPr>
          <w:rFonts w:ascii="Arial" w:hAnsi="Arial" w:cs="Arial"/>
          <w:lang w:val="es-419"/>
        </w:rPr>
        <w:t>;</w:t>
      </w:r>
      <w:r w:rsidRPr="0045232D">
        <w:rPr>
          <w:rFonts w:ascii="Arial" w:hAnsi="Arial" w:cs="Arial"/>
          <w:lang w:val="es-419"/>
        </w:rPr>
        <w:t xml:space="preserve"> y </w:t>
      </w:r>
      <w:proofErr w:type="spellStart"/>
      <w:r w:rsidRPr="0045232D">
        <w:rPr>
          <w:rFonts w:ascii="Arial" w:hAnsi="Arial" w:cs="Arial"/>
          <w:lang w:val="es-419"/>
        </w:rPr>
        <w:t>iii</w:t>
      </w:r>
      <w:proofErr w:type="spellEnd"/>
      <w:r w:rsidRPr="0045232D">
        <w:rPr>
          <w:rFonts w:ascii="Arial" w:hAnsi="Arial" w:cs="Arial"/>
          <w:lang w:val="es-419"/>
        </w:rPr>
        <w:t>) la propuesta de articulación en territorio de servicios de protección especial.</w:t>
      </w:r>
    </w:p>
    <w:p w14:paraId="0F3AFB93" w14:textId="49F184C1" w:rsidR="00917807" w:rsidRPr="0045232D" w:rsidRDefault="003367A0">
      <w:pPr>
        <w:spacing w:before="120" w:after="120"/>
        <w:ind w:left="579" w:hanging="579"/>
        <w:jc w:val="both"/>
        <w:rPr>
          <w:lang w:val="es-419"/>
        </w:rPr>
      </w:pPr>
      <w:r w:rsidRPr="0045232D">
        <w:rPr>
          <w:rFonts w:ascii="Arial" w:hAnsi="Arial" w:cs="Arial"/>
          <w:lang w:val="es-419"/>
        </w:rPr>
        <w:lastRenderedPageBreak/>
        <w:t>3.4</w:t>
      </w:r>
      <w:r w:rsidRPr="0045232D">
        <w:rPr>
          <w:rFonts w:ascii="Arial" w:hAnsi="Arial" w:cs="Arial"/>
          <w:lang w:val="es-419"/>
        </w:rPr>
        <w:tab/>
      </w:r>
      <w:r w:rsidRPr="0045232D">
        <w:rPr>
          <w:rFonts w:ascii="Arial" w:hAnsi="Arial" w:cs="Arial"/>
          <w:b/>
          <w:lang w:val="es-419"/>
        </w:rPr>
        <w:t xml:space="preserve">Componente IV: Fortalecimiento Institucional del Programa Red Solidaria (PRS). </w:t>
      </w:r>
      <w:r w:rsidRPr="0045232D">
        <w:rPr>
          <w:rFonts w:ascii="Arial" w:hAnsi="Arial" w:cs="Arial"/>
          <w:lang w:val="es-419"/>
        </w:rPr>
        <w:t xml:space="preserve">Este componente financiará asistencia técnica para fortalecer los esquemas de gobernanza, sistemas de información, y la adaptación de políticas, manuales y reglamentos para la operatividad de la RS y los reglamentos operativos de proyectos asignados.  Se financiará capacitación en equipos de trabajo con alto desempeño; en las herramientas de </w:t>
      </w:r>
      <w:r w:rsidRPr="0045232D">
        <w:rPr>
          <w:rFonts w:ascii="Arial" w:hAnsi="Arial" w:cs="Arial"/>
          <w:i/>
          <w:iCs/>
          <w:lang w:val="es-419"/>
        </w:rPr>
        <w:t xml:space="preserve">Project Management for </w:t>
      </w:r>
      <w:proofErr w:type="spellStart"/>
      <w:r w:rsidRPr="0045232D">
        <w:rPr>
          <w:rFonts w:ascii="Arial" w:hAnsi="Arial" w:cs="Arial"/>
          <w:i/>
          <w:iCs/>
          <w:lang w:val="es-419"/>
        </w:rPr>
        <w:t>Results</w:t>
      </w:r>
      <w:proofErr w:type="spellEnd"/>
      <w:r w:rsidRPr="0045232D">
        <w:rPr>
          <w:rFonts w:ascii="Arial" w:hAnsi="Arial" w:cs="Arial"/>
          <w:lang w:val="es-419"/>
        </w:rPr>
        <w:t>; en gestión de riesgos e integridad institucional; e innovación en los mecanismos de adquisición.</w:t>
      </w:r>
    </w:p>
    <w:p w14:paraId="64D1F591" w14:textId="77777777" w:rsidR="00917807" w:rsidRPr="0045232D" w:rsidRDefault="003367A0" w:rsidP="00501D07">
      <w:pPr>
        <w:spacing w:before="240" w:after="120"/>
        <w:ind w:left="579" w:hanging="579"/>
        <w:rPr>
          <w:lang w:val="es-419"/>
        </w:rPr>
      </w:pPr>
      <w:r w:rsidRPr="0045232D">
        <w:rPr>
          <w:rFonts w:ascii="Arial" w:hAnsi="Arial" w:cs="Arial"/>
          <w:b/>
          <w:lang w:val="es-419"/>
        </w:rPr>
        <w:t>IV.</w:t>
      </w:r>
      <w:r w:rsidRPr="0045232D">
        <w:rPr>
          <w:rFonts w:ascii="Arial" w:hAnsi="Arial" w:cs="Arial"/>
          <w:b/>
          <w:lang w:val="es-419"/>
        </w:rPr>
        <w:tab/>
        <w:t>Presupuesto</w:t>
      </w:r>
    </w:p>
    <w:p w14:paraId="65C69A3C" w14:textId="77777777" w:rsidR="00917807" w:rsidRPr="0045232D" w:rsidRDefault="003367A0" w:rsidP="00F125E9">
      <w:pPr>
        <w:spacing w:after="120"/>
        <w:jc w:val="center"/>
        <w:rPr>
          <w:lang w:val="es-419"/>
        </w:rPr>
      </w:pPr>
      <w:r w:rsidRPr="0045232D">
        <w:rPr>
          <w:rFonts w:ascii="Arial" w:hAnsi="Arial" w:cs="Arial"/>
          <w:b/>
          <w:sz w:val="18"/>
          <w:szCs w:val="18"/>
          <w:lang w:val="es-419"/>
        </w:rPr>
        <w:t>Presupuesto Indicativo</w:t>
      </w:r>
    </w:p>
    <w:tbl>
      <w:tblPr>
        <w:tblStyle w:val="TableGrid"/>
        <w:tblW w:w="5000" w:type="auto"/>
        <w:tblLook w:val="04A0" w:firstRow="1" w:lastRow="0" w:firstColumn="1" w:lastColumn="0" w:noHBand="0" w:noVBand="1"/>
      </w:tblPr>
      <w:tblGrid>
        <w:gridCol w:w="2297"/>
        <w:gridCol w:w="2269"/>
        <w:gridCol w:w="2218"/>
        <w:gridCol w:w="2232"/>
      </w:tblGrid>
      <w:tr w:rsidR="00917807" w:rsidRPr="0045232D" w14:paraId="60E3C750" w14:textId="77777777">
        <w:tc>
          <w:tcPr>
            <w:tcW w:w="2310" w:type="dxa"/>
            <w:vAlign w:val="center"/>
          </w:tcPr>
          <w:p w14:paraId="0F17D27B" w14:textId="77777777" w:rsidR="00917807" w:rsidRPr="0045232D" w:rsidRDefault="003367A0">
            <w:pPr>
              <w:spacing w:before="40" w:after="40"/>
              <w:jc w:val="center"/>
              <w:rPr>
                <w:lang w:val="es-419"/>
              </w:rPr>
            </w:pPr>
            <w:r w:rsidRPr="0045232D">
              <w:rPr>
                <w:rFonts w:ascii="Arial" w:hAnsi="Arial" w:cs="Arial"/>
                <w:b/>
                <w:sz w:val="18"/>
                <w:szCs w:val="18"/>
                <w:lang w:val="es-419"/>
              </w:rPr>
              <w:t>Actividad/Componente</w:t>
            </w:r>
          </w:p>
        </w:tc>
        <w:tc>
          <w:tcPr>
            <w:tcW w:w="2310" w:type="dxa"/>
          </w:tcPr>
          <w:p w14:paraId="1FF274A1" w14:textId="77777777" w:rsidR="00917807" w:rsidRPr="0045232D" w:rsidRDefault="003367A0">
            <w:pPr>
              <w:spacing w:before="40" w:after="40"/>
              <w:jc w:val="center"/>
              <w:rPr>
                <w:lang w:val="es-419"/>
              </w:rPr>
            </w:pPr>
            <w:r w:rsidRPr="0045232D">
              <w:rPr>
                <w:rFonts w:ascii="Arial" w:hAnsi="Arial" w:cs="Arial"/>
                <w:b/>
                <w:sz w:val="18"/>
                <w:szCs w:val="18"/>
                <w:lang w:val="es-419"/>
              </w:rPr>
              <w:t>BID/Financiamiento por Fondo</w:t>
            </w:r>
          </w:p>
        </w:tc>
        <w:tc>
          <w:tcPr>
            <w:tcW w:w="2310" w:type="dxa"/>
          </w:tcPr>
          <w:p w14:paraId="337103F4" w14:textId="77777777" w:rsidR="00917807" w:rsidRPr="0045232D" w:rsidRDefault="003367A0">
            <w:pPr>
              <w:spacing w:before="40" w:after="40"/>
              <w:jc w:val="center"/>
              <w:rPr>
                <w:lang w:val="es-419"/>
              </w:rPr>
            </w:pPr>
            <w:r w:rsidRPr="0045232D">
              <w:rPr>
                <w:rFonts w:ascii="Arial" w:hAnsi="Arial" w:cs="Arial"/>
                <w:b/>
                <w:sz w:val="18"/>
                <w:szCs w:val="18"/>
                <w:lang w:val="es-419"/>
              </w:rPr>
              <w:t>Contrapartida Local</w:t>
            </w:r>
          </w:p>
        </w:tc>
        <w:tc>
          <w:tcPr>
            <w:tcW w:w="2310" w:type="dxa"/>
          </w:tcPr>
          <w:p w14:paraId="11B17BB7" w14:textId="77777777" w:rsidR="00917807" w:rsidRPr="0045232D" w:rsidRDefault="003367A0">
            <w:pPr>
              <w:spacing w:before="40" w:after="40"/>
              <w:jc w:val="center"/>
              <w:rPr>
                <w:lang w:val="es-419"/>
              </w:rPr>
            </w:pPr>
            <w:r w:rsidRPr="0045232D">
              <w:rPr>
                <w:rFonts w:ascii="Arial" w:hAnsi="Arial" w:cs="Arial"/>
                <w:b/>
                <w:sz w:val="18"/>
                <w:szCs w:val="18"/>
                <w:lang w:val="es-419"/>
              </w:rPr>
              <w:t>Financiamiento Total</w:t>
            </w:r>
          </w:p>
        </w:tc>
      </w:tr>
      <w:tr w:rsidR="00917807" w:rsidRPr="0045232D" w14:paraId="6305D170" w14:textId="77777777">
        <w:tc>
          <w:tcPr>
            <w:tcW w:w="2310" w:type="dxa"/>
            <w:vAlign w:val="center"/>
          </w:tcPr>
          <w:p w14:paraId="1D622BDF" w14:textId="77777777" w:rsidR="00917807" w:rsidRPr="0045232D" w:rsidRDefault="003367A0">
            <w:pPr>
              <w:spacing w:before="40" w:after="40"/>
              <w:rPr>
                <w:lang w:val="es-419"/>
              </w:rPr>
            </w:pPr>
            <w:r w:rsidRPr="0045232D">
              <w:rPr>
                <w:rFonts w:ascii="Arial" w:hAnsi="Arial" w:cs="Arial"/>
                <w:sz w:val="18"/>
                <w:szCs w:val="18"/>
                <w:lang w:val="es-419"/>
              </w:rPr>
              <w:t>Fortalecimiento del SPS-Red Solidaria</w:t>
            </w:r>
          </w:p>
        </w:tc>
        <w:tc>
          <w:tcPr>
            <w:tcW w:w="2310" w:type="dxa"/>
            <w:vAlign w:val="center"/>
          </w:tcPr>
          <w:p w14:paraId="5A39BB63" w14:textId="77777777" w:rsidR="00917807" w:rsidRPr="0045232D" w:rsidRDefault="003367A0">
            <w:pPr>
              <w:spacing w:before="40" w:after="40"/>
              <w:jc w:val="right"/>
              <w:rPr>
                <w:lang w:val="es-419"/>
              </w:rPr>
            </w:pPr>
            <w:r w:rsidRPr="0045232D">
              <w:rPr>
                <w:rFonts w:ascii="Arial" w:hAnsi="Arial" w:cs="Arial"/>
                <w:sz w:val="18"/>
                <w:szCs w:val="18"/>
                <w:lang w:val="es-419"/>
              </w:rPr>
              <w:t>US$150,000.00</w:t>
            </w:r>
          </w:p>
        </w:tc>
        <w:tc>
          <w:tcPr>
            <w:tcW w:w="2310" w:type="dxa"/>
            <w:vAlign w:val="center"/>
          </w:tcPr>
          <w:p w14:paraId="73D6B9B3" w14:textId="77777777" w:rsidR="00917807" w:rsidRPr="0045232D" w:rsidRDefault="003367A0">
            <w:pPr>
              <w:spacing w:before="40" w:after="40"/>
              <w:jc w:val="right"/>
              <w:rPr>
                <w:lang w:val="es-419"/>
              </w:rPr>
            </w:pPr>
            <w:r w:rsidRPr="0045232D">
              <w:rPr>
                <w:rFonts w:ascii="Arial" w:hAnsi="Arial" w:cs="Arial"/>
                <w:sz w:val="18"/>
                <w:szCs w:val="18"/>
                <w:lang w:val="es-419"/>
              </w:rPr>
              <w:t>US$0.00</w:t>
            </w:r>
          </w:p>
        </w:tc>
        <w:tc>
          <w:tcPr>
            <w:tcW w:w="2310" w:type="dxa"/>
            <w:vAlign w:val="center"/>
          </w:tcPr>
          <w:p w14:paraId="0F9F0815" w14:textId="77777777" w:rsidR="00917807" w:rsidRPr="0045232D" w:rsidRDefault="003367A0">
            <w:pPr>
              <w:spacing w:before="40" w:after="40"/>
              <w:jc w:val="right"/>
              <w:rPr>
                <w:lang w:val="es-419"/>
              </w:rPr>
            </w:pPr>
            <w:r w:rsidRPr="0045232D">
              <w:rPr>
                <w:rFonts w:ascii="Arial" w:hAnsi="Arial" w:cs="Arial"/>
                <w:sz w:val="18"/>
                <w:szCs w:val="18"/>
                <w:lang w:val="es-419"/>
              </w:rPr>
              <w:t>US$150,000.00</w:t>
            </w:r>
          </w:p>
        </w:tc>
      </w:tr>
      <w:tr w:rsidR="00917807" w:rsidRPr="0045232D" w14:paraId="7434F27E" w14:textId="77777777">
        <w:tc>
          <w:tcPr>
            <w:tcW w:w="2310" w:type="dxa"/>
            <w:vAlign w:val="center"/>
          </w:tcPr>
          <w:p w14:paraId="71409E49" w14:textId="77777777" w:rsidR="00917807" w:rsidRPr="0045232D" w:rsidRDefault="003367A0">
            <w:pPr>
              <w:spacing w:before="40" w:after="40"/>
              <w:rPr>
                <w:lang w:val="es-419"/>
              </w:rPr>
            </w:pPr>
            <w:r w:rsidRPr="0045232D">
              <w:rPr>
                <w:rFonts w:ascii="Arial" w:hAnsi="Arial" w:cs="Arial"/>
                <w:sz w:val="18"/>
                <w:szCs w:val="18"/>
                <w:lang w:val="es-419"/>
              </w:rPr>
              <w:t>Fortalecimiento del Programa de Transferencias Monetarias Condicionadas (TMC)</w:t>
            </w:r>
          </w:p>
        </w:tc>
        <w:tc>
          <w:tcPr>
            <w:tcW w:w="2310" w:type="dxa"/>
            <w:vAlign w:val="center"/>
          </w:tcPr>
          <w:p w14:paraId="5705463D" w14:textId="77777777" w:rsidR="00917807" w:rsidRPr="0045232D" w:rsidRDefault="003367A0">
            <w:pPr>
              <w:spacing w:before="40" w:after="40"/>
              <w:jc w:val="right"/>
              <w:rPr>
                <w:lang w:val="es-419"/>
              </w:rPr>
            </w:pPr>
            <w:r w:rsidRPr="0045232D">
              <w:rPr>
                <w:rFonts w:ascii="Arial" w:hAnsi="Arial" w:cs="Arial"/>
                <w:sz w:val="18"/>
                <w:szCs w:val="18"/>
                <w:lang w:val="es-419"/>
              </w:rPr>
              <w:t>US$100,000.00</w:t>
            </w:r>
          </w:p>
        </w:tc>
        <w:tc>
          <w:tcPr>
            <w:tcW w:w="2310" w:type="dxa"/>
            <w:vAlign w:val="center"/>
          </w:tcPr>
          <w:p w14:paraId="00646569" w14:textId="77777777" w:rsidR="00917807" w:rsidRPr="0045232D" w:rsidRDefault="003367A0">
            <w:pPr>
              <w:spacing w:before="40" w:after="40"/>
              <w:jc w:val="right"/>
              <w:rPr>
                <w:lang w:val="es-419"/>
              </w:rPr>
            </w:pPr>
            <w:r w:rsidRPr="0045232D">
              <w:rPr>
                <w:rFonts w:ascii="Arial" w:hAnsi="Arial" w:cs="Arial"/>
                <w:sz w:val="18"/>
                <w:szCs w:val="18"/>
                <w:lang w:val="es-419"/>
              </w:rPr>
              <w:t>US$0.00</w:t>
            </w:r>
          </w:p>
        </w:tc>
        <w:tc>
          <w:tcPr>
            <w:tcW w:w="2310" w:type="dxa"/>
            <w:vAlign w:val="center"/>
          </w:tcPr>
          <w:p w14:paraId="2693190E" w14:textId="77777777" w:rsidR="00917807" w:rsidRPr="0045232D" w:rsidRDefault="003367A0">
            <w:pPr>
              <w:spacing w:before="40" w:after="40"/>
              <w:jc w:val="right"/>
              <w:rPr>
                <w:lang w:val="es-419"/>
              </w:rPr>
            </w:pPr>
            <w:r w:rsidRPr="0045232D">
              <w:rPr>
                <w:rFonts w:ascii="Arial" w:hAnsi="Arial" w:cs="Arial"/>
                <w:sz w:val="18"/>
                <w:szCs w:val="18"/>
                <w:lang w:val="es-419"/>
              </w:rPr>
              <w:t>US$100,000.00</w:t>
            </w:r>
          </w:p>
        </w:tc>
      </w:tr>
      <w:tr w:rsidR="00917807" w:rsidRPr="0045232D" w14:paraId="0ABF1F06" w14:textId="77777777">
        <w:tc>
          <w:tcPr>
            <w:tcW w:w="2310" w:type="dxa"/>
            <w:vAlign w:val="center"/>
          </w:tcPr>
          <w:p w14:paraId="2E47D425" w14:textId="77777777" w:rsidR="00917807" w:rsidRPr="0045232D" w:rsidRDefault="003367A0">
            <w:pPr>
              <w:spacing w:before="40" w:after="40"/>
              <w:rPr>
                <w:lang w:val="es-419"/>
              </w:rPr>
            </w:pPr>
            <w:r w:rsidRPr="0045232D">
              <w:rPr>
                <w:rFonts w:ascii="Arial" w:hAnsi="Arial" w:cs="Arial"/>
                <w:sz w:val="18"/>
                <w:szCs w:val="18"/>
                <w:lang w:val="es-419"/>
              </w:rPr>
              <w:t xml:space="preserve">Atención temprana a la niñez </w:t>
            </w:r>
          </w:p>
        </w:tc>
        <w:tc>
          <w:tcPr>
            <w:tcW w:w="2310" w:type="dxa"/>
            <w:vAlign w:val="center"/>
          </w:tcPr>
          <w:p w14:paraId="14A25966" w14:textId="77777777" w:rsidR="00917807" w:rsidRPr="0045232D" w:rsidRDefault="003367A0">
            <w:pPr>
              <w:spacing w:before="40" w:after="40"/>
              <w:jc w:val="right"/>
              <w:rPr>
                <w:lang w:val="es-419"/>
              </w:rPr>
            </w:pPr>
            <w:r w:rsidRPr="0045232D">
              <w:rPr>
                <w:rFonts w:ascii="Arial" w:hAnsi="Arial" w:cs="Arial"/>
                <w:sz w:val="18"/>
                <w:szCs w:val="18"/>
                <w:lang w:val="es-419"/>
              </w:rPr>
              <w:t>US$100,000.00</w:t>
            </w:r>
          </w:p>
        </w:tc>
        <w:tc>
          <w:tcPr>
            <w:tcW w:w="2310" w:type="dxa"/>
            <w:vAlign w:val="center"/>
          </w:tcPr>
          <w:p w14:paraId="334C5C3F" w14:textId="77777777" w:rsidR="00917807" w:rsidRPr="0045232D" w:rsidRDefault="003367A0">
            <w:pPr>
              <w:spacing w:before="40" w:after="40"/>
              <w:jc w:val="right"/>
              <w:rPr>
                <w:lang w:val="es-419"/>
              </w:rPr>
            </w:pPr>
            <w:r w:rsidRPr="0045232D">
              <w:rPr>
                <w:rFonts w:ascii="Arial" w:hAnsi="Arial" w:cs="Arial"/>
                <w:sz w:val="18"/>
                <w:szCs w:val="18"/>
                <w:lang w:val="es-419"/>
              </w:rPr>
              <w:t>US$0.00</w:t>
            </w:r>
          </w:p>
        </w:tc>
        <w:tc>
          <w:tcPr>
            <w:tcW w:w="2310" w:type="dxa"/>
            <w:vAlign w:val="center"/>
          </w:tcPr>
          <w:p w14:paraId="137BAD96" w14:textId="77777777" w:rsidR="00917807" w:rsidRPr="0045232D" w:rsidRDefault="003367A0">
            <w:pPr>
              <w:spacing w:before="40" w:after="40"/>
              <w:jc w:val="right"/>
              <w:rPr>
                <w:lang w:val="es-419"/>
              </w:rPr>
            </w:pPr>
            <w:r w:rsidRPr="0045232D">
              <w:rPr>
                <w:rFonts w:ascii="Arial" w:hAnsi="Arial" w:cs="Arial"/>
                <w:sz w:val="18"/>
                <w:szCs w:val="18"/>
                <w:lang w:val="es-419"/>
              </w:rPr>
              <w:t>US$100,000.00</w:t>
            </w:r>
          </w:p>
        </w:tc>
      </w:tr>
      <w:tr w:rsidR="00917807" w:rsidRPr="0045232D" w14:paraId="161D6D92" w14:textId="77777777">
        <w:tc>
          <w:tcPr>
            <w:tcW w:w="2310" w:type="dxa"/>
            <w:vAlign w:val="center"/>
          </w:tcPr>
          <w:p w14:paraId="6115E040" w14:textId="77777777" w:rsidR="00917807" w:rsidRPr="0045232D" w:rsidRDefault="003367A0">
            <w:pPr>
              <w:spacing w:before="40" w:after="40"/>
              <w:rPr>
                <w:lang w:val="es-419"/>
              </w:rPr>
            </w:pPr>
            <w:r w:rsidRPr="0045232D">
              <w:rPr>
                <w:rFonts w:ascii="Arial" w:hAnsi="Arial" w:cs="Arial"/>
                <w:sz w:val="18"/>
                <w:szCs w:val="18"/>
                <w:lang w:val="es-419"/>
              </w:rPr>
              <w:t xml:space="preserve">Fortalecimiento Institucional del Programa Red Solidaria (PRS) </w:t>
            </w:r>
          </w:p>
        </w:tc>
        <w:tc>
          <w:tcPr>
            <w:tcW w:w="2310" w:type="dxa"/>
            <w:vAlign w:val="center"/>
          </w:tcPr>
          <w:p w14:paraId="1F48E47F" w14:textId="77777777" w:rsidR="00917807" w:rsidRPr="0045232D" w:rsidRDefault="003367A0">
            <w:pPr>
              <w:spacing w:before="40" w:after="40"/>
              <w:jc w:val="right"/>
              <w:rPr>
                <w:lang w:val="es-419"/>
              </w:rPr>
            </w:pPr>
            <w:r w:rsidRPr="0045232D">
              <w:rPr>
                <w:rFonts w:ascii="Arial" w:hAnsi="Arial" w:cs="Arial"/>
                <w:sz w:val="18"/>
                <w:szCs w:val="18"/>
                <w:lang w:val="es-419"/>
              </w:rPr>
              <w:t>US$200,000.00</w:t>
            </w:r>
          </w:p>
        </w:tc>
        <w:tc>
          <w:tcPr>
            <w:tcW w:w="2310" w:type="dxa"/>
            <w:vAlign w:val="center"/>
          </w:tcPr>
          <w:p w14:paraId="4A72AF88" w14:textId="77777777" w:rsidR="00917807" w:rsidRPr="0045232D" w:rsidRDefault="003367A0">
            <w:pPr>
              <w:spacing w:before="40" w:after="40"/>
              <w:jc w:val="right"/>
              <w:rPr>
                <w:lang w:val="es-419"/>
              </w:rPr>
            </w:pPr>
            <w:r w:rsidRPr="0045232D">
              <w:rPr>
                <w:rFonts w:ascii="Arial" w:hAnsi="Arial" w:cs="Arial"/>
                <w:sz w:val="18"/>
                <w:szCs w:val="18"/>
                <w:lang w:val="es-419"/>
              </w:rPr>
              <w:t>US$0.00</w:t>
            </w:r>
          </w:p>
        </w:tc>
        <w:tc>
          <w:tcPr>
            <w:tcW w:w="2310" w:type="dxa"/>
            <w:vAlign w:val="center"/>
          </w:tcPr>
          <w:p w14:paraId="2CC4D49E" w14:textId="77777777" w:rsidR="00917807" w:rsidRPr="0045232D" w:rsidRDefault="003367A0">
            <w:pPr>
              <w:spacing w:before="40" w:after="40"/>
              <w:jc w:val="right"/>
              <w:rPr>
                <w:lang w:val="es-419"/>
              </w:rPr>
            </w:pPr>
            <w:r w:rsidRPr="0045232D">
              <w:rPr>
                <w:rFonts w:ascii="Arial" w:hAnsi="Arial" w:cs="Arial"/>
                <w:sz w:val="18"/>
                <w:szCs w:val="18"/>
                <w:lang w:val="es-419"/>
              </w:rPr>
              <w:t>US$200,000.00</w:t>
            </w:r>
          </w:p>
        </w:tc>
      </w:tr>
      <w:tr w:rsidR="00917807" w:rsidRPr="0045232D" w14:paraId="2EAF685B" w14:textId="77777777">
        <w:tc>
          <w:tcPr>
            <w:tcW w:w="2310" w:type="dxa"/>
            <w:vAlign w:val="center"/>
          </w:tcPr>
          <w:p w14:paraId="0201280D" w14:textId="77777777" w:rsidR="00917807" w:rsidRPr="0045232D" w:rsidRDefault="003367A0">
            <w:pPr>
              <w:spacing w:before="40" w:after="40"/>
              <w:rPr>
                <w:lang w:val="es-419"/>
              </w:rPr>
            </w:pPr>
            <w:r w:rsidRPr="0045232D">
              <w:rPr>
                <w:rFonts w:ascii="Arial" w:hAnsi="Arial" w:cs="Arial"/>
                <w:b/>
                <w:sz w:val="18"/>
                <w:szCs w:val="18"/>
                <w:lang w:val="es-419"/>
              </w:rPr>
              <w:t>Total</w:t>
            </w:r>
          </w:p>
        </w:tc>
        <w:tc>
          <w:tcPr>
            <w:tcW w:w="2310" w:type="dxa"/>
            <w:vAlign w:val="center"/>
          </w:tcPr>
          <w:p w14:paraId="016A1C12" w14:textId="77777777" w:rsidR="00917807" w:rsidRPr="0045232D" w:rsidRDefault="003367A0">
            <w:pPr>
              <w:spacing w:before="40" w:after="40"/>
              <w:jc w:val="right"/>
              <w:rPr>
                <w:lang w:val="es-419"/>
              </w:rPr>
            </w:pPr>
            <w:r w:rsidRPr="0045232D">
              <w:rPr>
                <w:rFonts w:ascii="Arial" w:hAnsi="Arial" w:cs="Arial"/>
                <w:b/>
                <w:sz w:val="18"/>
                <w:szCs w:val="18"/>
                <w:lang w:val="es-419"/>
              </w:rPr>
              <w:t>US$550,000.00</w:t>
            </w:r>
          </w:p>
        </w:tc>
        <w:tc>
          <w:tcPr>
            <w:tcW w:w="2310" w:type="dxa"/>
            <w:vAlign w:val="center"/>
          </w:tcPr>
          <w:p w14:paraId="5EC38B7F" w14:textId="77777777" w:rsidR="00917807" w:rsidRPr="0045232D" w:rsidRDefault="003367A0">
            <w:pPr>
              <w:spacing w:before="40" w:after="40"/>
              <w:jc w:val="right"/>
              <w:rPr>
                <w:lang w:val="es-419"/>
              </w:rPr>
            </w:pPr>
            <w:r w:rsidRPr="0045232D">
              <w:rPr>
                <w:rFonts w:ascii="Arial" w:hAnsi="Arial" w:cs="Arial"/>
                <w:b/>
                <w:sz w:val="18"/>
                <w:szCs w:val="18"/>
                <w:lang w:val="es-419"/>
              </w:rPr>
              <w:t>US$0.00</w:t>
            </w:r>
          </w:p>
        </w:tc>
        <w:tc>
          <w:tcPr>
            <w:tcW w:w="2310" w:type="dxa"/>
            <w:vAlign w:val="center"/>
          </w:tcPr>
          <w:p w14:paraId="0ECB7760" w14:textId="77777777" w:rsidR="00917807" w:rsidRPr="0045232D" w:rsidRDefault="003367A0">
            <w:pPr>
              <w:spacing w:before="40" w:after="40"/>
              <w:jc w:val="right"/>
              <w:rPr>
                <w:lang w:val="es-419"/>
              </w:rPr>
            </w:pPr>
            <w:r w:rsidRPr="0045232D">
              <w:rPr>
                <w:rFonts w:ascii="Arial" w:hAnsi="Arial" w:cs="Arial"/>
                <w:b/>
                <w:sz w:val="18"/>
                <w:szCs w:val="18"/>
                <w:lang w:val="es-419"/>
              </w:rPr>
              <w:t>US$550,000.00</w:t>
            </w:r>
          </w:p>
        </w:tc>
      </w:tr>
    </w:tbl>
    <w:p w14:paraId="1A4333AB" w14:textId="77777777" w:rsidR="00917807" w:rsidRPr="0045232D" w:rsidRDefault="003367A0" w:rsidP="00501D07">
      <w:pPr>
        <w:spacing w:before="240" w:after="120"/>
        <w:ind w:left="576" w:hanging="576"/>
        <w:rPr>
          <w:lang w:val="es-419"/>
        </w:rPr>
      </w:pPr>
      <w:r w:rsidRPr="0045232D">
        <w:rPr>
          <w:rFonts w:ascii="Arial" w:hAnsi="Arial" w:cs="Arial"/>
          <w:b/>
          <w:lang w:val="es-419"/>
        </w:rPr>
        <w:t>V.</w:t>
      </w:r>
      <w:r w:rsidRPr="0045232D">
        <w:rPr>
          <w:rFonts w:ascii="Arial" w:hAnsi="Arial" w:cs="Arial"/>
          <w:b/>
          <w:lang w:val="es-419"/>
        </w:rPr>
        <w:tab/>
        <w:t>Agencia Ejecutora y Estructura de Ejecución</w:t>
      </w:r>
    </w:p>
    <w:p w14:paraId="1F21DAF9" w14:textId="77777777" w:rsidR="00917807" w:rsidRPr="0045232D" w:rsidRDefault="003367A0" w:rsidP="00501D07">
      <w:pPr>
        <w:spacing w:before="120" w:after="240"/>
        <w:ind w:left="576" w:hanging="576"/>
        <w:jc w:val="both"/>
        <w:rPr>
          <w:lang w:val="es-419"/>
        </w:rPr>
      </w:pPr>
      <w:r w:rsidRPr="0045232D">
        <w:rPr>
          <w:rFonts w:ascii="Arial" w:hAnsi="Arial" w:cs="Arial"/>
          <w:lang w:val="es-419"/>
        </w:rPr>
        <w:t>5.1</w:t>
      </w:r>
      <w:r w:rsidRPr="0045232D">
        <w:rPr>
          <w:rFonts w:ascii="Arial" w:hAnsi="Arial" w:cs="Arial"/>
          <w:lang w:val="es-419"/>
        </w:rPr>
        <w:tab/>
        <w:t>La CT será ejecutada por el Banco a través de su Representación en Honduras en coordinación con la Sede (SCL/SPH) y la institución beneficiaria que es la Secretaría de Desarrollo Social y el Programa Red Solidaria que ejecutará los préstamos de protección social del BID en Honduras y otros proyectos traslados para su ejecución.</w:t>
      </w:r>
    </w:p>
    <w:p w14:paraId="70DA509B" w14:textId="77777777" w:rsidR="00917807" w:rsidRPr="0045232D" w:rsidRDefault="003367A0" w:rsidP="001C4E31">
      <w:pPr>
        <w:spacing w:before="120" w:after="120"/>
        <w:ind w:left="579" w:hanging="579"/>
        <w:jc w:val="both"/>
        <w:rPr>
          <w:lang w:val="es-419"/>
        </w:rPr>
      </w:pPr>
      <w:r w:rsidRPr="0045232D">
        <w:rPr>
          <w:rFonts w:ascii="Arial" w:hAnsi="Arial" w:cs="Arial"/>
          <w:lang w:val="es-419"/>
        </w:rPr>
        <w:t>5.2</w:t>
      </w:r>
      <w:r w:rsidRPr="0045232D">
        <w:rPr>
          <w:rFonts w:ascii="Arial" w:hAnsi="Arial" w:cs="Arial"/>
          <w:lang w:val="es-419"/>
        </w:rPr>
        <w:tab/>
        <w:t>Se justifica que el Banco sea el ejecutor tanto por el acompañamiento técnico que el equipo de Protección Social (SCL/SPH) y la Representación (CID/CHO) ofrecerá al GOH en los temas priorizados, sobre los cuales el BID ha acumulado experiencia y reconocimiento regional, como considerando que las instituciones beneficiarias de la asistencia técnica están en un proceso de reestructuración.  Se efectuarán reuniones de revisión y discusión de los productos entregados en conjunto con las contrapartes del gobierno y el Banco.</w:t>
      </w:r>
    </w:p>
    <w:p w14:paraId="02533576" w14:textId="77777777" w:rsidR="00917807" w:rsidRPr="0045232D" w:rsidRDefault="003367A0" w:rsidP="00501D07">
      <w:pPr>
        <w:spacing w:before="240" w:after="120"/>
        <w:ind w:left="579" w:hanging="579"/>
        <w:rPr>
          <w:lang w:val="es-419"/>
        </w:rPr>
      </w:pPr>
      <w:r w:rsidRPr="0045232D">
        <w:rPr>
          <w:rFonts w:ascii="Arial" w:hAnsi="Arial" w:cs="Arial"/>
          <w:b/>
          <w:lang w:val="es-419"/>
        </w:rPr>
        <w:t>VI.</w:t>
      </w:r>
      <w:r w:rsidRPr="0045232D">
        <w:rPr>
          <w:rFonts w:ascii="Arial" w:hAnsi="Arial" w:cs="Arial"/>
          <w:b/>
          <w:lang w:val="es-419"/>
        </w:rPr>
        <w:tab/>
        <w:t>Riesgos Importantes</w:t>
      </w:r>
    </w:p>
    <w:p w14:paraId="4D3699C0" w14:textId="77777777" w:rsidR="00917807" w:rsidRPr="0045232D" w:rsidRDefault="003367A0" w:rsidP="008E2492">
      <w:pPr>
        <w:spacing w:before="120" w:after="120"/>
        <w:ind w:left="579" w:hanging="579"/>
        <w:jc w:val="both"/>
        <w:rPr>
          <w:lang w:val="es-419"/>
        </w:rPr>
      </w:pPr>
      <w:r w:rsidRPr="0045232D">
        <w:rPr>
          <w:rFonts w:ascii="Arial" w:hAnsi="Arial" w:cs="Arial"/>
          <w:lang w:val="es-419"/>
        </w:rPr>
        <w:t>6.1</w:t>
      </w:r>
      <w:r w:rsidRPr="0045232D">
        <w:rPr>
          <w:rFonts w:ascii="Arial" w:hAnsi="Arial" w:cs="Arial"/>
          <w:lang w:val="es-419"/>
        </w:rPr>
        <w:tab/>
        <w:t xml:space="preserve">Uno de los riesgos identificados es la definición de los alcances de las asistencias técnicas comparada con la magnitud de la reforma planteada del SPS. Para mitigar este riesgo, se trabajará de manera cercana con el GOH para priorizar las consultorías de la CT y coordinarlas con otra asistencia técnica financiada por otras fuentes.  Otro riesgo es el desfase que puede ocasionar el proceso de reestructuración gubernamental en algunas de las consultorías, incluyendo el traspaso de la cartera de operaciones financiado por el Banco. Se mitigaría este riesgo sosteniendo un diálogo cercano y continuo con las instituciones beneficiarias, y creando un </w:t>
      </w:r>
      <w:proofErr w:type="spellStart"/>
      <w:r w:rsidRPr="0045232D">
        <w:rPr>
          <w:rFonts w:ascii="Arial" w:hAnsi="Arial" w:cs="Arial"/>
          <w:i/>
          <w:iCs/>
          <w:lang w:val="es-419"/>
        </w:rPr>
        <w:t>taskforce</w:t>
      </w:r>
      <w:proofErr w:type="spellEnd"/>
      <w:r w:rsidRPr="0045232D">
        <w:rPr>
          <w:rFonts w:ascii="Arial" w:hAnsi="Arial" w:cs="Arial"/>
          <w:lang w:val="es-419"/>
        </w:rPr>
        <w:t xml:space="preserve"> entre el PRS, la Representación y la Secretaria de Finanzas para permitir un estrecho seguimiento del cronograma de implementación del proceso de transición y de la CT.</w:t>
      </w:r>
    </w:p>
    <w:p w14:paraId="42B54932" w14:textId="77777777" w:rsidR="00917807" w:rsidRPr="0045232D" w:rsidRDefault="003367A0" w:rsidP="00501D07">
      <w:pPr>
        <w:spacing w:before="240" w:after="120"/>
        <w:ind w:left="579" w:hanging="579"/>
        <w:rPr>
          <w:lang w:val="es-419"/>
        </w:rPr>
      </w:pPr>
      <w:r w:rsidRPr="0045232D">
        <w:rPr>
          <w:rFonts w:ascii="Arial" w:hAnsi="Arial" w:cs="Arial"/>
          <w:b/>
          <w:lang w:val="es-419"/>
        </w:rPr>
        <w:t>VII.</w:t>
      </w:r>
      <w:r w:rsidRPr="0045232D">
        <w:rPr>
          <w:rFonts w:ascii="Arial" w:hAnsi="Arial" w:cs="Arial"/>
          <w:b/>
          <w:lang w:val="es-419"/>
        </w:rPr>
        <w:tab/>
        <w:t>Salvaguardias Ambientales</w:t>
      </w:r>
    </w:p>
    <w:p w14:paraId="3FC5E9F7" w14:textId="77777777" w:rsidR="00917807" w:rsidRPr="0045232D" w:rsidRDefault="003367A0" w:rsidP="008E2492">
      <w:pPr>
        <w:spacing w:before="120" w:after="120"/>
        <w:ind w:left="579" w:hanging="579"/>
        <w:jc w:val="both"/>
        <w:rPr>
          <w:lang w:val="es-419"/>
        </w:rPr>
      </w:pPr>
      <w:r w:rsidRPr="0045232D">
        <w:rPr>
          <w:rFonts w:ascii="Arial" w:hAnsi="Arial" w:cs="Arial"/>
          <w:lang w:val="es-419"/>
        </w:rPr>
        <w:t>7.1</w:t>
      </w:r>
      <w:r w:rsidRPr="0045232D">
        <w:rPr>
          <w:rFonts w:ascii="Arial" w:hAnsi="Arial" w:cs="Arial"/>
          <w:lang w:val="es-419"/>
        </w:rPr>
        <w:tab/>
        <w:t>La clasificación ESG para esta operación es "indefinida".</w:t>
      </w:r>
    </w:p>
    <w:sectPr w:rsidR="00917807" w:rsidRPr="0045232D" w:rsidSect="00FC302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3B205" w14:textId="77777777" w:rsidR="003367A0" w:rsidRDefault="003367A0">
      <w:r>
        <w:separator/>
      </w:r>
    </w:p>
  </w:endnote>
  <w:endnote w:type="continuationSeparator" w:id="0">
    <w:p w14:paraId="672B57E2" w14:textId="77777777" w:rsidR="003367A0" w:rsidRDefault="00336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8CEA" w14:textId="77777777" w:rsidR="00917807" w:rsidRDefault="003367A0">
    <w:pPr>
      <w:pStyle w:val="FooterStyle"/>
      <w:jc w:val="center"/>
    </w:pPr>
    <w:r>
      <w:t xml:space="preserve"> - </w:t>
    </w:r>
    <w:r>
      <w:fldChar w:fldCharType="begin"/>
    </w:r>
    <w:r>
      <w:instrText xml:space="preserve"> PAGE </w:instrText>
    </w:r>
    <w:r>
      <w:fldChar w:fldCharType="separate"/>
    </w:r>
    <w:r w:rsidR="0045232D">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132DF" w14:textId="77777777" w:rsidR="003367A0" w:rsidRDefault="003367A0">
      <w:r>
        <w:separator/>
      </w:r>
    </w:p>
  </w:footnote>
  <w:footnote w:type="continuationSeparator" w:id="0">
    <w:p w14:paraId="512173D8" w14:textId="77777777" w:rsidR="003367A0" w:rsidRDefault="003367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1B2449"/>
    <w:rsid w:val="001C4E31"/>
    <w:rsid w:val="001D56E1"/>
    <w:rsid w:val="00217F62"/>
    <w:rsid w:val="003367A0"/>
    <w:rsid w:val="0045232D"/>
    <w:rsid w:val="00501D07"/>
    <w:rsid w:val="008E2492"/>
    <w:rsid w:val="00917807"/>
    <w:rsid w:val="009B0C5A"/>
    <w:rsid w:val="00A367EB"/>
    <w:rsid w:val="00A906D8"/>
    <w:rsid w:val="00AB5A74"/>
    <w:rsid w:val="00BB58F6"/>
    <w:rsid w:val="00BD09CB"/>
    <w:rsid w:val="00C4456A"/>
    <w:rsid w:val="00D77355"/>
    <w:rsid w:val="00F071AE"/>
    <w:rsid w:val="00F125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FA0B"/>
  <w15:docId w15:val="{B05E80E8-E5C7-4A4D-866F-51AE7E309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customXml" Target="../customXml/item1.xml"/><Relationship Id="rId17" Type="http://schemas.openxmlformats.org/officeDocument/2006/relationships/customXml" Target="../customXml/item6.xml"/><Relationship Id="rId16" Type="http://schemas.openxmlformats.org/officeDocument/2006/relationships/customXml" Target="../customXml/item5.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EF7FAEE1CC63741A485FEBCB814C54D" ma:contentTypeVersion="0" ma:contentTypeDescription="The base project type from which other project content types inherit their information." ma:contentTypeScope="" ma:versionID="26a8d5c08e6f1a660a79d0ab3382ccad">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SCL/SPH</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O'Connell Lesley Deanne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30</Value>
      <Value>108</Value>
      <Value>2</Value>
      <Value>29</Value>
      <Value>28</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HO-T1408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EZSHARE-523113169-1</_dlc_DocId>
    <_dlc_DocIdUrl xmlns="cdc7663a-08f0-4737-9e8c-148ce897a09c">
      <Url>https://idbg.sharepoint.com/teams/EZ-HO-TCP/HO-T1408/_layouts/15/DocIdRedir.aspx?ID=EZSHARE-523113169-1</Url>
      <Description>EZSHARE-523113169-1</Description>
    </_dlc_DocIdUrl>
  </documentManagement>
</p:properties>
</file>

<file path=customXml/itemProps1.xml><?xml version="1.0" encoding="utf-8"?>
<ds:datastoreItem xmlns:ds="http://schemas.openxmlformats.org/officeDocument/2006/customXml" ds:itemID="{FDA3D0BA-7653-4890-B15E-3F99E2F7716D}"/>
</file>

<file path=customXml/itemProps2.xml><?xml version="1.0" encoding="utf-8"?>
<ds:datastoreItem xmlns:ds="http://schemas.openxmlformats.org/officeDocument/2006/customXml" ds:itemID="{4B12156C-B65F-42FF-96C0-4A7A65638333}"/>
</file>

<file path=customXml/itemProps3.xml><?xml version="1.0" encoding="utf-8"?>
<ds:datastoreItem xmlns:ds="http://schemas.openxmlformats.org/officeDocument/2006/customXml" ds:itemID="{A15CEDC2-07ED-44F8-A55D-CE1C1C919AEC}"/>
</file>

<file path=customXml/itemProps4.xml><?xml version="1.0" encoding="utf-8"?>
<ds:datastoreItem xmlns:ds="http://schemas.openxmlformats.org/officeDocument/2006/customXml" ds:itemID="{D68E3994-FF8C-4F9F-9344-5D4F3A341C17}"/>
</file>

<file path=customXml/itemProps5.xml><?xml version="1.0" encoding="utf-8"?>
<ds:datastoreItem xmlns:ds="http://schemas.openxmlformats.org/officeDocument/2006/customXml" ds:itemID="{B45ECBEE-1CB6-40EE-9590-99A5CA88E707}"/>
</file>

<file path=customXml/itemProps6.xml><?xml version="1.0" encoding="utf-8"?>
<ds:datastoreItem xmlns:ds="http://schemas.openxmlformats.org/officeDocument/2006/customXml" ds:itemID="{9188A7A5-494E-47EF-8F36-3B505CCA91E3}"/>
</file>

<file path=docProps/app.xml><?xml version="1.0" encoding="utf-8"?>
<Properties xmlns="http://schemas.openxmlformats.org/officeDocument/2006/extended-properties" xmlns:vt="http://schemas.openxmlformats.org/officeDocument/2006/docPropsVTypes">
  <Template>Normal</Template>
  <TotalTime>9</TotalTime>
  <Pages>3</Pages>
  <Words>1446</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Vanessa Alexandra</dc:creator>
  <cp:keywords/>
  <cp:lastModifiedBy>Curran, Vanessa Alexandra</cp:lastModifiedBy>
  <cp:revision>7</cp:revision>
  <dcterms:created xsi:type="dcterms:W3CDTF">2022-06-14T20:58:00Z</dcterms:created>
  <dcterms:modified xsi:type="dcterms:W3CDTF">2022-06-14T21:04:00Z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0x010100ACF722E9F6B0B149B0CD8BE2560A667200AEF7FAEE1CC63741A485FEBCB814C54D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30;#POVERTY ALLEVIATION|c99b9e13-7d25-4ef5-800d-099d9545c397</vt:lpwstr>
  </property>
  <property fmtid="{D5CDD505-2E9C-101B-9397-08002B2CF9AE}" pid="13" name="Fund IDB">
    <vt:lpwstr>108;#TBD|d62f6e05-3e80-4abd-9bb4-5f10b4906ff6</vt:lpwstr>
  </property>
  <property fmtid="{D5CDD505-2E9C-101B-9397-08002B2CF9AE}" pid="14" name="Sector IDB">
    <vt:lpwstr>29;#SOCIAL INVESTMENT|3f908695-d5b5-49f6-941f-76876b39564f</vt:lpwstr>
  </property>
  <property fmtid="{D5CDD505-2E9C-101B-9397-08002B2CF9AE}" pid="15" name="_dlc_DocIdItemGuid">
    <vt:lpwstr>709de851-d19d-499a-9186-cc094e5f14a5</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