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7B" w:rsidRDefault="00E1287B" w:rsidP="00E1287B">
      <w:pPr>
        <w:jc w:val="center"/>
        <w:rPr>
          <w:rFonts w:ascii="Times New Roman" w:hAnsi="Times New Roman" w:cs="Times New Roman"/>
          <w:smallCaps/>
        </w:rPr>
      </w:pPr>
      <w:r w:rsidRPr="00B65305">
        <w:rPr>
          <w:rFonts w:ascii="Times New Roman" w:hAnsi="Times New Roman" w:cs="Times New Roman"/>
          <w:smallCaps/>
        </w:rPr>
        <w:t>Documento del Banco Interamericano de Desarrollo</w:t>
      </w:r>
    </w:p>
    <w:p w:rsidR="00E1287B" w:rsidRDefault="00E1287B" w:rsidP="00E1287B">
      <w:pPr>
        <w:jc w:val="center"/>
        <w:rPr>
          <w:rFonts w:ascii="Times New Roman" w:hAnsi="Times New Roman" w:cs="Times New Roman"/>
          <w:smallCaps/>
        </w:rPr>
      </w:pPr>
    </w:p>
    <w:p w:rsidR="00E1287B" w:rsidRDefault="00E1287B" w:rsidP="00E1287B">
      <w:pPr>
        <w:jc w:val="center"/>
        <w:rPr>
          <w:rFonts w:ascii="Times New Roman" w:hAnsi="Times New Roman" w:cs="Times New Roman"/>
          <w:smallCaps/>
        </w:rPr>
      </w:pPr>
    </w:p>
    <w:p w:rsidR="00E1287B" w:rsidRDefault="00E1287B" w:rsidP="00E1287B">
      <w:pPr>
        <w:jc w:val="center"/>
        <w:rPr>
          <w:rFonts w:ascii="Times New Roman" w:hAnsi="Times New Roman" w:cs="Times New Roman"/>
          <w:smallCaps/>
        </w:rPr>
      </w:pPr>
    </w:p>
    <w:p w:rsidR="00E1287B" w:rsidRDefault="00E1287B" w:rsidP="00E1287B">
      <w:pPr>
        <w:jc w:val="center"/>
        <w:rPr>
          <w:rFonts w:ascii="Times New Roman" w:hAnsi="Times New Roman" w:cs="Times New Roman"/>
          <w:smallCaps/>
        </w:rPr>
      </w:pPr>
    </w:p>
    <w:p w:rsidR="00E1287B" w:rsidRDefault="00E1287B" w:rsidP="00E1287B">
      <w:pPr>
        <w:jc w:val="center"/>
        <w:rPr>
          <w:rFonts w:ascii="Times New Roman" w:hAnsi="Times New Roman" w:cs="Times New Roman"/>
          <w:smallCaps/>
        </w:rPr>
      </w:pPr>
    </w:p>
    <w:p w:rsidR="00E1287B" w:rsidRPr="00D14C87" w:rsidRDefault="00E1287B" w:rsidP="00E1287B">
      <w:pPr>
        <w:jc w:val="center"/>
        <w:rPr>
          <w:rFonts w:ascii="Times New Roman" w:hAnsi="Times New Roman" w:cs="Times New Roman"/>
          <w:b/>
          <w:smallCaps/>
        </w:rPr>
      </w:pPr>
      <w:r w:rsidRPr="00D14C87">
        <w:rPr>
          <w:rFonts w:ascii="Times New Roman" w:hAnsi="Times New Roman" w:cs="Times New Roman"/>
          <w:b/>
          <w:smallCaps/>
        </w:rPr>
        <w:t>México</w:t>
      </w:r>
    </w:p>
    <w:p w:rsidR="00E1287B" w:rsidRPr="00D14C87" w:rsidRDefault="00E1287B" w:rsidP="00E1287B">
      <w:pPr>
        <w:jc w:val="center"/>
        <w:rPr>
          <w:rFonts w:ascii="Times New Roman" w:hAnsi="Times New Roman" w:cs="Times New Roman"/>
          <w:b/>
          <w:smallCaps/>
        </w:rPr>
      </w:pPr>
    </w:p>
    <w:p w:rsidR="00E1287B" w:rsidRPr="00D14C87" w:rsidRDefault="00885641" w:rsidP="00E1287B">
      <w:pPr>
        <w:jc w:val="center"/>
        <w:rPr>
          <w:rFonts w:ascii="Times New Roman" w:hAnsi="Times New Roman" w:cs="Times New Roman"/>
          <w:b/>
          <w:smallCaps/>
        </w:rPr>
      </w:pPr>
      <w:r>
        <w:rPr>
          <w:rFonts w:ascii="Times New Roman" w:hAnsi="Times New Roman" w:cs="Times New Roman"/>
          <w:b/>
          <w:smallCaps/>
        </w:rPr>
        <w:t xml:space="preserve">Primer </w:t>
      </w:r>
      <w:r w:rsidR="002D332B" w:rsidRPr="00D14C87">
        <w:rPr>
          <w:rFonts w:ascii="Times New Roman" w:hAnsi="Times New Roman" w:cs="Times New Roman"/>
          <w:b/>
          <w:smallCaps/>
        </w:rPr>
        <w:t>Programa para el Financiam</w:t>
      </w:r>
      <w:r w:rsidR="00C66E3F" w:rsidRPr="00D14C87">
        <w:rPr>
          <w:rFonts w:ascii="Times New Roman" w:hAnsi="Times New Roman" w:cs="Times New Roman"/>
          <w:b/>
          <w:smallCaps/>
        </w:rPr>
        <w:t>iento de Proyectos de Inversión</w:t>
      </w:r>
      <w:r>
        <w:rPr>
          <w:rFonts w:ascii="Times New Roman" w:hAnsi="Times New Roman" w:cs="Times New Roman"/>
          <w:b/>
          <w:smallCaps/>
        </w:rPr>
        <w:t xml:space="preserve"> y </w:t>
      </w:r>
      <w:r w:rsidR="002D332B" w:rsidRPr="00D14C87">
        <w:rPr>
          <w:rFonts w:ascii="Times New Roman" w:hAnsi="Times New Roman" w:cs="Times New Roman"/>
          <w:b/>
          <w:smallCaps/>
        </w:rPr>
        <w:t xml:space="preserve">Reconversión Productiva </w:t>
      </w:r>
      <w:r>
        <w:rPr>
          <w:rFonts w:ascii="Times New Roman" w:hAnsi="Times New Roman" w:cs="Times New Roman"/>
          <w:b/>
          <w:smallCaps/>
        </w:rPr>
        <w:t>d</w:t>
      </w:r>
      <w:r w:rsidR="002D332B" w:rsidRPr="00D14C87">
        <w:rPr>
          <w:rFonts w:ascii="Times New Roman" w:hAnsi="Times New Roman" w:cs="Times New Roman"/>
          <w:b/>
          <w:smallCaps/>
        </w:rPr>
        <w:t xml:space="preserve">el Sector Rural </w:t>
      </w:r>
    </w:p>
    <w:p w:rsidR="00E1287B" w:rsidRPr="00D14C87" w:rsidRDefault="00E1287B" w:rsidP="00E1287B">
      <w:pPr>
        <w:jc w:val="center"/>
        <w:rPr>
          <w:rFonts w:ascii="Times New Roman" w:hAnsi="Times New Roman" w:cs="Times New Roman"/>
          <w:b/>
          <w:smallCaps/>
        </w:rPr>
      </w:pPr>
      <w:r w:rsidRPr="00D14C87">
        <w:rPr>
          <w:rFonts w:ascii="Times New Roman" w:hAnsi="Times New Roman" w:cs="Times New Roman"/>
          <w:b/>
          <w:smallCaps/>
        </w:rPr>
        <w:t>(ME-L1145)</w:t>
      </w:r>
    </w:p>
    <w:p w:rsidR="00E1287B" w:rsidRPr="00D14C87" w:rsidRDefault="00E1287B" w:rsidP="00E1287B">
      <w:pPr>
        <w:jc w:val="center"/>
        <w:rPr>
          <w:rFonts w:ascii="Times New Roman" w:hAnsi="Times New Roman" w:cs="Times New Roman"/>
          <w:b/>
          <w:smallCaps/>
        </w:rPr>
      </w:pPr>
    </w:p>
    <w:p w:rsidR="00E1287B" w:rsidRPr="00D14C87" w:rsidRDefault="00E1287B" w:rsidP="00E1287B">
      <w:pPr>
        <w:jc w:val="center"/>
        <w:rPr>
          <w:rFonts w:ascii="Times New Roman" w:hAnsi="Times New Roman" w:cs="Times New Roman"/>
          <w:b/>
          <w:smallCaps/>
        </w:rPr>
      </w:pPr>
    </w:p>
    <w:p w:rsidR="00E1287B" w:rsidRPr="00D14C87" w:rsidRDefault="00E1287B" w:rsidP="00E1287B">
      <w:pPr>
        <w:jc w:val="center"/>
        <w:rPr>
          <w:rFonts w:ascii="Times New Roman" w:hAnsi="Times New Roman" w:cs="Times New Roman"/>
          <w:b/>
          <w:smallCaps/>
        </w:rPr>
      </w:pPr>
      <w:r w:rsidRPr="00D14C87">
        <w:rPr>
          <w:rFonts w:ascii="Times New Roman" w:hAnsi="Times New Roman" w:cs="Times New Roman"/>
          <w:b/>
          <w:smallCaps/>
        </w:rPr>
        <w:t xml:space="preserve">Plan de </w:t>
      </w:r>
      <w:r w:rsidR="0044456E" w:rsidRPr="00D14C87">
        <w:rPr>
          <w:rFonts w:ascii="Times New Roman" w:hAnsi="Times New Roman" w:cs="Times New Roman"/>
          <w:b/>
          <w:smallCaps/>
        </w:rPr>
        <w:t xml:space="preserve">Monitoreo y </w:t>
      </w:r>
      <w:r w:rsidRPr="00D14C87">
        <w:rPr>
          <w:rFonts w:ascii="Times New Roman" w:hAnsi="Times New Roman" w:cs="Times New Roman"/>
          <w:b/>
          <w:smallCaps/>
        </w:rPr>
        <w:t xml:space="preserve">Evaluación </w:t>
      </w:r>
    </w:p>
    <w:p w:rsidR="00E1287B" w:rsidRDefault="00E1287B" w:rsidP="00E1287B">
      <w:pPr>
        <w:rPr>
          <w:rFonts w:ascii="Times New Roman" w:hAnsi="Times New Roman" w:cs="Times New Roman"/>
          <w:smallCaps/>
        </w:rPr>
      </w:pPr>
    </w:p>
    <w:p w:rsidR="00E1287B" w:rsidRDefault="00E1287B" w:rsidP="00E1287B">
      <w:pPr>
        <w:rPr>
          <w:rFonts w:ascii="Times New Roman" w:hAnsi="Times New Roman" w:cs="Times New Roman"/>
          <w:smallCaps/>
        </w:rPr>
      </w:pPr>
    </w:p>
    <w:p w:rsidR="00E1287B" w:rsidRDefault="00E1287B" w:rsidP="00E1287B">
      <w:pPr>
        <w:rPr>
          <w:rFonts w:ascii="Times New Roman" w:hAnsi="Times New Roman" w:cs="Times New Roman"/>
          <w:smallCaps/>
        </w:rPr>
      </w:pPr>
    </w:p>
    <w:p w:rsidR="00E1287B" w:rsidRDefault="00E1287B" w:rsidP="00E1287B">
      <w:pPr>
        <w:rPr>
          <w:rFonts w:ascii="Times New Roman" w:hAnsi="Times New Roman" w:cs="Times New Roman"/>
          <w:smallCaps/>
        </w:rPr>
      </w:pPr>
    </w:p>
    <w:p w:rsidR="00E1287B" w:rsidRDefault="00E1287B" w:rsidP="00E1287B">
      <w:pPr>
        <w:rPr>
          <w:rFonts w:ascii="Times New Roman" w:hAnsi="Times New Roman" w:cs="Times New Roman"/>
          <w:smallCaps/>
        </w:rPr>
      </w:pPr>
    </w:p>
    <w:p w:rsidR="00E1287B" w:rsidRDefault="00E1287B" w:rsidP="00E1287B">
      <w:pPr>
        <w:rPr>
          <w:rFonts w:ascii="Times New Roman" w:hAnsi="Times New Roman" w:cs="Times New Roman"/>
          <w:smallCaps/>
        </w:rPr>
      </w:pPr>
    </w:p>
    <w:p w:rsidR="00E1287B" w:rsidRDefault="00E1287B" w:rsidP="00E1287B">
      <w:pPr>
        <w:rPr>
          <w:rFonts w:ascii="Times New Roman" w:hAnsi="Times New Roman" w:cs="Times New Roman"/>
          <w:smallCaps/>
        </w:rPr>
      </w:pPr>
    </w:p>
    <w:p w:rsidR="00E1287B" w:rsidRDefault="00E1287B" w:rsidP="00E1287B">
      <w:pPr>
        <w:jc w:val="both"/>
        <w:rPr>
          <w:rFonts w:ascii="Times New Roman" w:hAnsi="Times New Roman" w:cs="Times New Roman"/>
          <w:smallCaps/>
        </w:rPr>
      </w:pPr>
    </w:p>
    <w:tbl>
      <w:tblPr>
        <w:tblW w:w="919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95"/>
      </w:tblGrid>
      <w:tr w:rsidR="00E1287B" w:rsidTr="00D14C87">
        <w:trPr>
          <w:trHeight w:val="886"/>
        </w:trPr>
        <w:tc>
          <w:tcPr>
            <w:tcW w:w="9195" w:type="dxa"/>
          </w:tcPr>
          <w:p w:rsidR="00E1287B" w:rsidRDefault="00E1287B" w:rsidP="00D23E34">
            <w:pPr>
              <w:ind w:left="126"/>
              <w:jc w:val="both"/>
              <w:rPr>
                <w:rFonts w:ascii="Times New Roman" w:hAnsi="Times New Roman" w:cs="Times New Roman"/>
              </w:rPr>
            </w:pPr>
            <w:r w:rsidRPr="00E1287B">
              <w:rPr>
                <w:rFonts w:ascii="Times New Roman" w:hAnsi="Times New Roman" w:cs="Times New Roman"/>
              </w:rPr>
              <w:t>Este</w:t>
            </w:r>
            <w:r>
              <w:rPr>
                <w:rFonts w:ascii="Times New Roman" w:hAnsi="Times New Roman" w:cs="Times New Roman"/>
              </w:rPr>
              <w:t xml:space="preserve"> documento fue preparado por: José Alberto Lara Pulido (Universidad Iberoamericana), Alejandro Guevara Sanginés (Universidad Iberoamericana</w:t>
            </w:r>
            <w:r w:rsidR="00D23E34">
              <w:rPr>
                <w:rFonts w:ascii="Times New Roman" w:hAnsi="Times New Roman" w:cs="Times New Roman"/>
              </w:rPr>
              <w:t>), José Juan Gomes</w:t>
            </w:r>
            <w:r>
              <w:rPr>
                <w:rFonts w:ascii="Times New Roman" w:hAnsi="Times New Roman" w:cs="Times New Roman"/>
              </w:rPr>
              <w:t xml:space="preserve"> (</w:t>
            </w:r>
            <w:r w:rsidR="00D23E34">
              <w:rPr>
                <w:rFonts w:ascii="Times New Roman" w:hAnsi="Times New Roman" w:cs="Times New Roman"/>
              </w:rPr>
              <w:t>IFD/CMF</w:t>
            </w:r>
            <w:r>
              <w:rPr>
                <w:rFonts w:ascii="Times New Roman" w:hAnsi="Times New Roman" w:cs="Times New Roman"/>
              </w:rPr>
              <w:t xml:space="preserve">), </w:t>
            </w:r>
            <w:r w:rsidR="00D23E34">
              <w:rPr>
                <w:rFonts w:ascii="Times New Roman" w:hAnsi="Times New Roman" w:cs="Times New Roman"/>
              </w:rPr>
              <w:t xml:space="preserve">y </w:t>
            </w:r>
            <w:r>
              <w:rPr>
                <w:rFonts w:ascii="Times New Roman" w:hAnsi="Times New Roman" w:cs="Times New Roman"/>
              </w:rPr>
              <w:t>Alejandro A. Tamola (</w:t>
            </w:r>
            <w:r w:rsidR="00D23E34">
              <w:rPr>
                <w:rFonts w:ascii="Times New Roman" w:hAnsi="Times New Roman" w:cs="Times New Roman"/>
              </w:rPr>
              <w:t>IFD/CMF</w:t>
            </w:r>
            <w:r>
              <w:rPr>
                <w:rFonts w:ascii="Times New Roman" w:hAnsi="Times New Roman" w:cs="Times New Roman"/>
              </w:rPr>
              <w:t>)</w:t>
            </w:r>
          </w:p>
        </w:tc>
      </w:tr>
    </w:tbl>
    <w:p w:rsidR="00E1287B" w:rsidRDefault="00E1287B" w:rsidP="00E1287B">
      <w:pPr>
        <w:rPr>
          <w:rFonts w:ascii="Times New Roman" w:hAnsi="Times New Roman" w:cs="Times New Roman"/>
        </w:rPr>
      </w:pPr>
    </w:p>
    <w:p w:rsidR="00E1287B" w:rsidRDefault="00E1287B">
      <w:pPr>
        <w:rPr>
          <w:rFonts w:ascii="Times New Roman" w:hAnsi="Times New Roman" w:cs="Times New Roman"/>
        </w:rPr>
      </w:pPr>
      <w:r>
        <w:rPr>
          <w:rFonts w:ascii="Times New Roman" w:hAnsi="Times New Roman" w:cs="Times New Roman"/>
        </w:rPr>
        <w:br w:type="page"/>
      </w:r>
    </w:p>
    <w:p w:rsidR="00E1287B" w:rsidRDefault="00E1287B" w:rsidP="00E1287B">
      <w:pPr>
        <w:jc w:val="center"/>
        <w:rPr>
          <w:rFonts w:ascii="Times New Roman" w:hAnsi="Times New Roman" w:cs="Times New Roman"/>
          <w:smallCaps/>
        </w:rPr>
      </w:pPr>
      <w:r w:rsidRPr="00E1287B">
        <w:rPr>
          <w:rFonts w:ascii="Times New Roman" w:hAnsi="Times New Roman" w:cs="Times New Roman"/>
          <w:smallCaps/>
        </w:rPr>
        <w:lastRenderedPageBreak/>
        <w:t>Contenido</w:t>
      </w:r>
    </w:p>
    <w:p w:rsidR="00632CDD" w:rsidRPr="00632CDD" w:rsidRDefault="00632CDD" w:rsidP="00632CDD">
      <w:pPr>
        <w:pStyle w:val="TOC1"/>
        <w:rPr>
          <w:rFonts w:asciiTheme="minorHAnsi" w:eastAsiaTheme="minorEastAsia" w:hAnsiTheme="minorHAnsi" w:cstheme="minorBidi"/>
          <w:smallCaps w:val="0"/>
          <w:noProof/>
          <w:sz w:val="22"/>
          <w:lang w:val="es-ES_tradnl"/>
        </w:rPr>
      </w:pPr>
      <w:r>
        <w:fldChar w:fldCharType="begin"/>
      </w:r>
      <w:r>
        <w:instrText xml:space="preserve"> TOC \f \t "Chapter,1,FirstHeading,2,SecHeading,3" </w:instrText>
      </w:r>
      <w:r>
        <w:fldChar w:fldCharType="separate"/>
      </w:r>
      <w:r>
        <w:rPr>
          <w:noProof/>
        </w:rPr>
        <w:t>I.</w:t>
      </w:r>
      <w:r w:rsidRPr="00632CDD">
        <w:rPr>
          <w:rFonts w:asciiTheme="minorHAnsi" w:eastAsiaTheme="minorEastAsia" w:hAnsiTheme="minorHAnsi" w:cstheme="minorBidi"/>
          <w:smallCaps w:val="0"/>
          <w:noProof/>
          <w:sz w:val="22"/>
          <w:lang w:val="es-ES_tradnl"/>
        </w:rPr>
        <w:tab/>
      </w:r>
      <w:r>
        <w:rPr>
          <w:noProof/>
        </w:rPr>
        <w:t>Introducción</w:t>
      </w:r>
      <w:r>
        <w:rPr>
          <w:noProof/>
        </w:rPr>
        <w:tab/>
      </w:r>
      <w:r>
        <w:rPr>
          <w:noProof/>
        </w:rPr>
        <w:fldChar w:fldCharType="begin"/>
      </w:r>
      <w:r>
        <w:rPr>
          <w:noProof/>
        </w:rPr>
        <w:instrText xml:space="preserve"> PAGEREF _Toc391543456 \h </w:instrText>
      </w:r>
      <w:r>
        <w:rPr>
          <w:noProof/>
        </w:rPr>
      </w:r>
      <w:r>
        <w:rPr>
          <w:noProof/>
        </w:rPr>
        <w:fldChar w:fldCharType="separate"/>
      </w:r>
      <w:r w:rsidR="008C5579">
        <w:rPr>
          <w:noProof/>
        </w:rPr>
        <w:t>4</w:t>
      </w:r>
      <w:r>
        <w:rPr>
          <w:noProof/>
        </w:rPr>
        <w:fldChar w:fldCharType="end"/>
      </w:r>
    </w:p>
    <w:p w:rsidR="00632CDD" w:rsidRPr="00632CDD" w:rsidRDefault="00632CDD" w:rsidP="00632CDD">
      <w:pPr>
        <w:pStyle w:val="TOC1"/>
        <w:rPr>
          <w:rFonts w:asciiTheme="minorHAnsi" w:eastAsiaTheme="minorEastAsia" w:hAnsiTheme="minorHAnsi" w:cstheme="minorBidi"/>
          <w:smallCaps w:val="0"/>
          <w:noProof/>
          <w:sz w:val="22"/>
          <w:lang w:val="es-ES_tradnl"/>
        </w:rPr>
      </w:pPr>
      <w:r>
        <w:rPr>
          <w:noProof/>
        </w:rPr>
        <w:t>II.</w:t>
      </w:r>
      <w:r w:rsidRPr="00632CDD">
        <w:rPr>
          <w:rFonts w:asciiTheme="minorHAnsi" w:eastAsiaTheme="minorEastAsia" w:hAnsiTheme="minorHAnsi" w:cstheme="minorBidi"/>
          <w:smallCaps w:val="0"/>
          <w:noProof/>
          <w:sz w:val="22"/>
          <w:lang w:val="es-ES_tradnl"/>
        </w:rPr>
        <w:tab/>
      </w:r>
      <w:r>
        <w:rPr>
          <w:noProof/>
        </w:rPr>
        <w:t>Monitoreo</w:t>
      </w:r>
      <w:r>
        <w:rPr>
          <w:noProof/>
        </w:rPr>
        <w:tab/>
      </w:r>
      <w:r>
        <w:rPr>
          <w:noProof/>
        </w:rPr>
        <w:fldChar w:fldCharType="begin"/>
      </w:r>
      <w:r>
        <w:rPr>
          <w:noProof/>
        </w:rPr>
        <w:instrText xml:space="preserve"> PAGEREF _Toc391543457 \h </w:instrText>
      </w:r>
      <w:r>
        <w:rPr>
          <w:noProof/>
        </w:rPr>
      </w:r>
      <w:r>
        <w:rPr>
          <w:noProof/>
        </w:rPr>
        <w:fldChar w:fldCharType="separate"/>
      </w:r>
      <w:r w:rsidR="008C5579">
        <w:rPr>
          <w:noProof/>
        </w:rPr>
        <w:t>5</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A.</w:t>
      </w:r>
      <w:r w:rsidRPr="00632CDD">
        <w:rPr>
          <w:rFonts w:asciiTheme="minorHAnsi" w:eastAsiaTheme="minorEastAsia" w:hAnsiTheme="minorHAnsi" w:cstheme="minorBidi"/>
          <w:noProof/>
          <w:sz w:val="22"/>
          <w:lang w:val="es-ES_tradnl"/>
        </w:rPr>
        <w:tab/>
      </w:r>
      <w:r>
        <w:rPr>
          <w:noProof/>
        </w:rPr>
        <w:t>Estrategia de Monitoreo</w:t>
      </w:r>
      <w:r>
        <w:rPr>
          <w:noProof/>
        </w:rPr>
        <w:tab/>
      </w:r>
      <w:r>
        <w:rPr>
          <w:noProof/>
        </w:rPr>
        <w:fldChar w:fldCharType="begin"/>
      </w:r>
      <w:r>
        <w:rPr>
          <w:noProof/>
        </w:rPr>
        <w:instrText xml:space="preserve"> PAGEREF _Toc391543458 \h </w:instrText>
      </w:r>
      <w:r>
        <w:rPr>
          <w:noProof/>
        </w:rPr>
      </w:r>
      <w:r>
        <w:rPr>
          <w:noProof/>
        </w:rPr>
        <w:fldChar w:fldCharType="separate"/>
      </w:r>
      <w:r w:rsidR="008C5579">
        <w:rPr>
          <w:noProof/>
        </w:rPr>
        <w:t>5</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B.</w:t>
      </w:r>
      <w:r w:rsidRPr="00632CDD">
        <w:rPr>
          <w:rFonts w:asciiTheme="minorHAnsi" w:eastAsiaTheme="minorEastAsia" w:hAnsiTheme="minorHAnsi" w:cstheme="minorBidi"/>
          <w:noProof/>
          <w:sz w:val="22"/>
          <w:lang w:val="es-ES_tradnl"/>
        </w:rPr>
        <w:tab/>
      </w:r>
      <w:r>
        <w:rPr>
          <w:noProof/>
        </w:rPr>
        <w:t>Indicadores de Monitoreo</w:t>
      </w:r>
      <w:r>
        <w:rPr>
          <w:noProof/>
        </w:rPr>
        <w:tab/>
      </w:r>
      <w:r>
        <w:rPr>
          <w:noProof/>
        </w:rPr>
        <w:fldChar w:fldCharType="begin"/>
      </w:r>
      <w:r>
        <w:rPr>
          <w:noProof/>
        </w:rPr>
        <w:instrText xml:space="preserve"> PAGEREF _Toc391543459 \h </w:instrText>
      </w:r>
      <w:r>
        <w:rPr>
          <w:noProof/>
        </w:rPr>
      </w:r>
      <w:r>
        <w:rPr>
          <w:noProof/>
        </w:rPr>
        <w:fldChar w:fldCharType="separate"/>
      </w:r>
      <w:r w:rsidR="008C5579">
        <w:rPr>
          <w:noProof/>
        </w:rPr>
        <w:t>5</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C.</w:t>
      </w:r>
      <w:r w:rsidRPr="00632CDD">
        <w:rPr>
          <w:rFonts w:asciiTheme="minorHAnsi" w:eastAsiaTheme="minorEastAsia" w:hAnsiTheme="minorHAnsi" w:cstheme="minorBidi"/>
          <w:noProof/>
          <w:sz w:val="22"/>
          <w:lang w:val="es-ES_tradnl"/>
        </w:rPr>
        <w:tab/>
      </w:r>
      <w:r>
        <w:rPr>
          <w:noProof/>
        </w:rPr>
        <w:t>Recolección de datos e instrumentos</w:t>
      </w:r>
      <w:r>
        <w:rPr>
          <w:noProof/>
        </w:rPr>
        <w:tab/>
      </w:r>
      <w:r>
        <w:rPr>
          <w:noProof/>
        </w:rPr>
        <w:fldChar w:fldCharType="begin"/>
      </w:r>
      <w:r>
        <w:rPr>
          <w:noProof/>
        </w:rPr>
        <w:instrText xml:space="preserve"> PAGEREF _Toc391543460 \h </w:instrText>
      </w:r>
      <w:r>
        <w:rPr>
          <w:noProof/>
        </w:rPr>
      </w:r>
      <w:r>
        <w:rPr>
          <w:noProof/>
        </w:rPr>
        <w:fldChar w:fldCharType="separate"/>
      </w:r>
      <w:r w:rsidR="008C5579">
        <w:rPr>
          <w:noProof/>
        </w:rPr>
        <w:t>7</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D.</w:t>
      </w:r>
      <w:r w:rsidRPr="00632CDD">
        <w:rPr>
          <w:rFonts w:asciiTheme="minorHAnsi" w:eastAsiaTheme="minorEastAsia" w:hAnsiTheme="minorHAnsi" w:cstheme="minorBidi"/>
          <w:noProof/>
          <w:sz w:val="22"/>
          <w:lang w:val="es-ES_tradnl"/>
        </w:rPr>
        <w:tab/>
      </w:r>
      <w:r>
        <w:rPr>
          <w:noProof/>
        </w:rPr>
        <w:t>Reportes</w:t>
      </w:r>
      <w:r>
        <w:rPr>
          <w:noProof/>
        </w:rPr>
        <w:tab/>
      </w:r>
      <w:r>
        <w:rPr>
          <w:noProof/>
        </w:rPr>
        <w:fldChar w:fldCharType="begin"/>
      </w:r>
      <w:r>
        <w:rPr>
          <w:noProof/>
        </w:rPr>
        <w:instrText xml:space="preserve"> PAGEREF _Toc391543461 \h </w:instrText>
      </w:r>
      <w:r>
        <w:rPr>
          <w:noProof/>
        </w:rPr>
      </w:r>
      <w:r>
        <w:rPr>
          <w:noProof/>
        </w:rPr>
        <w:fldChar w:fldCharType="separate"/>
      </w:r>
      <w:r w:rsidR="008C5579">
        <w:rPr>
          <w:noProof/>
        </w:rPr>
        <w:t>8</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E.</w:t>
      </w:r>
      <w:r w:rsidRPr="00632CDD">
        <w:rPr>
          <w:rFonts w:asciiTheme="minorHAnsi" w:eastAsiaTheme="minorEastAsia" w:hAnsiTheme="minorHAnsi" w:cstheme="minorBidi"/>
          <w:noProof/>
          <w:sz w:val="22"/>
          <w:lang w:val="es-ES_tradnl"/>
        </w:rPr>
        <w:tab/>
      </w:r>
      <w:r>
        <w:rPr>
          <w:noProof/>
        </w:rPr>
        <w:t>Coordinación, plan de trabajo y presupuesto</w:t>
      </w:r>
      <w:r>
        <w:rPr>
          <w:noProof/>
        </w:rPr>
        <w:tab/>
      </w:r>
      <w:r>
        <w:rPr>
          <w:noProof/>
        </w:rPr>
        <w:fldChar w:fldCharType="begin"/>
      </w:r>
      <w:r>
        <w:rPr>
          <w:noProof/>
        </w:rPr>
        <w:instrText xml:space="preserve"> PAGEREF _Toc391543462 \h </w:instrText>
      </w:r>
      <w:r>
        <w:rPr>
          <w:noProof/>
        </w:rPr>
      </w:r>
      <w:r>
        <w:rPr>
          <w:noProof/>
        </w:rPr>
        <w:fldChar w:fldCharType="separate"/>
      </w:r>
      <w:r w:rsidR="008C5579">
        <w:rPr>
          <w:noProof/>
        </w:rPr>
        <w:t>8</w:t>
      </w:r>
      <w:r>
        <w:rPr>
          <w:noProof/>
        </w:rPr>
        <w:fldChar w:fldCharType="end"/>
      </w:r>
    </w:p>
    <w:p w:rsidR="00632CDD" w:rsidRPr="00632CDD" w:rsidRDefault="00632CDD" w:rsidP="00632CDD">
      <w:pPr>
        <w:pStyle w:val="TOC1"/>
        <w:rPr>
          <w:rFonts w:asciiTheme="minorHAnsi" w:eastAsiaTheme="minorEastAsia" w:hAnsiTheme="minorHAnsi" w:cstheme="minorBidi"/>
          <w:smallCaps w:val="0"/>
          <w:noProof/>
          <w:sz w:val="22"/>
          <w:lang w:val="es-ES_tradnl"/>
        </w:rPr>
      </w:pPr>
      <w:r>
        <w:rPr>
          <w:noProof/>
        </w:rPr>
        <w:t>III.</w:t>
      </w:r>
      <w:r w:rsidRPr="00632CDD">
        <w:rPr>
          <w:rFonts w:asciiTheme="minorHAnsi" w:eastAsiaTheme="minorEastAsia" w:hAnsiTheme="minorHAnsi" w:cstheme="minorBidi"/>
          <w:smallCaps w:val="0"/>
          <w:noProof/>
          <w:sz w:val="22"/>
          <w:lang w:val="es-ES_tradnl"/>
        </w:rPr>
        <w:tab/>
      </w:r>
      <w:r>
        <w:rPr>
          <w:noProof/>
        </w:rPr>
        <w:t>Evaluación</w:t>
      </w:r>
      <w:r>
        <w:rPr>
          <w:noProof/>
        </w:rPr>
        <w:tab/>
      </w:r>
      <w:r>
        <w:rPr>
          <w:noProof/>
        </w:rPr>
        <w:fldChar w:fldCharType="begin"/>
      </w:r>
      <w:r>
        <w:rPr>
          <w:noProof/>
        </w:rPr>
        <w:instrText xml:space="preserve"> PAGEREF _Toc391543463 \h </w:instrText>
      </w:r>
      <w:r>
        <w:rPr>
          <w:noProof/>
        </w:rPr>
      </w:r>
      <w:r>
        <w:rPr>
          <w:noProof/>
        </w:rPr>
        <w:fldChar w:fldCharType="separate"/>
      </w:r>
      <w:r w:rsidR="008C5579">
        <w:rPr>
          <w:noProof/>
        </w:rPr>
        <w:t>10</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A.</w:t>
      </w:r>
      <w:r w:rsidRPr="00632CDD">
        <w:rPr>
          <w:rFonts w:asciiTheme="minorHAnsi" w:eastAsiaTheme="minorEastAsia" w:hAnsiTheme="minorHAnsi" w:cstheme="minorBidi"/>
          <w:noProof/>
          <w:sz w:val="22"/>
          <w:lang w:val="es-ES_tradnl"/>
        </w:rPr>
        <w:tab/>
      </w:r>
      <w:r>
        <w:rPr>
          <w:noProof/>
        </w:rPr>
        <w:t>Preguntas de evaluación</w:t>
      </w:r>
      <w:r>
        <w:rPr>
          <w:noProof/>
        </w:rPr>
        <w:tab/>
      </w:r>
      <w:r>
        <w:rPr>
          <w:noProof/>
        </w:rPr>
        <w:fldChar w:fldCharType="begin"/>
      </w:r>
      <w:r>
        <w:rPr>
          <w:noProof/>
        </w:rPr>
        <w:instrText xml:space="preserve"> PAGEREF _Toc391543464 \h </w:instrText>
      </w:r>
      <w:r>
        <w:rPr>
          <w:noProof/>
        </w:rPr>
      </w:r>
      <w:r>
        <w:rPr>
          <w:noProof/>
        </w:rPr>
        <w:fldChar w:fldCharType="separate"/>
      </w:r>
      <w:r w:rsidR="008C5579">
        <w:rPr>
          <w:noProof/>
        </w:rPr>
        <w:t>10</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B.</w:t>
      </w:r>
      <w:r w:rsidRPr="00632CDD">
        <w:rPr>
          <w:rFonts w:asciiTheme="minorHAnsi" w:eastAsiaTheme="minorEastAsia" w:hAnsiTheme="minorHAnsi" w:cstheme="minorBidi"/>
          <w:noProof/>
          <w:sz w:val="22"/>
          <w:lang w:val="es-ES_tradnl"/>
        </w:rPr>
        <w:tab/>
      </w:r>
      <w:r>
        <w:rPr>
          <w:noProof/>
        </w:rPr>
        <w:t>Conocimiento existente</w:t>
      </w:r>
      <w:r>
        <w:rPr>
          <w:noProof/>
        </w:rPr>
        <w:tab/>
      </w:r>
      <w:r>
        <w:rPr>
          <w:noProof/>
        </w:rPr>
        <w:fldChar w:fldCharType="begin"/>
      </w:r>
      <w:r>
        <w:rPr>
          <w:noProof/>
        </w:rPr>
        <w:instrText xml:space="preserve"> PAGEREF _Toc391543465 \h </w:instrText>
      </w:r>
      <w:r>
        <w:rPr>
          <w:noProof/>
        </w:rPr>
      </w:r>
      <w:r>
        <w:rPr>
          <w:noProof/>
        </w:rPr>
        <w:fldChar w:fldCharType="separate"/>
      </w:r>
      <w:r w:rsidR="008C5579">
        <w:rPr>
          <w:noProof/>
        </w:rPr>
        <w:t>11</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C.</w:t>
      </w:r>
      <w:r w:rsidRPr="00632CDD">
        <w:rPr>
          <w:rFonts w:asciiTheme="minorHAnsi" w:eastAsiaTheme="minorEastAsia" w:hAnsiTheme="minorHAnsi" w:cstheme="minorBidi"/>
          <w:noProof/>
          <w:sz w:val="22"/>
          <w:lang w:val="es-ES_tradnl"/>
        </w:rPr>
        <w:tab/>
      </w:r>
      <w:r>
        <w:rPr>
          <w:noProof/>
        </w:rPr>
        <w:t>Indicadores de impacto.</w:t>
      </w:r>
      <w:r>
        <w:rPr>
          <w:noProof/>
        </w:rPr>
        <w:tab/>
      </w:r>
      <w:r>
        <w:rPr>
          <w:noProof/>
        </w:rPr>
        <w:fldChar w:fldCharType="begin"/>
      </w:r>
      <w:r>
        <w:rPr>
          <w:noProof/>
        </w:rPr>
        <w:instrText xml:space="preserve"> PAGEREF _Toc391543466 \h </w:instrText>
      </w:r>
      <w:r>
        <w:rPr>
          <w:noProof/>
        </w:rPr>
      </w:r>
      <w:r>
        <w:rPr>
          <w:noProof/>
        </w:rPr>
        <w:fldChar w:fldCharType="separate"/>
      </w:r>
      <w:r w:rsidR="008C5579">
        <w:rPr>
          <w:noProof/>
        </w:rPr>
        <w:t>13</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D.</w:t>
      </w:r>
      <w:r w:rsidRPr="00632CDD">
        <w:rPr>
          <w:rFonts w:asciiTheme="minorHAnsi" w:eastAsiaTheme="minorEastAsia" w:hAnsiTheme="minorHAnsi" w:cstheme="minorBidi"/>
          <w:noProof/>
          <w:sz w:val="22"/>
          <w:lang w:val="es-ES_tradnl"/>
        </w:rPr>
        <w:tab/>
      </w:r>
      <w:r>
        <w:rPr>
          <w:noProof/>
        </w:rPr>
        <w:t>Metodología de evaluación</w:t>
      </w:r>
      <w:r>
        <w:rPr>
          <w:noProof/>
        </w:rPr>
        <w:tab/>
      </w:r>
      <w:r>
        <w:rPr>
          <w:noProof/>
        </w:rPr>
        <w:fldChar w:fldCharType="begin"/>
      </w:r>
      <w:r>
        <w:rPr>
          <w:noProof/>
        </w:rPr>
        <w:instrText xml:space="preserve"> PAGEREF _Toc391543467 \h </w:instrText>
      </w:r>
      <w:r>
        <w:rPr>
          <w:noProof/>
        </w:rPr>
      </w:r>
      <w:r>
        <w:rPr>
          <w:noProof/>
        </w:rPr>
        <w:fldChar w:fldCharType="separate"/>
      </w:r>
      <w:r w:rsidR="008C5579">
        <w:rPr>
          <w:noProof/>
        </w:rPr>
        <w:t>15</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E.</w:t>
      </w:r>
      <w:r w:rsidRPr="00632CDD">
        <w:rPr>
          <w:rFonts w:asciiTheme="minorHAnsi" w:eastAsiaTheme="minorEastAsia" w:hAnsiTheme="minorHAnsi" w:cstheme="minorBidi"/>
          <w:noProof/>
          <w:sz w:val="22"/>
          <w:lang w:val="es-ES_tradnl"/>
        </w:rPr>
        <w:tab/>
      </w:r>
      <w:r>
        <w:rPr>
          <w:noProof/>
        </w:rPr>
        <w:t>Aspectos técnicos de la metodología seleccionada</w:t>
      </w:r>
      <w:r>
        <w:rPr>
          <w:noProof/>
        </w:rPr>
        <w:tab/>
      </w:r>
      <w:r>
        <w:rPr>
          <w:noProof/>
        </w:rPr>
        <w:fldChar w:fldCharType="begin"/>
      </w:r>
      <w:r>
        <w:rPr>
          <w:noProof/>
        </w:rPr>
        <w:instrText xml:space="preserve"> PAGEREF _Toc391543468 \h </w:instrText>
      </w:r>
      <w:r>
        <w:rPr>
          <w:noProof/>
        </w:rPr>
      </w:r>
      <w:r>
        <w:rPr>
          <w:noProof/>
        </w:rPr>
        <w:fldChar w:fldCharType="separate"/>
      </w:r>
      <w:r w:rsidR="008C5579">
        <w:rPr>
          <w:noProof/>
        </w:rPr>
        <w:t>17</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F.</w:t>
      </w:r>
      <w:r w:rsidRPr="00632CDD">
        <w:rPr>
          <w:rFonts w:asciiTheme="minorHAnsi" w:eastAsiaTheme="minorEastAsia" w:hAnsiTheme="minorHAnsi" w:cstheme="minorBidi"/>
          <w:noProof/>
          <w:sz w:val="22"/>
          <w:lang w:val="es-ES_tradnl"/>
        </w:rPr>
        <w:tab/>
      </w:r>
      <w:r>
        <w:rPr>
          <w:noProof/>
        </w:rPr>
        <w:t>Reporte de los resultados de las evaluaciones</w:t>
      </w:r>
      <w:r>
        <w:rPr>
          <w:noProof/>
        </w:rPr>
        <w:tab/>
      </w:r>
      <w:r>
        <w:rPr>
          <w:noProof/>
        </w:rPr>
        <w:fldChar w:fldCharType="begin"/>
      </w:r>
      <w:r>
        <w:rPr>
          <w:noProof/>
        </w:rPr>
        <w:instrText xml:space="preserve"> PAGEREF _Toc391543469 \h </w:instrText>
      </w:r>
      <w:r>
        <w:rPr>
          <w:noProof/>
        </w:rPr>
      </w:r>
      <w:r>
        <w:rPr>
          <w:noProof/>
        </w:rPr>
        <w:fldChar w:fldCharType="separate"/>
      </w:r>
      <w:r w:rsidR="008C5579">
        <w:rPr>
          <w:noProof/>
        </w:rPr>
        <w:t>19</w:t>
      </w:r>
      <w:r>
        <w:rPr>
          <w:noProof/>
        </w:rPr>
        <w:fldChar w:fldCharType="end"/>
      </w:r>
    </w:p>
    <w:p w:rsidR="00632CDD" w:rsidRPr="00632CDD" w:rsidRDefault="00632CDD" w:rsidP="00632CDD">
      <w:pPr>
        <w:pStyle w:val="TOC2"/>
        <w:rPr>
          <w:rFonts w:asciiTheme="minorHAnsi" w:eastAsiaTheme="minorEastAsia" w:hAnsiTheme="minorHAnsi" w:cstheme="minorBidi"/>
          <w:noProof/>
          <w:sz w:val="22"/>
          <w:lang w:val="es-ES_tradnl"/>
        </w:rPr>
      </w:pPr>
      <w:r>
        <w:rPr>
          <w:noProof/>
        </w:rPr>
        <w:t>G.</w:t>
      </w:r>
      <w:r w:rsidRPr="00632CDD">
        <w:rPr>
          <w:rFonts w:asciiTheme="minorHAnsi" w:eastAsiaTheme="minorEastAsia" w:hAnsiTheme="minorHAnsi" w:cstheme="minorBidi"/>
          <w:noProof/>
          <w:sz w:val="22"/>
          <w:lang w:val="es-ES_tradnl"/>
        </w:rPr>
        <w:tab/>
      </w:r>
      <w:r>
        <w:rPr>
          <w:noProof/>
        </w:rPr>
        <w:t>Coordinación, plan de trabajo y presupuesto</w:t>
      </w:r>
      <w:r>
        <w:rPr>
          <w:noProof/>
        </w:rPr>
        <w:tab/>
      </w:r>
      <w:r>
        <w:rPr>
          <w:noProof/>
        </w:rPr>
        <w:fldChar w:fldCharType="begin"/>
      </w:r>
      <w:r>
        <w:rPr>
          <w:noProof/>
        </w:rPr>
        <w:instrText xml:space="preserve"> PAGEREF _Toc391543470 \h </w:instrText>
      </w:r>
      <w:r>
        <w:rPr>
          <w:noProof/>
        </w:rPr>
      </w:r>
      <w:r>
        <w:rPr>
          <w:noProof/>
        </w:rPr>
        <w:fldChar w:fldCharType="separate"/>
      </w:r>
      <w:r w:rsidR="008C5579">
        <w:rPr>
          <w:noProof/>
        </w:rPr>
        <w:t>19</w:t>
      </w:r>
      <w:r>
        <w:rPr>
          <w:noProof/>
        </w:rPr>
        <w:fldChar w:fldCharType="end"/>
      </w:r>
    </w:p>
    <w:p w:rsidR="00632CDD" w:rsidRDefault="00632CDD" w:rsidP="00632CDD">
      <w:pPr>
        <w:pStyle w:val="TOC3"/>
      </w:pPr>
      <w:r>
        <w:fldChar w:fldCharType="end"/>
      </w:r>
    </w:p>
    <w:p w:rsidR="00632CDD" w:rsidRPr="00632CDD" w:rsidRDefault="00632CDD" w:rsidP="00632CDD"/>
    <w:p w:rsidR="003E405F" w:rsidRDefault="003E405F" w:rsidP="003E405F">
      <w:pPr>
        <w:spacing w:after="0"/>
        <w:jc w:val="both"/>
        <w:rPr>
          <w:rFonts w:ascii="Times New Roman" w:hAnsi="Times New Roman" w:cs="Times New Roman"/>
          <w:b/>
          <w:sz w:val="24"/>
        </w:rPr>
      </w:pPr>
      <w:r>
        <w:rPr>
          <w:rFonts w:ascii="Times New Roman" w:hAnsi="Times New Roman" w:cs="Times New Roman"/>
          <w:b/>
          <w:sz w:val="24"/>
        </w:rPr>
        <w:t>Anexos</w:t>
      </w:r>
    </w:p>
    <w:p w:rsidR="00E1287B" w:rsidRPr="003E405F" w:rsidRDefault="00E1287B" w:rsidP="003E405F">
      <w:pPr>
        <w:spacing w:after="0"/>
        <w:jc w:val="both"/>
        <w:rPr>
          <w:rFonts w:ascii="Times New Roman" w:hAnsi="Times New Roman" w:cs="Times New Roman"/>
          <w:b/>
          <w:sz w:val="24"/>
        </w:rPr>
      </w:pPr>
      <w:r w:rsidRPr="003E405F">
        <w:rPr>
          <w:rFonts w:ascii="Times New Roman" w:hAnsi="Times New Roman" w:cs="Times New Roman"/>
          <w:b/>
          <w:sz w:val="24"/>
        </w:rPr>
        <w:t>Glosario</w:t>
      </w:r>
    </w:p>
    <w:p w:rsidR="00E1287B" w:rsidRPr="003E405F" w:rsidRDefault="00E1287B" w:rsidP="003E405F">
      <w:pPr>
        <w:spacing w:after="0"/>
        <w:jc w:val="both"/>
        <w:rPr>
          <w:rFonts w:ascii="Times New Roman" w:hAnsi="Times New Roman" w:cs="Times New Roman"/>
          <w:b/>
          <w:sz w:val="24"/>
        </w:rPr>
      </w:pPr>
      <w:r w:rsidRPr="003E405F">
        <w:rPr>
          <w:rFonts w:ascii="Times New Roman" w:hAnsi="Times New Roman" w:cs="Times New Roman"/>
          <w:b/>
          <w:sz w:val="24"/>
        </w:rPr>
        <w:t>Referencias</w:t>
      </w:r>
    </w:p>
    <w:p w:rsidR="00E1287B" w:rsidRDefault="00E1287B" w:rsidP="003E405F">
      <w:pPr>
        <w:spacing w:after="0"/>
        <w:rPr>
          <w:rFonts w:ascii="Times New Roman" w:hAnsi="Times New Roman" w:cs="Times New Roman"/>
        </w:rPr>
      </w:pPr>
      <w:r>
        <w:rPr>
          <w:rFonts w:ascii="Times New Roman" w:hAnsi="Times New Roman" w:cs="Times New Roman"/>
        </w:rPr>
        <w:br w:type="page"/>
      </w:r>
    </w:p>
    <w:p w:rsidR="00E1287B" w:rsidRPr="00527B52" w:rsidRDefault="00E1287B" w:rsidP="00527B52">
      <w:pPr>
        <w:jc w:val="center"/>
        <w:rPr>
          <w:rStyle w:val="BookTitle"/>
          <w:rFonts w:ascii="Times New Roman" w:hAnsi="Times New Roman" w:cs="Times New Roman"/>
          <w:sz w:val="24"/>
        </w:rPr>
      </w:pPr>
      <w:r w:rsidRPr="00527B52">
        <w:rPr>
          <w:rStyle w:val="BookTitle"/>
          <w:rFonts w:ascii="Times New Roman" w:hAnsi="Times New Roman" w:cs="Times New Roman"/>
          <w:sz w:val="24"/>
        </w:rPr>
        <w:lastRenderedPageBreak/>
        <w:t>Abreviaturas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7"/>
        <w:gridCol w:w="7717"/>
      </w:tblGrid>
      <w:tr w:rsidR="00E1287B" w:rsidRPr="00527B52" w:rsidTr="00E1287B">
        <w:tc>
          <w:tcPr>
            <w:tcW w:w="1242" w:type="dxa"/>
          </w:tcPr>
          <w:p w:rsidR="00E1287B" w:rsidRPr="00527B52" w:rsidRDefault="00E61F1D" w:rsidP="00527B52">
            <w:pPr>
              <w:rPr>
                <w:rFonts w:ascii="Times New Roman" w:hAnsi="Times New Roman" w:cs="Times New Roman"/>
                <w:sz w:val="24"/>
              </w:rPr>
            </w:pPr>
            <w:r w:rsidRPr="00527B52">
              <w:rPr>
                <w:rFonts w:ascii="Times New Roman" w:hAnsi="Times New Roman" w:cs="Times New Roman"/>
                <w:sz w:val="24"/>
              </w:rPr>
              <w:t>BANSEFI</w:t>
            </w:r>
          </w:p>
        </w:tc>
        <w:tc>
          <w:tcPr>
            <w:tcW w:w="7736" w:type="dxa"/>
          </w:tcPr>
          <w:p w:rsidR="00E1287B" w:rsidRPr="00527B52" w:rsidRDefault="00E61F1D" w:rsidP="00527B52">
            <w:pPr>
              <w:rPr>
                <w:rFonts w:ascii="Times New Roman" w:hAnsi="Times New Roman" w:cs="Times New Roman"/>
                <w:sz w:val="24"/>
              </w:rPr>
            </w:pPr>
            <w:r w:rsidRPr="00527B52">
              <w:rPr>
                <w:rFonts w:ascii="Times New Roman" w:hAnsi="Times New Roman" w:cs="Times New Roman"/>
                <w:sz w:val="24"/>
              </w:rPr>
              <w:t>Banco del Ahorro Nacional y Servicios Financieros, S.N.C.</w:t>
            </w:r>
          </w:p>
        </w:tc>
      </w:tr>
      <w:tr w:rsidR="00E1287B" w:rsidRPr="00527B52" w:rsidTr="00E1287B">
        <w:tc>
          <w:tcPr>
            <w:tcW w:w="1242" w:type="dxa"/>
          </w:tcPr>
          <w:p w:rsidR="00E1287B" w:rsidRPr="00527B52" w:rsidRDefault="003A5709" w:rsidP="00527B52">
            <w:pPr>
              <w:rPr>
                <w:rFonts w:ascii="Times New Roman" w:hAnsi="Times New Roman" w:cs="Times New Roman"/>
                <w:sz w:val="24"/>
              </w:rPr>
            </w:pPr>
            <w:r w:rsidRPr="00527B52">
              <w:rPr>
                <w:rFonts w:ascii="Times New Roman" w:hAnsi="Times New Roman" w:cs="Times New Roman"/>
                <w:sz w:val="24"/>
              </w:rPr>
              <w:t>CFE</w:t>
            </w:r>
          </w:p>
        </w:tc>
        <w:tc>
          <w:tcPr>
            <w:tcW w:w="7736" w:type="dxa"/>
          </w:tcPr>
          <w:p w:rsidR="00E1287B" w:rsidRPr="00527B52" w:rsidRDefault="003A5709" w:rsidP="00527B52">
            <w:pPr>
              <w:rPr>
                <w:rFonts w:ascii="Times New Roman" w:hAnsi="Times New Roman" w:cs="Times New Roman"/>
                <w:sz w:val="24"/>
              </w:rPr>
            </w:pPr>
            <w:r w:rsidRPr="00527B52">
              <w:rPr>
                <w:rFonts w:ascii="Times New Roman" w:hAnsi="Times New Roman" w:cs="Times New Roman"/>
                <w:sz w:val="24"/>
              </w:rPr>
              <w:t>Comisión Federal de Electricidad</w:t>
            </w:r>
          </w:p>
        </w:tc>
      </w:tr>
      <w:tr w:rsidR="00E61F1D" w:rsidRPr="00527B52" w:rsidTr="00E1287B">
        <w:tc>
          <w:tcPr>
            <w:tcW w:w="1242" w:type="dxa"/>
          </w:tcPr>
          <w:p w:rsidR="00E61F1D" w:rsidRPr="00527B52" w:rsidRDefault="00E61F1D" w:rsidP="00527B52">
            <w:pPr>
              <w:rPr>
                <w:rFonts w:ascii="Times New Roman" w:hAnsi="Times New Roman" w:cs="Times New Roman"/>
                <w:sz w:val="24"/>
              </w:rPr>
            </w:pPr>
            <w:r w:rsidRPr="00527B52">
              <w:rPr>
                <w:rFonts w:ascii="Times New Roman" w:hAnsi="Times New Roman" w:cs="Times New Roman"/>
                <w:sz w:val="24"/>
              </w:rPr>
              <w:t>E&amp;M</w:t>
            </w:r>
          </w:p>
        </w:tc>
        <w:tc>
          <w:tcPr>
            <w:tcW w:w="7736" w:type="dxa"/>
          </w:tcPr>
          <w:p w:rsidR="00E61F1D" w:rsidRPr="00527B52" w:rsidRDefault="00E61F1D" w:rsidP="00527B52">
            <w:pPr>
              <w:rPr>
                <w:rFonts w:ascii="Times New Roman" w:hAnsi="Times New Roman" w:cs="Times New Roman"/>
                <w:sz w:val="24"/>
              </w:rPr>
            </w:pPr>
            <w:r w:rsidRPr="00527B52">
              <w:rPr>
                <w:rFonts w:ascii="Times New Roman" w:hAnsi="Times New Roman" w:cs="Times New Roman"/>
                <w:sz w:val="24"/>
              </w:rPr>
              <w:t>Evaluación y Monitoreo</w:t>
            </w:r>
          </w:p>
        </w:tc>
      </w:tr>
      <w:tr w:rsidR="00111374" w:rsidRPr="00527B52" w:rsidTr="00E1287B">
        <w:tc>
          <w:tcPr>
            <w:tcW w:w="1242" w:type="dxa"/>
          </w:tcPr>
          <w:p w:rsidR="00111374" w:rsidRPr="00527B52" w:rsidRDefault="00111374" w:rsidP="00527B52">
            <w:pPr>
              <w:rPr>
                <w:rFonts w:ascii="Times New Roman" w:hAnsi="Times New Roman" w:cs="Times New Roman"/>
                <w:sz w:val="24"/>
              </w:rPr>
            </w:pPr>
            <w:r w:rsidRPr="00527B52">
              <w:rPr>
                <w:rFonts w:ascii="Times New Roman" w:hAnsi="Times New Roman" w:cs="Times New Roman"/>
                <w:sz w:val="24"/>
              </w:rPr>
              <w:t>FIDE</w:t>
            </w:r>
          </w:p>
        </w:tc>
        <w:tc>
          <w:tcPr>
            <w:tcW w:w="7736" w:type="dxa"/>
          </w:tcPr>
          <w:p w:rsidR="00111374" w:rsidRPr="00527B52" w:rsidRDefault="00111374" w:rsidP="00527B52">
            <w:pPr>
              <w:rPr>
                <w:rFonts w:ascii="Times New Roman" w:hAnsi="Times New Roman" w:cs="Times New Roman"/>
                <w:sz w:val="24"/>
              </w:rPr>
            </w:pPr>
            <w:r w:rsidRPr="00527B52">
              <w:rPr>
                <w:rFonts w:ascii="Times New Roman" w:hAnsi="Times New Roman" w:cs="Times New Roman"/>
                <w:sz w:val="24"/>
              </w:rPr>
              <w:t>Fideicomiso para el Ahorro de Energía Eléctrica</w:t>
            </w:r>
          </w:p>
        </w:tc>
      </w:tr>
      <w:tr w:rsidR="003A5709" w:rsidRPr="00527B52" w:rsidTr="00E1287B">
        <w:tc>
          <w:tcPr>
            <w:tcW w:w="1242" w:type="dxa"/>
          </w:tcPr>
          <w:p w:rsidR="003A5709" w:rsidRPr="00527B52" w:rsidRDefault="003A5709" w:rsidP="00527B52">
            <w:pPr>
              <w:rPr>
                <w:rFonts w:ascii="Times New Roman" w:hAnsi="Times New Roman" w:cs="Times New Roman"/>
                <w:sz w:val="24"/>
              </w:rPr>
            </w:pPr>
            <w:r w:rsidRPr="00527B52">
              <w:rPr>
                <w:rFonts w:ascii="Times New Roman" w:hAnsi="Times New Roman" w:cs="Times New Roman"/>
                <w:sz w:val="24"/>
              </w:rPr>
              <w:t>IMTA</w:t>
            </w:r>
          </w:p>
        </w:tc>
        <w:tc>
          <w:tcPr>
            <w:tcW w:w="7736" w:type="dxa"/>
          </w:tcPr>
          <w:p w:rsidR="003A5709" w:rsidRPr="00527B52" w:rsidRDefault="003A5709" w:rsidP="00527B52">
            <w:pPr>
              <w:rPr>
                <w:rFonts w:ascii="Times New Roman" w:hAnsi="Times New Roman" w:cs="Times New Roman"/>
                <w:sz w:val="24"/>
              </w:rPr>
            </w:pPr>
            <w:r w:rsidRPr="00527B52">
              <w:rPr>
                <w:rFonts w:ascii="Times New Roman" w:hAnsi="Times New Roman" w:cs="Times New Roman"/>
                <w:sz w:val="24"/>
              </w:rPr>
              <w:t>Instituto Mexicano de Tecnología del Agua</w:t>
            </w:r>
          </w:p>
        </w:tc>
      </w:tr>
      <w:tr w:rsidR="004921AD" w:rsidRPr="00527B52" w:rsidTr="00E1287B">
        <w:tc>
          <w:tcPr>
            <w:tcW w:w="1242" w:type="dxa"/>
          </w:tcPr>
          <w:p w:rsidR="004921AD" w:rsidRPr="00527B52" w:rsidRDefault="004921AD" w:rsidP="00527B52">
            <w:pPr>
              <w:rPr>
                <w:rFonts w:ascii="Times New Roman" w:hAnsi="Times New Roman" w:cs="Times New Roman"/>
                <w:sz w:val="24"/>
              </w:rPr>
            </w:pPr>
            <w:r w:rsidRPr="00527B52">
              <w:rPr>
                <w:rFonts w:ascii="Times New Roman" w:hAnsi="Times New Roman" w:cs="Times New Roman"/>
                <w:sz w:val="24"/>
              </w:rPr>
              <w:t>GC</w:t>
            </w:r>
          </w:p>
        </w:tc>
        <w:tc>
          <w:tcPr>
            <w:tcW w:w="7736" w:type="dxa"/>
          </w:tcPr>
          <w:p w:rsidR="004921AD" w:rsidRPr="00527B52" w:rsidRDefault="004921AD" w:rsidP="00527B52">
            <w:pPr>
              <w:rPr>
                <w:rFonts w:ascii="Times New Roman" w:hAnsi="Times New Roman" w:cs="Times New Roman"/>
                <w:sz w:val="24"/>
              </w:rPr>
            </w:pPr>
            <w:r w:rsidRPr="00527B52">
              <w:rPr>
                <w:rFonts w:ascii="Times New Roman" w:hAnsi="Times New Roman" w:cs="Times New Roman"/>
                <w:sz w:val="24"/>
              </w:rPr>
              <w:t>Grupo de control</w:t>
            </w:r>
          </w:p>
        </w:tc>
      </w:tr>
      <w:tr w:rsidR="004921AD" w:rsidRPr="00527B52" w:rsidTr="00E1287B">
        <w:tc>
          <w:tcPr>
            <w:tcW w:w="1242" w:type="dxa"/>
          </w:tcPr>
          <w:p w:rsidR="004921AD" w:rsidRPr="00527B52" w:rsidRDefault="004921AD" w:rsidP="00527B52">
            <w:pPr>
              <w:rPr>
                <w:rFonts w:ascii="Times New Roman" w:hAnsi="Times New Roman" w:cs="Times New Roman"/>
                <w:sz w:val="24"/>
              </w:rPr>
            </w:pPr>
            <w:r w:rsidRPr="00527B52">
              <w:rPr>
                <w:rFonts w:ascii="Times New Roman" w:hAnsi="Times New Roman" w:cs="Times New Roman"/>
                <w:sz w:val="24"/>
              </w:rPr>
              <w:t>GT</w:t>
            </w:r>
          </w:p>
        </w:tc>
        <w:tc>
          <w:tcPr>
            <w:tcW w:w="7736" w:type="dxa"/>
          </w:tcPr>
          <w:p w:rsidR="004921AD" w:rsidRPr="00527B52" w:rsidRDefault="004921AD" w:rsidP="00527B52">
            <w:pPr>
              <w:rPr>
                <w:rFonts w:ascii="Times New Roman" w:hAnsi="Times New Roman" w:cs="Times New Roman"/>
                <w:sz w:val="24"/>
              </w:rPr>
            </w:pPr>
            <w:r w:rsidRPr="00527B52">
              <w:rPr>
                <w:rFonts w:ascii="Times New Roman" w:hAnsi="Times New Roman" w:cs="Times New Roman"/>
                <w:sz w:val="24"/>
              </w:rPr>
              <w:t>Grupo de tratamiento</w:t>
            </w:r>
          </w:p>
        </w:tc>
      </w:tr>
      <w:tr w:rsidR="00E61F1D" w:rsidRPr="00527B52" w:rsidTr="00E1287B">
        <w:tc>
          <w:tcPr>
            <w:tcW w:w="1242" w:type="dxa"/>
          </w:tcPr>
          <w:p w:rsidR="00E61F1D" w:rsidRPr="00527B52" w:rsidRDefault="008C4DFA" w:rsidP="00527B52">
            <w:pPr>
              <w:rPr>
                <w:rFonts w:ascii="Times New Roman" w:hAnsi="Times New Roman" w:cs="Times New Roman"/>
                <w:sz w:val="24"/>
              </w:rPr>
            </w:pPr>
            <w:r w:rsidRPr="00527B52">
              <w:rPr>
                <w:rFonts w:ascii="Times New Roman" w:hAnsi="Times New Roman" w:cs="Times New Roman"/>
                <w:sz w:val="24"/>
              </w:rPr>
              <w:t>INEGI</w:t>
            </w:r>
          </w:p>
        </w:tc>
        <w:tc>
          <w:tcPr>
            <w:tcW w:w="7736" w:type="dxa"/>
          </w:tcPr>
          <w:p w:rsidR="00E61F1D" w:rsidRPr="00527B52" w:rsidRDefault="008C4DFA" w:rsidP="00527B52">
            <w:pPr>
              <w:rPr>
                <w:rFonts w:ascii="Times New Roman" w:hAnsi="Times New Roman" w:cs="Times New Roman"/>
                <w:sz w:val="24"/>
              </w:rPr>
            </w:pPr>
            <w:r w:rsidRPr="00527B52">
              <w:rPr>
                <w:rFonts w:ascii="Times New Roman" w:hAnsi="Times New Roman" w:cs="Times New Roman"/>
                <w:sz w:val="24"/>
              </w:rPr>
              <w:t>Instituto Nacional de Estadística, Geografía e Informática</w:t>
            </w:r>
          </w:p>
        </w:tc>
      </w:tr>
      <w:tr w:rsidR="008F4542" w:rsidRPr="00527B52" w:rsidTr="00E1287B">
        <w:tc>
          <w:tcPr>
            <w:tcW w:w="1242" w:type="dxa"/>
          </w:tcPr>
          <w:p w:rsidR="008F4542" w:rsidRPr="00527B52" w:rsidRDefault="008F4542" w:rsidP="00527B52">
            <w:pPr>
              <w:rPr>
                <w:rFonts w:ascii="Times New Roman" w:hAnsi="Times New Roman" w:cs="Times New Roman"/>
                <w:sz w:val="24"/>
              </w:rPr>
            </w:pPr>
            <w:r w:rsidRPr="00527B52">
              <w:rPr>
                <w:rFonts w:ascii="Times New Roman" w:hAnsi="Times New Roman" w:cs="Times New Roman"/>
                <w:sz w:val="24"/>
              </w:rPr>
              <w:t>PSM</w:t>
            </w:r>
          </w:p>
        </w:tc>
        <w:tc>
          <w:tcPr>
            <w:tcW w:w="7736" w:type="dxa"/>
          </w:tcPr>
          <w:p w:rsidR="008F4542" w:rsidRPr="00527B52" w:rsidRDefault="008F4542" w:rsidP="00527B52">
            <w:pPr>
              <w:rPr>
                <w:rFonts w:ascii="Times New Roman" w:hAnsi="Times New Roman" w:cs="Times New Roman"/>
                <w:sz w:val="24"/>
              </w:rPr>
            </w:pPr>
            <w:r w:rsidRPr="00527B52">
              <w:rPr>
                <w:rFonts w:ascii="Times New Roman" w:hAnsi="Times New Roman" w:cs="Times New Roman"/>
                <w:sz w:val="24"/>
              </w:rPr>
              <w:t>Propensity Score Matching</w:t>
            </w:r>
          </w:p>
        </w:tc>
      </w:tr>
      <w:tr w:rsidR="008C4DFA" w:rsidRPr="00527B52" w:rsidTr="00E1287B">
        <w:tc>
          <w:tcPr>
            <w:tcW w:w="1242" w:type="dxa"/>
          </w:tcPr>
          <w:p w:rsidR="008C4DFA" w:rsidRPr="00527B52" w:rsidRDefault="008C4DFA" w:rsidP="00527B52">
            <w:pPr>
              <w:rPr>
                <w:rFonts w:ascii="Times New Roman" w:hAnsi="Times New Roman" w:cs="Times New Roman"/>
                <w:sz w:val="24"/>
              </w:rPr>
            </w:pPr>
            <w:r w:rsidRPr="00527B52">
              <w:rPr>
                <w:rFonts w:ascii="Times New Roman" w:hAnsi="Times New Roman" w:cs="Times New Roman"/>
                <w:sz w:val="24"/>
              </w:rPr>
              <w:t>PyMES</w:t>
            </w:r>
          </w:p>
        </w:tc>
        <w:tc>
          <w:tcPr>
            <w:tcW w:w="7736" w:type="dxa"/>
          </w:tcPr>
          <w:p w:rsidR="008C4DFA" w:rsidRPr="00527B52" w:rsidRDefault="008C4DFA" w:rsidP="00527B52">
            <w:pPr>
              <w:rPr>
                <w:rFonts w:ascii="Times New Roman" w:hAnsi="Times New Roman" w:cs="Times New Roman"/>
                <w:sz w:val="24"/>
              </w:rPr>
            </w:pPr>
            <w:r w:rsidRPr="00527B52">
              <w:rPr>
                <w:rFonts w:ascii="Times New Roman" w:hAnsi="Times New Roman" w:cs="Times New Roman"/>
                <w:sz w:val="24"/>
              </w:rPr>
              <w:t>Pequeñas y Medianas Empresas</w:t>
            </w:r>
          </w:p>
        </w:tc>
      </w:tr>
      <w:tr w:rsidR="008C4DFA" w:rsidRPr="00527B52" w:rsidTr="00E1287B">
        <w:tc>
          <w:tcPr>
            <w:tcW w:w="1242" w:type="dxa"/>
          </w:tcPr>
          <w:p w:rsidR="008C4DFA" w:rsidRPr="00527B52" w:rsidRDefault="005439BE" w:rsidP="00527B52">
            <w:pPr>
              <w:rPr>
                <w:rFonts w:ascii="Times New Roman" w:hAnsi="Times New Roman" w:cs="Times New Roman"/>
                <w:sz w:val="24"/>
              </w:rPr>
            </w:pPr>
            <w:r w:rsidRPr="00527B52">
              <w:rPr>
                <w:rFonts w:ascii="Times New Roman" w:hAnsi="Times New Roman" w:cs="Times New Roman"/>
                <w:sz w:val="24"/>
              </w:rPr>
              <w:t>SAGARPA</w:t>
            </w:r>
          </w:p>
        </w:tc>
        <w:tc>
          <w:tcPr>
            <w:tcW w:w="7736" w:type="dxa"/>
          </w:tcPr>
          <w:p w:rsidR="008C4DFA" w:rsidRPr="00527B52" w:rsidRDefault="005439BE" w:rsidP="00527B52">
            <w:pPr>
              <w:rPr>
                <w:rFonts w:ascii="Times New Roman" w:hAnsi="Times New Roman" w:cs="Times New Roman"/>
                <w:sz w:val="24"/>
              </w:rPr>
            </w:pPr>
            <w:r w:rsidRPr="00527B52">
              <w:rPr>
                <w:rFonts w:ascii="Times New Roman" w:hAnsi="Times New Roman" w:cs="Times New Roman"/>
                <w:sz w:val="24"/>
              </w:rPr>
              <w:t>Secretaría de Agricultura, Ganadería, Desarrollo Rural, Pesca y Alimentación</w:t>
            </w:r>
          </w:p>
        </w:tc>
      </w:tr>
      <w:tr w:rsidR="008C4DFA" w:rsidRPr="00527B52" w:rsidTr="00E1287B">
        <w:tc>
          <w:tcPr>
            <w:tcW w:w="1242" w:type="dxa"/>
          </w:tcPr>
          <w:p w:rsidR="008C4DFA" w:rsidRPr="00527B52" w:rsidRDefault="00D319FC" w:rsidP="00527B52">
            <w:pPr>
              <w:rPr>
                <w:rFonts w:ascii="Times New Roman" w:hAnsi="Times New Roman" w:cs="Times New Roman"/>
                <w:sz w:val="24"/>
              </w:rPr>
            </w:pPr>
            <w:r w:rsidRPr="00527B52">
              <w:rPr>
                <w:rFonts w:ascii="Times New Roman" w:hAnsi="Times New Roman" w:cs="Times New Roman"/>
                <w:sz w:val="24"/>
              </w:rPr>
              <w:t>SENER</w:t>
            </w:r>
          </w:p>
        </w:tc>
        <w:tc>
          <w:tcPr>
            <w:tcW w:w="7736" w:type="dxa"/>
          </w:tcPr>
          <w:p w:rsidR="008C4DFA" w:rsidRPr="00527B52" w:rsidRDefault="00D319FC" w:rsidP="00527B52">
            <w:pPr>
              <w:rPr>
                <w:rFonts w:ascii="Times New Roman" w:hAnsi="Times New Roman" w:cs="Times New Roman"/>
                <w:sz w:val="24"/>
              </w:rPr>
            </w:pPr>
            <w:r w:rsidRPr="00527B52">
              <w:rPr>
                <w:rFonts w:ascii="Times New Roman" w:hAnsi="Times New Roman" w:cs="Times New Roman"/>
                <w:sz w:val="24"/>
              </w:rPr>
              <w:t>Secretaría de Energía</w:t>
            </w:r>
          </w:p>
        </w:tc>
      </w:tr>
    </w:tbl>
    <w:p w:rsidR="00527B52" w:rsidRDefault="00527B52" w:rsidP="00527B52"/>
    <w:p w:rsidR="00744727" w:rsidRDefault="00527B52" w:rsidP="00744727">
      <w:r>
        <w:br w:type="page"/>
      </w:r>
    </w:p>
    <w:p w:rsidR="00744727" w:rsidRDefault="00744727" w:rsidP="00744727"/>
    <w:p w:rsidR="00744727" w:rsidRDefault="00744727" w:rsidP="00744727">
      <w:pPr>
        <w:sectPr w:rsidR="00744727" w:rsidSect="00527B52">
          <w:type w:val="continuous"/>
          <w:pgSz w:w="12240" w:h="15840"/>
          <w:pgMar w:top="1417" w:right="1701" w:bottom="1417" w:left="1701" w:header="708" w:footer="708" w:gutter="0"/>
          <w:cols w:space="708"/>
          <w:docGrid w:linePitch="360"/>
        </w:sectPr>
      </w:pPr>
    </w:p>
    <w:p w:rsidR="00E1287B" w:rsidRPr="00744727" w:rsidRDefault="00E1287B" w:rsidP="00744727">
      <w:pPr>
        <w:pStyle w:val="Chapter"/>
        <w:spacing w:before="0"/>
      </w:pPr>
      <w:bookmarkStart w:id="0" w:name="_Toc391543456"/>
      <w:r w:rsidRPr="00744727">
        <w:lastRenderedPageBreak/>
        <w:t>Introducción</w:t>
      </w:r>
      <w:bookmarkEnd w:id="0"/>
    </w:p>
    <w:p w:rsidR="002D332B" w:rsidRPr="00744727" w:rsidRDefault="00D3041F" w:rsidP="00D3041F">
      <w:pPr>
        <w:pStyle w:val="Paragraph"/>
      </w:pPr>
      <w:r w:rsidRPr="00D3041F">
        <w:t xml:space="preserve">El objetivo del </w:t>
      </w:r>
      <w:r>
        <w:t>P</w:t>
      </w:r>
      <w:r w:rsidRPr="00D3041F">
        <w:t xml:space="preserve">rimer </w:t>
      </w:r>
      <w:r>
        <w:t>P</w:t>
      </w:r>
      <w:r w:rsidRPr="00D3041F">
        <w:t xml:space="preserve">rograma </w:t>
      </w:r>
      <w:r w:rsidRPr="00744727">
        <w:t xml:space="preserve">para el Financiamiento de Proyectos de Inversión </w:t>
      </w:r>
      <w:r>
        <w:t xml:space="preserve">y </w:t>
      </w:r>
      <w:r w:rsidRPr="00744727">
        <w:t>Reconversión Productiva</w:t>
      </w:r>
      <w:r w:rsidRPr="00D3041F">
        <w:t xml:space="preserve"> es incrementar las inversiones de emprendimientos agrícolas y </w:t>
      </w:r>
      <w:r w:rsidR="0090558B">
        <w:t>empresas vinculadas al sector agroindustrial</w:t>
      </w:r>
      <w:r w:rsidRPr="00D3041F">
        <w:t xml:space="preserve"> que promuevan un uso más eficiente de agua y energía, respectivamente, a través de fondeo de largo plazo que permita un mayor financiamiento para ta</w:t>
      </w:r>
      <w:bookmarkStart w:id="1" w:name="_GoBack"/>
      <w:bookmarkEnd w:id="1"/>
      <w:r w:rsidRPr="00D3041F">
        <w:t>les inversiones en condiciones adecuadas</w:t>
      </w:r>
      <w:r w:rsidR="00CD74DE" w:rsidRPr="00744727">
        <w:t>.</w:t>
      </w:r>
    </w:p>
    <w:p w:rsidR="00E1287B" w:rsidRPr="00527B52" w:rsidRDefault="00CD74DE" w:rsidP="00D3041F">
      <w:pPr>
        <w:pStyle w:val="Paragraph"/>
      </w:pPr>
      <w:r w:rsidRPr="00527B52">
        <w:t xml:space="preserve">Su propósito será canalizar fondeo </w:t>
      </w:r>
      <w:r w:rsidR="00D3041F">
        <w:t xml:space="preserve">de largo plazo </w:t>
      </w:r>
      <w:r w:rsidRPr="00527B52">
        <w:t xml:space="preserve">a BANSEFI para que, a través de los intermediarios de FIRA, otorgue créditos de mediano y largo plazo a </w:t>
      </w:r>
      <w:r w:rsidR="00D3041F" w:rsidRPr="00D3041F">
        <w:t xml:space="preserve">emprendimientos agrícolas y </w:t>
      </w:r>
      <w:r w:rsidR="0090558B">
        <w:t>empresas vinculadas al sector agroindustrial</w:t>
      </w:r>
      <w:r w:rsidRPr="00527B52">
        <w:t xml:space="preserve"> interesadas en financiar proyectos de inversión que promuevan un uso </w:t>
      </w:r>
      <w:r w:rsidR="00D3041F">
        <w:t>más eficiente</w:t>
      </w:r>
      <w:r w:rsidR="00D3041F" w:rsidRPr="00527B52">
        <w:t xml:space="preserve"> </w:t>
      </w:r>
      <w:r w:rsidRPr="00527B52">
        <w:t>de</w:t>
      </w:r>
      <w:r w:rsidR="00D3041F">
        <w:t>l</w:t>
      </w:r>
      <w:r w:rsidRPr="00527B52">
        <w:t xml:space="preserve"> agua y de </w:t>
      </w:r>
      <w:r w:rsidR="00D3041F">
        <w:t xml:space="preserve">la </w:t>
      </w:r>
      <w:r w:rsidRPr="00527B52">
        <w:t xml:space="preserve">energía, </w:t>
      </w:r>
      <w:r w:rsidR="00D3041F">
        <w:t>respectivamente.</w:t>
      </w:r>
    </w:p>
    <w:p w:rsidR="00925B18" w:rsidRDefault="00CD74DE" w:rsidP="00D3041F">
      <w:pPr>
        <w:pStyle w:val="Paragraph"/>
      </w:pPr>
      <w:r w:rsidRPr="00527B52">
        <w:t>La población objetiv</w:t>
      </w:r>
      <w:r w:rsidR="00D3041F">
        <w:t>o</w:t>
      </w:r>
      <w:r w:rsidRPr="00527B52">
        <w:t xml:space="preserve"> que se beneficiará del financiamiento </w:t>
      </w:r>
      <w:r w:rsidR="00D3041F">
        <w:t xml:space="preserve">de mediano y largo plazo </w:t>
      </w:r>
      <w:r w:rsidRPr="00527B52">
        <w:t xml:space="preserve">que proveerá este programa para financiar proyectos de inversión en eficiencia energética serán empresas privadas procesadoras de alimentos </w:t>
      </w:r>
      <w:r w:rsidR="00D3041F" w:rsidRPr="00D3041F">
        <w:t>de todos los tamaños</w:t>
      </w:r>
      <w:r w:rsidR="00D3041F">
        <w:t xml:space="preserve">. </w:t>
      </w:r>
      <w:r w:rsidRPr="00527B52">
        <w:t>Por otra parte, la población objetiv</w:t>
      </w:r>
      <w:r w:rsidR="00D3041F">
        <w:t>o</w:t>
      </w:r>
      <w:r w:rsidRPr="00527B52">
        <w:t xml:space="preserve"> que se beneficiará del financiamiento </w:t>
      </w:r>
      <w:r w:rsidR="00D3041F">
        <w:t xml:space="preserve">de mediano y largo plazo </w:t>
      </w:r>
      <w:r w:rsidRPr="00527B52">
        <w:t xml:space="preserve">que proveerá este programa para financiar proyectos de inversión </w:t>
      </w:r>
      <w:r w:rsidR="00D3041F">
        <w:t>que promueven un</w:t>
      </w:r>
      <w:r w:rsidRPr="00527B52">
        <w:t xml:space="preserve"> uso </w:t>
      </w:r>
      <w:r w:rsidR="00D3041F">
        <w:t>más eficiente</w:t>
      </w:r>
      <w:r w:rsidR="00D3041F" w:rsidRPr="00527B52">
        <w:t xml:space="preserve"> </w:t>
      </w:r>
      <w:r w:rsidRPr="00527B52">
        <w:t>de</w:t>
      </w:r>
      <w:r w:rsidR="00D3041F">
        <w:t>l</w:t>
      </w:r>
      <w:r w:rsidRPr="00527B52">
        <w:t xml:space="preserve"> agua serán </w:t>
      </w:r>
      <w:r w:rsidR="00D3041F">
        <w:t xml:space="preserve">las </w:t>
      </w:r>
      <w:r w:rsidR="00D3041F" w:rsidRPr="00D3041F">
        <w:t>personas físicas o morales de todos los tamaños, que de manera individual o colectiva</w:t>
      </w:r>
      <w:r w:rsidR="00D3041F">
        <w:t>,</w:t>
      </w:r>
      <w:r w:rsidR="00D3041F" w:rsidRPr="00D3041F">
        <w:t xml:space="preserve"> se dediquen a actividades agropecuarias en zonas de riego, independientemente del tipo de tenencia de la tierra.</w:t>
      </w:r>
      <w:r w:rsidR="00D3041F">
        <w:t xml:space="preserve">  </w:t>
      </w:r>
    </w:p>
    <w:p w:rsidR="00E61F1D" w:rsidRPr="00527B52" w:rsidRDefault="00D3041F" w:rsidP="00D3041F">
      <w:pPr>
        <w:pStyle w:val="Paragraph"/>
      </w:pPr>
      <w:r>
        <w:t>En cuanto a la cobertura de</w:t>
      </w:r>
      <w:r w:rsidR="00925B18">
        <w:t xml:space="preserve"> los dos sub-componentes del programa, éstos</w:t>
      </w:r>
      <w:r>
        <w:t xml:space="preserve"> </w:t>
      </w:r>
      <w:r w:rsidRPr="00D3041F">
        <w:t>operará</w:t>
      </w:r>
      <w:r w:rsidR="00925B18">
        <w:t>n</w:t>
      </w:r>
      <w:r w:rsidRPr="00D3041F">
        <w:t xml:space="preserve"> a nivel nacional, en función de la demanda existente.</w:t>
      </w:r>
    </w:p>
    <w:p w:rsidR="002B1D5B" w:rsidRDefault="00CD74DE" w:rsidP="00E135CD">
      <w:pPr>
        <w:pStyle w:val="Paragraph"/>
      </w:pPr>
      <w:r w:rsidRPr="007E32AC">
        <w:t xml:space="preserve">Se prevé que </w:t>
      </w:r>
      <w:r w:rsidR="00373920" w:rsidRPr="00E135CD">
        <w:t>en promedio</w:t>
      </w:r>
      <w:r w:rsidRPr="007E32AC">
        <w:t xml:space="preserve"> los proyectos de inversión elegibles de eficiencia energética de las </w:t>
      </w:r>
      <w:r w:rsidR="0090558B">
        <w:t>empresas vinculadas al sector agroindustrial</w:t>
      </w:r>
      <w:r w:rsidRPr="007E32AC">
        <w:t xml:space="preserve"> </w:t>
      </w:r>
      <w:r w:rsidR="00373920" w:rsidRPr="00E135CD">
        <w:t xml:space="preserve">serán de unos  </w:t>
      </w:r>
      <w:r w:rsidRPr="007E32AC">
        <w:t>USD 2</w:t>
      </w:r>
      <w:r w:rsidR="003220CD" w:rsidRPr="00E135CD">
        <w:t>42</w:t>
      </w:r>
      <w:r w:rsidRPr="007E32AC">
        <w:t>.</w:t>
      </w:r>
      <w:r w:rsidR="003220CD" w:rsidRPr="00E135CD">
        <w:t>718</w:t>
      </w:r>
      <w:r w:rsidRPr="007E32AC">
        <w:rPr>
          <w:vertAlign w:val="superscript"/>
        </w:rPr>
        <w:footnoteReference w:id="1"/>
      </w:r>
      <w:r w:rsidRPr="007E32AC">
        <w:t xml:space="preserve"> y que los proyectos de inversión elegibles de emprendimientos agrícolas para el uso </w:t>
      </w:r>
      <w:r w:rsidR="0037499F" w:rsidRPr="00E135CD">
        <w:t>más eficiente</w:t>
      </w:r>
      <w:r w:rsidR="0037499F" w:rsidRPr="007E32AC">
        <w:t xml:space="preserve"> </w:t>
      </w:r>
      <w:r w:rsidRPr="007E32AC">
        <w:t xml:space="preserve">de agua mediante la tecnificación de riegos </w:t>
      </w:r>
      <w:r w:rsidR="00373920" w:rsidRPr="00E135CD">
        <w:t xml:space="preserve">serán de unos </w:t>
      </w:r>
      <w:r w:rsidR="00373920" w:rsidRPr="007E32AC">
        <w:t xml:space="preserve"> </w:t>
      </w:r>
      <w:r w:rsidR="0037499F" w:rsidRPr="007E32AC">
        <w:t xml:space="preserve"> </w:t>
      </w:r>
      <w:r w:rsidRPr="007E32AC">
        <w:t>USD7</w:t>
      </w:r>
      <w:r w:rsidR="003220CD" w:rsidRPr="00E135CD">
        <w:t>7</w:t>
      </w:r>
      <w:r w:rsidRPr="007E32AC">
        <w:t>.</w:t>
      </w:r>
      <w:r w:rsidR="003220CD" w:rsidRPr="007E32AC">
        <w:t>298</w:t>
      </w:r>
      <w:r w:rsidRPr="00527B52">
        <w:t>.</w:t>
      </w:r>
    </w:p>
    <w:p w:rsidR="00C66E3F" w:rsidRPr="002B1D5B" w:rsidRDefault="00C66E3F" w:rsidP="002B1D5B">
      <w:pPr>
        <w:pStyle w:val="Chapter"/>
      </w:pPr>
      <w:bookmarkStart w:id="2" w:name="_Toc391543457"/>
      <w:r w:rsidRPr="002B1D5B">
        <w:t>Monitoreo</w:t>
      </w:r>
      <w:bookmarkEnd w:id="2"/>
    </w:p>
    <w:p w:rsidR="00C66E3F" w:rsidRPr="00527B52" w:rsidRDefault="00306388" w:rsidP="00306388">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3</w:instrText>
      </w:r>
      <w:r w:rsidR="0090558B">
        <w:fldChar w:fldCharType="end"/>
      </w:r>
      <w:r>
        <w:instrText xml:space="preserve">#"\* ALPHABETIC \* MERGEFORMAT </w:instrText>
      </w:r>
      <w:r>
        <w:fldChar w:fldCharType="separate"/>
      </w:r>
      <w:bookmarkStart w:id="3" w:name="_Toc391543458"/>
      <w:r w:rsidR="008C5579">
        <w:rPr>
          <w:noProof/>
        </w:rPr>
        <w:t>A</w:t>
      </w:r>
      <w:r>
        <w:fldChar w:fldCharType="end"/>
      </w:r>
      <w:r>
        <w:t>.</w:t>
      </w:r>
      <w:r>
        <w:tab/>
      </w:r>
      <w:r w:rsidR="00C66E3F" w:rsidRPr="00527B52">
        <w:t>Estrategia de Monitoreo</w:t>
      </w:r>
      <w:bookmarkEnd w:id="3"/>
    </w:p>
    <w:p w:rsidR="00C66E3F" w:rsidRPr="00527B52" w:rsidRDefault="00C66E3F" w:rsidP="002B1D5B">
      <w:pPr>
        <w:pStyle w:val="Paragraph"/>
      </w:pPr>
      <w:r w:rsidRPr="00527B52">
        <w:t xml:space="preserve">La estrategia global de monitoreo del programa es el resultado de la estrategia de monitoreo del sub-componente de financiamiento para proyectos de eficiencia energética y del sub-componente de financiamiento para proyectos de tecnificación de riego. Como se verá a continuación, ambos componentes tendrán un sistema de </w:t>
      </w:r>
      <w:r w:rsidRPr="00527B52">
        <w:lastRenderedPageBreak/>
        <w:t>monitoreo muy similar que no supondrá mayores costos de transacción o financieros para FIRA o sus intermediarios de primer piso.</w:t>
      </w:r>
    </w:p>
    <w:p w:rsidR="00C66E3F" w:rsidRPr="00527B52" w:rsidRDefault="00C66E3F" w:rsidP="002B1D5B">
      <w:pPr>
        <w:pStyle w:val="Paragraph"/>
      </w:pPr>
      <w:r w:rsidRPr="00527B52">
        <w:t xml:space="preserve">El monitoreo de este programa se centrará principalmente en el número de </w:t>
      </w:r>
      <w:r w:rsidR="0090558B">
        <w:t>empresas vinculadas al sector agroindustrial</w:t>
      </w:r>
      <w:r w:rsidRPr="00527B52">
        <w:t xml:space="preserve"> y personas naturales y morales </w:t>
      </w:r>
      <w:r w:rsidR="00D3041F">
        <w:t xml:space="preserve">del sector </w:t>
      </w:r>
      <w:r w:rsidR="00925B18">
        <w:t>agrícola</w:t>
      </w:r>
      <w:r w:rsidR="00D3041F" w:rsidRPr="00527B52">
        <w:t xml:space="preserve"> </w:t>
      </w:r>
      <w:r w:rsidRPr="00527B52">
        <w:t xml:space="preserve">que accedan a fondeo del programa para realizar inversiones en medidas de eficiencia energética o tecnificación de riegos, respectivamente, así como los montos en dólares americanos intermediados a través del mismo para ambos tipos de proyectos. Adicionalmente, a los efectos de medir </w:t>
      </w:r>
      <w:r w:rsidR="00925B18">
        <w:t>su</w:t>
      </w:r>
      <w:r w:rsidR="00925B18" w:rsidRPr="00527B52">
        <w:t xml:space="preserve">s </w:t>
      </w:r>
      <w:r w:rsidRPr="00527B52">
        <w:t xml:space="preserve">resultados </w:t>
      </w:r>
      <w:r w:rsidR="00925B18">
        <w:t xml:space="preserve">se han definido </w:t>
      </w:r>
      <w:r w:rsidR="00C75E71">
        <w:t xml:space="preserve">tres </w:t>
      </w:r>
      <w:r w:rsidR="00925B18">
        <w:t xml:space="preserve">indicadores que son fácilmente </w:t>
      </w:r>
      <w:r w:rsidR="009E6C69">
        <w:t xml:space="preserve">obtenidos a partir de información administrativa sobre el programa capturada por los sistemas de información de FIRA. </w:t>
      </w:r>
    </w:p>
    <w:p w:rsidR="00C66E3F" w:rsidRPr="00527B52" w:rsidRDefault="00C66E3F" w:rsidP="002B1D5B">
      <w:pPr>
        <w:pStyle w:val="Paragraph"/>
      </w:pPr>
      <w:r w:rsidRPr="00527B52">
        <w:t xml:space="preserve">En el caso del sub-componente para el programa piloto de financiamiento de medidas de eficiencia energética, dado el esquema operativo previsto bajo dicho programa (el cual contempla la utilización de contratos de desempeño y una activa participación de proveedores de equipamientos en </w:t>
      </w:r>
      <w:r w:rsidR="00DE63A0" w:rsidRPr="00527B52">
        <w:t>el diseño y ejecución de las referidas medidas</w:t>
      </w:r>
      <w:r w:rsidRPr="00527B52">
        <w:t>), se espera que estos últimos actores se responsabilicen por el levantamiento de información sobre los ahorros generados por los proyectos apoyados bajo el mismo, en cuyo caso el principal rol que FIRA tendrá que asumir será el de servir como repositorio de todas estas informaciones a través de una herramienta informática diseñada para tales efectos.</w:t>
      </w:r>
    </w:p>
    <w:p w:rsidR="00C66E3F" w:rsidRPr="00527B52" w:rsidRDefault="00C66E3F" w:rsidP="002B1D5B">
      <w:pPr>
        <w:pStyle w:val="Paragraph"/>
      </w:pPr>
      <w:r w:rsidRPr="00527B52">
        <w:t xml:space="preserve">En el caso del </w:t>
      </w:r>
      <w:r w:rsidR="00E249DC" w:rsidRPr="00527B52">
        <w:t>sub-componente que fondeará</w:t>
      </w:r>
      <w:r w:rsidRPr="00527B52">
        <w:t xml:space="preserve"> el programa de uso racional de agua a través de proyectos de tecnificación de riego, se está contemplando la utilización de recursos no reembolsables del CTF </w:t>
      </w:r>
      <w:r w:rsidR="00102F6F">
        <w:t xml:space="preserve">(ME-T1266) </w:t>
      </w:r>
      <w:r w:rsidRPr="00527B52">
        <w:t xml:space="preserve">para que a dos años de iniciada la ejecución del programa se levante información a una muestra representativa de beneficiarios sobre los ahorros de agua generados por los proyectos apoyados bajo el mismo. De nuevo, el </w:t>
      </w:r>
      <w:r w:rsidR="00D3041F" w:rsidRPr="00527B52">
        <w:t xml:space="preserve">rol </w:t>
      </w:r>
      <w:r w:rsidRPr="00527B52">
        <w:t>principal de FIRA en este caso será contratar al consultor</w:t>
      </w:r>
      <w:r w:rsidR="00D3041F">
        <w:t>(es)</w:t>
      </w:r>
      <w:r w:rsidRPr="00527B52">
        <w:t xml:space="preserve"> que recolectará</w:t>
      </w:r>
      <w:r w:rsidR="00D3041F">
        <w:t>(n)</w:t>
      </w:r>
      <w:r w:rsidRPr="00527B52">
        <w:t xml:space="preserve"> esta información </w:t>
      </w:r>
      <w:r w:rsidR="00D3041F">
        <w:t>y</w:t>
      </w:r>
      <w:r w:rsidRPr="00527B52">
        <w:t xml:space="preserve"> </w:t>
      </w:r>
      <w:r w:rsidR="00D3041F">
        <w:t xml:space="preserve">la </w:t>
      </w:r>
      <w:r w:rsidR="00D3041F" w:rsidRPr="00527B52">
        <w:t>incorporar</w:t>
      </w:r>
      <w:r w:rsidR="00D3041F">
        <w:t xml:space="preserve">á(n) </w:t>
      </w:r>
      <w:r w:rsidRPr="00527B52">
        <w:t xml:space="preserve"> </w:t>
      </w:r>
      <w:r w:rsidR="00D3041F">
        <w:t xml:space="preserve"> </w:t>
      </w:r>
      <w:r w:rsidRPr="00527B52">
        <w:t>dentro de</w:t>
      </w:r>
      <w:r w:rsidR="00D3041F">
        <w:t xml:space="preserve">l sistema de información que la entidad tendrá sobre el programa. </w:t>
      </w:r>
    </w:p>
    <w:p w:rsidR="00E249DC" w:rsidRPr="00527B52" w:rsidRDefault="00306388" w:rsidP="00306388">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3</w:instrText>
      </w:r>
      <w:r w:rsidR="0090558B">
        <w:fldChar w:fldCharType="end"/>
      </w:r>
      <w:r>
        <w:instrText xml:space="preserve">#"\* ALPHABETIC \* MERGEFORMAT </w:instrText>
      </w:r>
      <w:r>
        <w:fldChar w:fldCharType="separate"/>
      </w:r>
      <w:bookmarkStart w:id="4" w:name="_Toc391543459"/>
      <w:r w:rsidR="008C5579">
        <w:rPr>
          <w:noProof/>
        </w:rPr>
        <w:t>B</w:t>
      </w:r>
      <w:r>
        <w:fldChar w:fldCharType="end"/>
      </w:r>
      <w:r>
        <w:t>.</w:t>
      </w:r>
      <w:r>
        <w:tab/>
      </w:r>
      <w:r w:rsidR="00E249DC" w:rsidRPr="00527B52">
        <w:t>Indicadores de Monitoreo</w:t>
      </w:r>
      <w:bookmarkEnd w:id="4"/>
    </w:p>
    <w:p w:rsidR="00787DBC" w:rsidRDefault="00E249DC" w:rsidP="00527B52">
      <w:pPr>
        <w:pStyle w:val="Paragraph"/>
      </w:pPr>
      <w:r w:rsidRPr="00527B52">
        <w:t>Los indicadores que serán monitoreados y reportados al Banco se describirán en la Matriz de Resultados del Programa a ser acordada con la Agencia Ejecutora. En principio, los indicadores de producto</w:t>
      </w:r>
      <w:r w:rsidR="00787DBC" w:rsidRPr="00527B52">
        <w:t xml:space="preserve"> y de resultados </w:t>
      </w:r>
      <w:r w:rsidRPr="00527B52">
        <w:t>a ser monitoreados bajo este programa serán los siguientes:</w:t>
      </w:r>
    </w:p>
    <w:p w:rsidR="00DC2989" w:rsidRDefault="00DC2989" w:rsidP="00E135CD">
      <w:pPr>
        <w:pStyle w:val="Paragraph"/>
        <w:numPr>
          <w:ilvl w:val="0"/>
          <w:numId w:val="0"/>
        </w:numPr>
        <w:ind w:left="720"/>
      </w:pPr>
    </w:p>
    <w:p w:rsidR="00DC2989" w:rsidRDefault="00DC2989" w:rsidP="00E135CD">
      <w:pPr>
        <w:pStyle w:val="Paragraph"/>
        <w:numPr>
          <w:ilvl w:val="0"/>
          <w:numId w:val="0"/>
        </w:numPr>
        <w:ind w:left="720"/>
      </w:pPr>
    </w:p>
    <w:p w:rsidR="00DC2989" w:rsidRDefault="00DC2989" w:rsidP="00E135CD">
      <w:pPr>
        <w:pStyle w:val="Paragraph"/>
        <w:numPr>
          <w:ilvl w:val="0"/>
          <w:numId w:val="0"/>
        </w:numPr>
        <w:ind w:left="720"/>
      </w:pPr>
    </w:p>
    <w:p w:rsidR="00C75E71" w:rsidRDefault="00C75E71" w:rsidP="00E135CD">
      <w:pPr>
        <w:pStyle w:val="Paragraph"/>
        <w:numPr>
          <w:ilvl w:val="0"/>
          <w:numId w:val="0"/>
        </w:numPr>
        <w:ind w:left="720"/>
      </w:pPr>
    </w:p>
    <w:p w:rsidR="00C75E71" w:rsidRDefault="00C75E71" w:rsidP="00E135CD">
      <w:pPr>
        <w:pStyle w:val="Paragraph"/>
        <w:numPr>
          <w:ilvl w:val="0"/>
          <w:numId w:val="0"/>
        </w:numPr>
        <w:ind w:left="720"/>
      </w:pPr>
    </w:p>
    <w:p w:rsidR="00C75E71" w:rsidRPr="00527B52" w:rsidRDefault="00C75E71" w:rsidP="00E135CD">
      <w:pPr>
        <w:pStyle w:val="Paragraph"/>
        <w:numPr>
          <w:ilvl w:val="0"/>
          <w:numId w:val="0"/>
        </w:numPr>
        <w:ind w:left="720"/>
      </w:pPr>
    </w:p>
    <w:p w:rsidR="00E249DC" w:rsidRPr="002B1D5B" w:rsidRDefault="00787DBC" w:rsidP="002B1D5B">
      <w:pPr>
        <w:jc w:val="center"/>
        <w:rPr>
          <w:rFonts w:ascii="Times New Roman" w:hAnsi="Times New Roman" w:cs="Times New Roman"/>
          <w:b/>
          <w:sz w:val="20"/>
        </w:rPr>
      </w:pPr>
      <w:r w:rsidRPr="002B1D5B">
        <w:rPr>
          <w:rFonts w:ascii="Times New Roman" w:hAnsi="Times New Roman" w:cs="Times New Roman"/>
          <w:b/>
          <w:sz w:val="20"/>
        </w:rPr>
        <w:t>Indicadores de Producto</w:t>
      </w:r>
      <w:r w:rsidR="002F2079" w:rsidRPr="002B1D5B">
        <w:rPr>
          <w:rFonts w:ascii="Times New Roman" w:hAnsi="Times New Roman" w:cs="Times New Roman"/>
          <w:b/>
          <w:sz w:val="20"/>
        </w:rPr>
        <w:t>s</w:t>
      </w:r>
      <w:r w:rsidRPr="002B1D5B">
        <w:rPr>
          <w:rFonts w:ascii="Times New Roman" w:hAnsi="Times New Roman" w:cs="Times New Roman"/>
          <w:b/>
          <w:sz w:val="20"/>
        </w:rPr>
        <w:t xml:space="preserve"> y de Resultados </w:t>
      </w:r>
    </w:p>
    <w:tbl>
      <w:tblPr>
        <w:tblStyle w:val="TableGrid"/>
        <w:tblW w:w="10076" w:type="dxa"/>
        <w:jc w:val="center"/>
        <w:tblLook w:val="04A0" w:firstRow="1" w:lastRow="0" w:firstColumn="1" w:lastColumn="0" w:noHBand="0" w:noVBand="1"/>
      </w:tblPr>
      <w:tblGrid>
        <w:gridCol w:w="3319"/>
        <w:gridCol w:w="2790"/>
        <w:gridCol w:w="1350"/>
        <w:gridCol w:w="2617"/>
      </w:tblGrid>
      <w:tr w:rsidR="00E249DC" w:rsidRPr="002B1D5B" w:rsidTr="00CD3DBB">
        <w:trPr>
          <w:jc w:val="center"/>
        </w:trPr>
        <w:tc>
          <w:tcPr>
            <w:tcW w:w="3319" w:type="dxa"/>
            <w:vAlign w:val="center"/>
          </w:tcPr>
          <w:p w:rsidR="00E249DC" w:rsidRPr="002B1D5B" w:rsidRDefault="00E249DC" w:rsidP="00956E5A">
            <w:pPr>
              <w:rPr>
                <w:rFonts w:ascii="Times New Roman" w:hAnsi="Times New Roman" w:cs="Times New Roman"/>
                <w:b/>
                <w:sz w:val="20"/>
              </w:rPr>
            </w:pPr>
            <w:r w:rsidRPr="002B1D5B">
              <w:rPr>
                <w:rFonts w:ascii="Times New Roman" w:hAnsi="Times New Roman" w:cs="Times New Roman"/>
                <w:b/>
                <w:sz w:val="20"/>
              </w:rPr>
              <w:t>Indicador</w:t>
            </w:r>
            <w:r w:rsidR="00787DBC" w:rsidRPr="002B1D5B">
              <w:rPr>
                <w:rFonts w:ascii="Times New Roman" w:hAnsi="Times New Roman" w:cs="Times New Roman"/>
                <w:b/>
                <w:sz w:val="20"/>
              </w:rPr>
              <w:t>es de Producto</w:t>
            </w:r>
            <w:r w:rsidR="00A359CC">
              <w:rPr>
                <w:rFonts w:ascii="Times New Roman" w:hAnsi="Times New Roman" w:cs="Times New Roman"/>
                <w:b/>
                <w:sz w:val="20"/>
              </w:rPr>
              <w:t>s</w:t>
            </w:r>
          </w:p>
        </w:tc>
        <w:tc>
          <w:tcPr>
            <w:tcW w:w="2790" w:type="dxa"/>
            <w:vAlign w:val="center"/>
          </w:tcPr>
          <w:p w:rsidR="00E249DC" w:rsidRPr="002B1D5B" w:rsidRDefault="00E249DC" w:rsidP="00956E5A">
            <w:pPr>
              <w:rPr>
                <w:rFonts w:ascii="Times New Roman" w:hAnsi="Times New Roman" w:cs="Times New Roman"/>
                <w:b/>
                <w:sz w:val="20"/>
              </w:rPr>
            </w:pPr>
            <w:r w:rsidRPr="002B1D5B">
              <w:rPr>
                <w:rFonts w:ascii="Times New Roman" w:hAnsi="Times New Roman" w:cs="Times New Roman"/>
                <w:b/>
                <w:sz w:val="20"/>
              </w:rPr>
              <w:t>Formula</w:t>
            </w:r>
          </w:p>
        </w:tc>
        <w:tc>
          <w:tcPr>
            <w:tcW w:w="1350" w:type="dxa"/>
            <w:vAlign w:val="center"/>
          </w:tcPr>
          <w:p w:rsidR="00E249DC" w:rsidRPr="002B1D5B" w:rsidRDefault="00E249DC" w:rsidP="00956E5A">
            <w:pPr>
              <w:rPr>
                <w:rFonts w:ascii="Times New Roman" w:hAnsi="Times New Roman" w:cs="Times New Roman"/>
                <w:b/>
                <w:sz w:val="20"/>
              </w:rPr>
            </w:pPr>
            <w:r w:rsidRPr="002B1D5B">
              <w:rPr>
                <w:rFonts w:ascii="Times New Roman" w:hAnsi="Times New Roman" w:cs="Times New Roman"/>
                <w:b/>
                <w:sz w:val="20"/>
              </w:rPr>
              <w:t>Frecuencia de Medición</w:t>
            </w:r>
          </w:p>
        </w:tc>
        <w:tc>
          <w:tcPr>
            <w:tcW w:w="2617" w:type="dxa"/>
            <w:vAlign w:val="center"/>
          </w:tcPr>
          <w:p w:rsidR="00E249DC" w:rsidRPr="002B1D5B" w:rsidRDefault="00E249DC" w:rsidP="00956E5A">
            <w:pPr>
              <w:rPr>
                <w:rFonts w:ascii="Times New Roman" w:hAnsi="Times New Roman" w:cs="Times New Roman"/>
                <w:b/>
                <w:sz w:val="20"/>
              </w:rPr>
            </w:pPr>
            <w:r w:rsidRPr="002B1D5B">
              <w:rPr>
                <w:rFonts w:ascii="Times New Roman" w:hAnsi="Times New Roman" w:cs="Times New Roman"/>
                <w:b/>
                <w:sz w:val="20"/>
              </w:rPr>
              <w:t>Fuente de Verificación</w:t>
            </w:r>
          </w:p>
        </w:tc>
      </w:tr>
      <w:tr w:rsidR="00E249DC" w:rsidRPr="002B1D5B" w:rsidTr="00CD3DBB">
        <w:trPr>
          <w:jc w:val="center"/>
        </w:trPr>
        <w:tc>
          <w:tcPr>
            <w:tcW w:w="3319" w:type="dxa"/>
          </w:tcPr>
          <w:p w:rsidR="00E249DC" w:rsidRPr="002B1D5B" w:rsidRDefault="002A16EF" w:rsidP="00102F6F">
            <w:pPr>
              <w:jc w:val="both"/>
              <w:rPr>
                <w:rFonts w:ascii="Times New Roman" w:hAnsi="Times New Roman" w:cs="Times New Roman"/>
                <w:sz w:val="20"/>
              </w:rPr>
            </w:pPr>
            <w:r w:rsidRPr="0003205A">
              <w:rPr>
                <w:rFonts w:ascii="Times New Roman" w:eastAsia="Arial Unicode MS" w:hAnsi="Times New Roman" w:cs="Times New Roman"/>
                <w:sz w:val="20"/>
                <w:lang w:val="es-ES_tradnl"/>
              </w:rPr>
              <w:t xml:space="preserve">Número de </w:t>
            </w:r>
            <w:r w:rsidR="0090558B">
              <w:rPr>
                <w:rFonts w:ascii="Times New Roman" w:eastAsia="Arial Unicode MS" w:hAnsi="Times New Roman" w:cs="Times New Roman"/>
                <w:sz w:val="20"/>
                <w:lang w:val="es-ES_tradnl"/>
              </w:rPr>
              <w:t>empresas vinculadas al sector agroindustrial</w:t>
            </w:r>
            <w:r w:rsidRPr="0003205A">
              <w:rPr>
                <w:rFonts w:ascii="Times New Roman" w:eastAsia="Arial Unicode MS" w:hAnsi="Times New Roman" w:cs="Times New Roman"/>
                <w:sz w:val="20"/>
                <w:lang w:val="es-ES_tradnl"/>
              </w:rPr>
              <w:t xml:space="preserve"> que anualmente obtienen préstamos con recursos del programa para financiar proyectos de EE</w:t>
            </w:r>
            <w:r w:rsidRPr="0003205A">
              <w:rPr>
                <w:rStyle w:val="FootnoteReference"/>
                <w:rFonts w:ascii="Times New Roman" w:eastAsia="Arial Unicode MS" w:hAnsi="Times New Roman" w:cs="Times New Roman"/>
                <w:iCs/>
                <w:sz w:val="20"/>
                <w:lang w:val="es-ES_tradnl"/>
              </w:rPr>
              <w:footnoteReference w:id="2"/>
            </w:r>
            <w:r w:rsidRPr="0003205A">
              <w:rPr>
                <w:rStyle w:val="FootnoteReference"/>
                <w:rFonts w:ascii="Times New Roman" w:eastAsia="Arial Unicode MS" w:hAnsi="Times New Roman" w:cs="Times New Roman"/>
                <w:iCs/>
                <w:sz w:val="20"/>
                <w:lang w:val="es-ES_tradnl"/>
              </w:rPr>
              <w:t>.</w:t>
            </w:r>
            <w:r w:rsidRPr="009543DE" w:rsidDel="002A16EF">
              <w:rPr>
                <w:rFonts w:ascii="Times New Roman" w:hAnsi="Times New Roman" w:cs="Times New Roman"/>
                <w:sz w:val="20"/>
              </w:rPr>
              <w:t xml:space="preserve"> </w:t>
            </w:r>
            <w:r w:rsidR="00D3041F" w:rsidRPr="00D3041F">
              <w:rPr>
                <w:rFonts w:ascii="Times New Roman" w:hAnsi="Times New Roman" w:cs="Times New Roman"/>
                <w:sz w:val="20"/>
              </w:rPr>
              <w:t>(Unidad</w:t>
            </w:r>
            <w:r w:rsidR="003220CD">
              <w:rPr>
                <w:rFonts w:ascii="Times New Roman" w:hAnsi="Times New Roman" w:cs="Times New Roman"/>
                <w:sz w:val="20"/>
              </w:rPr>
              <w:t xml:space="preserve"> de medida</w:t>
            </w:r>
            <w:r w:rsidR="00D3041F" w:rsidRPr="00D3041F">
              <w:rPr>
                <w:rFonts w:ascii="Times New Roman" w:hAnsi="Times New Roman" w:cs="Times New Roman"/>
                <w:sz w:val="20"/>
              </w:rPr>
              <w:t>: Numero de empresas).</w:t>
            </w:r>
          </w:p>
        </w:tc>
        <w:tc>
          <w:tcPr>
            <w:tcW w:w="2790" w:type="dxa"/>
          </w:tcPr>
          <w:p w:rsidR="00E249DC" w:rsidRPr="002B1D5B" w:rsidRDefault="00E249DC" w:rsidP="00CD3DBB">
            <w:pPr>
              <w:jc w:val="center"/>
              <w:rPr>
                <w:rFonts w:ascii="Times New Roman" w:hAnsi="Times New Roman" w:cs="Times New Roman"/>
                <w:sz w:val="20"/>
              </w:rPr>
            </w:pPr>
            <w:r w:rsidRPr="002B1D5B">
              <w:rPr>
                <w:rFonts w:ascii="Times New Roman" w:hAnsi="Times New Roman" w:cs="Times New Roman"/>
                <w:sz w:val="20"/>
              </w:rPr>
              <w:t>Ninguna</w:t>
            </w:r>
          </w:p>
        </w:tc>
        <w:tc>
          <w:tcPr>
            <w:tcW w:w="1350" w:type="dxa"/>
          </w:tcPr>
          <w:p w:rsidR="00E249DC" w:rsidRPr="002B1D5B" w:rsidRDefault="00E249DC" w:rsidP="00CD3DBB">
            <w:pPr>
              <w:jc w:val="center"/>
              <w:rPr>
                <w:rFonts w:ascii="Times New Roman" w:hAnsi="Times New Roman" w:cs="Times New Roman"/>
                <w:sz w:val="20"/>
              </w:rPr>
            </w:pPr>
            <w:r w:rsidRPr="002B1D5B">
              <w:rPr>
                <w:rFonts w:ascii="Times New Roman" w:hAnsi="Times New Roman" w:cs="Times New Roman"/>
                <w:sz w:val="20"/>
              </w:rPr>
              <w:t>Semestral</w:t>
            </w:r>
          </w:p>
        </w:tc>
        <w:tc>
          <w:tcPr>
            <w:tcW w:w="2617" w:type="dxa"/>
          </w:tcPr>
          <w:p w:rsidR="00E249DC" w:rsidRPr="002B1D5B" w:rsidRDefault="00E249DC" w:rsidP="002A16EF">
            <w:pPr>
              <w:jc w:val="both"/>
              <w:rPr>
                <w:rFonts w:ascii="Times New Roman" w:hAnsi="Times New Roman" w:cs="Times New Roman"/>
                <w:sz w:val="20"/>
              </w:rPr>
            </w:pPr>
            <w:r w:rsidRPr="002B1D5B">
              <w:rPr>
                <w:rFonts w:ascii="Times New Roman" w:hAnsi="Times New Roman" w:cs="Times New Roman"/>
                <w:sz w:val="20"/>
              </w:rPr>
              <w:t>Información Administrativa: Sistema de Información del Programa en FIRA</w:t>
            </w:r>
            <w:r w:rsidR="00D46652">
              <w:rPr>
                <w:rFonts w:ascii="Times New Roman" w:hAnsi="Times New Roman" w:cs="Times New Roman"/>
                <w:sz w:val="20"/>
              </w:rPr>
              <w:t xml:space="preserve">. </w:t>
            </w:r>
          </w:p>
        </w:tc>
      </w:tr>
      <w:tr w:rsidR="00E249DC" w:rsidRPr="002B1D5B" w:rsidTr="00CD3DBB">
        <w:trPr>
          <w:jc w:val="center"/>
        </w:trPr>
        <w:tc>
          <w:tcPr>
            <w:tcW w:w="3319" w:type="dxa"/>
          </w:tcPr>
          <w:p w:rsidR="00E249DC" w:rsidRPr="002B1D5B" w:rsidRDefault="002A16EF" w:rsidP="00A30B54">
            <w:pPr>
              <w:jc w:val="both"/>
              <w:rPr>
                <w:rFonts w:ascii="Times New Roman" w:hAnsi="Times New Roman" w:cs="Times New Roman"/>
                <w:sz w:val="20"/>
              </w:rPr>
            </w:pPr>
            <w:r w:rsidRPr="0003205A">
              <w:rPr>
                <w:rFonts w:ascii="Times New Roman" w:eastAsia="Arial Unicode MS" w:hAnsi="Times New Roman" w:cs="Times New Roman"/>
                <w:sz w:val="20"/>
                <w:lang w:val="es-ES"/>
              </w:rPr>
              <w:t>Número de emprendimientos agrícolas que anualmente obtienen acceso a través del programa a crédito de inversión para financiar proyectos de UEA</w:t>
            </w:r>
            <w:r w:rsidRPr="0003205A">
              <w:rPr>
                <w:rStyle w:val="FootnoteReference"/>
                <w:rFonts w:ascii="Times New Roman" w:eastAsia="Arial Unicode MS" w:hAnsi="Times New Roman" w:cs="Times New Roman"/>
                <w:iCs/>
                <w:sz w:val="20"/>
                <w:lang w:val="es-ES_tradnl"/>
              </w:rPr>
              <w:footnoteReference w:id="3"/>
            </w:r>
            <w:r w:rsidRPr="0003205A">
              <w:rPr>
                <w:rFonts w:ascii="Times New Roman" w:eastAsia="Arial Unicode MS" w:hAnsi="Times New Roman" w:cs="Times New Roman"/>
                <w:sz w:val="20"/>
                <w:lang w:val="es-ES"/>
              </w:rPr>
              <w:t>.</w:t>
            </w:r>
            <w:r w:rsidRPr="009543DE" w:rsidDel="002A16EF">
              <w:rPr>
                <w:rFonts w:ascii="Times New Roman" w:hAnsi="Times New Roman" w:cs="Times New Roman"/>
                <w:sz w:val="20"/>
              </w:rPr>
              <w:t xml:space="preserve"> </w:t>
            </w:r>
            <w:r w:rsidR="00D46652" w:rsidRPr="00D46652">
              <w:rPr>
                <w:rFonts w:ascii="Times New Roman" w:hAnsi="Times New Roman" w:cs="Times New Roman"/>
                <w:sz w:val="20"/>
              </w:rPr>
              <w:t>(Unidad</w:t>
            </w:r>
            <w:r w:rsidR="003220CD">
              <w:rPr>
                <w:rFonts w:ascii="Times New Roman" w:hAnsi="Times New Roman" w:cs="Times New Roman"/>
                <w:sz w:val="20"/>
              </w:rPr>
              <w:t xml:space="preserve"> de medida</w:t>
            </w:r>
            <w:r w:rsidR="00D46652" w:rsidRPr="00D46652">
              <w:rPr>
                <w:rFonts w:ascii="Times New Roman" w:hAnsi="Times New Roman" w:cs="Times New Roman"/>
                <w:sz w:val="20"/>
              </w:rPr>
              <w:t>: Numero de emprendimientos).</w:t>
            </w:r>
          </w:p>
        </w:tc>
        <w:tc>
          <w:tcPr>
            <w:tcW w:w="2790" w:type="dxa"/>
          </w:tcPr>
          <w:p w:rsidR="00E249DC" w:rsidRPr="002B1D5B" w:rsidRDefault="00E249DC" w:rsidP="00CD3DBB">
            <w:pPr>
              <w:jc w:val="center"/>
              <w:rPr>
                <w:rFonts w:ascii="Times New Roman" w:hAnsi="Times New Roman" w:cs="Times New Roman"/>
                <w:sz w:val="20"/>
              </w:rPr>
            </w:pPr>
            <w:r w:rsidRPr="002B1D5B">
              <w:rPr>
                <w:rFonts w:ascii="Times New Roman" w:hAnsi="Times New Roman" w:cs="Times New Roman"/>
                <w:sz w:val="20"/>
              </w:rPr>
              <w:t>Ninguna</w:t>
            </w:r>
          </w:p>
        </w:tc>
        <w:tc>
          <w:tcPr>
            <w:tcW w:w="1350" w:type="dxa"/>
          </w:tcPr>
          <w:p w:rsidR="00E249DC" w:rsidRPr="002B1D5B" w:rsidRDefault="00E249DC" w:rsidP="00CD3DBB">
            <w:pPr>
              <w:jc w:val="center"/>
              <w:rPr>
                <w:rFonts w:ascii="Times New Roman" w:hAnsi="Times New Roman" w:cs="Times New Roman"/>
                <w:sz w:val="20"/>
              </w:rPr>
            </w:pPr>
            <w:r w:rsidRPr="002B1D5B">
              <w:rPr>
                <w:rFonts w:ascii="Times New Roman" w:hAnsi="Times New Roman" w:cs="Times New Roman"/>
                <w:sz w:val="20"/>
              </w:rPr>
              <w:t>Semestral</w:t>
            </w:r>
          </w:p>
        </w:tc>
        <w:tc>
          <w:tcPr>
            <w:tcW w:w="2617" w:type="dxa"/>
          </w:tcPr>
          <w:p w:rsidR="00E249DC" w:rsidRPr="002B1D5B" w:rsidRDefault="00E249DC" w:rsidP="002A16EF">
            <w:pPr>
              <w:jc w:val="both"/>
              <w:rPr>
                <w:rFonts w:ascii="Times New Roman" w:hAnsi="Times New Roman" w:cs="Times New Roman"/>
                <w:sz w:val="20"/>
              </w:rPr>
            </w:pPr>
            <w:r w:rsidRPr="002B1D5B">
              <w:rPr>
                <w:rFonts w:ascii="Times New Roman" w:hAnsi="Times New Roman" w:cs="Times New Roman"/>
                <w:sz w:val="20"/>
              </w:rPr>
              <w:t>Información Administrativa: Sistema de Información del Programa en FIRA</w:t>
            </w:r>
            <w:r w:rsidR="00D46652">
              <w:rPr>
                <w:rFonts w:ascii="Times New Roman" w:hAnsi="Times New Roman" w:cs="Times New Roman"/>
                <w:sz w:val="20"/>
              </w:rPr>
              <w:t xml:space="preserve">. </w:t>
            </w:r>
          </w:p>
        </w:tc>
      </w:tr>
      <w:tr w:rsidR="00787DBC" w:rsidRPr="002B1D5B" w:rsidTr="00CD3DBB">
        <w:trPr>
          <w:jc w:val="center"/>
        </w:trPr>
        <w:tc>
          <w:tcPr>
            <w:tcW w:w="3319" w:type="dxa"/>
            <w:shd w:val="clear" w:color="auto" w:fill="DDD9C3" w:themeFill="background2" w:themeFillShade="E6"/>
            <w:vAlign w:val="center"/>
          </w:tcPr>
          <w:p w:rsidR="00787DBC" w:rsidRPr="00956E5A" w:rsidRDefault="00787DBC" w:rsidP="003130B1">
            <w:pPr>
              <w:jc w:val="center"/>
              <w:rPr>
                <w:rFonts w:ascii="Times New Roman" w:hAnsi="Times New Roman" w:cs="Times New Roman"/>
                <w:b/>
                <w:sz w:val="20"/>
              </w:rPr>
            </w:pPr>
            <w:r w:rsidRPr="00956E5A">
              <w:rPr>
                <w:rFonts w:ascii="Times New Roman" w:hAnsi="Times New Roman" w:cs="Times New Roman"/>
                <w:b/>
                <w:sz w:val="20"/>
              </w:rPr>
              <w:t xml:space="preserve">Indicadores de Resultados </w:t>
            </w:r>
          </w:p>
        </w:tc>
        <w:tc>
          <w:tcPr>
            <w:tcW w:w="2790" w:type="dxa"/>
            <w:shd w:val="clear" w:color="auto" w:fill="DDD9C3" w:themeFill="background2" w:themeFillShade="E6"/>
            <w:vAlign w:val="center"/>
          </w:tcPr>
          <w:p w:rsidR="00787DBC" w:rsidRPr="00956E5A" w:rsidRDefault="00787DBC" w:rsidP="00956E5A">
            <w:pPr>
              <w:jc w:val="center"/>
              <w:rPr>
                <w:rFonts w:ascii="Times New Roman" w:hAnsi="Times New Roman" w:cs="Times New Roman"/>
                <w:b/>
                <w:sz w:val="20"/>
              </w:rPr>
            </w:pPr>
            <w:r w:rsidRPr="00956E5A">
              <w:rPr>
                <w:rFonts w:ascii="Times New Roman" w:hAnsi="Times New Roman" w:cs="Times New Roman"/>
                <w:b/>
                <w:sz w:val="20"/>
              </w:rPr>
              <w:t>Formula</w:t>
            </w:r>
          </w:p>
        </w:tc>
        <w:tc>
          <w:tcPr>
            <w:tcW w:w="1350" w:type="dxa"/>
            <w:shd w:val="clear" w:color="auto" w:fill="DDD9C3" w:themeFill="background2" w:themeFillShade="E6"/>
            <w:vAlign w:val="center"/>
          </w:tcPr>
          <w:p w:rsidR="00787DBC" w:rsidRPr="00956E5A" w:rsidRDefault="00787DBC" w:rsidP="00956E5A">
            <w:pPr>
              <w:jc w:val="center"/>
              <w:rPr>
                <w:rFonts w:ascii="Times New Roman" w:hAnsi="Times New Roman" w:cs="Times New Roman"/>
                <w:b/>
                <w:sz w:val="20"/>
              </w:rPr>
            </w:pPr>
            <w:r w:rsidRPr="00956E5A">
              <w:rPr>
                <w:rFonts w:ascii="Times New Roman" w:hAnsi="Times New Roman" w:cs="Times New Roman"/>
                <w:b/>
                <w:sz w:val="20"/>
              </w:rPr>
              <w:t>Frecuencia de Medición</w:t>
            </w:r>
          </w:p>
        </w:tc>
        <w:tc>
          <w:tcPr>
            <w:tcW w:w="2617" w:type="dxa"/>
            <w:shd w:val="clear" w:color="auto" w:fill="DDD9C3" w:themeFill="background2" w:themeFillShade="E6"/>
            <w:vAlign w:val="center"/>
          </w:tcPr>
          <w:p w:rsidR="00787DBC" w:rsidRPr="00956E5A" w:rsidRDefault="00787DBC" w:rsidP="00956E5A">
            <w:pPr>
              <w:jc w:val="center"/>
              <w:rPr>
                <w:rFonts w:ascii="Times New Roman" w:hAnsi="Times New Roman" w:cs="Times New Roman"/>
                <w:b/>
                <w:sz w:val="20"/>
              </w:rPr>
            </w:pPr>
            <w:r w:rsidRPr="00956E5A">
              <w:rPr>
                <w:rFonts w:ascii="Times New Roman" w:hAnsi="Times New Roman" w:cs="Times New Roman"/>
                <w:b/>
                <w:sz w:val="20"/>
              </w:rPr>
              <w:t>Fuente de Verificación</w:t>
            </w:r>
          </w:p>
        </w:tc>
      </w:tr>
      <w:tr w:rsidR="0037499F" w:rsidRPr="002B1D5B" w:rsidTr="00CD3DBB">
        <w:trPr>
          <w:jc w:val="center"/>
        </w:trPr>
        <w:tc>
          <w:tcPr>
            <w:tcW w:w="3319" w:type="dxa"/>
          </w:tcPr>
          <w:p w:rsidR="0037499F" w:rsidRPr="002B1D5B" w:rsidRDefault="009543DE" w:rsidP="009E6C69">
            <w:pPr>
              <w:jc w:val="both"/>
              <w:rPr>
                <w:rFonts w:ascii="Times New Roman" w:hAnsi="Times New Roman" w:cs="Times New Roman"/>
                <w:sz w:val="20"/>
              </w:rPr>
            </w:pPr>
            <w:r w:rsidRPr="009543DE">
              <w:rPr>
                <w:rFonts w:ascii="Times New Roman" w:hAnsi="Times New Roman" w:cs="Times New Roman"/>
                <w:sz w:val="20"/>
              </w:rPr>
              <w:t>Monto anual de las inversiones en EE apalancadas  con recursos del programa</w:t>
            </w:r>
            <w:r w:rsidR="0037499F" w:rsidRPr="0037499F">
              <w:rPr>
                <w:rFonts w:ascii="Times New Roman" w:hAnsi="Times New Roman" w:cs="Times New Roman"/>
                <w:sz w:val="20"/>
              </w:rPr>
              <w:t>. (Unidad</w:t>
            </w:r>
            <w:r w:rsidR="003220CD">
              <w:rPr>
                <w:rFonts w:ascii="Times New Roman" w:hAnsi="Times New Roman" w:cs="Times New Roman"/>
                <w:sz w:val="20"/>
              </w:rPr>
              <w:t xml:space="preserve"> de medida</w:t>
            </w:r>
            <w:r w:rsidR="0037499F" w:rsidRPr="0037499F">
              <w:rPr>
                <w:rFonts w:ascii="Times New Roman" w:hAnsi="Times New Roman" w:cs="Times New Roman"/>
                <w:sz w:val="20"/>
              </w:rPr>
              <w:t>: Millones de USD)</w:t>
            </w:r>
          </w:p>
        </w:tc>
        <w:tc>
          <w:tcPr>
            <w:tcW w:w="2790" w:type="dxa"/>
          </w:tcPr>
          <w:p w:rsidR="0037499F" w:rsidRPr="002B1D5B" w:rsidRDefault="0037499F" w:rsidP="00E135CD">
            <w:pPr>
              <w:jc w:val="center"/>
              <w:rPr>
                <w:rFonts w:ascii="Times New Roman" w:hAnsi="Times New Roman" w:cs="Times New Roman"/>
                <w:sz w:val="20"/>
              </w:rPr>
            </w:pPr>
            <w:r>
              <w:rPr>
                <w:rFonts w:ascii="Times New Roman" w:hAnsi="Times New Roman" w:cs="Times New Roman"/>
                <w:sz w:val="20"/>
              </w:rPr>
              <w:t>Ninguna</w:t>
            </w:r>
          </w:p>
        </w:tc>
        <w:tc>
          <w:tcPr>
            <w:tcW w:w="1350" w:type="dxa"/>
          </w:tcPr>
          <w:p w:rsidR="0037499F" w:rsidRPr="002B1D5B" w:rsidRDefault="00925B18" w:rsidP="00CD3DBB">
            <w:pPr>
              <w:jc w:val="center"/>
              <w:rPr>
                <w:rFonts w:ascii="Times New Roman" w:hAnsi="Times New Roman" w:cs="Times New Roman"/>
                <w:sz w:val="20"/>
              </w:rPr>
            </w:pPr>
            <w:r>
              <w:rPr>
                <w:rFonts w:ascii="Times New Roman" w:hAnsi="Times New Roman" w:cs="Times New Roman"/>
                <w:sz w:val="20"/>
              </w:rPr>
              <w:t>Anual</w:t>
            </w:r>
          </w:p>
        </w:tc>
        <w:tc>
          <w:tcPr>
            <w:tcW w:w="2617" w:type="dxa"/>
          </w:tcPr>
          <w:p w:rsidR="0037499F" w:rsidRPr="002B1D5B" w:rsidRDefault="0037499F" w:rsidP="003130B1">
            <w:pPr>
              <w:jc w:val="both"/>
              <w:rPr>
                <w:rFonts w:ascii="Times New Roman" w:hAnsi="Times New Roman" w:cs="Times New Roman"/>
                <w:sz w:val="20"/>
              </w:rPr>
            </w:pPr>
            <w:r w:rsidRPr="0037499F">
              <w:rPr>
                <w:rFonts w:ascii="Times New Roman" w:hAnsi="Times New Roman" w:cs="Times New Roman"/>
                <w:sz w:val="20"/>
              </w:rPr>
              <w:t>Información Administrativa: Sistema de Información del Programa en FIRA</w:t>
            </w:r>
            <w:r w:rsidR="00925B18">
              <w:rPr>
                <w:rFonts w:ascii="Times New Roman" w:hAnsi="Times New Roman" w:cs="Times New Roman"/>
                <w:sz w:val="20"/>
              </w:rPr>
              <w:t>.</w:t>
            </w:r>
            <w:r w:rsidR="009E6C69">
              <w:rPr>
                <w:rFonts w:ascii="Times New Roman" w:hAnsi="Times New Roman" w:cs="Times New Roman"/>
                <w:sz w:val="20"/>
              </w:rPr>
              <w:t xml:space="preserve"> </w:t>
            </w:r>
            <w:r w:rsidR="00925B18">
              <w:rPr>
                <w:rFonts w:ascii="Times New Roman" w:hAnsi="Times New Roman" w:cs="Times New Roman"/>
                <w:sz w:val="20"/>
              </w:rPr>
              <w:t xml:space="preserve"> </w:t>
            </w:r>
          </w:p>
        </w:tc>
      </w:tr>
      <w:tr w:rsidR="0037499F" w:rsidRPr="002B1D5B" w:rsidTr="00CD3DBB">
        <w:trPr>
          <w:jc w:val="center"/>
        </w:trPr>
        <w:tc>
          <w:tcPr>
            <w:tcW w:w="3319" w:type="dxa"/>
          </w:tcPr>
          <w:p w:rsidR="0037499F" w:rsidRPr="0037499F" w:rsidRDefault="009543DE" w:rsidP="009E6C69">
            <w:pPr>
              <w:jc w:val="both"/>
              <w:rPr>
                <w:rFonts w:ascii="Times New Roman" w:hAnsi="Times New Roman" w:cs="Times New Roman"/>
                <w:sz w:val="20"/>
              </w:rPr>
            </w:pPr>
            <w:r w:rsidRPr="009543DE">
              <w:rPr>
                <w:rFonts w:ascii="Times New Roman" w:hAnsi="Times New Roman" w:cs="Times New Roman"/>
                <w:sz w:val="20"/>
              </w:rPr>
              <w:t>Monto anual de las inversiones en UEA apalancadas con recursos del programa</w:t>
            </w:r>
            <w:r w:rsidR="0037499F" w:rsidRPr="0037499F">
              <w:rPr>
                <w:rFonts w:ascii="Times New Roman" w:hAnsi="Times New Roman" w:cs="Times New Roman"/>
                <w:sz w:val="20"/>
              </w:rPr>
              <w:t>. (Unidad</w:t>
            </w:r>
            <w:r w:rsidR="003220CD">
              <w:rPr>
                <w:rFonts w:ascii="Times New Roman" w:hAnsi="Times New Roman" w:cs="Times New Roman"/>
                <w:sz w:val="20"/>
              </w:rPr>
              <w:t xml:space="preserve"> de medida</w:t>
            </w:r>
            <w:r w:rsidR="0037499F" w:rsidRPr="0037499F">
              <w:rPr>
                <w:rFonts w:ascii="Times New Roman" w:hAnsi="Times New Roman" w:cs="Times New Roman"/>
                <w:sz w:val="20"/>
              </w:rPr>
              <w:t>: Millones de USD)</w:t>
            </w:r>
          </w:p>
        </w:tc>
        <w:tc>
          <w:tcPr>
            <w:tcW w:w="2790" w:type="dxa"/>
          </w:tcPr>
          <w:p w:rsidR="0037499F" w:rsidRDefault="0037499F" w:rsidP="0037499F">
            <w:pPr>
              <w:jc w:val="center"/>
              <w:rPr>
                <w:rFonts w:ascii="Times New Roman" w:hAnsi="Times New Roman" w:cs="Times New Roman"/>
                <w:sz w:val="20"/>
              </w:rPr>
            </w:pPr>
            <w:r w:rsidRPr="0037499F">
              <w:rPr>
                <w:rFonts w:ascii="Times New Roman" w:hAnsi="Times New Roman" w:cs="Times New Roman"/>
                <w:sz w:val="20"/>
              </w:rPr>
              <w:t>Ninguna</w:t>
            </w:r>
          </w:p>
        </w:tc>
        <w:tc>
          <w:tcPr>
            <w:tcW w:w="1350" w:type="dxa"/>
          </w:tcPr>
          <w:p w:rsidR="0037499F" w:rsidRDefault="00925B18" w:rsidP="00CD3DBB">
            <w:pPr>
              <w:jc w:val="center"/>
              <w:rPr>
                <w:rFonts w:ascii="Times New Roman" w:hAnsi="Times New Roman" w:cs="Times New Roman"/>
                <w:sz w:val="20"/>
              </w:rPr>
            </w:pPr>
            <w:r>
              <w:rPr>
                <w:rFonts w:ascii="Times New Roman" w:hAnsi="Times New Roman" w:cs="Times New Roman"/>
                <w:sz w:val="20"/>
              </w:rPr>
              <w:t>Anual</w:t>
            </w:r>
          </w:p>
        </w:tc>
        <w:tc>
          <w:tcPr>
            <w:tcW w:w="2617" w:type="dxa"/>
          </w:tcPr>
          <w:p w:rsidR="0037499F" w:rsidRPr="0037499F" w:rsidRDefault="0037499F" w:rsidP="003130B1">
            <w:pPr>
              <w:jc w:val="both"/>
              <w:rPr>
                <w:rFonts w:ascii="Times New Roman" w:hAnsi="Times New Roman" w:cs="Times New Roman"/>
                <w:sz w:val="20"/>
              </w:rPr>
            </w:pPr>
            <w:r w:rsidRPr="0037499F">
              <w:rPr>
                <w:rFonts w:ascii="Times New Roman" w:hAnsi="Times New Roman" w:cs="Times New Roman"/>
                <w:sz w:val="20"/>
              </w:rPr>
              <w:t>Información Administrativa: Sistema de Información del Programa en FIRA</w:t>
            </w:r>
            <w:r w:rsidR="00925B18">
              <w:rPr>
                <w:rFonts w:ascii="Times New Roman" w:hAnsi="Times New Roman" w:cs="Times New Roman"/>
                <w:sz w:val="20"/>
              </w:rPr>
              <w:t xml:space="preserve">. </w:t>
            </w:r>
          </w:p>
        </w:tc>
      </w:tr>
      <w:tr w:rsidR="0037499F" w:rsidRPr="002B1D5B" w:rsidTr="00CD3DBB">
        <w:trPr>
          <w:jc w:val="center"/>
        </w:trPr>
        <w:tc>
          <w:tcPr>
            <w:tcW w:w="3319" w:type="dxa"/>
          </w:tcPr>
          <w:p w:rsidR="0037499F" w:rsidRPr="002B1D5B" w:rsidRDefault="009543DE" w:rsidP="003130B1">
            <w:pPr>
              <w:jc w:val="both"/>
              <w:rPr>
                <w:rFonts w:ascii="Times New Roman" w:hAnsi="Times New Roman" w:cs="Times New Roman"/>
                <w:sz w:val="20"/>
              </w:rPr>
            </w:pPr>
            <w:r w:rsidRPr="009543DE">
              <w:rPr>
                <w:rFonts w:ascii="Times New Roman" w:hAnsi="Times New Roman" w:cs="Times New Roman"/>
                <w:sz w:val="20"/>
              </w:rPr>
              <w:t>Plazo promedio de los préstamos otorgados con recursos del programa se incrementa con relación al plazo promedio de los créditos del sistema</w:t>
            </w:r>
            <w:r w:rsidR="0037499F" w:rsidRPr="0037499F">
              <w:rPr>
                <w:rFonts w:ascii="Times New Roman" w:hAnsi="Times New Roman" w:cs="Times New Roman"/>
                <w:sz w:val="20"/>
              </w:rPr>
              <w:t xml:space="preserve"> (Unidad</w:t>
            </w:r>
            <w:r w:rsidR="003220CD">
              <w:rPr>
                <w:rFonts w:ascii="Times New Roman" w:hAnsi="Times New Roman" w:cs="Times New Roman"/>
                <w:sz w:val="20"/>
              </w:rPr>
              <w:t xml:space="preserve"> de medida</w:t>
            </w:r>
            <w:r w:rsidR="0037499F" w:rsidRPr="0037499F">
              <w:rPr>
                <w:rFonts w:ascii="Times New Roman" w:hAnsi="Times New Roman" w:cs="Times New Roman"/>
                <w:sz w:val="20"/>
              </w:rPr>
              <w:t>: Numero de meses)</w:t>
            </w:r>
          </w:p>
        </w:tc>
        <w:tc>
          <w:tcPr>
            <w:tcW w:w="2790" w:type="dxa"/>
          </w:tcPr>
          <w:p w:rsidR="0037499F" w:rsidRPr="002B1D5B" w:rsidRDefault="0037499F" w:rsidP="00E135CD">
            <w:pPr>
              <w:jc w:val="center"/>
              <w:rPr>
                <w:rFonts w:ascii="Times New Roman" w:hAnsi="Times New Roman" w:cs="Times New Roman"/>
                <w:sz w:val="20"/>
              </w:rPr>
            </w:pPr>
            <w:r w:rsidRPr="0037499F">
              <w:rPr>
                <w:rFonts w:ascii="Times New Roman" w:hAnsi="Times New Roman" w:cs="Times New Roman"/>
                <w:sz w:val="20"/>
              </w:rPr>
              <w:t>Ninguna</w:t>
            </w:r>
          </w:p>
        </w:tc>
        <w:tc>
          <w:tcPr>
            <w:tcW w:w="1350" w:type="dxa"/>
          </w:tcPr>
          <w:p w:rsidR="0037499F" w:rsidRPr="002B1D5B" w:rsidRDefault="00925B18" w:rsidP="00CD3DBB">
            <w:pPr>
              <w:jc w:val="center"/>
              <w:rPr>
                <w:rFonts w:ascii="Times New Roman" w:hAnsi="Times New Roman" w:cs="Times New Roman"/>
                <w:sz w:val="20"/>
              </w:rPr>
            </w:pPr>
            <w:r>
              <w:rPr>
                <w:rFonts w:ascii="Times New Roman" w:hAnsi="Times New Roman" w:cs="Times New Roman"/>
                <w:sz w:val="20"/>
              </w:rPr>
              <w:t>Anual</w:t>
            </w:r>
          </w:p>
        </w:tc>
        <w:tc>
          <w:tcPr>
            <w:tcW w:w="2617" w:type="dxa"/>
          </w:tcPr>
          <w:p w:rsidR="0037499F" w:rsidRPr="002B1D5B" w:rsidRDefault="00665DFD" w:rsidP="003130B1">
            <w:pPr>
              <w:jc w:val="both"/>
              <w:rPr>
                <w:rFonts w:ascii="Times New Roman" w:hAnsi="Times New Roman" w:cs="Times New Roman"/>
                <w:sz w:val="20"/>
              </w:rPr>
            </w:pPr>
            <w:r w:rsidRPr="00665DFD">
              <w:rPr>
                <w:rFonts w:ascii="Times New Roman" w:hAnsi="Times New Roman" w:cs="Times New Roman"/>
                <w:sz w:val="20"/>
              </w:rPr>
              <w:t>Información Administrativa: Sistema de Información del Programa en FIRA</w:t>
            </w:r>
          </w:p>
        </w:tc>
      </w:tr>
    </w:tbl>
    <w:p w:rsidR="00E249DC" w:rsidRPr="00527B52" w:rsidRDefault="00306388" w:rsidP="00306388">
      <w:pPr>
        <w:pStyle w:val="FirstHeading"/>
      </w:pPr>
      <w:r>
        <w:fldChar w:fldCharType="begin"/>
      </w:r>
      <w:r>
        <w:instrText xml:space="preserve"> SEQ "</w:instrText>
      </w:r>
      <w:r w:rsidR="0090558B">
        <w:fldChar w:fldCharType="begin"/>
      </w:r>
      <w:r w:rsidR="0090558B">
        <w:instrText xml:space="preserve"> </w:instrText>
      </w:r>
      <w:r w:rsidR="0090558B">
        <w:instrText xml:space="preserve">SECTION  \* MERGEFORMAT </w:instrText>
      </w:r>
      <w:r w:rsidR="0090558B">
        <w:fldChar w:fldCharType="separate"/>
      </w:r>
      <w:r w:rsidR="008C5579">
        <w:instrText>3</w:instrText>
      </w:r>
      <w:r w:rsidR="0090558B">
        <w:fldChar w:fldCharType="end"/>
      </w:r>
      <w:r>
        <w:instrText xml:space="preserve">#"\* ALPHABETIC \* MERGEFORMAT </w:instrText>
      </w:r>
      <w:r>
        <w:fldChar w:fldCharType="separate"/>
      </w:r>
      <w:bookmarkStart w:id="5" w:name="_Toc391543460"/>
      <w:r w:rsidR="008C5579">
        <w:rPr>
          <w:noProof/>
        </w:rPr>
        <w:t>C</w:t>
      </w:r>
      <w:r>
        <w:fldChar w:fldCharType="end"/>
      </w:r>
      <w:r>
        <w:t>.</w:t>
      </w:r>
      <w:r>
        <w:tab/>
      </w:r>
      <w:r w:rsidR="00E249DC" w:rsidRPr="00527B52">
        <w:t>Recolección de datos e instrumentos</w:t>
      </w:r>
      <w:bookmarkEnd w:id="5"/>
    </w:p>
    <w:p w:rsidR="00E249DC" w:rsidRPr="00527B52" w:rsidRDefault="00E249DC" w:rsidP="00CD3DBB">
      <w:pPr>
        <w:pStyle w:val="Paragraph"/>
      </w:pPr>
      <w:r w:rsidRPr="00527B52">
        <w:t>El Organismo Ejecutor y el Banco acordarán una Matriz de Resultados del Programa y las actividades definidas en el Plan de Ejecución Multianual como el Plan de Monitoreo del Programa, el cual dependerá de información recolectada por FIRA, a través de sus sistemas informáticos, a los efectos de responder por los progresos en la ejecución del programa.</w:t>
      </w:r>
    </w:p>
    <w:p w:rsidR="00E249DC" w:rsidRPr="00527B52" w:rsidRDefault="00E249DC" w:rsidP="00CD3DBB">
      <w:pPr>
        <w:pStyle w:val="Paragraph"/>
      </w:pPr>
      <w:r w:rsidRPr="00527B52">
        <w:t>Con recursos de la primera asistencia técnica no reembolsable a ser financiada con recursos del CTF</w:t>
      </w:r>
      <w:r w:rsidR="00102F6F">
        <w:t xml:space="preserve"> (ME-T1265)</w:t>
      </w:r>
      <w:r w:rsidRPr="00527B52">
        <w:t xml:space="preserve">, se financiará el diseño e implementación del sistema de información del programa en FIRA. Este sistema contendrá todos los registros e </w:t>
      </w:r>
      <w:r w:rsidRPr="00527B52">
        <w:lastRenderedPageBreak/>
        <w:t xml:space="preserve">información administrativa de todas las actividades financiadas por el programa, así como toda la información relevante de los procesadores de alimentos y emprendimientos agrícolas primarios que apliquen para recibir apoyos tanto del programa de eficiencia energética como del programa de tecnificación de riego, respectivamente. Esta última incluirá tanto la información básica de los procesadores de alimentos y productores primarios apoyados (nombre, ubicación, tamaño, número de empleados, distribución de los empleados por género, capacidad instalada, área cultivada, etc.) así como también indicadores de desempeño financiero (ventas, costos operativos, costos energéticos, costos de electricidad o agua, etc.), obtenidos a partir de sus estados financieros, y de los resultados de los proyectos apoyados por el programa (ahorros energéticos, reducciones de emisiones de CO2 y ahorros de agua) compilados por proveedores de equipamientos de EE, los propios beneficiarios de ambos programas o de consultores contratados para levantar dichas informaciones con recursos de </w:t>
      </w:r>
      <w:r w:rsidR="00A359CC">
        <w:t xml:space="preserve">las </w:t>
      </w:r>
      <w:r w:rsidR="00DC2989" w:rsidRPr="00527B52">
        <w:t>cooperacion</w:t>
      </w:r>
      <w:r w:rsidR="00DC2989">
        <w:t>es</w:t>
      </w:r>
      <w:r w:rsidRPr="00527B52">
        <w:t xml:space="preserve"> técnica</w:t>
      </w:r>
      <w:r w:rsidR="00A359CC">
        <w:t>s</w:t>
      </w:r>
      <w:r w:rsidRPr="00527B52">
        <w:t xml:space="preserve"> </w:t>
      </w:r>
      <w:r w:rsidR="00A359CC">
        <w:t xml:space="preserve">fondeadas con recursos </w:t>
      </w:r>
      <w:r w:rsidRPr="00527B52">
        <w:t>del CTF</w:t>
      </w:r>
      <w:r w:rsidR="00A359CC">
        <w:t xml:space="preserve"> (ME-T1265 y ME-T1266)</w:t>
      </w:r>
      <w:r w:rsidRPr="00527B52">
        <w:t xml:space="preserve">. Estas informaciones serán requeridas como parte del proceso de elegibilidad de los beneficiarios a ambos programas así como de rendición de cuentas de los resultados obtenidos una vez que los apoyos de ambos programas han sido brindados. El sistema de información será mantenido y gerenciado por FIRA. El monitoreo y reporte de los productos </w:t>
      </w:r>
      <w:r w:rsidR="00A359CC">
        <w:t xml:space="preserve">y resultados </w:t>
      </w:r>
      <w:r w:rsidRPr="00527B52">
        <w:t>previstos en la Matriz de Resultados será obtenido de informaciones de tipo administrativ</w:t>
      </w:r>
      <w:r w:rsidR="00A359CC">
        <w:t>o</w:t>
      </w:r>
      <w:r w:rsidRPr="00527B52">
        <w:t>.</w:t>
      </w:r>
    </w:p>
    <w:p w:rsidR="00E249DC" w:rsidRPr="00527B52" w:rsidRDefault="00306388" w:rsidP="00306388">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3</w:instrText>
      </w:r>
      <w:r w:rsidR="0090558B">
        <w:fldChar w:fldCharType="end"/>
      </w:r>
      <w:r>
        <w:instrText xml:space="preserve">#"\* ALPHABETIC \* MERGEFORMAT </w:instrText>
      </w:r>
      <w:r>
        <w:fldChar w:fldCharType="separate"/>
      </w:r>
      <w:bookmarkStart w:id="6" w:name="_Toc391543461"/>
      <w:r w:rsidR="008C5579">
        <w:rPr>
          <w:noProof/>
        </w:rPr>
        <w:t>D</w:t>
      </w:r>
      <w:r>
        <w:fldChar w:fldCharType="end"/>
      </w:r>
      <w:r>
        <w:t>.</w:t>
      </w:r>
      <w:r>
        <w:tab/>
      </w:r>
      <w:r w:rsidR="00E249DC" w:rsidRPr="00527B52">
        <w:t>Reportes</w:t>
      </w:r>
      <w:bookmarkEnd w:id="6"/>
    </w:p>
    <w:p w:rsidR="00E249DC" w:rsidRPr="00527B52" w:rsidRDefault="00E249DC" w:rsidP="00CD3DBB">
      <w:pPr>
        <w:pStyle w:val="Paragraph"/>
      </w:pPr>
      <w:r w:rsidRPr="00527B52">
        <w:t xml:space="preserve">La ejecución del programa será monitoreado a través de informes de seguimiento. Dichos informes serán preparados por FIRA, sobre la base de la información provista por sus propios intermediarios, los proveedores de </w:t>
      </w:r>
      <w:r w:rsidR="00A359CC">
        <w:t>servicios de energía y equipos de EE</w:t>
      </w:r>
      <w:r w:rsidRPr="00527B52">
        <w:t xml:space="preserve">, beneficiarios o por consultores vinculados a ambos componentes de financiamiento, y enviados al Banco en los plazos estipulados en las condiciones generales del contrato de préstamo. Estos informes, que constituirán una fuente de información para el BANCO y el CTF, incluyen: (i) informes semestrales; (ii) un informe de progreso intermedio, 24 meses después de la fecha del primer desembolso; y (iii) un Informe Final, al final de la ejecución del programa. En general, estos informes proporcionarán evidencia sobre: a) el estado de ejecución de las actividades del programa, los problemas y/o riesgos de ejecución identificados y las medidas propuestas para subsanar o mitigar esos problemas o riesgos; b) la medida en que se están cumpliendo los requisitos ambientales y sociales del programa; y c) el logro de los indicadores de producto, resultado e impacto, en la medida en que estos </w:t>
      </w:r>
      <w:r w:rsidR="00A359CC">
        <w:t>ocúrranse materialicen</w:t>
      </w:r>
      <w:r w:rsidRPr="00527B52">
        <w:t>.</w:t>
      </w:r>
    </w:p>
    <w:p w:rsidR="005D14BD" w:rsidRPr="00527B52" w:rsidRDefault="005D14BD" w:rsidP="00CD3DBB">
      <w:pPr>
        <w:pStyle w:val="Paragraph"/>
      </w:pPr>
      <w:r w:rsidRPr="00527B52">
        <w:t>Además, los esfuerzos de monitoreo del programa incluyen auditorías financieras a ser realizadas anualmente por una firma de contadores públicos independientes aceptables para el Banco, de conformidad con las directrices del Banco para informes financieros y auditorías externas.</w:t>
      </w:r>
    </w:p>
    <w:p w:rsidR="005D14BD" w:rsidRPr="00527B52" w:rsidRDefault="00306388" w:rsidP="00306388">
      <w:pPr>
        <w:pStyle w:val="FirstHeading"/>
      </w:pPr>
      <w:r>
        <w:lastRenderedPageBreak/>
        <w:fldChar w:fldCharType="begin"/>
      </w:r>
      <w:r>
        <w:instrText xml:space="preserve"> SEQ "</w:instrText>
      </w:r>
      <w:r w:rsidR="0090558B">
        <w:fldChar w:fldCharType="begin"/>
      </w:r>
      <w:r w:rsidR="0090558B">
        <w:instrText xml:space="preserve"> </w:instrText>
      </w:r>
      <w:r w:rsidR="0090558B">
        <w:instrText xml:space="preserve">SECTION  \* MERGEFORMAT </w:instrText>
      </w:r>
      <w:r w:rsidR="0090558B">
        <w:fldChar w:fldCharType="separate"/>
      </w:r>
      <w:r w:rsidR="008C5579">
        <w:instrText>3</w:instrText>
      </w:r>
      <w:r w:rsidR="0090558B">
        <w:fldChar w:fldCharType="end"/>
      </w:r>
      <w:r>
        <w:instrText xml:space="preserve">#"\* ALPHABETIC \* MERGEFORMAT </w:instrText>
      </w:r>
      <w:r>
        <w:fldChar w:fldCharType="separate"/>
      </w:r>
      <w:bookmarkStart w:id="7" w:name="_Toc391543462"/>
      <w:r w:rsidR="008C5579">
        <w:rPr>
          <w:noProof/>
        </w:rPr>
        <w:t>E</w:t>
      </w:r>
      <w:r>
        <w:fldChar w:fldCharType="end"/>
      </w:r>
      <w:r>
        <w:t>.</w:t>
      </w:r>
      <w:r>
        <w:tab/>
      </w:r>
      <w:r w:rsidR="005D14BD" w:rsidRPr="00527B52">
        <w:t>Coordinación, plan de trabajo y presupuesto</w:t>
      </w:r>
      <w:bookmarkEnd w:id="7"/>
    </w:p>
    <w:p w:rsidR="005D14BD" w:rsidRPr="00527B52" w:rsidRDefault="005D14BD" w:rsidP="00CD3DBB">
      <w:pPr>
        <w:pStyle w:val="Paragraph"/>
      </w:pPr>
      <w:r w:rsidRPr="00527B52">
        <w:t>FIRA</w:t>
      </w:r>
      <w:r w:rsidR="00A359CC">
        <w:t xml:space="preserve">, como Organismo Ejecutor, </w:t>
      </w:r>
      <w:r w:rsidRPr="00527B52">
        <w:t xml:space="preserve">será responsable por la supervisión y coordinación estratégica, técnica y administrativa del programa como un todo. Sus funciones administrativas incluirán, entre otras: (i) la planificación de la ejecución del programa; (ii) sus desembolsos; (iii) sus controles internos; (iv) su auditoria; (v) el mantenimiento y continua actualización, con el apoyo de los proveedores de servicios </w:t>
      </w:r>
      <w:r w:rsidR="00A359CC">
        <w:t xml:space="preserve">de energía y equipos de EE </w:t>
      </w:r>
      <w:r w:rsidRPr="00527B52">
        <w:t>así como de las propias firmas beneficiarias y algunos consultores contratados con recursos de las CT</w:t>
      </w:r>
      <w:r w:rsidR="00A359CC">
        <w:t>s</w:t>
      </w:r>
      <w:r w:rsidRPr="00527B52">
        <w:t xml:space="preserve"> no reembolsables que apoyaran el programa, de la información que será necesaria para generar los indicadores de resultado del programa; (vi) su monitoreo y evaluación de resultados, con apoyos de la </w:t>
      </w:r>
      <w:r w:rsidR="00A359CC">
        <w:t>ME-T1266</w:t>
      </w:r>
      <w:r w:rsidRPr="00527B52">
        <w:t>; y (vii) la generación de reportes periódicos sobre su desempeño.</w:t>
      </w:r>
    </w:p>
    <w:p w:rsidR="005D14BD" w:rsidRPr="00527B52" w:rsidRDefault="005D14BD" w:rsidP="00306388">
      <w:pPr>
        <w:pStyle w:val="Paragraph"/>
        <w:spacing w:after="240"/>
      </w:pPr>
      <w:r w:rsidRPr="00527B52">
        <w:t xml:space="preserve">Para efectos de </w:t>
      </w:r>
      <w:r w:rsidR="00A359CC">
        <w:t xml:space="preserve">la </w:t>
      </w:r>
      <w:r w:rsidRPr="00527B52">
        <w:t xml:space="preserve">ejecución, FIRA designará formalmente a un Coordinador del Programa que actuará como enlace con el Banco. Las responsabilidades del Coordinador del Programa incluirán la gestión administrativa y técnica cotidiana del programa. Para apoyar al Coordinador del Programa en sus responsabilidades administrativas y técnicas, tanto durante su preparación como en su ejecución, se prevé la contratación de un consultor </w:t>
      </w:r>
      <w:r w:rsidR="00C75E71">
        <w:t>con</w:t>
      </w:r>
      <w:r w:rsidRPr="00527B52">
        <w:t xml:space="preserve"> recursos de asistencia técnica no reembolsable provenientes del CTF, bajo términos de referencia previamente acordados con el Banco.</w:t>
      </w:r>
    </w:p>
    <w:tbl>
      <w:tblPr>
        <w:tblStyle w:val="TableGrid"/>
        <w:tblW w:w="9868" w:type="dxa"/>
        <w:jc w:val="center"/>
        <w:tblInd w:w="320" w:type="dxa"/>
        <w:tblLayout w:type="fixed"/>
        <w:tblLook w:val="04A0" w:firstRow="1" w:lastRow="0" w:firstColumn="1" w:lastColumn="0" w:noHBand="0" w:noVBand="1"/>
      </w:tblPr>
      <w:tblGrid>
        <w:gridCol w:w="2488"/>
        <w:gridCol w:w="360"/>
        <w:gridCol w:w="360"/>
        <w:gridCol w:w="360"/>
        <w:gridCol w:w="360"/>
        <w:gridCol w:w="360"/>
        <w:gridCol w:w="360"/>
        <w:gridCol w:w="360"/>
        <w:gridCol w:w="360"/>
        <w:gridCol w:w="360"/>
        <w:gridCol w:w="360"/>
        <w:gridCol w:w="1267"/>
        <w:gridCol w:w="1350"/>
        <w:gridCol w:w="1163"/>
      </w:tblGrid>
      <w:tr w:rsidR="005D14BD" w:rsidRPr="00846535" w:rsidTr="00306388">
        <w:trPr>
          <w:jc w:val="center"/>
        </w:trPr>
        <w:tc>
          <w:tcPr>
            <w:tcW w:w="2488" w:type="dxa"/>
            <w:vMerge w:val="restart"/>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Actividades Claves de Monitoreo / Productos por Actividad</w:t>
            </w:r>
          </w:p>
        </w:tc>
        <w:tc>
          <w:tcPr>
            <w:tcW w:w="720" w:type="dxa"/>
            <w:gridSpan w:val="2"/>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2014</w:t>
            </w:r>
          </w:p>
        </w:tc>
        <w:tc>
          <w:tcPr>
            <w:tcW w:w="720" w:type="dxa"/>
            <w:gridSpan w:val="2"/>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2015</w:t>
            </w:r>
          </w:p>
        </w:tc>
        <w:tc>
          <w:tcPr>
            <w:tcW w:w="720" w:type="dxa"/>
            <w:gridSpan w:val="2"/>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2016</w:t>
            </w:r>
          </w:p>
        </w:tc>
        <w:tc>
          <w:tcPr>
            <w:tcW w:w="720" w:type="dxa"/>
            <w:gridSpan w:val="2"/>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2017</w:t>
            </w:r>
          </w:p>
        </w:tc>
        <w:tc>
          <w:tcPr>
            <w:tcW w:w="720" w:type="dxa"/>
            <w:gridSpan w:val="2"/>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2018</w:t>
            </w:r>
          </w:p>
        </w:tc>
        <w:tc>
          <w:tcPr>
            <w:tcW w:w="1267" w:type="dxa"/>
            <w:vMerge w:val="restart"/>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Costo / Divisa</w:t>
            </w:r>
          </w:p>
        </w:tc>
        <w:tc>
          <w:tcPr>
            <w:tcW w:w="1350" w:type="dxa"/>
            <w:vMerge w:val="restart"/>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Responsable</w:t>
            </w:r>
          </w:p>
        </w:tc>
        <w:tc>
          <w:tcPr>
            <w:tcW w:w="1163" w:type="dxa"/>
            <w:vMerge w:val="restart"/>
          </w:tcPr>
          <w:p w:rsidR="005D14BD" w:rsidRPr="00846535" w:rsidRDefault="005D14BD" w:rsidP="00846535">
            <w:pPr>
              <w:jc w:val="center"/>
              <w:rPr>
                <w:rFonts w:ascii="Times New Roman" w:hAnsi="Times New Roman" w:cs="Times New Roman"/>
                <w:b/>
                <w:sz w:val="20"/>
                <w:szCs w:val="20"/>
              </w:rPr>
            </w:pPr>
            <w:r w:rsidRPr="00846535">
              <w:rPr>
                <w:rFonts w:ascii="Times New Roman" w:hAnsi="Times New Roman" w:cs="Times New Roman"/>
                <w:b/>
                <w:sz w:val="20"/>
                <w:szCs w:val="20"/>
              </w:rPr>
              <w:t>Fuente de fondeo</w:t>
            </w:r>
          </w:p>
        </w:tc>
      </w:tr>
      <w:tr w:rsidR="005D14BD" w:rsidRPr="00846535" w:rsidTr="00306388">
        <w:trPr>
          <w:jc w:val="center"/>
        </w:trPr>
        <w:tc>
          <w:tcPr>
            <w:tcW w:w="2488" w:type="dxa"/>
            <w:vMerge/>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1</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2</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1</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2</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1</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2</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1</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2</w:t>
            </w:r>
          </w:p>
        </w:tc>
        <w:tc>
          <w:tcPr>
            <w:tcW w:w="360" w:type="dxa"/>
          </w:tcPr>
          <w:p w:rsidR="005D14BD" w:rsidRPr="00846535" w:rsidRDefault="00716DA2" w:rsidP="00527B52">
            <w:pPr>
              <w:rPr>
                <w:rFonts w:ascii="Times New Roman" w:hAnsi="Times New Roman" w:cs="Times New Roman"/>
                <w:sz w:val="20"/>
                <w:szCs w:val="20"/>
              </w:rPr>
            </w:pPr>
            <w:r w:rsidRPr="00846535">
              <w:rPr>
                <w:rFonts w:ascii="Times New Roman" w:hAnsi="Times New Roman" w:cs="Times New Roman"/>
                <w:sz w:val="20"/>
                <w:szCs w:val="20"/>
              </w:rPr>
              <w:t>1</w:t>
            </w:r>
          </w:p>
        </w:tc>
        <w:tc>
          <w:tcPr>
            <w:tcW w:w="360" w:type="dxa"/>
          </w:tcPr>
          <w:p w:rsidR="005D14BD" w:rsidRPr="00846535" w:rsidRDefault="00716DA2" w:rsidP="00527B52">
            <w:pPr>
              <w:rPr>
                <w:rFonts w:ascii="Times New Roman" w:hAnsi="Times New Roman" w:cs="Times New Roman"/>
                <w:sz w:val="20"/>
                <w:szCs w:val="20"/>
              </w:rPr>
            </w:pPr>
            <w:r w:rsidRPr="00846535">
              <w:rPr>
                <w:rFonts w:ascii="Times New Roman" w:hAnsi="Times New Roman" w:cs="Times New Roman"/>
                <w:sz w:val="20"/>
                <w:szCs w:val="20"/>
              </w:rPr>
              <w:t>2</w:t>
            </w:r>
          </w:p>
        </w:tc>
        <w:tc>
          <w:tcPr>
            <w:tcW w:w="1267" w:type="dxa"/>
            <w:vMerge/>
          </w:tcPr>
          <w:p w:rsidR="005D14BD" w:rsidRPr="00846535" w:rsidRDefault="005D14BD" w:rsidP="00527B52">
            <w:pPr>
              <w:rPr>
                <w:rFonts w:ascii="Times New Roman" w:hAnsi="Times New Roman" w:cs="Times New Roman"/>
                <w:sz w:val="20"/>
                <w:szCs w:val="20"/>
              </w:rPr>
            </w:pPr>
          </w:p>
        </w:tc>
        <w:tc>
          <w:tcPr>
            <w:tcW w:w="1350" w:type="dxa"/>
            <w:vMerge/>
          </w:tcPr>
          <w:p w:rsidR="005D14BD" w:rsidRPr="00846535" w:rsidRDefault="005D14BD" w:rsidP="00527B52">
            <w:pPr>
              <w:rPr>
                <w:rFonts w:ascii="Times New Roman" w:hAnsi="Times New Roman" w:cs="Times New Roman"/>
                <w:sz w:val="20"/>
                <w:szCs w:val="20"/>
              </w:rPr>
            </w:pPr>
          </w:p>
        </w:tc>
        <w:tc>
          <w:tcPr>
            <w:tcW w:w="1163" w:type="dxa"/>
            <w:vMerge/>
          </w:tcPr>
          <w:p w:rsidR="005D14BD" w:rsidRPr="00846535" w:rsidRDefault="005D14BD" w:rsidP="00527B52">
            <w:pPr>
              <w:rPr>
                <w:rFonts w:ascii="Times New Roman" w:hAnsi="Times New Roman" w:cs="Times New Roman"/>
                <w:sz w:val="20"/>
                <w:szCs w:val="20"/>
              </w:rPr>
            </w:pPr>
          </w:p>
        </w:tc>
      </w:tr>
      <w:tr w:rsidR="005D14BD" w:rsidRPr="00846535" w:rsidTr="00306388">
        <w:trPr>
          <w:jc w:val="center"/>
        </w:trPr>
        <w:tc>
          <w:tcPr>
            <w:tcW w:w="2488"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Reportes de Monitoreo Semestrales</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highlight w:val="yellow"/>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highlight w:val="yellow"/>
              </w:rPr>
            </w:pPr>
            <w:r w:rsidRPr="00846535">
              <w:rPr>
                <w:rFonts w:ascii="Times New Roman" w:hAnsi="Times New Roman" w:cs="Times New Roman"/>
                <w:sz w:val="20"/>
                <w:szCs w:val="20"/>
              </w:rPr>
              <w:t>X</w:t>
            </w:r>
          </w:p>
        </w:tc>
        <w:tc>
          <w:tcPr>
            <w:tcW w:w="360" w:type="dxa"/>
          </w:tcPr>
          <w:p w:rsidR="005D14BD" w:rsidRPr="00846535" w:rsidRDefault="00716DA2" w:rsidP="00527B52">
            <w:pPr>
              <w:rPr>
                <w:rFonts w:ascii="Times New Roman" w:hAnsi="Times New Roman" w:cs="Times New Roman"/>
                <w:sz w:val="20"/>
                <w:szCs w:val="20"/>
                <w:highlight w:val="yellow"/>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highlight w:val="yellow"/>
              </w:rPr>
            </w:pPr>
          </w:p>
        </w:tc>
        <w:tc>
          <w:tcPr>
            <w:tcW w:w="1267"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 xml:space="preserve">Imputado a  ejecución </w:t>
            </w:r>
          </w:p>
        </w:tc>
        <w:tc>
          <w:tcPr>
            <w:tcW w:w="1350" w:type="dxa"/>
          </w:tcPr>
          <w:p w:rsidR="005D14BD" w:rsidRPr="00846535" w:rsidRDefault="005D14BD" w:rsidP="00306388">
            <w:pPr>
              <w:jc w:val="center"/>
              <w:rPr>
                <w:rFonts w:ascii="Times New Roman" w:hAnsi="Times New Roman" w:cs="Times New Roman"/>
                <w:sz w:val="20"/>
                <w:szCs w:val="20"/>
              </w:rPr>
            </w:pPr>
            <w:r w:rsidRPr="00846535">
              <w:rPr>
                <w:rFonts w:ascii="Times New Roman" w:hAnsi="Times New Roman" w:cs="Times New Roman"/>
                <w:sz w:val="20"/>
                <w:szCs w:val="20"/>
              </w:rPr>
              <w:t>FIRA</w:t>
            </w:r>
          </w:p>
        </w:tc>
        <w:tc>
          <w:tcPr>
            <w:tcW w:w="1163" w:type="dxa"/>
          </w:tcPr>
          <w:p w:rsidR="005D14BD" w:rsidRPr="00846535" w:rsidRDefault="005D14BD" w:rsidP="00A359CC">
            <w:pPr>
              <w:jc w:val="both"/>
              <w:rPr>
                <w:rFonts w:ascii="Times New Roman" w:hAnsi="Times New Roman" w:cs="Times New Roman"/>
                <w:sz w:val="20"/>
                <w:szCs w:val="20"/>
              </w:rPr>
            </w:pPr>
            <w:r w:rsidRPr="00846535">
              <w:rPr>
                <w:rFonts w:ascii="Times New Roman" w:hAnsi="Times New Roman" w:cs="Times New Roman"/>
                <w:sz w:val="20"/>
                <w:szCs w:val="20"/>
              </w:rPr>
              <w:t xml:space="preserve">Recursos del </w:t>
            </w:r>
            <w:r w:rsidR="00A359CC">
              <w:rPr>
                <w:rFonts w:ascii="Times New Roman" w:hAnsi="Times New Roman" w:cs="Times New Roman"/>
                <w:sz w:val="20"/>
                <w:szCs w:val="20"/>
              </w:rPr>
              <w:t>Ejecutor</w:t>
            </w:r>
            <w:r w:rsidR="00A359CC" w:rsidRPr="00846535">
              <w:rPr>
                <w:rFonts w:ascii="Times New Roman" w:hAnsi="Times New Roman" w:cs="Times New Roman"/>
                <w:sz w:val="20"/>
                <w:szCs w:val="20"/>
              </w:rPr>
              <w:t xml:space="preserve"> </w:t>
            </w:r>
            <w:r w:rsidRPr="00846535">
              <w:rPr>
                <w:rFonts w:ascii="Times New Roman" w:hAnsi="Times New Roman" w:cs="Times New Roman"/>
                <w:sz w:val="20"/>
                <w:szCs w:val="20"/>
              </w:rPr>
              <w:t>con apoyo  consultor</w:t>
            </w:r>
          </w:p>
        </w:tc>
      </w:tr>
      <w:tr w:rsidR="005D14BD" w:rsidRPr="00846535" w:rsidTr="00306388">
        <w:trPr>
          <w:jc w:val="center"/>
        </w:trPr>
        <w:tc>
          <w:tcPr>
            <w:tcW w:w="2488"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Reporte de Progreso de Medio Termino</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716DA2" w:rsidP="00527B52">
            <w:pPr>
              <w:rPr>
                <w:rFonts w:ascii="Times New Roman" w:hAnsi="Times New Roman" w:cs="Times New Roman"/>
                <w:sz w:val="20"/>
                <w:szCs w:val="20"/>
              </w:rPr>
            </w:pPr>
            <w:r w:rsidRPr="00846535">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highlight w:val="yellow"/>
              </w:rPr>
            </w:pPr>
          </w:p>
        </w:tc>
        <w:tc>
          <w:tcPr>
            <w:tcW w:w="360" w:type="dxa"/>
          </w:tcPr>
          <w:p w:rsidR="005D14BD" w:rsidRPr="00846535" w:rsidRDefault="005D14BD" w:rsidP="00527B52">
            <w:pPr>
              <w:rPr>
                <w:rFonts w:ascii="Times New Roman" w:hAnsi="Times New Roman" w:cs="Times New Roman"/>
                <w:sz w:val="20"/>
                <w:szCs w:val="20"/>
                <w:highlight w:val="yellow"/>
              </w:rPr>
            </w:pPr>
          </w:p>
        </w:tc>
        <w:tc>
          <w:tcPr>
            <w:tcW w:w="1267"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Imputado a ejecución</w:t>
            </w:r>
          </w:p>
        </w:tc>
        <w:tc>
          <w:tcPr>
            <w:tcW w:w="1350" w:type="dxa"/>
          </w:tcPr>
          <w:p w:rsidR="005D14BD" w:rsidRPr="00846535" w:rsidRDefault="005D14BD" w:rsidP="00306388">
            <w:pPr>
              <w:jc w:val="center"/>
              <w:rPr>
                <w:rFonts w:ascii="Times New Roman" w:hAnsi="Times New Roman" w:cs="Times New Roman"/>
                <w:sz w:val="20"/>
                <w:szCs w:val="20"/>
              </w:rPr>
            </w:pPr>
            <w:r w:rsidRPr="00846535">
              <w:rPr>
                <w:rFonts w:ascii="Times New Roman" w:hAnsi="Times New Roman" w:cs="Times New Roman"/>
                <w:sz w:val="20"/>
                <w:szCs w:val="20"/>
              </w:rPr>
              <w:t>FIRA</w:t>
            </w:r>
          </w:p>
        </w:tc>
        <w:tc>
          <w:tcPr>
            <w:tcW w:w="1163" w:type="dxa"/>
          </w:tcPr>
          <w:p w:rsidR="005D14BD" w:rsidRPr="00846535" w:rsidRDefault="005D14BD" w:rsidP="00A359CC">
            <w:pPr>
              <w:jc w:val="both"/>
              <w:rPr>
                <w:rFonts w:ascii="Times New Roman" w:hAnsi="Times New Roman" w:cs="Times New Roman"/>
                <w:sz w:val="20"/>
                <w:szCs w:val="20"/>
              </w:rPr>
            </w:pPr>
            <w:r w:rsidRPr="00846535">
              <w:rPr>
                <w:rFonts w:ascii="Times New Roman" w:hAnsi="Times New Roman" w:cs="Times New Roman"/>
                <w:sz w:val="20"/>
                <w:szCs w:val="20"/>
              </w:rPr>
              <w:t xml:space="preserve">Recursos del </w:t>
            </w:r>
            <w:r w:rsidR="00A359CC">
              <w:rPr>
                <w:rFonts w:ascii="Times New Roman" w:hAnsi="Times New Roman" w:cs="Times New Roman"/>
                <w:sz w:val="20"/>
                <w:szCs w:val="20"/>
              </w:rPr>
              <w:t>Ejecutor</w:t>
            </w:r>
            <w:r w:rsidR="00A359CC" w:rsidRPr="00846535">
              <w:rPr>
                <w:rFonts w:ascii="Times New Roman" w:hAnsi="Times New Roman" w:cs="Times New Roman"/>
                <w:sz w:val="20"/>
                <w:szCs w:val="20"/>
              </w:rPr>
              <w:t xml:space="preserve"> </w:t>
            </w:r>
            <w:r w:rsidRPr="00846535">
              <w:rPr>
                <w:rFonts w:ascii="Times New Roman" w:hAnsi="Times New Roman" w:cs="Times New Roman"/>
                <w:sz w:val="20"/>
                <w:szCs w:val="20"/>
              </w:rPr>
              <w:t>con apoyo  consultor</w:t>
            </w:r>
          </w:p>
        </w:tc>
      </w:tr>
      <w:tr w:rsidR="005D14BD" w:rsidRPr="00846535" w:rsidTr="00306388">
        <w:trPr>
          <w:jc w:val="center"/>
        </w:trPr>
        <w:tc>
          <w:tcPr>
            <w:tcW w:w="2488"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Reporte Final</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highlight w:val="yellow"/>
              </w:rPr>
            </w:pPr>
          </w:p>
        </w:tc>
        <w:tc>
          <w:tcPr>
            <w:tcW w:w="360" w:type="dxa"/>
          </w:tcPr>
          <w:p w:rsidR="005D14BD" w:rsidRPr="00846535" w:rsidRDefault="00716DA2" w:rsidP="00527B52">
            <w:pPr>
              <w:rPr>
                <w:rFonts w:ascii="Times New Roman" w:hAnsi="Times New Roman" w:cs="Times New Roman"/>
                <w:sz w:val="20"/>
                <w:szCs w:val="20"/>
                <w:highlight w:val="yellow"/>
              </w:rPr>
            </w:pPr>
            <w:r w:rsidRPr="00846535">
              <w:rPr>
                <w:rFonts w:ascii="Times New Roman" w:hAnsi="Times New Roman" w:cs="Times New Roman"/>
                <w:sz w:val="20"/>
                <w:szCs w:val="20"/>
              </w:rPr>
              <w:t>X</w:t>
            </w:r>
          </w:p>
        </w:tc>
        <w:tc>
          <w:tcPr>
            <w:tcW w:w="1267"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Imputado a ejecución</w:t>
            </w:r>
          </w:p>
        </w:tc>
        <w:tc>
          <w:tcPr>
            <w:tcW w:w="1350" w:type="dxa"/>
          </w:tcPr>
          <w:p w:rsidR="005D14BD" w:rsidRPr="00846535" w:rsidRDefault="005D14BD" w:rsidP="00306388">
            <w:pPr>
              <w:jc w:val="center"/>
              <w:rPr>
                <w:rFonts w:ascii="Times New Roman" w:hAnsi="Times New Roman" w:cs="Times New Roman"/>
                <w:sz w:val="20"/>
                <w:szCs w:val="20"/>
              </w:rPr>
            </w:pPr>
            <w:r w:rsidRPr="00846535">
              <w:rPr>
                <w:rFonts w:ascii="Times New Roman" w:hAnsi="Times New Roman" w:cs="Times New Roman"/>
                <w:sz w:val="20"/>
                <w:szCs w:val="20"/>
              </w:rPr>
              <w:t>FIRA</w:t>
            </w:r>
          </w:p>
        </w:tc>
        <w:tc>
          <w:tcPr>
            <w:tcW w:w="1163" w:type="dxa"/>
          </w:tcPr>
          <w:p w:rsidR="005D14BD" w:rsidRPr="00846535" w:rsidRDefault="005D14BD" w:rsidP="00A359CC">
            <w:pPr>
              <w:jc w:val="both"/>
              <w:rPr>
                <w:rFonts w:ascii="Times New Roman" w:hAnsi="Times New Roman" w:cs="Times New Roman"/>
                <w:sz w:val="20"/>
                <w:szCs w:val="20"/>
              </w:rPr>
            </w:pPr>
            <w:r w:rsidRPr="00846535">
              <w:rPr>
                <w:rFonts w:ascii="Times New Roman" w:hAnsi="Times New Roman" w:cs="Times New Roman"/>
                <w:sz w:val="20"/>
                <w:szCs w:val="20"/>
              </w:rPr>
              <w:t xml:space="preserve">Recursos del </w:t>
            </w:r>
            <w:r w:rsidR="00A359CC">
              <w:rPr>
                <w:rFonts w:ascii="Times New Roman" w:hAnsi="Times New Roman" w:cs="Times New Roman"/>
                <w:sz w:val="20"/>
                <w:szCs w:val="20"/>
              </w:rPr>
              <w:t>Ejecutor</w:t>
            </w:r>
            <w:r w:rsidR="00A359CC" w:rsidRPr="00846535">
              <w:rPr>
                <w:rFonts w:ascii="Times New Roman" w:hAnsi="Times New Roman" w:cs="Times New Roman"/>
                <w:sz w:val="20"/>
                <w:szCs w:val="20"/>
              </w:rPr>
              <w:t xml:space="preserve"> </w:t>
            </w:r>
            <w:r w:rsidRPr="00846535">
              <w:rPr>
                <w:rFonts w:ascii="Times New Roman" w:hAnsi="Times New Roman" w:cs="Times New Roman"/>
                <w:sz w:val="20"/>
                <w:szCs w:val="20"/>
              </w:rPr>
              <w:t>con apoyo  consultor</w:t>
            </w:r>
          </w:p>
        </w:tc>
      </w:tr>
      <w:tr w:rsidR="005D14BD" w:rsidRPr="00846535" w:rsidTr="00306388">
        <w:trPr>
          <w:jc w:val="center"/>
        </w:trPr>
        <w:tc>
          <w:tcPr>
            <w:tcW w:w="2488"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Auditorias</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A359CC" w:rsidP="00527B52">
            <w:pPr>
              <w:rPr>
                <w:rFonts w:ascii="Times New Roman" w:hAnsi="Times New Roman" w:cs="Times New Roman"/>
                <w:sz w:val="20"/>
                <w:szCs w:val="20"/>
              </w:rPr>
            </w:pPr>
            <w:r>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A359CC" w:rsidP="00527B52">
            <w:pPr>
              <w:rPr>
                <w:rFonts w:ascii="Times New Roman" w:hAnsi="Times New Roman" w:cs="Times New Roman"/>
                <w:sz w:val="20"/>
                <w:szCs w:val="20"/>
              </w:rPr>
            </w:pPr>
            <w:r>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A359CC" w:rsidP="00527B52">
            <w:pPr>
              <w:rPr>
                <w:rFonts w:ascii="Times New Roman" w:hAnsi="Times New Roman" w:cs="Times New Roman"/>
                <w:sz w:val="20"/>
                <w:szCs w:val="20"/>
              </w:rPr>
            </w:pPr>
            <w:r>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rPr>
            </w:pPr>
          </w:p>
        </w:tc>
        <w:tc>
          <w:tcPr>
            <w:tcW w:w="360" w:type="dxa"/>
          </w:tcPr>
          <w:p w:rsidR="005D14BD" w:rsidRPr="00846535" w:rsidRDefault="00A359CC" w:rsidP="00527B52">
            <w:pPr>
              <w:rPr>
                <w:rFonts w:ascii="Times New Roman" w:hAnsi="Times New Roman" w:cs="Times New Roman"/>
                <w:sz w:val="20"/>
                <w:szCs w:val="20"/>
                <w:highlight w:val="yellow"/>
              </w:rPr>
            </w:pPr>
            <w:r w:rsidRPr="00E135CD">
              <w:rPr>
                <w:rFonts w:ascii="Times New Roman" w:hAnsi="Times New Roman" w:cs="Times New Roman"/>
                <w:sz w:val="20"/>
                <w:szCs w:val="20"/>
              </w:rPr>
              <w:t>X</w:t>
            </w:r>
          </w:p>
        </w:tc>
        <w:tc>
          <w:tcPr>
            <w:tcW w:w="360" w:type="dxa"/>
          </w:tcPr>
          <w:p w:rsidR="005D14BD" w:rsidRPr="00846535" w:rsidRDefault="005D14BD" w:rsidP="00527B52">
            <w:pPr>
              <w:rPr>
                <w:rFonts w:ascii="Times New Roman" w:hAnsi="Times New Roman" w:cs="Times New Roman"/>
                <w:sz w:val="20"/>
                <w:szCs w:val="20"/>
                <w:highlight w:val="yellow"/>
              </w:rPr>
            </w:pPr>
          </w:p>
        </w:tc>
        <w:tc>
          <w:tcPr>
            <w:tcW w:w="1267" w:type="dxa"/>
          </w:tcPr>
          <w:p w:rsidR="005D14BD" w:rsidRPr="00846535" w:rsidRDefault="005D14BD" w:rsidP="00527B52">
            <w:pPr>
              <w:rPr>
                <w:rFonts w:ascii="Times New Roman" w:hAnsi="Times New Roman" w:cs="Times New Roman"/>
                <w:sz w:val="20"/>
                <w:szCs w:val="20"/>
              </w:rPr>
            </w:pPr>
            <w:r w:rsidRPr="00846535">
              <w:rPr>
                <w:rFonts w:ascii="Times New Roman" w:hAnsi="Times New Roman" w:cs="Times New Roman"/>
                <w:sz w:val="20"/>
                <w:szCs w:val="20"/>
              </w:rPr>
              <w:t>US$</w:t>
            </w:r>
            <w:r w:rsidR="00300509" w:rsidRPr="00846535">
              <w:rPr>
                <w:rFonts w:ascii="Times New Roman" w:hAnsi="Times New Roman" w:cs="Times New Roman"/>
                <w:sz w:val="20"/>
                <w:szCs w:val="20"/>
              </w:rPr>
              <w:t>120,000</w:t>
            </w:r>
          </w:p>
        </w:tc>
        <w:tc>
          <w:tcPr>
            <w:tcW w:w="1350" w:type="dxa"/>
          </w:tcPr>
          <w:p w:rsidR="005D14BD" w:rsidRPr="00846535" w:rsidRDefault="005D14BD" w:rsidP="00306388">
            <w:pPr>
              <w:jc w:val="center"/>
              <w:rPr>
                <w:rFonts w:ascii="Times New Roman" w:hAnsi="Times New Roman" w:cs="Times New Roman"/>
                <w:sz w:val="20"/>
                <w:szCs w:val="20"/>
              </w:rPr>
            </w:pPr>
            <w:r w:rsidRPr="00846535">
              <w:rPr>
                <w:rFonts w:ascii="Times New Roman" w:hAnsi="Times New Roman" w:cs="Times New Roman"/>
                <w:sz w:val="20"/>
                <w:szCs w:val="20"/>
              </w:rPr>
              <w:t>FIRA</w:t>
            </w:r>
          </w:p>
        </w:tc>
        <w:tc>
          <w:tcPr>
            <w:tcW w:w="1163" w:type="dxa"/>
          </w:tcPr>
          <w:p w:rsidR="005D14BD" w:rsidRPr="00846535" w:rsidRDefault="005D14BD" w:rsidP="00A359CC">
            <w:pPr>
              <w:jc w:val="both"/>
              <w:rPr>
                <w:rFonts w:ascii="Times New Roman" w:hAnsi="Times New Roman" w:cs="Times New Roman"/>
                <w:sz w:val="20"/>
                <w:szCs w:val="20"/>
              </w:rPr>
            </w:pPr>
            <w:r w:rsidRPr="00846535">
              <w:rPr>
                <w:rFonts w:ascii="Times New Roman" w:hAnsi="Times New Roman" w:cs="Times New Roman"/>
                <w:sz w:val="20"/>
                <w:szCs w:val="20"/>
              </w:rPr>
              <w:t xml:space="preserve">Recursos del </w:t>
            </w:r>
            <w:r w:rsidR="00A359CC">
              <w:rPr>
                <w:rFonts w:ascii="Times New Roman" w:hAnsi="Times New Roman" w:cs="Times New Roman"/>
                <w:sz w:val="20"/>
                <w:szCs w:val="20"/>
              </w:rPr>
              <w:t xml:space="preserve">Ejecutor </w:t>
            </w:r>
            <w:r w:rsidRPr="00846535">
              <w:rPr>
                <w:rFonts w:ascii="Times New Roman" w:hAnsi="Times New Roman" w:cs="Times New Roman"/>
                <w:sz w:val="20"/>
                <w:szCs w:val="20"/>
              </w:rPr>
              <w:t>con apoyo auditor externo</w:t>
            </w:r>
          </w:p>
        </w:tc>
      </w:tr>
    </w:tbl>
    <w:p w:rsidR="00306388" w:rsidRDefault="00306388" w:rsidP="00527B52"/>
    <w:p w:rsidR="00306388" w:rsidRDefault="00306388" w:rsidP="00527B52">
      <w:pPr>
        <w:sectPr w:rsidR="00306388" w:rsidSect="00527B52">
          <w:type w:val="continuous"/>
          <w:pgSz w:w="12240" w:h="15840"/>
          <w:pgMar w:top="1417" w:right="1701" w:bottom="1417" w:left="1701" w:header="708" w:footer="708" w:gutter="0"/>
          <w:cols w:space="708"/>
          <w:docGrid w:linePitch="360"/>
        </w:sectPr>
      </w:pPr>
    </w:p>
    <w:p w:rsidR="00C66E3F" w:rsidRPr="00527B52" w:rsidRDefault="00C66E3F" w:rsidP="00306388">
      <w:pPr>
        <w:pStyle w:val="Chapter"/>
        <w:spacing w:before="0"/>
      </w:pPr>
      <w:bookmarkStart w:id="8" w:name="_Toc391543463"/>
      <w:r w:rsidRPr="00527B52">
        <w:lastRenderedPageBreak/>
        <w:t>Evaluación</w:t>
      </w:r>
      <w:bookmarkEnd w:id="8"/>
    </w:p>
    <w:p w:rsidR="003355A2" w:rsidRPr="00527B52" w:rsidRDefault="007B6820" w:rsidP="007B6820">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9" w:name="_Toc391543464"/>
      <w:r w:rsidR="008C5579">
        <w:rPr>
          <w:noProof/>
        </w:rPr>
        <w:t>A</w:t>
      </w:r>
      <w:r>
        <w:fldChar w:fldCharType="end"/>
      </w:r>
      <w:r>
        <w:t>.</w:t>
      </w:r>
      <w:r>
        <w:tab/>
      </w:r>
      <w:r w:rsidR="003355A2" w:rsidRPr="00527B52">
        <w:t>Preguntas de evaluación</w:t>
      </w:r>
      <w:bookmarkEnd w:id="9"/>
    </w:p>
    <w:p w:rsidR="003355A2" w:rsidRPr="00527B52" w:rsidRDefault="0075086E" w:rsidP="007B6820">
      <w:pPr>
        <w:pStyle w:val="Paragraph"/>
      </w:pPr>
      <w:r w:rsidRPr="00527B52">
        <w:t>La evaluación del Programa tiene el objetivo de cuantificar el impacto que tiene el financiamiento sobre su objetivo básico, que es el aprovechamiento sustentable de los recursos naturales.</w:t>
      </w:r>
    </w:p>
    <w:p w:rsidR="0075086E" w:rsidRPr="00527B52" w:rsidRDefault="0075086E" w:rsidP="007B6820">
      <w:pPr>
        <w:pStyle w:val="Paragraph"/>
      </w:pPr>
      <w:r w:rsidRPr="00527B52">
        <w:t>En particular, la evaluación busca responder las siguientes preguntas:</w:t>
      </w:r>
    </w:p>
    <w:p w:rsidR="0075086E" w:rsidRPr="00527B52" w:rsidRDefault="0075086E" w:rsidP="00C337A3">
      <w:pPr>
        <w:pStyle w:val="subpar"/>
      </w:pPr>
      <w:r w:rsidRPr="00527B52">
        <w:t xml:space="preserve">¿El financiamiento ha contribuido a incrementar la eficiencia energética de las </w:t>
      </w:r>
      <w:r w:rsidR="00FE6B44" w:rsidRPr="00527B52">
        <w:t>empresas</w:t>
      </w:r>
      <w:r w:rsidRPr="00527B52">
        <w:t xml:space="preserve"> en el sector manufacturero alimenticio?</w:t>
      </w:r>
    </w:p>
    <w:p w:rsidR="0075086E" w:rsidRPr="00527B52" w:rsidRDefault="00E34343" w:rsidP="00C337A3">
      <w:pPr>
        <w:pStyle w:val="subpar"/>
      </w:pPr>
      <w:r w:rsidRPr="00527B52">
        <w:t>¿</w:t>
      </w:r>
      <w:r w:rsidR="0075086E" w:rsidRPr="00527B52">
        <w:t xml:space="preserve">El </w:t>
      </w:r>
      <w:r w:rsidR="002C77F1" w:rsidRPr="00527B52">
        <w:t xml:space="preserve">financiamiento ha contribuido a incrementar el ahorro de agua de </w:t>
      </w:r>
      <w:r w:rsidR="00FE6B44" w:rsidRPr="00527B52">
        <w:t xml:space="preserve">emprendimientos </w:t>
      </w:r>
      <w:r w:rsidR="00CD416D">
        <w:t xml:space="preserve">agrícolas </w:t>
      </w:r>
      <w:r w:rsidR="00FE6B44" w:rsidRPr="00527B52">
        <w:t>primarios</w:t>
      </w:r>
      <w:r w:rsidR="002C77F1" w:rsidRPr="00527B52">
        <w:t>?</w:t>
      </w:r>
    </w:p>
    <w:p w:rsidR="00082B27" w:rsidRPr="00527B52" w:rsidRDefault="003008BF" w:rsidP="00C337A3">
      <w:pPr>
        <w:pStyle w:val="Paragraph"/>
      </w:pPr>
      <w:r w:rsidRPr="00527B52">
        <w:t>Debido a la naturaleza de los proyectos a financiar</w:t>
      </w:r>
      <w:r w:rsidR="00FE6B44" w:rsidRPr="00527B52">
        <w:t>,</w:t>
      </w:r>
      <w:r w:rsidRPr="00527B52">
        <w:t xml:space="preserve"> los impactos se esperan a corto plazo. Por tanto, la evaluación de los impactos se puede realizar, por igual, a corto plazo. Sin embargo, se fijan los horizontes de evaluación en 2019, para el caso de los proyectos de eficiencia energética, y en 2017, para el caso de </w:t>
      </w:r>
      <w:r w:rsidR="00FE6B44" w:rsidRPr="00527B52">
        <w:t xml:space="preserve">los proyectos de </w:t>
      </w:r>
      <w:r w:rsidRPr="00527B52">
        <w:t>tecnificación de riego</w:t>
      </w:r>
      <w:r w:rsidR="008C4DFA" w:rsidRPr="00527B52">
        <w:t xml:space="preserve">. </w:t>
      </w:r>
      <w:r w:rsidR="00FE6B44" w:rsidRPr="00527B52">
        <w:t xml:space="preserve">Ello obedece a la </w:t>
      </w:r>
      <w:r w:rsidRPr="00527B52">
        <w:t xml:space="preserve">disponibilidad de </w:t>
      </w:r>
      <w:r w:rsidR="00FE6B44" w:rsidRPr="00527B52">
        <w:t xml:space="preserve">la </w:t>
      </w:r>
      <w:r w:rsidRPr="00527B52">
        <w:t>información con la que se realizará la evaluación de impacto</w:t>
      </w:r>
      <w:r w:rsidR="00FE6B44" w:rsidRPr="00527B52">
        <w:t xml:space="preserve"> en ambos casos</w:t>
      </w:r>
      <w:r w:rsidRPr="00527B52">
        <w:t>.</w:t>
      </w:r>
      <w:r w:rsidR="008C4DFA" w:rsidRPr="00527B52">
        <w:t xml:space="preserve"> </w:t>
      </w:r>
    </w:p>
    <w:p w:rsidR="00082B27" w:rsidRPr="00527B52" w:rsidRDefault="008C4DFA" w:rsidP="00C337A3">
      <w:pPr>
        <w:pStyle w:val="Paragraph"/>
      </w:pPr>
      <w:r w:rsidRPr="00527B52">
        <w:t>En el caso</w:t>
      </w:r>
      <w:r w:rsidR="00FE6B44" w:rsidRPr="00527B52">
        <w:t xml:space="preserve"> de los proyectos de </w:t>
      </w:r>
      <w:r w:rsidRPr="00527B52">
        <w:t>eficiencia energética, la fuente de información será</w:t>
      </w:r>
      <w:r w:rsidR="00FE6B44" w:rsidRPr="00527B52">
        <w:t>n</w:t>
      </w:r>
      <w:r w:rsidRPr="00527B52">
        <w:t xml:space="preserve"> los Censos Económicos realizados por el INEGI de manera quinquenal</w:t>
      </w:r>
      <w:r w:rsidR="00082B27" w:rsidRPr="00527B52">
        <w:t xml:space="preserve">. La última ronda de estos Censos </w:t>
      </w:r>
      <w:r w:rsidR="00FE6B44" w:rsidRPr="00527B52">
        <w:t>se realizó en 2009</w:t>
      </w:r>
      <w:r w:rsidR="00082B27" w:rsidRPr="00527B52">
        <w:t xml:space="preserve"> (con información de 2008) y </w:t>
      </w:r>
      <w:r w:rsidR="00FE6B44" w:rsidRPr="00527B52">
        <w:t>este</w:t>
      </w:r>
      <w:r w:rsidR="00082B27" w:rsidRPr="00527B52">
        <w:t xml:space="preserve"> año se está realizando el levantamiento de</w:t>
      </w:r>
      <w:r w:rsidR="00FE6B44" w:rsidRPr="00527B52">
        <w:t>l</w:t>
      </w:r>
      <w:r w:rsidR="00082B27" w:rsidRPr="00527B52">
        <w:t xml:space="preserve"> Censo 2014 (con información correspondiente a 2013). Para 2019, se tendrá la información correspondiente a 2018.</w:t>
      </w:r>
    </w:p>
    <w:p w:rsidR="00082B27" w:rsidRPr="00527B52" w:rsidRDefault="00082B27" w:rsidP="00C337A3">
      <w:pPr>
        <w:pStyle w:val="Paragraph"/>
      </w:pPr>
      <w:r w:rsidRPr="00527B52">
        <w:t xml:space="preserve">Estos Censos recopilan información de cada unidad económica del país, con excepción de las unidades rurales que se dedican a la producción primaria (agricultura, ganadería y forestería). </w:t>
      </w:r>
      <w:r w:rsidR="00FE6B44" w:rsidRPr="00527B52">
        <w:t xml:space="preserve">Entre las variables recopiladas, se incluyen aquellas </w:t>
      </w:r>
      <w:r w:rsidRPr="00527B52">
        <w:t>relacionadas con la actividad económica de la unidad productiva, en par</w:t>
      </w:r>
      <w:r w:rsidR="00FE6B44" w:rsidRPr="00527B52">
        <w:t xml:space="preserve">ticular, el valor de </w:t>
      </w:r>
      <w:r w:rsidR="00CD416D">
        <w:t>sus</w:t>
      </w:r>
      <w:r w:rsidR="00CD416D" w:rsidRPr="00527B52">
        <w:t xml:space="preserve"> </w:t>
      </w:r>
      <w:r w:rsidR="00FE6B44" w:rsidRPr="00527B52">
        <w:t>ventas y</w:t>
      </w:r>
      <w:r w:rsidRPr="00527B52">
        <w:t xml:space="preserve"> </w:t>
      </w:r>
      <w:r w:rsidR="00CD416D">
        <w:t xml:space="preserve">de su </w:t>
      </w:r>
      <w:r w:rsidRPr="00527B52">
        <w:t xml:space="preserve">valor agregado bruto, </w:t>
      </w:r>
      <w:r w:rsidR="00FE6B44" w:rsidRPr="00527B52">
        <w:t>para citar algunas de las más importantes</w:t>
      </w:r>
      <w:r w:rsidRPr="00527B52">
        <w:t xml:space="preserve">. </w:t>
      </w:r>
    </w:p>
    <w:p w:rsidR="00082B27" w:rsidRPr="00527B52" w:rsidRDefault="00082B27" w:rsidP="00C337A3">
      <w:pPr>
        <w:pStyle w:val="Paragraph"/>
      </w:pPr>
      <w:r w:rsidRPr="00527B52">
        <w:t xml:space="preserve">Adicionalmente, estos Censos recopilan información respecto al gasto en energía eléctrica de la unidad productiva. Esta última variable permite inferir el consumo de energía eléctrica a partir de las tarifas de electricidad vigentes en un periodo determinado. Específicamente, estas tarifas </w:t>
      </w:r>
      <w:r w:rsidR="00FE6B44" w:rsidRPr="00527B52">
        <w:t>se publican anualmente</w:t>
      </w:r>
      <w:r w:rsidRPr="00527B52">
        <w:t xml:space="preserve"> en el Balance Nacional de Energía </w:t>
      </w:r>
      <w:r w:rsidR="00FE6B44" w:rsidRPr="00527B52">
        <w:t>de la Corporación Federal de Electricidad (</w:t>
      </w:r>
      <w:r w:rsidRPr="00527B52">
        <w:t>CFE</w:t>
      </w:r>
      <w:r w:rsidR="00FE6B44" w:rsidRPr="00527B52">
        <w:t xml:space="preserve">). </w:t>
      </w:r>
    </w:p>
    <w:p w:rsidR="00082B27" w:rsidRPr="00527B52" w:rsidRDefault="00082B27" w:rsidP="00C337A3">
      <w:pPr>
        <w:pStyle w:val="Paragraph"/>
      </w:pPr>
      <w:r w:rsidRPr="00527B52">
        <w:t>En el caso de ahorro de agua de riego, la fuente de información será</w:t>
      </w:r>
      <w:r w:rsidR="00030D5B">
        <w:t xml:space="preserve">n encuestas realizadas a emprendimientos agrícolas tratados y de control. </w:t>
      </w:r>
      <w:r w:rsidR="00605EFE" w:rsidRPr="00527B52">
        <w:t xml:space="preserve"> Esta</w:t>
      </w:r>
      <w:r w:rsidR="00030D5B">
        <w:t>s</w:t>
      </w:r>
      <w:r w:rsidR="00605EFE" w:rsidRPr="00527B52">
        <w:t xml:space="preserve"> </w:t>
      </w:r>
      <w:r w:rsidR="00030D5B">
        <w:t>e</w:t>
      </w:r>
      <w:r w:rsidR="00605EFE" w:rsidRPr="00527B52">
        <w:t>ncuesta</w:t>
      </w:r>
      <w:r w:rsidR="00030D5B">
        <w:t>s</w:t>
      </w:r>
      <w:r w:rsidR="00605EFE" w:rsidRPr="00527B52">
        <w:t xml:space="preserve"> recopila</w:t>
      </w:r>
      <w:r w:rsidR="00030D5B">
        <w:t>rán</w:t>
      </w:r>
      <w:r w:rsidR="00605EFE" w:rsidRPr="00527B52">
        <w:t xml:space="preserve"> información </w:t>
      </w:r>
      <w:r w:rsidR="003A5709" w:rsidRPr="00527B52">
        <w:t xml:space="preserve">de las características de las unidades productivas rurales que se dedican a la actividad </w:t>
      </w:r>
      <w:r w:rsidR="00030D5B">
        <w:t xml:space="preserve">agrícola, </w:t>
      </w:r>
      <w:r w:rsidR="003A5709" w:rsidRPr="00527B52">
        <w:t xml:space="preserve"> de </w:t>
      </w:r>
      <w:r w:rsidR="00030D5B">
        <w:t>su</w:t>
      </w:r>
      <w:r w:rsidR="00030D5B" w:rsidRPr="00527B52">
        <w:t>s pr</w:t>
      </w:r>
      <w:r w:rsidR="00030D5B">
        <w:t>incipales</w:t>
      </w:r>
      <w:r w:rsidR="00030D5B" w:rsidRPr="00527B52">
        <w:t xml:space="preserve"> </w:t>
      </w:r>
      <w:r w:rsidR="00030D5B">
        <w:t>cultivos</w:t>
      </w:r>
      <w:r w:rsidR="003A5709" w:rsidRPr="00527B52">
        <w:t xml:space="preserve">, de las tecnologías que utilizan, entre otras variables. </w:t>
      </w:r>
    </w:p>
    <w:p w:rsidR="00FF70F6" w:rsidRPr="00527B52" w:rsidRDefault="003A5709" w:rsidP="00C337A3">
      <w:pPr>
        <w:pStyle w:val="Paragraph"/>
      </w:pPr>
      <w:r w:rsidRPr="00527B52">
        <w:lastRenderedPageBreak/>
        <w:t xml:space="preserve">De manera adicional, el Instituto Mexicano de Tecnología del Agua (IMTA) ha generado información relativa a la eficiencia </w:t>
      </w:r>
      <w:r w:rsidR="00CD416D">
        <w:t xml:space="preserve">en la </w:t>
      </w:r>
      <w:r w:rsidRPr="00527B52">
        <w:t>aplicación de diversas tecnologías de agua. Esta información es necesaria para obtener un estimado de la cantidad de agua utilizada por las unidades productivas, dependiendo de la tecnología que utilizan.</w:t>
      </w:r>
    </w:p>
    <w:p w:rsidR="003A5709" w:rsidRPr="00527B52" w:rsidRDefault="00C337A3" w:rsidP="00C337A3">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10" w:name="_Toc391543465"/>
      <w:r w:rsidR="008C5579">
        <w:rPr>
          <w:noProof/>
        </w:rPr>
        <w:t>B</w:t>
      </w:r>
      <w:r>
        <w:fldChar w:fldCharType="end"/>
      </w:r>
      <w:r>
        <w:t>.</w:t>
      </w:r>
      <w:r>
        <w:tab/>
      </w:r>
      <w:r w:rsidR="003A5709" w:rsidRPr="00527B52">
        <w:t>Conocimiento existente</w:t>
      </w:r>
      <w:bookmarkEnd w:id="10"/>
      <w:r w:rsidR="008D28BA" w:rsidRPr="00527B52">
        <w:t xml:space="preserve"> </w:t>
      </w:r>
    </w:p>
    <w:p w:rsidR="003A5709" w:rsidRPr="00527B52" w:rsidRDefault="00D23E34" w:rsidP="00D23E34">
      <w:pPr>
        <w:pStyle w:val="Paragraph"/>
      </w:pPr>
      <w:r w:rsidRPr="00D23E34">
        <w:t>México tiene un potencial muy amplio para disminuir el consumo de energía eléctrica, con su consecuente reducción en las emisiones de gases de efecto invernadero (GEI), generando simultáneamente ahorros económicos importantes. De acuerdo con la Corporación Financiera Internacional (IFC, 2012), en México hay un potencial de ahorro en generación de electricidad superior a 37 mil GWh en los próximos 15 años, lo que equivaldría a alrededor de 13% del consumo de electricidad en el mismo periodo. Adicionalmente, en FIRA-BID (2013) se identificó un universo potencial de 7,000 empresas agroindustriales, y de manera más específica, 500 relacionadas con el procesamiento de frutas y hortalizas, en las que se pudieran  implementar estrategias de eficiencia energética que implicarían ahorros de entre 5% y 30% de los costos totales. El estudio concluye que hay potencial para el desarrollo de un producto financiero para el financiamiento de proyectos de eficiencia energética en el sector agroindustrial.</w:t>
      </w:r>
    </w:p>
    <w:p w:rsidR="000F50C1" w:rsidRPr="00527B52" w:rsidRDefault="00D23E34" w:rsidP="00D23E34">
      <w:pPr>
        <w:pStyle w:val="Paragraph"/>
      </w:pPr>
      <w:r w:rsidRPr="00D23E34">
        <w:t xml:space="preserve">El potencial </w:t>
      </w:r>
      <w:r w:rsidR="00CD416D">
        <w:t>para</w:t>
      </w:r>
      <w:r w:rsidR="00CD416D" w:rsidRPr="00D23E34">
        <w:t xml:space="preserve"> </w:t>
      </w:r>
      <w:r w:rsidRPr="00D23E34">
        <w:t>incrementar la eficiencia energética en el sector industrial de México ha sido reconocido por la propia Secretaría de Energía (SENER) en su Estrategia Nacional para la Transición Energética y el Aprovechamiento Sustentable de la Energía 2012 (SENER, 2012). En esta estrategia se identifica a la adopción de motores eficientes, de sistemas de aire acondicionad</w:t>
      </w:r>
      <w:r w:rsidR="00C75E71">
        <w:t>o</w:t>
      </w:r>
      <w:r w:rsidRPr="00D23E34">
        <w:t xml:space="preserve"> y de cogeneración como medidas costo efectivas, es decir, que los propios ahorros energéticos que se derivan de ello compensan su costo.</w:t>
      </w:r>
    </w:p>
    <w:p w:rsidR="00BC439F" w:rsidRPr="00527B52" w:rsidRDefault="00D23E34" w:rsidP="00D23E34">
      <w:pPr>
        <w:pStyle w:val="Paragraph"/>
      </w:pPr>
      <w:r w:rsidRPr="00D23E34">
        <w:t xml:space="preserve">Adicionalmente, FIRA-BID (2013) </w:t>
      </w:r>
      <w:r w:rsidR="00C75E71" w:rsidRPr="00D23E34">
        <w:t>realiz</w:t>
      </w:r>
      <w:r w:rsidR="00C75E71">
        <w:t>ó</w:t>
      </w:r>
      <w:r w:rsidRPr="00D23E34">
        <w:t xml:space="preserve"> un estudio de mercado para identificar el potencial de ahorro energético en el sector de industrias empacadoras de alimentos. En este estudio se considera la sustitución de motores eficientes, precalentamiento </w:t>
      </w:r>
      <w:r w:rsidR="00CD416D">
        <w:t>a partir de</w:t>
      </w:r>
      <w:r w:rsidR="00CD416D" w:rsidRPr="00D23E34">
        <w:t xml:space="preserve"> </w:t>
      </w:r>
      <w:r w:rsidRPr="00D23E34">
        <w:t xml:space="preserve">calentadores solares de agua, calderas eficientes, sistemas de aire comprimido, sistemas de refrigeración y </w:t>
      </w:r>
      <w:r w:rsidR="00CD416D">
        <w:t xml:space="preserve">sistemas de </w:t>
      </w:r>
      <w:r w:rsidRPr="00D23E34">
        <w:t>cogeneración. Para cada uno de estos equipos se estima el potencial de ahorro energético, así como los costos asociados para su adopción. De este análisis se concluye que en todos los casos la inversión es rentable y se obtiene el retorno de la misma en un periodo de entre 2 y 5 años con unos ahorros en costos de entre 20 y 50 por ciento.</w:t>
      </w:r>
    </w:p>
    <w:p w:rsidR="00B44C94" w:rsidRPr="00527B52" w:rsidRDefault="00D23E34" w:rsidP="00D23E34">
      <w:pPr>
        <w:pStyle w:val="Paragraph"/>
      </w:pPr>
      <w:r w:rsidRPr="00D23E34">
        <w:t>El Fideicomiso para el Ahorro de Energía Eléctrica (FIDE) ha documentado casos sobre los resultados de adoptar medidas de eficiencia energética en el sector industrial. Entre ellos</w:t>
      </w:r>
      <w:r w:rsidR="00CD416D">
        <w:t>,</w:t>
      </w:r>
      <w:r w:rsidRPr="00D23E34">
        <w:t xml:space="preserve"> se encuentran algunos relacionados con los tipos de proyectos </w:t>
      </w:r>
      <w:r w:rsidR="00CD416D">
        <w:t xml:space="preserve">que busca promover el programa propuesto. </w:t>
      </w:r>
      <w:r w:rsidRPr="00D23E34">
        <w:t>A continuación se presentan casos específicos donde se ha comprobado la rentabilidad de este tipo de proyectos.</w:t>
      </w:r>
    </w:p>
    <w:p w:rsidR="00B44C94" w:rsidRPr="00527B52" w:rsidRDefault="00D23E34" w:rsidP="00D23E34">
      <w:pPr>
        <w:pStyle w:val="Paragraph"/>
      </w:pPr>
      <w:r w:rsidRPr="00D23E34">
        <w:lastRenderedPageBreak/>
        <w:t>La empresa Congeladora Bonfil S.P.R. de R.L. instaló un sistema de refrigeración, lo que significó un a</w:t>
      </w:r>
      <w:r>
        <w:t>horro neto anual de MX</w:t>
      </w:r>
      <w:r w:rsidR="00CD416D">
        <w:t>P</w:t>
      </w:r>
      <w:r>
        <w:t xml:space="preserve"> 526.</w:t>
      </w:r>
      <w:r w:rsidRPr="00D23E34">
        <w:t>400 con</w:t>
      </w:r>
      <w:r>
        <w:t xml:space="preserve"> un costo de inversión de MX</w:t>
      </w:r>
      <w:r w:rsidR="00CD416D">
        <w:t>P</w:t>
      </w:r>
      <w:r>
        <w:t xml:space="preserve"> 1.200.</w:t>
      </w:r>
      <w:r w:rsidRPr="00D23E34">
        <w:t xml:space="preserve">000, </w:t>
      </w:r>
      <w:r w:rsidR="00CD416D">
        <w:t xml:space="preserve">la cual </w:t>
      </w:r>
      <w:r w:rsidRPr="00D23E34">
        <w:t xml:space="preserve">se recuperó de </w:t>
      </w:r>
      <w:r>
        <w:t>manera anticipada en 8 meses, aú</w:t>
      </w:r>
      <w:r w:rsidRPr="00D23E34">
        <w:t>n cuando se proyectaba un retorno de la inversión de 2.2 años. Lo anterior signif</w:t>
      </w:r>
      <w:r>
        <w:t>icó un ahorro energético de 399.</w:t>
      </w:r>
      <w:r w:rsidRPr="00D23E34">
        <w:t>272 kWh/año (FIDE, 2012).</w:t>
      </w:r>
      <w:r w:rsidR="006A02D0" w:rsidRPr="00527B52">
        <w:t xml:space="preserve"> </w:t>
      </w:r>
    </w:p>
    <w:p w:rsidR="00B44C94" w:rsidRPr="00527B52" w:rsidRDefault="00D23E34" w:rsidP="00D23E34">
      <w:pPr>
        <w:pStyle w:val="Paragraph"/>
      </w:pPr>
      <w:r w:rsidRPr="00D23E34">
        <w:t>La empresa Natural de Alimentos, S.A. de C.V. sustituyó equipos de refrigeración en 20</w:t>
      </w:r>
      <w:r>
        <w:t>05 con una inversión de MX</w:t>
      </w:r>
      <w:r w:rsidR="00CD416D">
        <w:t>P</w:t>
      </w:r>
      <w:r>
        <w:t xml:space="preserve"> 184.</w:t>
      </w:r>
      <w:r w:rsidRPr="00D23E34">
        <w:t>878, con la cual se obtuvieron ahorros económi</w:t>
      </w:r>
      <w:r>
        <w:t>cos anuales  por MX</w:t>
      </w:r>
      <w:r w:rsidR="00CD416D">
        <w:t>P</w:t>
      </w:r>
      <w:r>
        <w:t xml:space="preserve"> 65.</w:t>
      </w:r>
      <w:r w:rsidRPr="00D23E34">
        <w:t xml:space="preserve">531. Esto significó un plazo </w:t>
      </w:r>
      <w:r>
        <w:t>de retorno de la inversión de 2,</w:t>
      </w:r>
      <w:r w:rsidRPr="00D23E34">
        <w:t>82 años. Esta inve</w:t>
      </w:r>
      <w:r>
        <w:t>rsión significó un ahorro de 64.</w:t>
      </w:r>
      <w:r w:rsidRPr="00D23E34">
        <w:t>368 kWh/año (FIDE, 2005a).</w:t>
      </w:r>
    </w:p>
    <w:p w:rsidR="00B44C94" w:rsidRPr="00527B52" w:rsidRDefault="00D23E34" w:rsidP="00D23E34">
      <w:pPr>
        <w:pStyle w:val="Paragraph"/>
      </w:pPr>
      <w:r w:rsidRPr="00D23E34">
        <w:t>La empresa FOL-MEX, S.A. d</w:t>
      </w:r>
      <w:r>
        <w:t>e C.V. invirtió en 2005 MX</w:t>
      </w:r>
      <w:r w:rsidR="00CD416D">
        <w:t>P</w:t>
      </w:r>
      <w:r>
        <w:t xml:space="preserve"> 987.</w:t>
      </w:r>
      <w:r w:rsidRPr="00D23E34">
        <w:t xml:space="preserve">569 para un sistema de generación de aire comprimido y motores eficientes. Con ello, consiguió ahorros </w:t>
      </w:r>
      <w:r>
        <w:t>económicos anuales por MX</w:t>
      </w:r>
      <w:r w:rsidR="00CD416D">
        <w:t>P</w:t>
      </w:r>
      <w:r>
        <w:t xml:space="preserve"> 449.</w:t>
      </w:r>
      <w:r w:rsidRPr="00D23E34">
        <w:t xml:space="preserve">305, con lo que se logró la recuperación de </w:t>
      </w:r>
      <w:r>
        <w:t>la inversión en un periodo de 2,</w:t>
      </w:r>
      <w:r w:rsidRPr="00D23E34">
        <w:t>2 años. Con</w:t>
      </w:r>
      <w:r>
        <w:t xml:space="preserve"> ello se logró un ahorro de 447.</w:t>
      </w:r>
      <w:r w:rsidRPr="00D23E34">
        <w:t>440 kWh/año (FIDE, 2005b).</w:t>
      </w:r>
    </w:p>
    <w:p w:rsidR="003A5709" w:rsidRPr="00527B52" w:rsidRDefault="00CD416D" w:rsidP="00C337A3">
      <w:pPr>
        <w:pStyle w:val="Paragraph"/>
      </w:pPr>
      <w:r>
        <w:t>Por otro lado, d</w:t>
      </w:r>
      <w:r w:rsidR="003A5709" w:rsidRPr="00527B52">
        <w:t>e acuerdo con CONAGUA (2011:45), 77% del agua que se consume en México se utiliza en actividades agrícolas. De este volumen dos terceras partes se extrae de fuentes superficiales y el resto de fuentes subterráneas. Adicionalmente, de los 653 acuíferos que tiene México, 100 de ellos (15%) se encuentra</w:t>
      </w:r>
      <w:r>
        <w:t>n</w:t>
      </w:r>
      <w:r w:rsidR="003A5709" w:rsidRPr="00527B52">
        <w:t xml:space="preserve"> en estado de sobreexplotación. Cabe señalar que estos acuíferos se encuentran localizados principalmente en áreas agrícolas (CONAGUA, 2011:34). En multitud de ocasiones se ha reconocido que la causa de esta sobreexplotación </w:t>
      </w:r>
      <w:r>
        <w:t xml:space="preserve">hay que buscarla </w:t>
      </w:r>
      <w:r w:rsidR="003A5709" w:rsidRPr="00527B52">
        <w:t xml:space="preserve">en el sector agrícola (ver UNAM-CONAGUA, 2010, por ejemplo). Ante este panorama, la tecnificación de los sistemas de riego </w:t>
      </w:r>
      <w:r w:rsidR="00451EFD" w:rsidRPr="00527B52">
        <w:t>es considerada</w:t>
      </w:r>
      <w:r w:rsidR="003A5709" w:rsidRPr="00527B52">
        <w:t xml:space="preserve"> como una alternativa </w:t>
      </w:r>
      <w:r w:rsidR="00451EFD" w:rsidRPr="00527B52">
        <w:t xml:space="preserve">efectiva </w:t>
      </w:r>
      <w:r w:rsidR="003A5709" w:rsidRPr="00527B52">
        <w:t xml:space="preserve">para disminuir la presión sobre este recurso. </w:t>
      </w:r>
      <w:r w:rsidR="003A5709" w:rsidRPr="007E32AC">
        <w:t>Como referencia de la importancia que ha cobrado esta actividad a nivel gubernamental, en el periodo 2009-201</w:t>
      </w:r>
      <w:r w:rsidR="00FB5ACB" w:rsidRPr="00E135CD">
        <w:t>4</w:t>
      </w:r>
      <w:r w:rsidR="00BA170A" w:rsidRPr="007E32AC">
        <w:t>,</w:t>
      </w:r>
      <w:r w:rsidR="003A5709" w:rsidRPr="007E32AC">
        <w:t xml:space="preserve"> se apoyó la tecnificación de </w:t>
      </w:r>
      <w:r w:rsidR="003A5709" w:rsidRPr="0003205A">
        <w:t>1</w:t>
      </w:r>
      <w:r w:rsidR="00BC3DA9" w:rsidRPr="0003205A">
        <w:t>77</w:t>
      </w:r>
      <w:r w:rsidR="003A5709" w:rsidRPr="0003205A">
        <w:t>,</w:t>
      </w:r>
      <w:r w:rsidR="00BC3DA9" w:rsidRPr="0003205A">
        <w:t>086</w:t>
      </w:r>
      <w:r w:rsidR="003A5709" w:rsidRPr="0003205A">
        <w:t xml:space="preserve"> </w:t>
      </w:r>
      <w:r w:rsidR="003A5709" w:rsidRPr="007E32AC">
        <w:t xml:space="preserve">hectáreas a través de FIRA, con la colocación de créditos por </w:t>
      </w:r>
      <w:r w:rsidR="00BC3DA9" w:rsidRPr="0003205A">
        <w:t>2.168</w:t>
      </w:r>
      <w:r w:rsidR="003A5709" w:rsidRPr="0003205A">
        <w:t xml:space="preserve"> </w:t>
      </w:r>
      <w:r w:rsidR="003A5709" w:rsidRPr="007E32AC">
        <w:t xml:space="preserve">millones de </w:t>
      </w:r>
      <w:r w:rsidR="00BA170A" w:rsidRPr="007E32AC">
        <w:t>pesos en dicho periodo</w:t>
      </w:r>
      <w:r w:rsidR="003A5709" w:rsidRPr="007E32AC">
        <w:t xml:space="preserve"> (</w:t>
      </w:r>
      <w:r w:rsidR="00FB5ACB" w:rsidRPr="00E135CD">
        <w:t>FIRA, 2014</w:t>
      </w:r>
      <w:r w:rsidR="003A5709" w:rsidRPr="007E32AC">
        <w:t>).</w:t>
      </w:r>
    </w:p>
    <w:p w:rsidR="003A5709" w:rsidRPr="00527B52" w:rsidRDefault="003A5709" w:rsidP="00C337A3">
      <w:pPr>
        <w:pStyle w:val="Paragraph"/>
      </w:pPr>
      <w:r w:rsidRPr="00527B52">
        <w:t>Para dimensionar el tamaño del problema que implica la baja tecnificación de riego en México, un experto del Instituto Mexicano de Tecnología del Agua, entrevistado para la elaboración de este documento,</w:t>
      </w:r>
      <w:r w:rsidRPr="00E76875">
        <w:rPr>
          <w:vertAlign w:val="superscript"/>
        </w:rPr>
        <w:footnoteReference w:id="4"/>
      </w:r>
      <w:r w:rsidRPr="00527B52">
        <w:t xml:space="preserve"> proporcionó información relevante. Primero, en México existen alrededor de 6 millones de hectáreas bajo riego, de éstas, entre 85% y 90% utilizan tecnología de rodado (o gravedad) y sólo el restante 10% a 15% de la superficie utiliza algún sistema presurizado. Con </w:t>
      </w:r>
      <w:r w:rsidR="00BA170A" w:rsidRPr="00527B52">
        <w:t>l</w:t>
      </w:r>
      <w:r w:rsidRPr="00527B52">
        <w:t>a tecnología</w:t>
      </w:r>
      <w:r w:rsidR="00BA170A" w:rsidRPr="00527B52">
        <w:t xml:space="preserve"> de rodado</w:t>
      </w:r>
      <w:r w:rsidRPr="00527B52">
        <w:t>, una vez que se tiene el agua disponible a nivel de parcela, la eficiencia de aplicación (es decir, el porcentaje de agua que es aprovechada por el cultivo) está entre 50% y 70%. En contraste, un sistema tecnificado (o presurizado) tiene eficiencias superiores a 80%. Cabe señalar que este porcentaje pudiera ser mayor si existe un buen manejo del sistema, pues teóricamente la eficiencia bajo est</w:t>
      </w:r>
      <w:r w:rsidR="00BA170A" w:rsidRPr="00527B52">
        <w:t>os sistemas pudiera ser de 100%. S</w:t>
      </w:r>
      <w:r w:rsidRPr="00527B52">
        <w:t xml:space="preserve">in embargo, un manejo inadecuado del sistema (por ejemplo, utilizando un sistema de goteo por un periodo mayor que el requerido) es </w:t>
      </w:r>
      <w:r w:rsidR="00DA6601">
        <w:lastRenderedPageBreak/>
        <w:t>lo</w:t>
      </w:r>
      <w:r w:rsidR="00DA6601" w:rsidRPr="00527B52">
        <w:t xml:space="preserve"> </w:t>
      </w:r>
      <w:r w:rsidRPr="00527B52">
        <w:t>que explica la pérdida de 20% en eficiencia. Con estos parámetros, la tecnificación de riego puede incrementar la eficiencia a nivel de parcela en alrededor de 20%, y pudiera ser mayor si se otorga la debida capacitación a los agricultores que operan estos sistemas.</w:t>
      </w:r>
    </w:p>
    <w:p w:rsidR="00FB5ACB" w:rsidRPr="00BC3DA9" w:rsidRDefault="005439BE" w:rsidP="00BC3DA9">
      <w:pPr>
        <w:pStyle w:val="Paragraph"/>
      </w:pPr>
      <w:r w:rsidRPr="00527B52">
        <w:t>Estos resultados esperados se pueden verificar en SAGARPA-FIRCO-IMTA (2010), en donde se presenta una evaluación de impacto del Proyecto de Tecnificación de Riego de la SAGARPA para el ejercicio fiscal 2009.</w:t>
      </w:r>
      <w:r w:rsidR="00B63F8C" w:rsidRPr="00527B52">
        <w:t xml:space="preserve"> Derivado de esta evaluación se concluye que en predios tecnificados se pueden alcanzar ahorros de agua de 19% y pudiera llegar a ser de 32% si se capacita a los productores</w:t>
      </w:r>
      <w:r w:rsidR="0066470D" w:rsidRPr="00527B52">
        <w:t>.</w:t>
      </w:r>
      <w:r w:rsidR="0066470D" w:rsidRPr="00E76875">
        <w:rPr>
          <w:vertAlign w:val="superscript"/>
        </w:rPr>
        <w:footnoteReference w:id="5"/>
      </w:r>
      <w:r w:rsidR="00FB5ACB" w:rsidRPr="00BC3DA9">
        <w:rPr>
          <w:highlight w:val="yellow"/>
        </w:rPr>
        <w:t xml:space="preserve"> </w:t>
      </w:r>
    </w:p>
    <w:p w:rsidR="003A5709" w:rsidRPr="00527B52" w:rsidRDefault="00E76875" w:rsidP="00E76875">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11" w:name="_Toc391543466"/>
      <w:r w:rsidR="008C5579">
        <w:rPr>
          <w:noProof/>
        </w:rPr>
        <w:t>C</w:t>
      </w:r>
      <w:r>
        <w:fldChar w:fldCharType="end"/>
      </w:r>
      <w:r>
        <w:t>.</w:t>
      </w:r>
      <w:r>
        <w:tab/>
      </w:r>
      <w:r w:rsidR="005A284E" w:rsidRPr="00527B52">
        <w:t>Indicadores de</w:t>
      </w:r>
      <w:r w:rsidR="0000089A" w:rsidRPr="00527B52">
        <w:t xml:space="preserve"> impacto.</w:t>
      </w:r>
      <w:bookmarkEnd w:id="11"/>
    </w:p>
    <w:p w:rsidR="0000089A" w:rsidRPr="00527B52" w:rsidRDefault="005A284E" w:rsidP="00CA66C7">
      <w:pPr>
        <w:pStyle w:val="Paragraph"/>
      </w:pPr>
      <w:r w:rsidRPr="00527B52">
        <w:t xml:space="preserve">En esta sección se describen los indicadores de resultados para medir el desempeño del proyecto en términos de su impacto </w:t>
      </w:r>
      <w:r w:rsidR="00CA66C7">
        <w:t>de desarrollo</w:t>
      </w:r>
      <w:r w:rsidRPr="00527B52">
        <w:t>.</w:t>
      </w:r>
      <w:r w:rsidR="000031FD" w:rsidRPr="00527B52">
        <w:t xml:space="preserve"> Se presentan </w:t>
      </w:r>
      <w:r w:rsidR="00102F6F">
        <w:t>2</w:t>
      </w:r>
      <w:r w:rsidR="00102F6F" w:rsidRPr="00527B52">
        <w:t xml:space="preserve"> </w:t>
      </w:r>
      <w:r w:rsidR="000031FD" w:rsidRPr="00527B52">
        <w:t xml:space="preserve">indicadores </w:t>
      </w:r>
      <w:r w:rsidR="00CA66C7">
        <w:t xml:space="preserve">sobre el impacto del </w:t>
      </w:r>
      <w:r w:rsidR="000031FD" w:rsidRPr="00527B52">
        <w:t xml:space="preserve">programa en </w:t>
      </w:r>
      <w:r w:rsidR="00DA6601">
        <w:t>términos de: i) reducir el consumo energético por unidad de producto de</w:t>
      </w:r>
      <w:r w:rsidR="00DA6601" w:rsidRPr="00527B52">
        <w:t xml:space="preserve"> </w:t>
      </w:r>
      <w:r w:rsidR="00DA6601">
        <w:t xml:space="preserve">las </w:t>
      </w:r>
      <w:r w:rsidR="0090558B">
        <w:t>empresas vinculadas al sector agroindustrial</w:t>
      </w:r>
      <w:r w:rsidR="00DA6601">
        <w:t xml:space="preserve"> beneficiarias del programa</w:t>
      </w:r>
      <w:r w:rsidR="0000089A" w:rsidRPr="00527B52">
        <w:t>, respecto a unidades comparables, no beneficiarias</w:t>
      </w:r>
      <w:r w:rsidR="00DA6601">
        <w:t>;</w:t>
      </w:r>
      <w:r w:rsidR="00102F6F">
        <w:t xml:space="preserve"> y</w:t>
      </w:r>
      <w:r w:rsidR="00DA6601">
        <w:t xml:space="preserve"> ii) reducir el consumo de </w:t>
      </w:r>
      <w:r w:rsidR="000031FD" w:rsidRPr="00527B52">
        <w:t xml:space="preserve">agua en </w:t>
      </w:r>
      <w:r w:rsidR="008D28BA" w:rsidRPr="00527B52">
        <w:t xml:space="preserve">emprendimientos agrícolas </w:t>
      </w:r>
      <w:r w:rsidR="00DA6601">
        <w:t>beneficiarios del programa</w:t>
      </w:r>
      <w:r w:rsidR="000031FD" w:rsidRPr="00527B52">
        <w:t xml:space="preserve">, </w:t>
      </w:r>
      <w:r w:rsidR="0000089A" w:rsidRPr="00527B52">
        <w:t>respecto a emprendimientos comparables, no beneficiarios</w:t>
      </w:r>
      <w:r w:rsidR="00102F6F">
        <w:t>. Para cumplir con requerimientos del Clean Technology Fund, se incluye un</w:t>
      </w:r>
      <w:r w:rsidR="007502FA">
        <w:t xml:space="preserve"> tercer</w:t>
      </w:r>
      <w:r w:rsidR="00102F6F">
        <w:t xml:space="preserve"> indicador para medir las reducciones</w:t>
      </w:r>
      <w:r w:rsidR="00CA66C7">
        <w:t xml:space="preserve"> de </w:t>
      </w:r>
      <w:r w:rsidR="00DA6601">
        <w:t>emisiones de Gases Efecto Invernadero</w:t>
      </w:r>
      <w:r w:rsidR="00CA66C7">
        <w:t xml:space="preserve"> </w:t>
      </w:r>
      <w:r w:rsidR="00102F6F">
        <w:t xml:space="preserve">de las empresas apoyadas por el programa </w:t>
      </w:r>
      <w:r w:rsidR="007502FA">
        <w:t xml:space="preserve">en la adopción de medidas de eficiencia energética, el cual </w:t>
      </w:r>
      <w:r w:rsidR="00102F6F">
        <w:t xml:space="preserve">no tiene la misma naturaleza que los dos indicadores anteriores. </w:t>
      </w:r>
      <w:r w:rsidR="002A16EF">
        <w:t>Más</w:t>
      </w:r>
      <w:r w:rsidR="00CA66C7">
        <w:t xml:space="preserve"> específicamente, la siguiente Tabla presenta </w:t>
      </w:r>
      <w:r w:rsidR="0000089A" w:rsidRPr="00527B52">
        <w:t xml:space="preserve">los </w:t>
      </w:r>
      <w:r w:rsidR="00CA66C7">
        <w:t xml:space="preserve">impactos de desarrollo </w:t>
      </w:r>
      <w:r w:rsidR="000031FD" w:rsidRPr="00527B52">
        <w:t>que se espera</w:t>
      </w:r>
      <w:r w:rsidR="0000089A" w:rsidRPr="00527B52">
        <w:t>n alcanzar con el programa</w:t>
      </w:r>
      <w:r w:rsidR="00102F6F">
        <w:t>, así como el indicador que mide las reducciones de Gases Efecto Invernadero de las empresas que inviertan en medidas de eficiencia energética</w:t>
      </w:r>
      <w:r w:rsidR="0000089A" w:rsidRPr="00527B52">
        <w:t xml:space="preserve">. </w:t>
      </w:r>
    </w:p>
    <w:tbl>
      <w:tblPr>
        <w:tblStyle w:val="TableGrid"/>
        <w:tblW w:w="8622" w:type="dxa"/>
        <w:jc w:val="right"/>
        <w:tblInd w:w="720" w:type="dxa"/>
        <w:tblLayout w:type="fixed"/>
        <w:tblLook w:val="04A0" w:firstRow="1" w:lastRow="0" w:firstColumn="1" w:lastColumn="0" w:noHBand="0" w:noVBand="1"/>
      </w:tblPr>
      <w:tblGrid>
        <w:gridCol w:w="1404"/>
        <w:gridCol w:w="1080"/>
        <w:gridCol w:w="2970"/>
        <w:gridCol w:w="1278"/>
        <w:gridCol w:w="1890"/>
      </w:tblGrid>
      <w:tr w:rsidR="005A284E" w:rsidRPr="00E76875" w:rsidTr="0003205A">
        <w:trPr>
          <w:jc w:val="right"/>
        </w:trPr>
        <w:tc>
          <w:tcPr>
            <w:tcW w:w="1404" w:type="dxa"/>
          </w:tcPr>
          <w:p w:rsidR="005A284E" w:rsidRPr="00E76875" w:rsidRDefault="005A284E" w:rsidP="00E76875">
            <w:pPr>
              <w:jc w:val="center"/>
              <w:rPr>
                <w:rFonts w:ascii="Times New Roman" w:hAnsi="Times New Roman" w:cs="Times New Roman"/>
                <w:b/>
                <w:sz w:val="20"/>
                <w:szCs w:val="20"/>
              </w:rPr>
            </w:pPr>
            <w:r w:rsidRPr="00E76875">
              <w:rPr>
                <w:rFonts w:ascii="Times New Roman" w:hAnsi="Times New Roman" w:cs="Times New Roman"/>
                <w:b/>
                <w:sz w:val="20"/>
                <w:szCs w:val="20"/>
              </w:rPr>
              <w:t>Indicador</w:t>
            </w:r>
          </w:p>
        </w:tc>
        <w:tc>
          <w:tcPr>
            <w:tcW w:w="1080" w:type="dxa"/>
          </w:tcPr>
          <w:p w:rsidR="005A284E" w:rsidRPr="00E76875" w:rsidRDefault="005A284E" w:rsidP="00E76875">
            <w:pPr>
              <w:jc w:val="center"/>
              <w:rPr>
                <w:rFonts w:ascii="Times New Roman" w:hAnsi="Times New Roman" w:cs="Times New Roman"/>
                <w:b/>
                <w:sz w:val="20"/>
                <w:szCs w:val="20"/>
              </w:rPr>
            </w:pPr>
            <w:r w:rsidRPr="00E76875">
              <w:rPr>
                <w:rFonts w:ascii="Times New Roman" w:hAnsi="Times New Roman" w:cs="Times New Roman"/>
                <w:b/>
                <w:sz w:val="20"/>
                <w:szCs w:val="20"/>
              </w:rPr>
              <w:t>Unidad</w:t>
            </w:r>
          </w:p>
        </w:tc>
        <w:tc>
          <w:tcPr>
            <w:tcW w:w="2970" w:type="dxa"/>
          </w:tcPr>
          <w:p w:rsidR="005A284E" w:rsidRPr="00E76875" w:rsidRDefault="005A284E" w:rsidP="00E76875">
            <w:pPr>
              <w:jc w:val="center"/>
              <w:rPr>
                <w:rFonts w:ascii="Times New Roman" w:hAnsi="Times New Roman" w:cs="Times New Roman"/>
                <w:b/>
                <w:sz w:val="20"/>
                <w:szCs w:val="20"/>
              </w:rPr>
            </w:pPr>
            <w:r w:rsidRPr="00E76875">
              <w:rPr>
                <w:rFonts w:ascii="Times New Roman" w:hAnsi="Times New Roman" w:cs="Times New Roman"/>
                <w:b/>
                <w:sz w:val="20"/>
                <w:szCs w:val="20"/>
              </w:rPr>
              <w:t>Descripción</w:t>
            </w:r>
          </w:p>
        </w:tc>
        <w:tc>
          <w:tcPr>
            <w:tcW w:w="1278" w:type="dxa"/>
          </w:tcPr>
          <w:p w:rsidR="005A284E" w:rsidRPr="00E76875" w:rsidRDefault="005A284E" w:rsidP="00E76875">
            <w:pPr>
              <w:jc w:val="center"/>
              <w:rPr>
                <w:rFonts w:ascii="Times New Roman" w:hAnsi="Times New Roman" w:cs="Times New Roman"/>
                <w:b/>
                <w:sz w:val="20"/>
                <w:szCs w:val="20"/>
              </w:rPr>
            </w:pPr>
            <w:r w:rsidRPr="00E76875">
              <w:rPr>
                <w:rFonts w:ascii="Times New Roman" w:hAnsi="Times New Roman" w:cs="Times New Roman"/>
                <w:b/>
                <w:sz w:val="20"/>
                <w:szCs w:val="20"/>
              </w:rPr>
              <w:t>Frecuencia</w:t>
            </w:r>
          </w:p>
        </w:tc>
        <w:tc>
          <w:tcPr>
            <w:tcW w:w="1890" w:type="dxa"/>
          </w:tcPr>
          <w:p w:rsidR="005A284E" w:rsidRPr="00E76875" w:rsidRDefault="005A284E" w:rsidP="00E76875">
            <w:pPr>
              <w:jc w:val="center"/>
              <w:rPr>
                <w:rFonts w:ascii="Times New Roman" w:hAnsi="Times New Roman" w:cs="Times New Roman"/>
                <w:b/>
                <w:sz w:val="20"/>
                <w:szCs w:val="20"/>
              </w:rPr>
            </w:pPr>
            <w:r w:rsidRPr="00E76875">
              <w:rPr>
                <w:rFonts w:ascii="Times New Roman" w:hAnsi="Times New Roman" w:cs="Times New Roman"/>
                <w:b/>
                <w:sz w:val="20"/>
                <w:szCs w:val="20"/>
              </w:rPr>
              <w:t>Fuente</w:t>
            </w:r>
          </w:p>
        </w:tc>
      </w:tr>
      <w:tr w:rsidR="005A284E" w:rsidRPr="00E76875" w:rsidTr="0003205A">
        <w:trPr>
          <w:jc w:val="right"/>
        </w:trPr>
        <w:tc>
          <w:tcPr>
            <w:tcW w:w="8622" w:type="dxa"/>
            <w:gridSpan w:val="5"/>
          </w:tcPr>
          <w:p w:rsidR="005A284E" w:rsidRPr="00E76875" w:rsidRDefault="00D658BA" w:rsidP="00E76875">
            <w:pPr>
              <w:jc w:val="center"/>
              <w:rPr>
                <w:rFonts w:ascii="Times New Roman" w:hAnsi="Times New Roman" w:cs="Times New Roman"/>
                <w:b/>
                <w:sz w:val="20"/>
                <w:szCs w:val="20"/>
              </w:rPr>
            </w:pPr>
            <w:r w:rsidRPr="00E76875">
              <w:rPr>
                <w:rFonts w:ascii="Times New Roman" w:hAnsi="Times New Roman" w:cs="Times New Roman"/>
                <w:b/>
                <w:sz w:val="20"/>
                <w:szCs w:val="20"/>
              </w:rPr>
              <w:t>Indicador</w:t>
            </w:r>
            <w:r w:rsidR="005A284E" w:rsidRPr="00E76875">
              <w:rPr>
                <w:rFonts w:ascii="Times New Roman" w:hAnsi="Times New Roman" w:cs="Times New Roman"/>
                <w:b/>
                <w:sz w:val="20"/>
                <w:szCs w:val="20"/>
              </w:rPr>
              <w:t xml:space="preserve"> de </w:t>
            </w:r>
            <w:r w:rsidRPr="00E76875">
              <w:rPr>
                <w:rFonts w:ascii="Times New Roman" w:hAnsi="Times New Roman" w:cs="Times New Roman"/>
                <w:b/>
                <w:sz w:val="20"/>
                <w:szCs w:val="20"/>
              </w:rPr>
              <w:t xml:space="preserve">impacto del sub-componente de </w:t>
            </w:r>
            <w:r w:rsidR="005A284E" w:rsidRPr="00E76875">
              <w:rPr>
                <w:rFonts w:ascii="Times New Roman" w:hAnsi="Times New Roman" w:cs="Times New Roman"/>
                <w:b/>
                <w:sz w:val="20"/>
                <w:szCs w:val="20"/>
              </w:rPr>
              <w:t>eficiencia energética</w:t>
            </w:r>
          </w:p>
        </w:tc>
      </w:tr>
      <w:tr w:rsidR="005A284E" w:rsidRPr="00E76875" w:rsidTr="0003205A">
        <w:trPr>
          <w:jc w:val="right"/>
        </w:trPr>
        <w:tc>
          <w:tcPr>
            <w:tcW w:w="1404" w:type="dxa"/>
          </w:tcPr>
          <w:p w:rsidR="005A284E" w:rsidRPr="00E76875" w:rsidRDefault="002A16EF" w:rsidP="0003205A">
            <w:pPr>
              <w:rPr>
                <w:rFonts w:ascii="Times New Roman" w:hAnsi="Times New Roman" w:cs="Times New Roman"/>
                <w:sz w:val="20"/>
                <w:szCs w:val="20"/>
              </w:rPr>
            </w:pPr>
            <w:r w:rsidRPr="002A16EF">
              <w:rPr>
                <w:rFonts w:ascii="Times New Roman" w:hAnsi="Times New Roman" w:cs="Times New Roman"/>
                <w:sz w:val="20"/>
                <w:szCs w:val="20"/>
              </w:rPr>
              <w:t>1)</w:t>
            </w:r>
            <w:r w:rsidR="0003205A">
              <w:rPr>
                <w:rFonts w:ascii="Times New Roman" w:hAnsi="Times New Roman" w:cs="Times New Roman"/>
                <w:sz w:val="20"/>
                <w:szCs w:val="20"/>
              </w:rPr>
              <w:t xml:space="preserve"> </w:t>
            </w:r>
            <w:r w:rsidRPr="002A16EF">
              <w:rPr>
                <w:rFonts w:ascii="Times New Roman" w:hAnsi="Times New Roman" w:cs="Times New Roman"/>
                <w:sz w:val="20"/>
                <w:szCs w:val="20"/>
              </w:rPr>
              <w:t xml:space="preserve">Consumo energético anual por unidad de producto de las </w:t>
            </w:r>
            <w:r w:rsidR="0090558B">
              <w:rPr>
                <w:rFonts w:ascii="Times New Roman" w:hAnsi="Times New Roman" w:cs="Times New Roman"/>
                <w:sz w:val="20"/>
                <w:szCs w:val="20"/>
              </w:rPr>
              <w:t>empresas vinculadas al sector agroindustrial</w:t>
            </w:r>
            <w:r w:rsidRPr="002A16EF">
              <w:rPr>
                <w:rFonts w:ascii="Times New Roman" w:hAnsi="Times New Roman" w:cs="Times New Roman"/>
                <w:sz w:val="20"/>
                <w:szCs w:val="20"/>
              </w:rPr>
              <w:t xml:space="preserve"> apoyadas por el programa se reduce con relación a empresas comparables, no beneficiarias, </w:t>
            </w:r>
            <w:r w:rsidRPr="002A16EF">
              <w:rPr>
                <w:rFonts w:ascii="Times New Roman" w:hAnsi="Times New Roman" w:cs="Times New Roman"/>
                <w:sz w:val="20"/>
                <w:szCs w:val="20"/>
              </w:rPr>
              <w:lastRenderedPageBreak/>
              <w:t>para 2019</w:t>
            </w:r>
            <w:r w:rsidR="008D3E7D" w:rsidRPr="00E76875">
              <w:rPr>
                <w:rFonts w:ascii="Times New Roman" w:hAnsi="Times New Roman" w:cs="Times New Roman"/>
                <w:sz w:val="20"/>
                <w:szCs w:val="20"/>
              </w:rPr>
              <w:t xml:space="preserve"> </w:t>
            </w:r>
          </w:p>
        </w:tc>
        <w:tc>
          <w:tcPr>
            <w:tcW w:w="1080" w:type="dxa"/>
          </w:tcPr>
          <w:p w:rsidR="005A284E" w:rsidRPr="00E76875" w:rsidRDefault="002A16EF" w:rsidP="00527B52">
            <w:pPr>
              <w:rPr>
                <w:rFonts w:ascii="Times New Roman" w:hAnsi="Times New Roman" w:cs="Times New Roman"/>
                <w:sz w:val="20"/>
                <w:szCs w:val="20"/>
              </w:rPr>
            </w:pPr>
            <w:r w:rsidRPr="002A16EF">
              <w:rPr>
                <w:rFonts w:ascii="Times New Roman" w:hAnsi="Times New Roman" w:cs="Times New Roman"/>
                <w:sz w:val="20"/>
                <w:szCs w:val="20"/>
              </w:rPr>
              <w:lastRenderedPageBreak/>
              <w:t>MWh/ton</w:t>
            </w:r>
          </w:p>
        </w:tc>
        <w:tc>
          <w:tcPr>
            <w:tcW w:w="2970" w:type="dxa"/>
          </w:tcPr>
          <w:p w:rsidR="002A16EF" w:rsidRPr="002A16EF" w:rsidRDefault="002A16EF" w:rsidP="002A16EF">
            <w:pPr>
              <w:jc w:val="both"/>
              <w:rPr>
                <w:rFonts w:ascii="Times New Roman" w:hAnsi="Times New Roman" w:cs="Times New Roman"/>
                <w:sz w:val="20"/>
                <w:szCs w:val="20"/>
              </w:rPr>
            </w:pPr>
            <w:r w:rsidRPr="002A16EF">
              <w:rPr>
                <w:rFonts w:ascii="Times New Roman" w:hAnsi="Times New Roman" w:cs="Times New Roman"/>
                <w:sz w:val="20"/>
                <w:szCs w:val="20"/>
              </w:rPr>
              <w:t>Indicador es igual a consumo energético promedio por unidad de producto de las unidades apoyadas en el año base y al final del programa.</w:t>
            </w:r>
          </w:p>
          <w:p w:rsidR="002A16EF" w:rsidRPr="002A16EF" w:rsidRDefault="002A16EF" w:rsidP="002A16EF">
            <w:pPr>
              <w:jc w:val="both"/>
              <w:rPr>
                <w:rFonts w:ascii="Times New Roman" w:hAnsi="Times New Roman" w:cs="Times New Roman"/>
                <w:sz w:val="20"/>
                <w:szCs w:val="20"/>
              </w:rPr>
            </w:pPr>
          </w:p>
          <w:p w:rsidR="002A16EF" w:rsidRPr="002A16EF" w:rsidRDefault="002A16EF" w:rsidP="002A16EF">
            <w:pPr>
              <w:jc w:val="both"/>
              <w:rPr>
                <w:rFonts w:ascii="Times New Roman" w:hAnsi="Times New Roman" w:cs="Times New Roman"/>
                <w:sz w:val="20"/>
                <w:szCs w:val="20"/>
              </w:rPr>
            </w:pPr>
            <w:r w:rsidRPr="002A16EF">
              <w:rPr>
                <w:rFonts w:ascii="Times New Roman" w:hAnsi="Times New Roman" w:cs="Times New Roman"/>
                <w:sz w:val="20"/>
                <w:szCs w:val="20"/>
              </w:rPr>
              <w:t xml:space="preserve">Frecuencia de observaciones: primera observación: 2009 (por razones metodológicas en la estrategia de evaluación); segunda observación: información censo 2014; y tercera observación: información censo 2019. </w:t>
            </w:r>
          </w:p>
          <w:p w:rsidR="002A16EF" w:rsidRPr="002A16EF" w:rsidRDefault="002A16EF" w:rsidP="002A16EF">
            <w:pPr>
              <w:jc w:val="both"/>
              <w:rPr>
                <w:rFonts w:ascii="Times New Roman" w:hAnsi="Times New Roman" w:cs="Times New Roman"/>
                <w:sz w:val="20"/>
                <w:szCs w:val="20"/>
              </w:rPr>
            </w:pPr>
          </w:p>
          <w:p w:rsidR="002A16EF" w:rsidRPr="002A16EF" w:rsidRDefault="002A16EF" w:rsidP="002A16EF">
            <w:pPr>
              <w:jc w:val="both"/>
              <w:rPr>
                <w:rFonts w:ascii="Times New Roman" w:hAnsi="Times New Roman" w:cs="Times New Roman"/>
                <w:sz w:val="20"/>
                <w:szCs w:val="20"/>
              </w:rPr>
            </w:pPr>
            <w:r w:rsidRPr="002A16EF">
              <w:rPr>
                <w:rFonts w:ascii="Times New Roman" w:hAnsi="Times New Roman" w:cs="Times New Roman"/>
                <w:sz w:val="20"/>
                <w:szCs w:val="20"/>
              </w:rPr>
              <w:t xml:space="preserve">Nótese que la reducción lograda se calculará hacia finales del </w:t>
            </w:r>
            <w:r w:rsidRPr="002A16EF">
              <w:rPr>
                <w:rFonts w:ascii="Times New Roman" w:hAnsi="Times New Roman" w:cs="Times New Roman"/>
                <w:sz w:val="20"/>
                <w:szCs w:val="20"/>
              </w:rPr>
              <w:lastRenderedPageBreak/>
              <w:t xml:space="preserve">periodo de ejecución del programa (2019), utilizando un grupo de control (ver Plan de Monitoreo y Evaluación). </w:t>
            </w:r>
          </w:p>
          <w:p w:rsidR="002A16EF" w:rsidRPr="002A16EF" w:rsidRDefault="002A16EF" w:rsidP="002A16EF">
            <w:pPr>
              <w:jc w:val="both"/>
              <w:rPr>
                <w:rFonts w:ascii="Times New Roman" w:hAnsi="Times New Roman" w:cs="Times New Roman"/>
                <w:sz w:val="20"/>
                <w:szCs w:val="20"/>
              </w:rPr>
            </w:pPr>
          </w:p>
          <w:p w:rsidR="002A16EF" w:rsidRPr="002A16EF" w:rsidRDefault="002A16EF" w:rsidP="002A16EF">
            <w:pPr>
              <w:jc w:val="both"/>
              <w:rPr>
                <w:rFonts w:ascii="Times New Roman" w:hAnsi="Times New Roman" w:cs="Times New Roman"/>
                <w:sz w:val="20"/>
                <w:szCs w:val="20"/>
              </w:rPr>
            </w:pPr>
            <w:r w:rsidRPr="002A16EF">
              <w:rPr>
                <w:rFonts w:ascii="Times New Roman" w:hAnsi="Times New Roman" w:cs="Times New Roman"/>
                <w:sz w:val="20"/>
                <w:szCs w:val="20"/>
              </w:rPr>
              <w:t xml:space="preserve">Fuente de Información: Registros de FIRA para empresas beneficiarias, Censos Económicos 2009, 2014 y 2019 (información referente a 2008, 2013 y 2018, respectivamente) y Balance Nacional de Energía 2008, 2013 y 2018 (para obtener información respecto al precio de la electricidad). </w:t>
            </w:r>
          </w:p>
          <w:p w:rsidR="002A16EF" w:rsidRPr="002A16EF" w:rsidRDefault="002A16EF" w:rsidP="002A16EF">
            <w:pPr>
              <w:jc w:val="both"/>
              <w:rPr>
                <w:rFonts w:ascii="Times New Roman" w:hAnsi="Times New Roman" w:cs="Times New Roman"/>
                <w:sz w:val="20"/>
                <w:szCs w:val="20"/>
              </w:rPr>
            </w:pPr>
          </w:p>
          <w:p w:rsidR="005A284E" w:rsidRPr="00E76875" w:rsidRDefault="002A16EF" w:rsidP="003130B1">
            <w:pPr>
              <w:jc w:val="both"/>
              <w:rPr>
                <w:rFonts w:ascii="Times New Roman" w:hAnsi="Times New Roman" w:cs="Times New Roman"/>
                <w:sz w:val="20"/>
                <w:szCs w:val="20"/>
              </w:rPr>
            </w:pPr>
            <w:r w:rsidRPr="002A16EF">
              <w:rPr>
                <w:rFonts w:ascii="Times New Roman" w:hAnsi="Times New Roman" w:cs="Times New Roman"/>
                <w:sz w:val="20"/>
                <w:szCs w:val="20"/>
              </w:rPr>
              <w:t>Una CT complementaria al programa (ME-T1266) incluye recursos para hacer la evaluación de impacto del subcomponente de EE hacia el final del periodo de ejecución del programa (2019).</w:t>
            </w:r>
          </w:p>
        </w:tc>
        <w:tc>
          <w:tcPr>
            <w:tcW w:w="1278" w:type="dxa"/>
          </w:tcPr>
          <w:p w:rsidR="005A284E" w:rsidRPr="00E76875" w:rsidRDefault="005A284E" w:rsidP="00527B52">
            <w:pPr>
              <w:rPr>
                <w:rFonts w:ascii="Times New Roman" w:hAnsi="Times New Roman" w:cs="Times New Roman"/>
                <w:sz w:val="20"/>
                <w:szCs w:val="20"/>
              </w:rPr>
            </w:pPr>
            <w:r w:rsidRPr="00E76875">
              <w:rPr>
                <w:rFonts w:ascii="Times New Roman" w:hAnsi="Times New Roman" w:cs="Times New Roman"/>
                <w:sz w:val="20"/>
                <w:szCs w:val="20"/>
              </w:rPr>
              <w:lastRenderedPageBreak/>
              <w:t>Primera observación: 2009.</w:t>
            </w:r>
          </w:p>
          <w:p w:rsidR="005A284E" w:rsidRPr="00E76875" w:rsidRDefault="005A284E" w:rsidP="00527B52">
            <w:pPr>
              <w:rPr>
                <w:rFonts w:ascii="Times New Roman" w:hAnsi="Times New Roman" w:cs="Times New Roman"/>
                <w:sz w:val="20"/>
                <w:szCs w:val="20"/>
              </w:rPr>
            </w:pPr>
          </w:p>
          <w:p w:rsidR="005A284E" w:rsidRPr="00E76875" w:rsidRDefault="005A284E" w:rsidP="00527B52">
            <w:pPr>
              <w:rPr>
                <w:rFonts w:ascii="Times New Roman" w:hAnsi="Times New Roman" w:cs="Times New Roman"/>
                <w:sz w:val="20"/>
                <w:szCs w:val="20"/>
              </w:rPr>
            </w:pPr>
            <w:r w:rsidRPr="00E76875">
              <w:rPr>
                <w:rFonts w:ascii="Times New Roman" w:hAnsi="Times New Roman" w:cs="Times New Roman"/>
                <w:sz w:val="20"/>
                <w:szCs w:val="20"/>
              </w:rPr>
              <w:t>Segunda Observación: 2014.</w:t>
            </w:r>
          </w:p>
          <w:p w:rsidR="005A284E" w:rsidRPr="00E76875" w:rsidRDefault="005A284E" w:rsidP="00527B52">
            <w:pPr>
              <w:rPr>
                <w:rFonts w:ascii="Times New Roman" w:hAnsi="Times New Roman" w:cs="Times New Roman"/>
                <w:sz w:val="20"/>
                <w:szCs w:val="20"/>
              </w:rPr>
            </w:pPr>
          </w:p>
          <w:p w:rsidR="005A284E" w:rsidRPr="00E76875" w:rsidRDefault="005A284E" w:rsidP="00527B52">
            <w:pPr>
              <w:rPr>
                <w:rFonts w:ascii="Times New Roman" w:hAnsi="Times New Roman" w:cs="Times New Roman"/>
                <w:sz w:val="20"/>
                <w:szCs w:val="20"/>
              </w:rPr>
            </w:pPr>
            <w:r w:rsidRPr="00E76875">
              <w:rPr>
                <w:rFonts w:ascii="Times New Roman" w:hAnsi="Times New Roman" w:cs="Times New Roman"/>
                <w:sz w:val="20"/>
                <w:szCs w:val="20"/>
              </w:rPr>
              <w:t>Tercera Observación: 2019.</w:t>
            </w:r>
          </w:p>
        </w:tc>
        <w:tc>
          <w:tcPr>
            <w:tcW w:w="1890" w:type="dxa"/>
          </w:tcPr>
          <w:p w:rsidR="008D28BA" w:rsidRPr="00E76875" w:rsidRDefault="001A37B9" w:rsidP="003130B1">
            <w:pPr>
              <w:jc w:val="both"/>
              <w:rPr>
                <w:rFonts w:ascii="Times New Roman" w:hAnsi="Times New Roman" w:cs="Times New Roman"/>
                <w:sz w:val="20"/>
                <w:szCs w:val="20"/>
              </w:rPr>
            </w:pPr>
            <w:r w:rsidRPr="00E76875">
              <w:rPr>
                <w:rFonts w:ascii="Times New Roman" w:hAnsi="Times New Roman" w:cs="Times New Roman"/>
                <w:sz w:val="20"/>
                <w:szCs w:val="20"/>
              </w:rPr>
              <w:t>Información Administrativa: Sistema de Información del Programa en FIRA, a partir de información reportada por proveedores de equipamientos.</w:t>
            </w:r>
          </w:p>
          <w:p w:rsidR="008D28BA" w:rsidRPr="00E76875" w:rsidRDefault="008D28BA" w:rsidP="003130B1">
            <w:pPr>
              <w:jc w:val="both"/>
              <w:rPr>
                <w:rFonts w:ascii="Times New Roman" w:hAnsi="Times New Roman" w:cs="Times New Roman"/>
                <w:sz w:val="20"/>
                <w:szCs w:val="20"/>
              </w:rPr>
            </w:pPr>
          </w:p>
          <w:p w:rsidR="005A284E" w:rsidRPr="00E76875" w:rsidRDefault="005A284E" w:rsidP="003130B1">
            <w:pPr>
              <w:jc w:val="both"/>
              <w:rPr>
                <w:rFonts w:ascii="Times New Roman" w:hAnsi="Times New Roman" w:cs="Times New Roman"/>
                <w:sz w:val="20"/>
                <w:szCs w:val="20"/>
              </w:rPr>
            </w:pPr>
            <w:r w:rsidRPr="00E76875">
              <w:rPr>
                <w:rFonts w:ascii="Times New Roman" w:hAnsi="Times New Roman" w:cs="Times New Roman"/>
                <w:sz w:val="20"/>
                <w:szCs w:val="20"/>
              </w:rPr>
              <w:t xml:space="preserve">Censos Económicos 2009, 2014 y 2019 (información referente a 2008, 2013 y 2018, </w:t>
            </w:r>
            <w:r w:rsidRPr="00E76875">
              <w:rPr>
                <w:rFonts w:ascii="Times New Roman" w:hAnsi="Times New Roman" w:cs="Times New Roman"/>
                <w:sz w:val="20"/>
                <w:szCs w:val="20"/>
              </w:rPr>
              <w:lastRenderedPageBreak/>
              <w:t>respectivamente).</w:t>
            </w:r>
          </w:p>
          <w:p w:rsidR="005A284E" w:rsidRPr="00E76875" w:rsidRDefault="005A284E" w:rsidP="003130B1">
            <w:pPr>
              <w:jc w:val="both"/>
              <w:rPr>
                <w:rFonts w:ascii="Times New Roman" w:hAnsi="Times New Roman" w:cs="Times New Roman"/>
                <w:sz w:val="20"/>
                <w:szCs w:val="20"/>
              </w:rPr>
            </w:pPr>
          </w:p>
          <w:p w:rsidR="005A284E" w:rsidRDefault="005A284E" w:rsidP="003130B1">
            <w:pPr>
              <w:jc w:val="both"/>
              <w:rPr>
                <w:rFonts w:ascii="Times New Roman" w:hAnsi="Times New Roman" w:cs="Times New Roman"/>
                <w:sz w:val="20"/>
                <w:szCs w:val="20"/>
              </w:rPr>
            </w:pPr>
            <w:r w:rsidRPr="00E76875">
              <w:rPr>
                <w:rFonts w:ascii="Times New Roman" w:hAnsi="Times New Roman" w:cs="Times New Roman"/>
                <w:sz w:val="20"/>
                <w:szCs w:val="20"/>
              </w:rPr>
              <w:t xml:space="preserve">Balance Nacional de Energía </w:t>
            </w:r>
            <w:r w:rsidR="00300509" w:rsidRPr="00E76875">
              <w:rPr>
                <w:rFonts w:ascii="Times New Roman" w:hAnsi="Times New Roman" w:cs="Times New Roman"/>
                <w:sz w:val="20"/>
                <w:szCs w:val="20"/>
              </w:rPr>
              <w:t>2008, 2013 y 2018, p</w:t>
            </w:r>
            <w:r w:rsidRPr="00E76875">
              <w:rPr>
                <w:rFonts w:ascii="Times New Roman" w:hAnsi="Times New Roman" w:cs="Times New Roman"/>
                <w:sz w:val="20"/>
                <w:szCs w:val="20"/>
              </w:rPr>
              <w:t>ara obtener información respecto al precio de la electricidad.</w:t>
            </w:r>
          </w:p>
          <w:p w:rsidR="007208F4" w:rsidRDefault="007208F4" w:rsidP="003130B1">
            <w:pPr>
              <w:jc w:val="both"/>
              <w:rPr>
                <w:rFonts w:ascii="Times New Roman" w:hAnsi="Times New Roman" w:cs="Times New Roman"/>
                <w:sz w:val="20"/>
                <w:szCs w:val="20"/>
              </w:rPr>
            </w:pPr>
          </w:p>
          <w:p w:rsidR="007208F4" w:rsidRPr="007208F4" w:rsidRDefault="007208F4" w:rsidP="0036282E">
            <w:pPr>
              <w:jc w:val="both"/>
              <w:rPr>
                <w:rFonts w:ascii="Times New Roman" w:hAnsi="Times New Roman" w:cs="Times New Roman"/>
                <w:sz w:val="20"/>
                <w:szCs w:val="20"/>
              </w:rPr>
            </w:pPr>
            <w:r>
              <w:rPr>
                <w:rFonts w:ascii="Times New Roman" w:hAnsi="Times New Roman" w:cs="Times New Roman"/>
                <w:sz w:val="20"/>
                <w:szCs w:val="20"/>
              </w:rPr>
              <w:t xml:space="preserve">Nota: la inclusión de 2009 se hace a los efectos de argumentar tendencias; la información a considerar base corresponde al censo 2014 que releva </w:t>
            </w:r>
            <w:r w:rsidR="00FF1649">
              <w:rPr>
                <w:rFonts w:ascii="Times New Roman" w:hAnsi="Times New Roman" w:cs="Times New Roman"/>
                <w:sz w:val="20"/>
                <w:szCs w:val="20"/>
              </w:rPr>
              <w:t>información</w:t>
            </w:r>
            <w:r>
              <w:rPr>
                <w:rFonts w:ascii="Times New Roman" w:hAnsi="Times New Roman" w:cs="Times New Roman"/>
                <w:sz w:val="20"/>
                <w:szCs w:val="20"/>
              </w:rPr>
              <w:t xml:space="preserve"> </w:t>
            </w:r>
            <w:r w:rsidR="0036282E">
              <w:rPr>
                <w:rFonts w:ascii="Times New Roman" w:hAnsi="Times New Roman" w:cs="Times New Roman"/>
                <w:sz w:val="20"/>
                <w:szCs w:val="20"/>
              </w:rPr>
              <w:t>de 2013</w:t>
            </w:r>
            <w:r>
              <w:rPr>
                <w:rFonts w:ascii="Times New Roman" w:hAnsi="Times New Roman" w:cs="Times New Roman"/>
                <w:sz w:val="20"/>
                <w:szCs w:val="20"/>
              </w:rPr>
              <w:t xml:space="preserve"> que se considera aceptable dada la cercanía con el inicio del programa</w:t>
            </w:r>
          </w:p>
        </w:tc>
      </w:tr>
      <w:tr w:rsidR="001663A6" w:rsidRPr="00E76875" w:rsidTr="0003205A">
        <w:trPr>
          <w:jc w:val="right"/>
        </w:trPr>
        <w:tc>
          <w:tcPr>
            <w:tcW w:w="1404" w:type="dxa"/>
          </w:tcPr>
          <w:p w:rsidR="001663A6" w:rsidRPr="001663A6" w:rsidRDefault="0036282E" w:rsidP="0036282E">
            <w:pPr>
              <w:rPr>
                <w:rFonts w:ascii="Times New Roman" w:hAnsi="Times New Roman" w:cs="Times New Roman"/>
                <w:sz w:val="20"/>
                <w:szCs w:val="20"/>
              </w:rPr>
            </w:pPr>
            <w:r>
              <w:rPr>
                <w:rFonts w:ascii="Times New Roman" w:hAnsi="Times New Roman" w:cs="Times New Roman"/>
                <w:sz w:val="20"/>
                <w:szCs w:val="20"/>
              </w:rPr>
              <w:lastRenderedPageBreak/>
              <w:t xml:space="preserve">2) </w:t>
            </w:r>
            <w:r w:rsidR="009543DE" w:rsidRPr="009543DE">
              <w:rPr>
                <w:rFonts w:ascii="Times New Roman" w:hAnsi="Times New Roman" w:cs="Times New Roman"/>
                <w:sz w:val="20"/>
                <w:szCs w:val="20"/>
              </w:rPr>
              <w:t xml:space="preserve">Emisiones de Gases Efecto Invernadero de </w:t>
            </w:r>
            <w:r w:rsidR="0090558B">
              <w:rPr>
                <w:rFonts w:ascii="Times New Roman" w:hAnsi="Times New Roman" w:cs="Times New Roman"/>
                <w:sz w:val="20"/>
                <w:szCs w:val="20"/>
              </w:rPr>
              <w:t>empresas vinculadas al sector agroindustrial</w:t>
            </w:r>
            <w:r w:rsidR="009543DE" w:rsidRPr="009543DE">
              <w:rPr>
                <w:rFonts w:ascii="Times New Roman" w:hAnsi="Times New Roman" w:cs="Times New Roman"/>
                <w:sz w:val="20"/>
                <w:szCs w:val="20"/>
              </w:rPr>
              <w:t xml:space="preserve"> apoyadas por el programa son reducidas</w:t>
            </w:r>
            <w:r w:rsidR="001663A6" w:rsidRPr="001663A6">
              <w:rPr>
                <w:rFonts w:ascii="Times New Roman" w:hAnsi="Times New Roman" w:cs="Times New Roman"/>
                <w:sz w:val="20"/>
                <w:szCs w:val="20"/>
              </w:rPr>
              <w:t>.</w:t>
            </w:r>
            <w:r w:rsidR="0003205A">
              <w:rPr>
                <w:rStyle w:val="FootnoteReference"/>
                <w:rFonts w:ascii="Times New Roman" w:hAnsi="Times New Roman" w:cs="Times New Roman"/>
                <w:sz w:val="20"/>
                <w:szCs w:val="20"/>
              </w:rPr>
              <w:footnoteReference w:id="6"/>
            </w:r>
            <w:r w:rsidR="001663A6" w:rsidRPr="001663A6">
              <w:rPr>
                <w:rFonts w:ascii="Times New Roman" w:hAnsi="Times New Roman" w:cs="Times New Roman"/>
                <w:sz w:val="20"/>
                <w:szCs w:val="20"/>
              </w:rPr>
              <w:t xml:space="preserve"> </w:t>
            </w:r>
          </w:p>
        </w:tc>
        <w:tc>
          <w:tcPr>
            <w:tcW w:w="1080" w:type="dxa"/>
          </w:tcPr>
          <w:p w:rsidR="001663A6" w:rsidRPr="001663A6" w:rsidRDefault="0036282E" w:rsidP="00DA6601">
            <w:pPr>
              <w:jc w:val="center"/>
              <w:rPr>
                <w:rFonts w:ascii="Times New Roman" w:hAnsi="Times New Roman" w:cs="Times New Roman"/>
                <w:sz w:val="20"/>
                <w:szCs w:val="20"/>
              </w:rPr>
            </w:pPr>
            <w:r w:rsidRPr="0036282E">
              <w:rPr>
                <w:rFonts w:ascii="Times New Roman" w:hAnsi="Times New Roman" w:cs="Times New Roman"/>
                <w:sz w:val="20"/>
                <w:szCs w:val="20"/>
              </w:rPr>
              <w:t>Miles de tCO2e por año</w:t>
            </w:r>
          </w:p>
        </w:tc>
        <w:tc>
          <w:tcPr>
            <w:tcW w:w="2970" w:type="dxa"/>
          </w:tcPr>
          <w:p w:rsidR="001663A6" w:rsidRPr="001663A6" w:rsidRDefault="001663A6" w:rsidP="003130B1">
            <w:pPr>
              <w:jc w:val="both"/>
              <w:rPr>
                <w:rFonts w:ascii="Times New Roman" w:hAnsi="Times New Roman" w:cs="Times New Roman"/>
                <w:sz w:val="20"/>
                <w:szCs w:val="20"/>
              </w:rPr>
            </w:pPr>
            <w:r w:rsidRPr="001663A6">
              <w:rPr>
                <w:rFonts w:ascii="Times New Roman" w:hAnsi="Times New Roman" w:cs="Times New Roman"/>
                <w:sz w:val="20"/>
                <w:szCs w:val="20"/>
              </w:rPr>
              <w:t>[Suma (consumo de electricidad por tonelada producida de la unidad apoyada i en el año base x su producción en el año base) x Factor de emisión eléctrico del año base] – [Suma (consumo de electricidad por tonelada producida de la unidad apoyada i en el año t x su producción en el año base).x Factor de emisión eléctrico del año t], donde t = [1,4]. La Meta es la suma de las reducciones anuales de emisiones de las unidades apoyadas.</w:t>
            </w:r>
          </w:p>
        </w:tc>
        <w:tc>
          <w:tcPr>
            <w:tcW w:w="1278" w:type="dxa"/>
          </w:tcPr>
          <w:p w:rsidR="001663A6" w:rsidRDefault="00BC05C8" w:rsidP="00BC05C8">
            <w:pPr>
              <w:jc w:val="center"/>
              <w:rPr>
                <w:rFonts w:ascii="Times New Roman" w:hAnsi="Times New Roman" w:cs="Times New Roman"/>
                <w:sz w:val="20"/>
                <w:szCs w:val="20"/>
              </w:rPr>
            </w:pPr>
            <w:r>
              <w:rPr>
                <w:rFonts w:ascii="Times New Roman" w:hAnsi="Times New Roman" w:cs="Times New Roman"/>
                <w:sz w:val="20"/>
                <w:szCs w:val="20"/>
              </w:rPr>
              <w:t xml:space="preserve">Anual </w:t>
            </w:r>
          </w:p>
        </w:tc>
        <w:tc>
          <w:tcPr>
            <w:tcW w:w="1890" w:type="dxa"/>
          </w:tcPr>
          <w:p w:rsidR="001663A6" w:rsidRPr="002B1D5B" w:rsidRDefault="001663A6" w:rsidP="001663A6">
            <w:pPr>
              <w:jc w:val="both"/>
              <w:rPr>
                <w:rFonts w:ascii="Times New Roman" w:hAnsi="Times New Roman" w:cs="Times New Roman"/>
                <w:sz w:val="20"/>
              </w:rPr>
            </w:pPr>
            <w:r w:rsidRPr="002B1D5B">
              <w:rPr>
                <w:rFonts w:ascii="Times New Roman" w:hAnsi="Times New Roman" w:cs="Times New Roman"/>
                <w:sz w:val="20"/>
              </w:rPr>
              <w:t>Información Administrativa: Sistema de Información del Programa en FIRA, a partir de información reportada po</w:t>
            </w:r>
            <w:r>
              <w:rPr>
                <w:rFonts w:ascii="Times New Roman" w:hAnsi="Times New Roman" w:cs="Times New Roman"/>
                <w:sz w:val="20"/>
              </w:rPr>
              <w:t>r proveedores de equipamientos.</w:t>
            </w:r>
            <w:r w:rsidRPr="00956E5A">
              <w:rPr>
                <w:rFonts w:ascii="Times New Roman" w:hAnsi="Times New Roman" w:cs="Times New Roman"/>
                <w:sz w:val="20"/>
                <w:vertAlign w:val="superscript"/>
              </w:rPr>
              <w:footnoteReference w:id="7"/>
            </w:r>
            <w:r w:rsidRPr="002B1D5B">
              <w:rPr>
                <w:rFonts w:ascii="Times New Roman" w:hAnsi="Times New Roman" w:cs="Times New Roman"/>
                <w:sz w:val="20"/>
              </w:rPr>
              <w:t xml:space="preserve">  </w:t>
            </w:r>
          </w:p>
        </w:tc>
      </w:tr>
      <w:tr w:rsidR="005A284E" w:rsidRPr="00E76875" w:rsidTr="0003205A">
        <w:trPr>
          <w:jc w:val="right"/>
        </w:trPr>
        <w:tc>
          <w:tcPr>
            <w:tcW w:w="8622" w:type="dxa"/>
            <w:gridSpan w:val="5"/>
          </w:tcPr>
          <w:p w:rsidR="005A284E" w:rsidRPr="00E76875" w:rsidRDefault="00D658BA" w:rsidP="00E76875">
            <w:pPr>
              <w:jc w:val="center"/>
              <w:rPr>
                <w:rFonts w:ascii="Times New Roman" w:hAnsi="Times New Roman" w:cs="Times New Roman"/>
                <w:b/>
                <w:sz w:val="20"/>
                <w:szCs w:val="20"/>
              </w:rPr>
            </w:pPr>
            <w:r w:rsidRPr="00E76875">
              <w:rPr>
                <w:rFonts w:ascii="Times New Roman" w:hAnsi="Times New Roman" w:cs="Times New Roman"/>
                <w:b/>
                <w:sz w:val="20"/>
                <w:szCs w:val="20"/>
              </w:rPr>
              <w:t>Indicador de impacto del sub-componente de tecnificación de riego</w:t>
            </w:r>
          </w:p>
        </w:tc>
      </w:tr>
      <w:tr w:rsidR="0030060D" w:rsidRPr="00E76875" w:rsidTr="0003205A">
        <w:trPr>
          <w:trHeight w:val="1705"/>
          <w:jc w:val="right"/>
        </w:trPr>
        <w:tc>
          <w:tcPr>
            <w:tcW w:w="1404" w:type="dxa"/>
          </w:tcPr>
          <w:p w:rsidR="0030060D" w:rsidRPr="00E135CD" w:rsidRDefault="0003205A" w:rsidP="0003205A">
            <w:pPr>
              <w:jc w:val="both"/>
              <w:rPr>
                <w:rFonts w:ascii="Times New Roman" w:hAnsi="Times New Roman" w:cs="Times New Roman"/>
                <w:sz w:val="20"/>
                <w:szCs w:val="20"/>
              </w:rPr>
            </w:pPr>
            <w:r>
              <w:rPr>
                <w:rFonts w:ascii="Times New Roman" w:hAnsi="Times New Roman" w:cs="Times New Roman"/>
                <w:sz w:val="20"/>
                <w:szCs w:val="20"/>
              </w:rPr>
              <w:t>3</w:t>
            </w:r>
            <w:r w:rsidR="0036282E" w:rsidRPr="0036282E">
              <w:rPr>
                <w:rFonts w:ascii="Times New Roman" w:hAnsi="Times New Roman" w:cs="Times New Roman"/>
                <w:sz w:val="20"/>
                <w:szCs w:val="20"/>
              </w:rPr>
              <w:t>)</w:t>
            </w:r>
            <w:r>
              <w:rPr>
                <w:rFonts w:ascii="Times New Roman" w:hAnsi="Times New Roman" w:cs="Times New Roman"/>
                <w:sz w:val="20"/>
                <w:szCs w:val="20"/>
              </w:rPr>
              <w:t xml:space="preserve"> </w:t>
            </w:r>
            <w:r w:rsidR="0036282E" w:rsidRPr="0036282E">
              <w:rPr>
                <w:rFonts w:ascii="Times New Roman" w:hAnsi="Times New Roman" w:cs="Times New Roman"/>
                <w:sz w:val="20"/>
                <w:szCs w:val="20"/>
              </w:rPr>
              <w:t>Consumo anual de agua por hectárea cultivada de emprendimientos agrícolas apoyados por el programa se reduce con relación al de emprendimientos</w:t>
            </w:r>
            <w:r>
              <w:rPr>
                <w:rFonts w:ascii="Times New Roman" w:hAnsi="Times New Roman" w:cs="Times New Roman"/>
                <w:sz w:val="20"/>
                <w:szCs w:val="20"/>
              </w:rPr>
              <w:t xml:space="preserve">  </w:t>
            </w:r>
            <w:r>
              <w:rPr>
                <w:rFonts w:ascii="Times New Roman" w:hAnsi="Times New Roman" w:cs="Times New Roman"/>
                <w:sz w:val="20"/>
                <w:szCs w:val="20"/>
              </w:rPr>
              <w:lastRenderedPageBreak/>
              <w:t>comparables, no beneficiarios,</w:t>
            </w:r>
            <w:r w:rsidR="0036282E" w:rsidRPr="0036282E">
              <w:rPr>
                <w:rFonts w:ascii="Times New Roman" w:hAnsi="Times New Roman" w:cs="Times New Roman"/>
                <w:sz w:val="20"/>
                <w:szCs w:val="20"/>
              </w:rPr>
              <w:t xml:space="preserve"> para 2017.</w:t>
            </w:r>
          </w:p>
        </w:tc>
        <w:tc>
          <w:tcPr>
            <w:tcW w:w="1080" w:type="dxa"/>
          </w:tcPr>
          <w:p w:rsidR="0030060D" w:rsidRPr="00E135CD" w:rsidRDefault="0036282E" w:rsidP="00527B52">
            <w:pPr>
              <w:rPr>
                <w:rFonts w:ascii="Times New Roman" w:hAnsi="Times New Roman" w:cs="Times New Roman"/>
                <w:sz w:val="20"/>
                <w:szCs w:val="20"/>
              </w:rPr>
            </w:pPr>
            <w:r w:rsidRPr="0036282E">
              <w:rPr>
                <w:rFonts w:ascii="Times New Roman" w:hAnsi="Times New Roman" w:cs="Times New Roman"/>
                <w:sz w:val="20"/>
                <w:szCs w:val="20"/>
              </w:rPr>
              <w:lastRenderedPageBreak/>
              <w:t>Miles de m3 por hectárea</w:t>
            </w:r>
          </w:p>
        </w:tc>
        <w:tc>
          <w:tcPr>
            <w:tcW w:w="2970" w:type="dxa"/>
          </w:tcPr>
          <w:p w:rsidR="0030060D" w:rsidRPr="00E135CD" w:rsidRDefault="0036282E" w:rsidP="003130B1">
            <w:pPr>
              <w:jc w:val="both"/>
              <w:rPr>
                <w:rFonts w:ascii="Times New Roman" w:hAnsi="Times New Roman" w:cs="Times New Roman"/>
                <w:sz w:val="20"/>
                <w:szCs w:val="20"/>
              </w:rPr>
            </w:pPr>
            <w:r w:rsidRPr="0036282E">
              <w:rPr>
                <w:rFonts w:ascii="Times New Roman" w:hAnsi="Times New Roman" w:cs="Times New Roman"/>
                <w:sz w:val="20"/>
                <w:szCs w:val="20"/>
              </w:rPr>
              <w:t>Indicador es igual a consumo de agua promedio por hectárea cultivada de las unidades apoyadas en el año base y al final del programa.</w:t>
            </w:r>
          </w:p>
          <w:p w:rsidR="0030060D" w:rsidRPr="00E135CD" w:rsidRDefault="00B61201" w:rsidP="003130B1">
            <w:pPr>
              <w:jc w:val="both"/>
              <w:rPr>
                <w:rFonts w:ascii="Times New Roman" w:hAnsi="Times New Roman" w:cs="Times New Roman"/>
                <w:sz w:val="20"/>
                <w:lang w:val="es-AR"/>
              </w:rPr>
            </w:pPr>
            <w:r w:rsidRPr="00E135CD">
              <w:rPr>
                <w:rFonts w:ascii="Times New Roman" w:hAnsi="Times New Roman" w:cs="Times New Roman"/>
                <w:sz w:val="20"/>
                <w:lang w:val="es-AR"/>
              </w:rPr>
              <w:t>El consumo promedio de agua para un grupo se define como ∑(</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 dónde </w:t>
            </w:r>
            <w:r w:rsidRPr="00E135CD">
              <w:rPr>
                <w:rFonts w:ascii="Symbol" w:hAnsi="Symbol" w:cs="Times New Roman"/>
                <w:sz w:val="20"/>
                <w:lang w:val="es-AR"/>
              </w:rPr>
              <w:t></w:t>
            </w:r>
            <w:r w:rsidRPr="00E135CD">
              <w:rPr>
                <w:rFonts w:ascii="Times New Roman" w:hAnsi="Times New Roman" w:cs="Times New Roman"/>
                <w:sz w:val="20"/>
                <w:lang w:val="es-AR"/>
              </w:rPr>
              <w:t xml:space="preserve"> indica la tecnología utilizada por una unidad (m3 por hectárea); </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es la eficiencia con que </w:t>
            </w:r>
            <w:r w:rsidRPr="00E135CD">
              <w:rPr>
                <w:rFonts w:ascii="Times New Roman" w:hAnsi="Times New Roman" w:cs="Times New Roman"/>
                <w:sz w:val="20"/>
                <w:lang w:val="es-AR"/>
              </w:rPr>
              <w:lastRenderedPageBreak/>
              <w:t xml:space="preserve">se usa esa tecnología; </w:t>
            </w:r>
            <w:r w:rsidRPr="00E135CD">
              <w:rPr>
                <w:rFonts w:ascii="Symbol" w:hAnsi="Symbol" w:cs="Times New Roman"/>
                <w:sz w:val="20"/>
                <w:lang w:val="es-AR"/>
              </w:rPr>
              <w:t></w:t>
            </w:r>
            <w:r w:rsidRPr="00E135CD">
              <w:rPr>
                <w:rFonts w:ascii="Times New Roman" w:hAnsi="Times New Roman" w:cs="Times New Roman"/>
                <w:sz w:val="20"/>
                <w:lang w:val="es-AR"/>
              </w:rPr>
              <w:t xml:space="preserve"> indica el tamaño de la unidad (hectáreas cultivadas) y N es el tamaño del Grupo (hectáreas totales cultivadas).  Esta suma es realizada sobre las unidades pertenecientes al grupo en un período dado, la cual luego se divide por el tamaño total del grupo (resultando un promedio ponderado de los consumos de agua estimados). Así, para una unidad productiva, el término (</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indica el consumo estimado de agua y por tanto ∑(</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es el consumo total de agua para un grupo determinado, y ∑(</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 x</w:t>
            </w:r>
            <w:r w:rsidRPr="00E135CD">
              <w:rPr>
                <w:rFonts w:ascii="Symbol" w:hAnsi="Symbol" w:cs="Times New Roman"/>
                <w:sz w:val="20"/>
                <w:lang w:val="es-AR"/>
              </w:rPr>
              <w:t></w:t>
            </w:r>
            <w:r w:rsidRPr="00E135CD">
              <w:rPr>
                <w:rFonts w:ascii="Symbol" w:hAnsi="Symbol" w:cs="Times New Roman"/>
                <w:sz w:val="20"/>
                <w:lang w:val="es-AR"/>
              </w:rPr>
              <w:t></w:t>
            </w:r>
            <w:r w:rsidRPr="00E135CD">
              <w:rPr>
                <w:rFonts w:ascii="Times New Roman" w:hAnsi="Times New Roman" w:cs="Times New Roman"/>
                <w:sz w:val="20"/>
                <w:lang w:val="es-AR"/>
              </w:rPr>
              <w:t xml:space="preserve">) / </w:t>
            </w:r>
            <w:r w:rsidRPr="00E135CD">
              <w:rPr>
                <w:rFonts w:ascii="Symbol" w:hAnsi="Symbol" w:cs="Times New Roman"/>
                <w:sz w:val="20"/>
                <w:lang w:val="es-AR"/>
              </w:rPr>
              <w:t></w:t>
            </w:r>
            <w:r w:rsidRPr="00E135CD">
              <w:rPr>
                <w:rFonts w:ascii="Times New Roman" w:hAnsi="Times New Roman" w:cs="Times New Roman"/>
                <w:sz w:val="20"/>
                <w:lang w:val="es-AR"/>
              </w:rPr>
              <w:t xml:space="preserve"> es el promedio ponderado.</w:t>
            </w:r>
          </w:p>
          <w:p w:rsidR="00B61201" w:rsidRPr="00E135CD" w:rsidRDefault="00B61201"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r w:rsidRPr="00E135CD">
              <w:rPr>
                <w:rFonts w:ascii="Times New Roman" w:hAnsi="Times New Roman" w:cs="Times New Roman"/>
                <w:sz w:val="20"/>
                <w:szCs w:val="20"/>
              </w:rPr>
              <w:t>Observaciones:</w:t>
            </w:r>
          </w:p>
          <w:p w:rsidR="0030060D" w:rsidRPr="00E135CD" w:rsidRDefault="0036282E" w:rsidP="003130B1">
            <w:pPr>
              <w:jc w:val="both"/>
              <w:rPr>
                <w:rFonts w:ascii="Times New Roman" w:hAnsi="Times New Roman" w:cs="Times New Roman"/>
                <w:sz w:val="20"/>
                <w:szCs w:val="20"/>
              </w:rPr>
            </w:pPr>
            <w:r w:rsidRPr="0036282E">
              <w:rPr>
                <w:rFonts w:ascii="Times New Roman" w:hAnsi="Times New Roman" w:cs="Times New Roman"/>
                <w:sz w:val="20"/>
                <w:szCs w:val="20"/>
              </w:rPr>
              <w:t xml:space="preserve">El grupo de control se obtiene a partir de información recabada a partir de encuestas usando la técnica de </w:t>
            </w:r>
            <w:r w:rsidRPr="0003205A">
              <w:rPr>
                <w:rFonts w:ascii="Times New Roman" w:hAnsi="Times New Roman" w:cs="Times New Roman"/>
                <w:i/>
                <w:sz w:val="20"/>
                <w:szCs w:val="20"/>
              </w:rPr>
              <w:t>“propensity score matchin</w:t>
            </w:r>
            <w:r w:rsidRPr="0036282E">
              <w:rPr>
                <w:rFonts w:ascii="Times New Roman" w:hAnsi="Times New Roman" w:cs="Times New Roman"/>
                <w:sz w:val="20"/>
                <w:szCs w:val="20"/>
              </w:rPr>
              <w:t>g”.</w:t>
            </w:r>
          </w:p>
        </w:tc>
        <w:tc>
          <w:tcPr>
            <w:tcW w:w="1278" w:type="dxa"/>
          </w:tcPr>
          <w:p w:rsidR="0030060D" w:rsidRPr="00E135CD" w:rsidRDefault="0030060D" w:rsidP="00527B52">
            <w:pPr>
              <w:rPr>
                <w:rFonts w:ascii="Times New Roman" w:hAnsi="Times New Roman" w:cs="Times New Roman"/>
                <w:sz w:val="20"/>
                <w:szCs w:val="20"/>
              </w:rPr>
            </w:pPr>
            <w:r w:rsidRPr="00E135CD">
              <w:rPr>
                <w:rFonts w:ascii="Times New Roman" w:hAnsi="Times New Roman" w:cs="Times New Roman"/>
                <w:sz w:val="20"/>
                <w:szCs w:val="20"/>
              </w:rPr>
              <w:lastRenderedPageBreak/>
              <w:t>A dos años.</w:t>
            </w:r>
          </w:p>
          <w:p w:rsidR="00B06C79" w:rsidRDefault="00B06C79" w:rsidP="00527B52">
            <w:pPr>
              <w:rPr>
                <w:rFonts w:ascii="Times New Roman" w:hAnsi="Times New Roman" w:cs="Times New Roman"/>
                <w:sz w:val="20"/>
                <w:szCs w:val="20"/>
              </w:rPr>
            </w:pPr>
          </w:p>
          <w:p w:rsidR="0030060D" w:rsidRPr="00E135CD" w:rsidRDefault="0030060D" w:rsidP="00527B52">
            <w:pPr>
              <w:rPr>
                <w:rFonts w:ascii="Times New Roman" w:hAnsi="Times New Roman" w:cs="Times New Roman"/>
                <w:sz w:val="20"/>
                <w:szCs w:val="20"/>
              </w:rPr>
            </w:pPr>
            <w:r w:rsidRPr="00E135CD">
              <w:rPr>
                <w:rFonts w:ascii="Times New Roman" w:hAnsi="Times New Roman" w:cs="Times New Roman"/>
                <w:sz w:val="20"/>
                <w:szCs w:val="20"/>
              </w:rPr>
              <w:t xml:space="preserve">Primera observación: </w:t>
            </w:r>
            <w:r w:rsidR="00B06C79" w:rsidRPr="00E135CD">
              <w:rPr>
                <w:rFonts w:ascii="Times New Roman" w:hAnsi="Times New Roman" w:cs="Times New Roman"/>
                <w:sz w:val="20"/>
                <w:szCs w:val="20"/>
              </w:rPr>
              <w:t>20</w:t>
            </w:r>
            <w:r w:rsidR="00B06C79">
              <w:rPr>
                <w:rFonts w:ascii="Times New Roman" w:hAnsi="Times New Roman" w:cs="Times New Roman"/>
                <w:sz w:val="20"/>
                <w:szCs w:val="20"/>
              </w:rPr>
              <w:t>15</w:t>
            </w:r>
            <w:r w:rsidRPr="00E135CD">
              <w:rPr>
                <w:rFonts w:ascii="Times New Roman" w:hAnsi="Times New Roman" w:cs="Times New Roman"/>
                <w:sz w:val="20"/>
                <w:szCs w:val="20"/>
              </w:rPr>
              <w:t>.</w:t>
            </w:r>
          </w:p>
          <w:p w:rsidR="0030060D" w:rsidRDefault="0030060D" w:rsidP="00527B52">
            <w:pPr>
              <w:rPr>
                <w:rFonts w:ascii="Times New Roman" w:hAnsi="Times New Roman" w:cs="Times New Roman"/>
                <w:sz w:val="20"/>
                <w:szCs w:val="20"/>
              </w:rPr>
            </w:pPr>
          </w:p>
          <w:p w:rsidR="00B06C79" w:rsidRDefault="00B06C79" w:rsidP="00527B52">
            <w:pPr>
              <w:rPr>
                <w:rFonts w:ascii="Times New Roman" w:hAnsi="Times New Roman" w:cs="Times New Roman"/>
                <w:sz w:val="20"/>
                <w:szCs w:val="20"/>
              </w:rPr>
            </w:pPr>
          </w:p>
          <w:p w:rsidR="00B06C79" w:rsidRDefault="00B06C79" w:rsidP="00527B52">
            <w:pPr>
              <w:rPr>
                <w:rFonts w:ascii="Times New Roman" w:hAnsi="Times New Roman" w:cs="Times New Roman"/>
                <w:sz w:val="20"/>
                <w:szCs w:val="20"/>
              </w:rPr>
            </w:pPr>
          </w:p>
          <w:p w:rsidR="00B06C79" w:rsidRDefault="00B06C79" w:rsidP="00527B52">
            <w:pPr>
              <w:rPr>
                <w:rFonts w:ascii="Times New Roman" w:hAnsi="Times New Roman" w:cs="Times New Roman"/>
                <w:sz w:val="20"/>
                <w:szCs w:val="20"/>
              </w:rPr>
            </w:pPr>
          </w:p>
          <w:p w:rsidR="00B06C79" w:rsidRDefault="00B06C79" w:rsidP="00527B52">
            <w:pPr>
              <w:rPr>
                <w:rFonts w:ascii="Times New Roman" w:hAnsi="Times New Roman" w:cs="Times New Roman"/>
                <w:sz w:val="20"/>
                <w:szCs w:val="20"/>
              </w:rPr>
            </w:pPr>
          </w:p>
          <w:p w:rsidR="00B06C79" w:rsidRPr="00E135CD" w:rsidRDefault="00B06C79" w:rsidP="00527B52">
            <w:pPr>
              <w:rPr>
                <w:rFonts w:ascii="Times New Roman" w:hAnsi="Times New Roman" w:cs="Times New Roman"/>
                <w:sz w:val="20"/>
                <w:szCs w:val="20"/>
              </w:rPr>
            </w:pPr>
          </w:p>
          <w:p w:rsidR="0030060D" w:rsidRPr="00E135CD" w:rsidRDefault="0030060D" w:rsidP="00527B52">
            <w:pPr>
              <w:rPr>
                <w:rFonts w:ascii="Times New Roman" w:hAnsi="Times New Roman" w:cs="Times New Roman"/>
                <w:sz w:val="20"/>
                <w:szCs w:val="20"/>
              </w:rPr>
            </w:pPr>
            <w:r w:rsidRPr="00E135CD">
              <w:rPr>
                <w:rFonts w:ascii="Times New Roman" w:hAnsi="Times New Roman" w:cs="Times New Roman"/>
                <w:sz w:val="20"/>
                <w:szCs w:val="20"/>
              </w:rPr>
              <w:t xml:space="preserve">Segunda </w:t>
            </w:r>
            <w:r w:rsidRPr="00E135CD">
              <w:rPr>
                <w:rFonts w:ascii="Times New Roman" w:hAnsi="Times New Roman" w:cs="Times New Roman"/>
                <w:sz w:val="20"/>
                <w:szCs w:val="20"/>
              </w:rPr>
              <w:lastRenderedPageBreak/>
              <w:t>observación: 201</w:t>
            </w:r>
            <w:r w:rsidR="00B06C79">
              <w:rPr>
                <w:rFonts w:ascii="Times New Roman" w:hAnsi="Times New Roman" w:cs="Times New Roman"/>
                <w:sz w:val="20"/>
                <w:szCs w:val="20"/>
              </w:rPr>
              <w:t>7</w:t>
            </w:r>
          </w:p>
          <w:p w:rsidR="0030060D" w:rsidRPr="00E135CD" w:rsidRDefault="0030060D" w:rsidP="00527B52">
            <w:pPr>
              <w:rPr>
                <w:rFonts w:ascii="Times New Roman" w:hAnsi="Times New Roman" w:cs="Times New Roman"/>
                <w:sz w:val="20"/>
                <w:szCs w:val="20"/>
              </w:rPr>
            </w:pPr>
          </w:p>
          <w:p w:rsidR="0030060D" w:rsidRPr="00E135CD" w:rsidRDefault="0030060D" w:rsidP="00527B52">
            <w:pPr>
              <w:rPr>
                <w:rFonts w:ascii="Times New Roman" w:hAnsi="Times New Roman" w:cs="Times New Roman"/>
                <w:sz w:val="20"/>
                <w:szCs w:val="20"/>
              </w:rPr>
            </w:pPr>
          </w:p>
        </w:tc>
        <w:tc>
          <w:tcPr>
            <w:tcW w:w="1890" w:type="dxa"/>
          </w:tcPr>
          <w:p w:rsidR="0030060D" w:rsidRDefault="0030060D" w:rsidP="003130B1">
            <w:pPr>
              <w:jc w:val="both"/>
              <w:rPr>
                <w:rFonts w:ascii="Times New Roman" w:hAnsi="Times New Roman" w:cs="Times New Roman"/>
                <w:sz w:val="20"/>
                <w:szCs w:val="20"/>
              </w:rPr>
            </w:pPr>
          </w:p>
          <w:p w:rsidR="00B06C79" w:rsidRPr="00E135CD" w:rsidRDefault="00B06C79"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p>
          <w:p w:rsidR="00B06C79" w:rsidRDefault="00B06C79" w:rsidP="003130B1">
            <w:pPr>
              <w:jc w:val="both"/>
              <w:rPr>
                <w:rFonts w:ascii="Times New Roman" w:hAnsi="Times New Roman" w:cs="Times New Roman"/>
                <w:sz w:val="20"/>
                <w:szCs w:val="20"/>
              </w:rPr>
            </w:pPr>
            <w:r w:rsidRPr="00383B30">
              <w:rPr>
                <w:rFonts w:ascii="Times New Roman" w:hAnsi="Times New Roman" w:cs="Times New Roman"/>
                <w:sz w:val="20"/>
                <w:szCs w:val="20"/>
              </w:rPr>
              <w:t>Encuesta de beneficiarios</w:t>
            </w:r>
            <w:r>
              <w:rPr>
                <w:rFonts w:ascii="Times New Roman" w:hAnsi="Times New Roman" w:cs="Times New Roman"/>
                <w:sz w:val="20"/>
                <w:szCs w:val="20"/>
              </w:rPr>
              <w:t xml:space="preserve"> y no beneficiarios </w:t>
            </w:r>
            <w:r w:rsidRPr="00383B30">
              <w:rPr>
                <w:rFonts w:ascii="Times New Roman" w:hAnsi="Times New Roman" w:cs="Times New Roman"/>
                <w:sz w:val="20"/>
                <w:szCs w:val="20"/>
              </w:rPr>
              <w:t xml:space="preserve">del programa </w:t>
            </w:r>
            <w:r>
              <w:rPr>
                <w:rFonts w:ascii="Times New Roman" w:hAnsi="Times New Roman" w:cs="Times New Roman"/>
                <w:sz w:val="20"/>
                <w:szCs w:val="20"/>
              </w:rPr>
              <w:t xml:space="preserve">en </w:t>
            </w:r>
            <w:r w:rsidRPr="00383B30">
              <w:rPr>
                <w:rFonts w:ascii="Times New Roman" w:hAnsi="Times New Roman" w:cs="Times New Roman"/>
                <w:sz w:val="20"/>
                <w:szCs w:val="20"/>
              </w:rPr>
              <w:t xml:space="preserve">2015, para recopilar información retrospectiva y actual. </w:t>
            </w:r>
          </w:p>
          <w:p w:rsidR="00B06C79" w:rsidRDefault="00B06C79" w:rsidP="003130B1">
            <w:pPr>
              <w:jc w:val="both"/>
              <w:rPr>
                <w:rFonts w:ascii="Times New Roman" w:hAnsi="Times New Roman" w:cs="Times New Roman"/>
                <w:sz w:val="20"/>
                <w:szCs w:val="20"/>
              </w:rPr>
            </w:pPr>
          </w:p>
          <w:p w:rsidR="00B06C79" w:rsidRDefault="00B06C79" w:rsidP="003130B1">
            <w:pPr>
              <w:jc w:val="both"/>
              <w:rPr>
                <w:rFonts w:ascii="Times New Roman" w:hAnsi="Times New Roman" w:cs="Times New Roman"/>
                <w:sz w:val="20"/>
                <w:szCs w:val="20"/>
              </w:rPr>
            </w:pPr>
          </w:p>
          <w:p w:rsidR="00B06C79" w:rsidRDefault="00B06C79" w:rsidP="003130B1">
            <w:pPr>
              <w:jc w:val="both"/>
              <w:rPr>
                <w:rFonts w:ascii="Times New Roman" w:hAnsi="Times New Roman" w:cs="Times New Roman"/>
                <w:sz w:val="20"/>
                <w:szCs w:val="20"/>
              </w:rPr>
            </w:pPr>
            <w:r w:rsidRPr="00B06C79">
              <w:rPr>
                <w:rFonts w:ascii="Times New Roman" w:hAnsi="Times New Roman" w:cs="Times New Roman"/>
                <w:sz w:val="20"/>
                <w:szCs w:val="20"/>
              </w:rPr>
              <w:t>Encuesta de beneficiarios del programa 2017.</w:t>
            </w:r>
          </w:p>
          <w:p w:rsidR="00B06C79" w:rsidRDefault="00B06C79" w:rsidP="003130B1">
            <w:pPr>
              <w:jc w:val="both"/>
              <w:rPr>
                <w:rFonts w:ascii="Times New Roman" w:hAnsi="Times New Roman" w:cs="Times New Roman"/>
                <w:sz w:val="20"/>
                <w:szCs w:val="20"/>
              </w:rPr>
            </w:pPr>
            <w:r w:rsidRPr="00383B30">
              <w:rPr>
                <w:rFonts w:ascii="Times New Roman" w:hAnsi="Times New Roman" w:cs="Times New Roman"/>
                <w:sz w:val="20"/>
                <w:szCs w:val="20"/>
              </w:rPr>
              <w:t>(Esta encuesta se tiene que diseñar como parte del programa).</w:t>
            </w:r>
          </w:p>
          <w:p w:rsidR="00B06C79" w:rsidRDefault="00B06C79" w:rsidP="003130B1">
            <w:pPr>
              <w:jc w:val="both"/>
              <w:rPr>
                <w:rFonts w:ascii="Times New Roman" w:hAnsi="Times New Roman" w:cs="Times New Roman"/>
                <w:sz w:val="20"/>
                <w:szCs w:val="20"/>
              </w:rPr>
            </w:pPr>
          </w:p>
          <w:p w:rsidR="00B06C79" w:rsidRDefault="00B06C79" w:rsidP="003130B1">
            <w:pPr>
              <w:jc w:val="both"/>
              <w:rPr>
                <w:rFonts w:ascii="Times New Roman" w:hAnsi="Times New Roman" w:cs="Times New Roman"/>
                <w:sz w:val="20"/>
                <w:szCs w:val="20"/>
              </w:rPr>
            </w:pPr>
            <w:r>
              <w:rPr>
                <w:rFonts w:ascii="Times New Roman" w:hAnsi="Times New Roman" w:cs="Times New Roman"/>
                <w:sz w:val="20"/>
                <w:szCs w:val="20"/>
              </w:rPr>
              <w:t>Otras fuentes de información relevantes para la evaluación:</w:t>
            </w:r>
          </w:p>
          <w:p w:rsidR="00B06C79" w:rsidRDefault="00B06C79" w:rsidP="003130B1">
            <w:pPr>
              <w:jc w:val="both"/>
              <w:rPr>
                <w:rFonts w:ascii="Times New Roman" w:hAnsi="Times New Roman" w:cs="Times New Roman"/>
                <w:sz w:val="20"/>
                <w:szCs w:val="20"/>
              </w:rPr>
            </w:pPr>
          </w:p>
          <w:p w:rsidR="00B06C79" w:rsidRDefault="00B06C79" w:rsidP="003130B1">
            <w:pPr>
              <w:jc w:val="both"/>
              <w:rPr>
                <w:rFonts w:ascii="Times New Roman" w:hAnsi="Times New Roman" w:cs="Times New Roman"/>
                <w:sz w:val="20"/>
                <w:szCs w:val="20"/>
              </w:rPr>
            </w:pPr>
            <w:r>
              <w:rPr>
                <w:rFonts w:ascii="Times New Roman" w:hAnsi="Times New Roman" w:cs="Times New Roman"/>
                <w:sz w:val="20"/>
                <w:szCs w:val="20"/>
              </w:rPr>
              <w:t>Censo Agropecuario 2007; y</w:t>
            </w:r>
          </w:p>
          <w:p w:rsidR="0030060D" w:rsidRPr="00E135CD" w:rsidRDefault="0030060D" w:rsidP="003130B1">
            <w:pPr>
              <w:jc w:val="both"/>
              <w:rPr>
                <w:rFonts w:ascii="Times New Roman" w:hAnsi="Times New Roman" w:cs="Times New Roman"/>
                <w:sz w:val="20"/>
                <w:szCs w:val="20"/>
              </w:rPr>
            </w:pPr>
            <w:r w:rsidRPr="00E135CD">
              <w:rPr>
                <w:rFonts w:ascii="Times New Roman" w:hAnsi="Times New Roman" w:cs="Times New Roman"/>
                <w:sz w:val="20"/>
                <w:szCs w:val="20"/>
              </w:rPr>
              <w:t xml:space="preserve">Estadísticas del Agua en México </w:t>
            </w:r>
            <w:r w:rsidR="00B06C79">
              <w:rPr>
                <w:rFonts w:ascii="Times New Roman" w:hAnsi="Times New Roman" w:cs="Times New Roman"/>
                <w:sz w:val="20"/>
                <w:szCs w:val="20"/>
              </w:rPr>
              <w:t>2015</w:t>
            </w:r>
            <w:r w:rsidRPr="00E135CD">
              <w:rPr>
                <w:rFonts w:ascii="Times New Roman" w:hAnsi="Times New Roman" w:cs="Times New Roman"/>
                <w:sz w:val="20"/>
                <w:szCs w:val="20"/>
              </w:rPr>
              <w:t>,  2017.</w:t>
            </w:r>
          </w:p>
          <w:p w:rsidR="0030060D" w:rsidRPr="00E135CD" w:rsidRDefault="0030060D"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p>
          <w:p w:rsidR="0030060D" w:rsidRPr="00E135CD" w:rsidRDefault="0030060D" w:rsidP="003130B1">
            <w:pPr>
              <w:jc w:val="both"/>
              <w:rPr>
                <w:rFonts w:ascii="Times New Roman" w:hAnsi="Times New Roman" w:cs="Times New Roman"/>
                <w:sz w:val="20"/>
                <w:szCs w:val="20"/>
              </w:rPr>
            </w:pPr>
            <w:r w:rsidRPr="00E135CD">
              <w:rPr>
                <w:rFonts w:ascii="Times New Roman" w:hAnsi="Times New Roman" w:cs="Times New Roman"/>
                <w:sz w:val="20"/>
                <w:szCs w:val="20"/>
              </w:rPr>
              <w:t xml:space="preserve">Información de eficiencia por tecnología de riego del IMTA. </w:t>
            </w:r>
          </w:p>
        </w:tc>
      </w:tr>
    </w:tbl>
    <w:p w:rsidR="005A284E" w:rsidRPr="00527B52" w:rsidRDefault="008D5B28" w:rsidP="008D5B28">
      <w:pPr>
        <w:pStyle w:val="FirstHeading"/>
      </w:pPr>
      <w:r>
        <w:lastRenderedPageBreak/>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12" w:name="_Toc391543467"/>
      <w:r w:rsidR="008C5579">
        <w:rPr>
          <w:noProof/>
        </w:rPr>
        <w:t>D</w:t>
      </w:r>
      <w:r>
        <w:fldChar w:fldCharType="end"/>
      </w:r>
      <w:r>
        <w:t>.</w:t>
      </w:r>
      <w:r>
        <w:tab/>
      </w:r>
      <w:r w:rsidR="00AB3892" w:rsidRPr="00527B52">
        <w:t>Metodología de evaluación</w:t>
      </w:r>
      <w:bookmarkEnd w:id="12"/>
    </w:p>
    <w:p w:rsidR="00AB3892" w:rsidRPr="00527B52" w:rsidRDefault="008F4542" w:rsidP="008D5B28">
      <w:pPr>
        <w:pStyle w:val="Paragraph"/>
      </w:pPr>
      <w:r w:rsidRPr="00527B52">
        <w:t xml:space="preserve">La evaluación del programa tiene dos vertientes; por una parte, se evaluará el impacto de los créditos otorgados para </w:t>
      </w:r>
      <w:r w:rsidR="008D28BA" w:rsidRPr="00527B52">
        <w:t xml:space="preserve">proyectos de inversión elegibles en eficiencia </w:t>
      </w:r>
      <w:r w:rsidRPr="00527B52">
        <w:t xml:space="preserve">energética; por la otra, se evaluará el impacto de los créditos otorgados para </w:t>
      </w:r>
      <w:r w:rsidR="008D28BA" w:rsidRPr="00527B52">
        <w:t>proyectos de inversión elegibles en tecnificación de riegos</w:t>
      </w:r>
      <w:r w:rsidRPr="00527B52">
        <w:t xml:space="preserve">. Es preciso realizar esta distinción, pues la naturaleza de ambos tipos de </w:t>
      </w:r>
      <w:r w:rsidR="008D28BA" w:rsidRPr="00527B52">
        <w:t xml:space="preserve">intervenciones </w:t>
      </w:r>
      <w:r w:rsidRPr="00527B52">
        <w:t>es distinta, así como la</w:t>
      </w:r>
      <w:r w:rsidR="008D28BA" w:rsidRPr="00527B52">
        <w:t>s</w:t>
      </w:r>
      <w:r w:rsidRPr="00527B52">
        <w:t xml:space="preserve"> disponibilidad</w:t>
      </w:r>
      <w:r w:rsidR="008D28BA" w:rsidRPr="00527B52">
        <w:t>es</w:t>
      </w:r>
      <w:r w:rsidRPr="00527B52">
        <w:t xml:space="preserve"> de información</w:t>
      </w:r>
      <w:r w:rsidR="008D28BA" w:rsidRPr="00527B52">
        <w:t xml:space="preserve"> en torno a ellas</w:t>
      </w:r>
      <w:r w:rsidRPr="00527B52">
        <w:t>.</w:t>
      </w:r>
    </w:p>
    <w:p w:rsidR="008F4542" w:rsidRPr="00527B52" w:rsidRDefault="008F4542" w:rsidP="008D5B28">
      <w:pPr>
        <w:pStyle w:val="Paragraph"/>
      </w:pPr>
      <w:r w:rsidRPr="00527B52">
        <w:t xml:space="preserve">La naturaleza no aleatoria de la asignación de créditos para </w:t>
      </w:r>
      <w:r w:rsidR="008D28BA" w:rsidRPr="00527B52">
        <w:t>estos dos tipos de intervenciones</w:t>
      </w:r>
      <w:r w:rsidRPr="00527B52">
        <w:t xml:space="preserve"> impide la utilización de métod</w:t>
      </w:r>
      <w:r w:rsidR="008D28BA" w:rsidRPr="00527B52">
        <w:t>os experimentales de evaluación</w:t>
      </w:r>
      <w:r w:rsidRPr="00527B52">
        <w:t xml:space="preserve"> y</w:t>
      </w:r>
      <w:r w:rsidR="008D28BA" w:rsidRPr="00527B52">
        <w:t>,</w:t>
      </w:r>
      <w:r w:rsidRPr="00527B52">
        <w:t xml:space="preserve"> por ende, se requiere recurrir a métodos cuasi</w:t>
      </w:r>
      <w:r w:rsidR="00D23E34">
        <w:t>-</w:t>
      </w:r>
      <w:r w:rsidRPr="00527B52">
        <w:t xml:space="preserve">experimentales. Esto también es necesario </w:t>
      </w:r>
      <w:r w:rsidR="008D28BA" w:rsidRPr="00527B52">
        <w:t>ya que</w:t>
      </w:r>
      <w:r w:rsidRPr="00527B52">
        <w:t xml:space="preserve"> se desconoce el contrafactual de los </w:t>
      </w:r>
      <w:r w:rsidR="008D28BA" w:rsidRPr="00527B52">
        <w:t>beneficiarios tratados en ambos casos (GT)</w:t>
      </w:r>
      <w:r w:rsidRPr="00527B52">
        <w:t>.</w:t>
      </w:r>
    </w:p>
    <w:p w:rsidR="008F4542" w:rsidRPr="00527B52" w:rsidRDefault="008F4542" w:rsidP="008D5B28">
      <w:pPr>
        <w:pStyle w:val="Paragraph"/>
      </w:pPr>
      <w:r w:rsidRPr="00527B52">
        <w:t xml:space="preserve">Dado lo anterior, se propone un método de evaluación en el que se identifique un grupo de control </w:t>
      </w:r>
      <w:r w:rsidR="008D28BA" w:rsidRPr="00527B52">
        <w:t xml:space="preserve">(GC) </w:t>
      </w:r>
      <w:r w:rsidRPr="00527B52">
        <w:t xml:space="preserve">con características similares al de los </w:t>
      </w:r>
      <w:r w:rsidR="008D28BA" w:rsidRPr="00527B52">
        <w:t>beneficiarios del programa</w:t>
      </w:r>
      <w:r w:rsidRPr="00527B52">
        <w:t xml:space="preserve"> (uno para eficiencia energética y otro para ahorro de agua) a partir del método de </w:t>
      </w:r>
      <w:r w:rsidRPr="003130B1">
        <w:rPr>
          <w:i/>
        </w:rPr>
        <w:t>propensity score matching</w:t>
      </w:r>
      <w:r w:rsidRPr="00527B52">
        <w:t xml:space="preserve"> (PSM)</w:t>
      </w:r>
      <w:r w:rsidR="004921AD" w:rsidRPr="00527B52">
        <w:t xml:space="preserve"> en dos momentos, para posteriormente generar un indicador de dobles diferencias. </w:t>
      </w:r>
    </w:p>
    <w:p w:rsidR="008F4542" w:rsidRPr="00527B52" w:rsidRDefault="004921AD" w:rsidP="008D5B28">
      <w:pPr>
        <w:pStyle w:val="Paragraph"/>
      </w:pPr>
      <w:r w:rsidRPr="00527B52">
        <w:t xml:space="preserve">El método de PSM permite reducir un problema de la comparación multidimensional de características observables para definir grupos comparables a </w:t>
      </w:r>
      <w:r w:rsidRPr="00527B52">
        <w:lastRenderedPageBreak/>
        <w:t xml:space="preserve">uno unidimensional. Esta dimensión es el “score”, el cual se define como la probabilidad de que una unidad en la muestra completa reciba el tratamiento en consideración (en este caso, use la línea de crédito </w:t>
      </w:r>
      <w:r w:rsidR="00CA66C7">
        <w:t>ofrecida</w:t>
      </w:r>
      <w:r w:rsidR="00CA66C7" w:rsidRPr="00527B52">
        <w:t xml:space="preserve"> </w:t>
      </w:r>
      <w:r w:rsidRPr="00527B52">
        <w:t>por el programa) condicional a sus características observables. Bajo el supuesto de que la información disponible es suficiente para aproximar las decisiones de participación y los resultados, este método produce apareamientos válidos para estimar el impacto</w:t>
      </w:r>
      <w:r w:rsidR="00DC2989">
        <w:t xml:space="preserve"> </w:t>
      </w:r>
      <w:r w:rsidRPr="00527B52">
        <w:t>de la intervención. La validez de este método descansa en la validez del supuesto de independencia condicional y de soporte común.</w:t>
      </w:r>
      <w:r w:rsidRPr="008D5B28">
        <w:rPr>
          <w:vertAlign w:val="superscript"/>
        </w:rPr>
        <w:footnoteReference w:id="8"/>
      </w:r>
      <w:r w:rsidRPr="008D5B28">
        <w:rPr>
          <w:vertAlign w:val="superscript"/>
        </w:rPr>
        <w:t xml:space="preserve"> </w:t>
      </w:r>
      <w:r w:rsidRPr="008D5B28">
        <w:rPr>
          <w:vertAlign w:val="superscript"/>
        </w:rPr>
        <w:footnoteReference w:id="9"/>
      </w:r>
    </w:p>
    <w:p w:rsidR="004921AD" w:rsidRPr="00527B52" w:rsidRDefault="004921AD" w:rsidP="008D5B28">
      <w:pPr>
        <w:pStyle w:val="Paragraph"/>
      </w:pPr>
      <w:r w:rsidRPr="00527B52">
        <w:t>Construidos los grupos de comparación se procede a computar la diferencia entre los resultados promedios entre grupos luego del programa con las diferencias en los resultados promedios antes del programa. Esta segunda etapa del procedimiento produce estimaciones válidas del tamaño del impacto del programa bajo la hipótesis de que el GC ofrece un contrafactual adecuado para la evolución que se hubiese observado en la variable de interés en el GT de no haber estado presente la intervención (línea de crédito). Cabe notar que el estimador de diferencias en diferencias permite dar cuenta de diferencias no observadas entre grupos de tratamiento y control que son constantes en el tiempo.</w:t>
      </w:r>
    </w:p>
    <w:p w:rsidR="004921AD" w:rsidRPr="00527B52" w:rsidRDefault="004921AD" w:rsidP="008D5B28">
      <w:pPr>
        <w:pStyle w:val="Paragraph"/>
      </w:pPr>
      <w:r w:rsidRPr="008D5B28">
        <w:rPr>
          <w:b/>
        </w:rPr>
        <w:t>Fuentes de información</w:t>
      </w:r>
      <w:r w:rsidRPr="00527B52">
        <w:t xml:space="preserve">. Como se </w:t>
      </w:r>
      <w:r w:rsidR="000159BA" w:rsidRPr="00527B52">
        <w:t>adelantó previamente</w:t>
      </w:r>
      <w:r w:rsidRPr="00527B52">
        <w:t>, la fuente de información para los proyectos de eficiencia energética serán los Censos Económicos de los años 2009, 2014 y 2019.</w:t>
      </w:r>
      <w:r w:rsidR="007208F4">
        <w:rPr>
          <w:rStyle w:val="FootnoteReference"/>
        </w:rPr>
        <w:footnoteReference w:id="10"/>
      </w:r>
      <w:r w:rsidRPr="00527B52">
        <w:t xml:space="preserve"> Estos Censos permiten conocer el consumo eléctrico de las unidades productivas, a partir del gasto en este rubro. Para conocer el consumo en unidades de electricidad (kWh/año) es preciso conocer las tarifas aplicadas, las cuales pueden consultarse en </w:t>
      </w:r>
      <w:r w:rsidR="00014430" w:rsidRPr="00527B52">
        <w:t>el Balance Nacional de Energía del año que corresponda (CFE, varios años). Adicionalmente, los Censos recopilan información acerca de las características de las unidades productivas. En particular, se propone utilizar las siguientes variables:</w:t>
      </w:r>
    </w:p>
    <w:p w:rsidR="00014430" w:rsidRPr="00527B52" w:rsidRDefault="00014430" w:rsidP="001A6EF8">
      <w:pPr>
        <w:pStyle w:val="subpar"/>
        <w:spacing w:before="60" w:after="60"/>
      </w:pPr>
      <w:r w:rsidRPr="00527B52">
        <w:t>Producción bruta total (miles de pesos)</w:t>
      </w:r>
    </w:p>
    <w:p w:rsidR="00014430" w:rsidRPr="00527B52" w:rsidRDefault="00014430" w:rsidP="001A6EF8">
      <w:pPr>
        <w:pStyle w:val="subpar"/>
        <w:spacing w:before="60" w:after="60"/>
      </w:pPr>
      <w:r w:rsidRPr="00527B52">
        <w:t>Valor agregado censal bruto (miles de pesos)</w:t>
      </w:r>
    </w:p>
    <w:p w:rsidR="00014430" w:rsidRPr="00527B52" w:rsidRDefault="00014430" w:rsidP="001A6EF8">
      <w:pPr>
        <w:pStyle w:val="subpar"/>
        <w:spacing w:before="60" w:after="60"/>
      </w:pPr>
      <w:r w:rsidRPr="00527B52">
        <w:t>Inversión total (miles de pesos)</w:t>
      </w:r>
    </w:p>
    <w:p w:rsidR="00014430" w:rsidRPr="00527B52" w:rsidRDefault="00014430" w:rsidP="001A6EF8">
      <w:pPr>
        <w:pStyle w:val="subpar"/>
        <w:spacing w:before="60" w:after="60"/>
      </w:pPr>
      <w:r w:rsidRPr="00527B52">
        <w:t>Formación bruta de capital fijo (miles de pesos)</w:t>
      </w:r>
    </w:p>
    <w:p w:rsidR="00014430" w:rsidRPr="00527B52" w:rsidRDefault="00014430" w:rsidP="001A6EF8">
      <w:pPr>
        <w:pStyle w:val="subpar"/>
        <w:spacing w:before="60" w:after="60"/>
      </w:pPr>
      <w:r w:rsidRPr="00527B52">
        <w:t>Total de ingresos (miles de pesos)</w:t>
      </w:r>
    </w:p>
    <w:p w:rsidR="00014430" w:rsidRPr="00527B52" w:rsidRDefault="00014430" w:rsidP="001A6EF8">
      <w:pPr>
        <w:pStyle w:val="subpar"/>
        <w:spacing w:before="60" w:after="60"/>
      </w:pPr>
      <w:r w:rsidRPr="00527B52">
        <w:t>Personal remunerado</w:t>
      </w:r>
    </w:p>
    <w:p w:rsidR="00014430" w:rsidRPr="00527B52" w:rsidRDefault="00014430" w:rsidP="001A6EF8">
      <w:pPr>
        <w:pStyle w:val="subpar"/>
        <w:spacing w:before="60" w:after="60"/>
      </w:pPr>
      <w:r w:rsidRPr="00527B52">
        <w:lastRenderedPageBreak/>
        <w:t>Horas trabajadas por personal remunerado (miles de horas)</w:t>
      </w:r>
    </w:p>
    <w:p w:rsidR="00336461" w:rsidRPr="00527B52" w:rsidRDefault="00336461" w:rsidP="001A6EF8">
      <w:pPr>
        <w:pStyle w:val="Paragraph"/>
      </w:pPr>
      <w:r w:rsidRPr="00527B52">
        <w:t>Para que sea posible identificar a cada unidad productiva que recibió un crédito por parte de FIRA para proyectos de eficiencia energética, es preciso que esta institución provea datos de identificación que sean consistentes con los de los Censos Económicos. Estos datos de identifi</w:t>
      </w:r>
      <w:r w:rsidR="006C1BE3" w:rsidRPr="00527B52">
        <w:t>cación se precisan en el Anexo I</w:t>
      </w:r>
      <w:r w:rsidRPr="00527B52">
        <w:t>. De igual forma, en dicho Anexo se detallan los datos de identificación para el caso de los beneficiarios de proyectos de ahorro de agua.</w:t>
      </w:r>
      <w:r w:rsidR="002F3D27">
        <w:t xml:space="preserve"> Dado el n</w:t>
      </w:r>
      <w:r w:rsidR="002F3D27">
        <w:rPr>
          <w:lang w:val="es-ES_tradnl"/>
        </w:rPr>
        <w:t>úmero esperado de beneficiarios (103), en base a los relevamientos de información realizados, se estima que para lograr detectar un efecto será necesario incluir en la muestra 315 observaciones (adicionalmente a los 103 que reciben préstamos).</w:t>
      </w:r>
      <w:r w:rsidR="002F3D27">
        <w:rPr>
          <w:rStyle w:val="FootnoteReference"/>
          <w:lang w:val="es-ES_tradnl"/>
        </w:rPr>
        <w:footnoteReference w:id="11"/>
      </w:r>
    </w:p>
    <w:p w:rsidR="00030D5B" w:rsidRPr="0003205A" w:rsidRDefault="00030D5B" w:rsidP="00030D5B">
      <w:pPr>
        <w:pStyle w:val="Paragraph"/>
      </w:pPr>
      <w:r w:rsidRPr="0003205A">
        <w:t xml:space="preserve">En el caso de los proyectos de ahorro de agua, está prevista la realización de hasta </w:t>
      </w:r>
      <w:r w:rsidR="00543AD8" w:rsidRPr="0003205A">
        <w:t>640</w:t>
      </w:r>
      <w:r w:rsidRPr="0003205A">
        <w:t xml:space="preserve"> encuestas.</w:t>
      </w:r>
      <w:r w:rsidR="00CE5D32" w:rsidRPr="0003205A">
        <w:rPr>
          <w:rStyle w:val="FootnoteReference"/>
        </w:rPr>
        <w:footnoteReference w:id="12"/>
      </w:r>
      <w:r w:rsidRPr="0003205A">
        <w:t xml:space="preserve"> Hasta </w:t>
      </w:r>
      <w:r w:rsidR="00543AD8" w:rsidRPr="0003205A">
        <w:t>384</w:t>
      </w:r>
      <w:r w:rsidRPr="0003205A">
        <w:t xml:space="preserve"> establecimientos (ver anexo 2) serán encuestados replicando la información de la ENA (Encuesta Nacional Agropecuaria) y agregando información sobre consumos efectivos de agua a 12 meses de iniciado el programa a los efectos de asegurar </w:t>
      </w:r>
      <w:r w:rsidR="00875EAD" w:rsidRPr="0003205A">
        <w:t xml:space="preserve">la recuperación </w:t>
      </w:r>
      <w:r w:rsidRPr="0003205A">
        <w:t xml:space="preserve"> línea de base</w:t>
      </w:r>
      <w:r w:rsidR="00875EAD" w:rsidRPr="0003205A">
        <w:t xml:space="preserve"> ex post</w:t>
      </w:r>
      <w:r w:rsidR="00875EAD" w:rsidRPr="0003205A">
        <w:rPr>
          <w:rStyle w:val="FootnoteReference"/>
        </w:rPr>
        <w:footnoteReference w:id="13"/>
      </w:r>
      <w:r w:rsidRPr="0003205A">
        <w:t xml:space="preserve">. De estos </w:t>
      </w:r>
      <w:r w:rsidR="00543AD8" w:rsidRPr="0003205A">
        <w:t>384</w:t>
      </w:r>
      <w:r w:rsidRPr="0003205A">
        <w:t xml:space="preserve"> establecimientos</w:t>
      </w:r>
      <w:r w:rsidR="00DB208F" w:rsidRPr="0003205A">
        <w:t>,</w:t>
      </w:r>
      <w:r w:rsidRPr="0003205A">
        <w:t xml:space="preserve"> 2</w:t>
      </w:r>
      <w:r w:rsidR="00543AD8" w:rsidRPr="0003205A">
        <w:t>5</w:t>
      </w:r>
      <w:r w:rsidRPr="0003205A">
        <w:t>6 serán nuevamente encuestados durante 2017.  El costo estimado de recolección de datos es de USD</w:t>
      </w:r>
      <w:r w:rsidR="00DB208F" w:rsidRPr="0003205A">
        <w:t>70</w:t>
      </w:r>
      <w:r w:rsidRPr="0003205A">
        <w:t>.</w:t>
      </w:r>
      <w:r w:rsidR="00DB208F" w:rsidRPr="0003205A">
        <w:t>40</w:t>
      </w:r>
      <w:r w:rsidRPr="0003205A">
        <w:t xml:space="preserve">0 (ver Anexo II). La factibilidad </w:t>
      </w:r>
      <w:r w:rsidR="00C77F34" w:rsidRPr="0003205A">
        <w:t>técnica de estos relevamiento</w:t>
      </w:r>
      <w:r w:rsidR="00FF1649" w:rsidRPr="0003205A">
        <w:t>s</w:t>
      </w:r>
      <w:r w:rsidR="00C77F34" w:rsidRPr="0003205A">
        <w:t xml:space="preserve"> </w:t>
      </w:r>
      <w:r w:rsidRPr="0003205A">
        <w:t>ha sido confirmada por el INEGI</w:t>
      </w:r>
      <w:r w:rsidR="00C77F34" w:rsidRPr="0003205A">
        <w:t xml:space="preserve"> en comunicaciones telefónicas mantenidas por el equipo</w:t>
      </w:r>
      <w:r w:rsidRPr="0003205A">
        <w:t>.</w:t>
      </w:r>
      <w:r w:rsidR="00FF1649" w:rsidRPr="0003205A">
        <w:rPr>
          <w:rStyle w:val="FootnoteReference"/>
        </w:rPr>
        <w:footnoteReference w:id="14"/>
      </w:r>
      <w:r w:rsidRPr="0003205A">
        <w:t xml:space="preserve"> Con estas bases de datos se implementará el procedimiento anteriormente descrito. Las variables que se propone sean utilizadas para estimar la probabilidad de tratamiento son:</w:t>
      </w:r>
    </w:p>
    <w:p w:rsidR="00030D5B" w:rsidRDefault="00030D5B" w:rsidP="00E135CD">
      <w:pPr>
        <w:pStyle w:val="subpar"/>
      </w:pPr>
      <w:r>
        <w:t>Volumen de cultivos agrícolas, superficie total, superficie sembrada, superficie con concesión de riego, superficie cosechada y precio de venta del cultivo.</w:t>
      </w:r>
    </w:p>
    <w:p w:rsidR="00030D5B" w:rsidRDefault="00030D5B" w:rsidP="00E135CD">
      <w:pPr>
        <w:pStyle w:val="subpar"/>
      </w:pPr>
      <w:r>
        <w:t>Tipos de cultivo predominante (al menos 70% de la producción).</w:t>
      </w:r>
    </w:p>
    <w:p w:rsidR="00030D5B" w:rsidRDefault="00030D5B" w:rsidP="00E135CD">
      <w:pPr>
        <w:pStyle w:val="subpar"/>
      </w:pPr>
      <w:r>
        <w:t>Presencia de actividad pecuaria y, en caso afirmativo, número de cabezas y distribución por especie (bovino, porcino, etc.)</w:t>
      </w:r>
    </w:p>
    <w:p w:rsidR="00030D5B" w:rsidRDefault="00030D5B" w:rsidP="00E135CD">
      <w:pPr>
        <w:pStyle w:val="subpar"/>
      </w:pPr>
      <w:r>
        <w:t>Principal tecnología de riego.</w:t>
      </w:r>
    </w:p>
    <w:p w:rsidR="00030D5B" w:rsidRDefault="00030D5B" w:rsidP="00E135CD">
      <w:pPr>
        <w:pStyle w:val="subpar"/>
      </w:pPr>
      <w:r>
        <w:t>Número de tractores propios y otra maquinaria utilizada.</w:t>
      </w:r>
    </w:p>
    <w:p w:rsidR="00030D5B" w:rsidRDefault="00030D5B" w:rsidP="00E135CD">
      <w:pPr>
        <w:pStyle w:val="subpar"/>
      </w:pPr>
      <w:r>
        <w:lastRenderedPageBreak/>
        <w:t>Información de créditos recibidos, tasa de interés, origen (banca privada, estatal, etc.) y destino (avío, refaccionario, otro).</w:t>
      </w:r>
    </w:p>
    <w:p w:rsidR="00336461" w:rsidRPr="00527B52" w:rsidRDefault="00030D5B" w:rsidP="00E135CD">
      <w:pPr>
        <w:pStyle w:val="subpar"/>
        <w:spacing w:before="60" w:after="60"/>
      </w:pPr>
      <w:r>
        <w:t>Problemas principales (falta de acceso a crédito, pérdida de fertilidad del suelo, dificultad para la comercialización, falta de infraestructura).</w:t>
      </w:r>
    </w:p>
    <w:p w:rsidR="00336461" w:rsidRPr="00527B52" w:rsidRDefault="001A6EF8" w:rsidP="001A6EF8">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13" w:name="_Toc391543468"/>
      <w:r w:rsidR="008C5579">
        <w:rPr>
          <w:noProof/>
        </w:rPr>
        <w:t>E</w:t>
      </w:r>
      <w:r>
        <w:fldChar w:fldCharType="end"/>
      </w:r>
      <w:r>
        <w:t>.</w:t>
      </w:r>
      <w:r>
        <w:tab/>
      </w:r>
      <w:r w:rsidR="00336461" w:rsidRPr="00527B52">
        <w:t>Aspectos técnicos de la metodología seleccionada</w:t>
      </w:r>
      <w:bookmarkEnd w:id="13"/>
    </w:p>
    <w:p w:rsidR="00336461" w:rsidRPr="00527B52" w:rsidRDefault="00353F2A" w:rsidP="001A6EF8">
      <w:pPr>
        <w:pStyle w:val="Paragraph"/>
      </w:pPr>
      <w:r w:rsidRPr="00527B52">
        <w:t>La metodología que se describió en la sección anterior consiste</w:t>
      </w:r>
      <w:r w:rsidR="00DF4444" w:rsidRPr="00527B52">
        <w:t xml:space="preserve"> en la identificación de un grupo de control y uno de tratamiento. En los dos tipos de proyectos apoyados por el Programa</w:t>
      </w:r>
      <w:r w:rsidR="00603AA8" w:rsidRPr="00527B52">
        <w:t>,</w:t>
      </w:r>
      <w:r w:rsidR="00DF4444" w:rsidRPr="00527B52">
        <w:t xml:space="preserve"> el grupo de tratamiento está conformado por las unidades productivas que recibieron un crédito para la realización de algún proyecto de eficiencia energética o de ahorro de agua.</w:t>
      </w:r>
    </w:p>
    <w:p w:rsidR="00D45C57" w:rsidRPr="00527B52" w:rsidRDefault="00DF4444" w:rsidP="001A6EF8">
      <w:pPr>
        <w:pStyle w:val="Paragraph"/>
      </w:pPr>
      <w:r w:rsidRPr="00527B52">
        <w:t xml:space="preserve">En el caso </w:t>
      </w:r>
      <w:r w:rsidR="00D45C57" w:rsidRPr="00527B52">
        <w:t xml:space="preserve">de los proyectos de eficiencia energética, las unidades productivas apoyadas pueden ser identificadas a partir de la información que se detalla en el Anexo 1. Una vez que </w:t>
      </w:r>
      <w:r w:rsidR="00300509" w:rsidRPr="00527B52">
        <w:t>se</w:t>
      </w:r>
      <w:r w:rsidR="00D45C57" w:rsidRPr="00527B52">
        <w:t xml:space="preserve"> recolecte dicha información, se hace una solicitud a INEGI de las variables de los Censos Económicos que se señalaron en la sección anterior para todas las unidades productivas del grupo de </w:t>
      </w:r>
      <w:r w:rsidR="00240EDC" w:rsidRPr="00527B52">
        <w:t>tratamiento</w:t>
      </w:r>
      <w:r w:rsidR="00D45C57" w:rsidRPr="00527B52">
        <w:t>. Adicionalmente, se solicita a INEGI la misma información pero de unidades productivas que no fueron apoyadas (es decir, el resto de unidades productivas del país que se dedican al procesamiento de alimentos</w:t>
      </w:r>
      <w:r w:rsidR="00240EDC" w:rsidRPr="00527B52">
        <w:t xml:space="preserve"> o grupo de control</w:t>
      </w:r>
      <w:r w:rsidR="00D45C57" w:rsidRPr="00527B52">
        <w:t xml:space="preserve">). Debido a que existe una cláusula de confidencialidad que impide que se soliciten datos que permitan identificar individualmente a unidades productivas, la solicitud debe realizarse haciendo explícito que no se requieren los datos de identificación individual, sino sólo </w:t>
      </w:r>
      <w:r w:rsidR="002842A7" w:rsidRPr="00527B52">
        <w:t>las variables de interés</w:t>
      </w:r>
      <w:r w:rsidR="00D45C57" w:rsidRPr="00527B52">
        <w:t xml:space="preserve"> </w:t>
      </w:r>
      <w:r w:rsidR="002842A7" w:rsidRPr="00527B52">
        <w:t>de cada unidad productiva sin datos de identificación, sólo indicando si pertenecen al grupo tratado</w:t>
      </w:r>
      <w:r w:rsidR="00D45C57" w:rsidRPr="00527B52">
        <w:t xml:space="preserve"> </w:t>
      </w:r>
      <w:r w:rsidR="002842A7" w:rsidRPr="00527B52">
        <w:t>o de</w:t>
      </w:r>
      <w:r w:rsidR="00D45C57" w:rsidRPr="00527B52">
        <w:t xml:space="preserve"> </w:t>
      </w:r>
      <w:r w:rsidR="002842A7" w:rsidRPr="00527B52">
        <w:t>control</w:t>
      </w:r>
      <w:r w:rsidR="00D45C57" w:rsidRPr="00527B52">
        <w:t>.</w:t>
      </w:r>
    </w:p>
    <w:p w:rsidR="00B37A30" w:rsidRPr="00527B52" w:rsidRDefault="00D45C57" w:rsidP="001A6EF8">
      <w:pPr>
        <w:pStyle w:val="Paragraph"/>
      </w:pPr>
      <w:r w:rsidRPr="00527B52">
        <w:t xml:space="preserve">En el caso de los proyectos de ahorro de agua, se </w:t>
      </w:r>
      <w:r w:rsidR="00030D5B">
        <w:t xml:space="preserve">anticipa una muestra de 384 </w:t>
      </w:r>
      <w:r w:rsidR="00A36186">
        <w:t>emprendimientos</w:t>
      </w:r>
      <w:r w:rsidR="00A36186" w:rsidRPr="00A36186">
        <w:t xml:space="preserve"> </w:t>
      </w:r>
      <w:r w:rsidR="00A36186">
        <w:t>en la Primera Ronda</w:t>
      </w:r>
      <w:r w:rsidRPr="00527B52">
        <w:t xml:space="preserve">, </w:t>
      </w:r>
      <w:r w:rsidR="00030D5B" w:rsidRPr="00527B52">
        <w:t>1</w:t>
      </w:r>
      <w:r w:rsidR="00030D5B">
        <w:t>2</w:t>
      </w:r>
      <w:r w:rsidR="00030D5B" w:rsidRPr="00527B52">
        <w:t xml:space="preserve">8 </w:t>
      </w:r>
      <w:r w:rsidRPr="00527B52">
        <w:t xml:space="preserve">de </w:t>
      </w:r>
      <w:r w:rsidR="00030D5B">
        <w:t xml:space="preserve">los cuales serán </w:t>
      </w:r>
      <w:r w:rsidRPr="00527B52">
        <w:t xml:space="preserve"> apoyados p</w:t>
      </w:r>
      <w:r w:rsidR="00B37A30" w:rsidRPr="00527B52">
        <w:t xml:space="preserve">or el Programa y </w:t>
      </w:r>
      <w:r w:rsidR="00A36186" w:rsidRPr="00527B52">
        <w:t>2</w:t>
      </w:r>
      <w:r w:rsidR="00A36186">
        <w:t>56</w:t>
      </w:r>
      <w:r w:rsidR="00A36186" w:rsidRPr="00527B52">
        <w:t xml:space="preserve"> </w:t>
      </w:r>
      <w:r w:rsidRPr="00527B52">
        <w:t xml:space="preserve">no </w:t>
      </w:r>
      <w:r w:rsidR="00A36186">
        <w:t xml:space="preserve">serán </w:t>
      </w:r>
      <w:r w:rsidRPr="00527B52">
        <w:t>apoyados</w:t>
      </w:r>
      <w:r w:rsidR="00A36186">
        <w:t xml:space="preserve"> por el Programa</w:t>
      </w:r>
      <w:r w:rsidRPr="00527B52">
        <w:t>.</w:t>
      </w:r>
      <w:r w:rsidR="00B37A30" w:rsidRPr="00527B52">
        <w:t xml:space="preserve"> Para ambos grupos se recolectarán las variables descritas en la sección anterior, además de los consumos de agua de los 12 meses anteriores.</w:t>
      </w:r>
    </w:p>
    <w:p w:rsidR="00B37A30" w:rsidRPr="00527B52" w:rsidRDefault="00B37A30" w:rsidP="00B9384A">
      <w:pPr>
        <w:pStyle w:val="Paragraph"/>
      </w:pPr>
      <w:r w:rsidRPr="00527B52">
        <w:t xml:space="preserve">Para la realización de la encuesta a beneficiarios para proyectos de tecnificación de riego se calculó el tamaño de muestra requerido </w:t>
      </w:r>
      <w:r w:rsidR="00B9384A" w:rsidRPr="00B9384A">
        <w:t xml:space="preserve">de acuerdo con la información de SAGARPA-FIRCO-IMTA (2010), donde se reporta el consumo requerido por cada sistema analizado; considerando el consumo promedio por goteo, expresado en litros por segundo (lps), así como su desviación estándar, y un incremento de eficiencia de riego con respecto a la tecnología de rodado, a nivel de parcela, de 17% (también de la misma fuente) y una relación de tratados y no tratados de </w:t>
      </w:r>
      <w:r w:rsidR="0069740D">
        <w:t>1</w:t>
      </w:r>
      <w:r w:rsidR="00B9384A" w:rsidRPr="00B9384A">
        <w:t xml:space="preserve">:1 se llega a los mencionados 384 cuestionarios en la primera ronda, y 256 en la </w:t>
      </w:r>
      <w:r w:rsidR="00B9384A">
        <w:t>S</w:t>
      </w:r>
      <w:r w:rsidR="00B9384A" w:rsidRPr="00B9384A">
        <w:t xml:space="preserve">egunda </w:t>
      </w:r>
      <w:r w:rsidR="00B9384A">
        <w:t xml:space="preserve">Ronda </w:t>
      </w:r>
      <w:r w:rsidR="00B9384A" w:rsidRPr="00B9384A">
        <w:t>para llegar a un total de 640 encuestas</w:t>
      </w:r>
      <w:r w:rsidR="0069740D">
        <w:t xml:space="preserve"> (ver nota 9).</w:t>
      </w:r>
    </w:p>
    <w:p w:rsidR="00AB6B44" w:rsidRPr="00527B52" w:rsidRDefault="00AD30DD" w:rsidP="00AD30DD">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14" w:name="_Toc391543469"/>
      <w:r w:rsidR="008C5579">
        <w:rPr>
          <w:noProof/>
        </w:rPr>
        <w:t>F</w:t>
      </w:r>
      <w:r>
        <w:fldChar w:fldCharType="end"/>
      </w:r>
      <w:r>
        <w:t>.</w:t>
      </w:r>
      <w:r>
        <w:tab/>
      </w:r>
      <w:r w:rsidR="00AB6B44" w:rsidRPr="00527B52">
        <w:t xml:space="preserve">Reporte de los resultados de </w:t>
      </w:r>
      <w:r w:rsidR="00C71FCF" w:rsidRPr="00527B52">
        <w:t>las evaluaciones</w:t>
      </w:r>
      <w:bookmarkEnd w:id="14"/>
    </w:p>
    <w:p w:rsidR="00AB6B44" w:rsidRPr="00527B52" w:rsidRDefault="00AB6B44" w:rsidP="00AD30DD">
      <w:pPr>
        <w:pStyle w:val="Paragraph"/>
      </w:pPr>
      <w:r w:rsidRPr="00527B52">
        <w:t xml:space="preserve">Los resultados de la evaluación serán reportados por FIRA, a partir del trabajo de un consultor externo, </w:t>
      </w:r>
      <w:r w:rsidR="0030060D" w:rsidRPr="00527B52">
        <w:t>quien</w:t>
      </w:r>
      <w:r w:rsidRPr="00527B52">
        <w:t xml:space="preserve"> seguirá la metodología descrita en el presente plan. Los </w:t>
      </w:r>
      <w:r w:rsidRPr="00527B52">
        <w:lastRenderedPageBreak/>
        <w:t>resultados se presentarán en reportes escritos que detallar</w:t>
      </w:r>
      <w:r w:rsidR="00FF5665" w:rsidRPr="00527B52">
        <w:t>án el proceso de evaluación en 3</w:t>
      </w:r>
      <w:r w:rsidRPr="00527B52">
        <w:t xml:space="preserve"> momentos.</w:t>
      </w:r>
    </w:p>
    <w:p w:rsidR="00AB6B44" w:rsidRPr="00527B52" w:rsidRDefault="00AB6B44" w:rsidP="00AD30DD">
      <w:pPr>
        <w:pStyle w:val="Paragraph"/>
      </w:pPr>
      <w:r w:rsidRPr="00527B52">
        <w:t xml:space="preserve">El primer reporte se elaborará en 2015 e incluirá información relacionada con el procedimiento para responder las preguntas de evaluación, de la recopilación de información, de la metodología empleada y de los resultados obtenidos, </w:t>
      </w:r>
      <w:r w:rsidR="0030060D" w:rsidRPr="00527B52">
        <w:t>los cuales</w:t>
      </w:r>
      <w:r w:rsidRPr="00527B52">
        <w:t xml:space="preserve"> serán expresados en una primera medición d</w:t>
      </w:r>
      <w:r w:rsidR="0030060D" w:rsidRPr="00527B52">
        <w:t>e los indicadores de resultados</w:t>
      </w:r>
      <w:r w:rsidRPr="00527B52">
        <w:t>. En el caso de los indicadores de resultados, éstos se reportarán para los años 2009 y 2014 en el caso de proyectos de eficiencia energética y para 201</w:t>
      </w:r>
      <w:r w:rsidR="000D08A1">
        <w:t>5</w:t>
      </w:r>
      <w:r w:rsidRPr="00527B52">
        <w:t>, en el caso de los proyectos de ahorro de agua</w:t>
      </w:r>
      <w:r w:rsidR="00603AA8" w:rsidRPr="00527B52">
        <w:t>.</w:t>
      </w:r>
    </w:p>
    <w:p w:rsidR="00FF5665" w:rsidRDefault="00AB6B44" w:rsidP="00B61201">
      <w:pPr>
        <w:pStyle w:val="Paragraph"/>
      </w:pPr>
      <w:r w:rsidRPr="00527B52">
        <w:t>El segundo reporte se elaborará</w:t>
      </w:r>
      <w:r w:rsidR="00FF5665" w:rsidRPr="00527B52">
        <w:t xml:space="preserve"> en 2018 y presentará los resultados finales de la evaluación para proyectos de ahorro de agua. Específicamente, detallará el proceso de recopilación de información, la metodología empleada y los indicadores de </w:t>
      </w:r>
      <w:r w:rsidR="0030060D" w:rsidRPr="00527B52">
        <w:t>impacto</w:t>
      </w:r>
      <w:r w:rsidR="00B61201">
        <w:t xml:space="preserve">. </w:t>
      </w:r>
      <w:r w:rsidR="00B61201" w:rsidRPr="00B61201">
        <w:t>Se presentarán indicadores de dobles diferencias que permitan apreciar el impacto que tuvo el Programa en elevar el ahorro de agua en las unidades apoyadas. Para los indicadores de resultados se reportará la información de los años 201</w:t>
      </w:r>
      <w:r w:rsidR="0020003C">
        <w:t>5</w:t>
      </w:r>
      <w:r w:rsidR="00B61201" w:rsidRPr="00B61201">
        <w:t xml:space="preserve"> y 2017.</w:t>
      </w:r>
    </w:p>
    <w:p w:rsidR="00B61201" w:rsidRPr="00527B52" w:rsidRDefault="00B61201" w:rsidP="00B61201">
      <w:pPr>
        <w:pStyle w:val="Paragraph"/>
      </w:pPr>
      <w:r w:rsidRPr="00B61201">
        <w:t xml:space="preserve">El tercer reporte se elaborará en 2019 y presentará los resultados finales de la evaluación para proyectos de eficiencia energética. Específicamente, detallará el proceso de recopilación de información, la metodología empleada y los indicadores de impacto. Se presentarán indicadores de dobles diferencias que permitan apreciar el impacto que tuvo el Programa en elevar la eficiencia energética. Para los indicadores de resultados se reportará la información de los </w:t>
      </w:r>
      <w:r w:rsidR="0020003C">
        <w:t>censos</w:t>
      </w:r>
      <w:r w:rsidR="0020003C" w:rsidRPr="00B61201">
        <w:t xml:space="preserve"> </w:t>
      </w:r>
      <w:r w:rsidRPr="00B61201">
        <w:t>2014 y 2019 para proyectos de eficiencia energética.</w:t>
      </w:r>
    </w:p>
    <w:p w:rsidR="00FF5665" w:rsidRPr="00527B52" w:rsidRDefault="00AD30DD" w:rsidP="00AD30DD">
      <w:pPr>
        <w:pStyle w:val="FirstHeading"/>
      </w:pPr>
      <w:r>
        <w:fldChar w:fldCharType="begin"/>
      </w:r>
      <w:r>
        <w:instrText xml:space="preserve"> SEQ "</w:instrText>
      </w:r>
      <w:r w:rsidR="0090558B">
        <w:fldChar w:fldCharType="begin"/>
      </w:r>
      <w:r w:rsidR="0090558B">
        <w:instrText xml:space="preserve"> SECTION  \* MERGEFORMAT </w:instrText>
      </w:r>
      <w:r w:rsidR="0090558B">
        <w:fldChar w:fldCharType="separate"/>
      </w:r>
      <w:r w:rsidR="008C5579">
        <w:instrText>4</w:instrText>
      </w:r>
      <w:r w:rsidR="0090558B">
        <w:fldChar w:fldCharType="end"/>
      </w:r>
      <w:r>
        <w:instrText xml:space="preserve">#"\* ALPHABETIC \* MERGEFORMAT </w:instrText>
      </w:r>
      <w:r>
        <w:fldChar w:fldCharType="separate"/>
      </w:r>
      <w:bookmarkStart w:id="15" w:name="_Toc391543470"/>
      <w:r w:rsidR="008C5579">
        <w:rPr>
          <w:noProof/>
        </w:rPr>
        <w:t>G</w:t>
      </w:r>
      <w:r>
        <w:fldChar w:fldCharType="end"/>
      </w:r>
      <w:r>
        <w:t>.</w:t>
      </w:r>
      <w:r>
        <w:tab/>
      </w:r>
      <w:r w:rsidR="00FF5665" w:rsidRPr="00527B52">
        <w:t>Coordinación, plan de trabajo y presupuesto</w:t>
      </w:r>
      <w:bookmarkEnd w:id="15"/>
    </w:p>
    <w:p w:rsidR="00FF5665" w:rsidRPr="00527B52" w:rsidRDefault="00FF5665" w:rsidP="00AD30DD">
      <w:pPr>
        <w:pStyle w:val="Paragraph"/>
      </w:pPr>
      <w:r w:rsidRPr="00527B52">
        <w:t>El plan de evaluación del Programa será coordinado por FIRA, con apoyo técnico del BID y con la colaboración de un</w:t>
      </w:r>
      <w:r w:rsidR="000D08A1">
        <w:t>(os)</w:t>
      </w:r>
      <w:r w:rsidRPr="00527B52">
        <w:t xml:space="preserve"> consultor</w:t>
      </w:r>
      <w:r w:rsidR="00716DA2" w:rsidRPr="00527B52">
        <w:t>(es)</w:t>
      </w:r>
      <w:r w:rsidRPr="00527B52">
        <w:t xml:space="preserve"> externo</w:t>
      </w:r>
      <w:r w:rsidR="00716DA2" w:rsidRPr="00527B52">
        <w:t>(s)</w:t>
      </w:r>
      <w:r w:rsidRPr="00527B52">
        <w:t xml:space="preserve">. FIRA será responsable de recopilar información de identificación de las unidades apoyadas para ambos tipos de proyectos de acuerdo a lo señalado en el Anexo 1. También, será responsable del proceso de contratación </w:t>
      </w:r>
      <w:r w:rsidR="000D08A1" w:rsidRPr="00527B52">
        <w:t>de</w:t>
      </w:r>
      <w:r w:rsidR="000D08A1">
        <w:t xml:space="preserve">l(los) </w:t>
      </w:r>
      <w:r w:rsidRPr="00527B52">
        <w:t>consultor</w:t>
      </w:r>
      <w:r w:rsidR="00716DA2" w:rsidRPr="00527B52">
        <w:t>(es)</w:t>
      </w:r>
      <w:r w:rsidRPr="00527B52">
        <w:t xml:space="preserve"> externo</w:t>
      </w:r>
      <w:r w:rsidR="00716DA2" w:rsidRPr="00527B52">
        <w:t>(s)</w:t>
      </w:r>
      <w:r w:rsidRPr="00527B52">
        <w:t xml:space="preserve"> utilizando fondos </w:t>
      </w:r>
      <w:r w:rsidR="00716DA2" w:rsidRPr="00527B52">
        <w:t xml:space="preserve">de las CTs del CTF </w:t>
      </w:r>
      <w:r w:rsidR="000D08A1">
        <w:t xml:space="preserve">(ME-T1265 y ME-T1266) </w:t>
      </w:r>
      <w:r w:rsidR="00716DA2" w:rsidRPr="00527B52">
        <w:t>que complementan el programa</w:t>
      </w:r>
      <w:r w:rsidRPr="00527B52">
        <w:t xml:space="preserve"> para ello. FIRA y el BID validarán el trabajo del</w:t>
      </w:r>
      <w:r w:rsidR="00624169">
        <w:t>(los)</w:t>
      </w:r>
      <w:r w:rsidRPr="00527B52">
        <w:t xml:space="preserve"> consultor</w:t>
      </w:r>
      <w:r w:rsidR="00716DA2" w:rsidRPr="00527B52">
        <w:t>(es)</w:t>
      </w:r>
      <w:r w:rsidRPr="00527B52">
        <w:t xml:space="preserve"> externo</w:t>
      </w:r>
      <w:r w:rsidR="00716DA2" w:rsidRPr="00527B52">
        <w:t>(s)</w:t>
      </w:r>
      <w:r w:rsidRPr="00527B52">
        <w:t xml:space="preserve">. </w:t>
      </w:r>
    </w:p>
    <w:p w:rsidR="003272CD" w:rsidRPr="00527B52" w:rsidRDefault="003272CD" w:rsidP="00AD30DD">
      <w:pPr>
        <w:pStyle w:val="Paragraph"/>
      </w:pPr>
      <w:r w:rsidRPr="00527B52">
        <w:t xml:space="preserve">El cronograma de trabajo </w:t>
      </w:r>
      <w:r w:rsidR="00716DA2" w:rsidRPr="00527B52">
        <w:t>en materia de evaluación es el siguiente</w:t>
      </w:r>
      <w:r w:rsidRPr="00527B52">
        <w:t>:</w:t>
      </w:r>
    </w:p>
    <w:p w:rsidR="003272CD" w:rsidRPr="00527B52" w:rsidRDefault="003272CD" w:rsidP="00AD30DD">
      <w:pPr>
        <w:pStyle w:val="subpar"/>
        <w:spacing w:before="60" w:after="60"/>
      </w:pPr>
      <w:r w:rsidRPr="00527B52">
        <w:t xml:space="preserve">2015. </w:t>
      </w:r>
      <w:r w:rsidR="00716DA2" w:rsidRPr="00527B52">
        <w:t>Línea de base de proyectos de eficiencia energética y de ahorro de agua.</w:t>
      </w:r>
    </w:p>
    <w:p w:rsidR="003272CD" w:rsidRPr="00527B52" w:rsidRDefault="003272CD" w:rsidP="00AD30DD">
      <w:pPr>
        <w:pStyle w:val="subpar"/>
        <w:spacing w:before="60" w:after="60"/>
      </w:pPr>
      <w:r w:rsidRPr="00527B52">
        <w:t>201</w:t>
      </w:r>
      <w:r w:rsidR="00925B18">
        <w:t>8</w:t>
      </w:r>
      <w:r w:rsidRPr="00527B52">
        <w:t>. Reporte de resultados de proyectos de ahorro de agua.</w:t>
      </w:r>
    </w:p>
    <w:p w:rsidR="003272CD" w:rsidRPr="00527B52" w:rsidRDefault="003272CD" w:rsidP="00AD30DD">
      <w:pPr>
        <w:pStyle w:val="subpar"/>
        <w:spacing w:before="60" w:after="60"/>
      </w:pPr>
      <w:r w:rsidRPr="00527B52">
        <w:t>20</w:t>
      </w:r>
      <w:r w:rsidR="00B54877">
        <w:t>19</w:t>
      </w:r>
      <w:r w:rsidRPr="00527B52">
        <w:t>. Reporte de resultados de proyectos de eficiencia energética.</w:t>
      </w:r>
    </w:p>
    <w:p w:rsidR="00FF1649" w:rsidRDefault="003272CD" w:rsidP="00FF1649">
      <w:pPr>
        <w:pStyle w:val="Paragraph"/>
      </w:pPr>
      <w:r w:rsidRPr="00527B52">
        <w:t>El presupuesto para el plan de monitoreo y evaluación asciende a USD120</w:t>
      </w:r>
      <w:r w:rsidR="006C1BE3" w:rsidRPr="00527B52">
        <w:t>.000 y se desglosa en el siguiente cuadro y en el Anexo II</w:t>
      </w:r>
      <w:r w:rsidRPr="00527B52">
        <w:t>.</w:t>
      </w:r>
    </w:p>
    <w:p w:rsidR="007502FA" w:rsidRDefault="007502FA" w:rsidP="007502FA">
      <w:pPr>
        <w:pStyle w:val="Chapter"/>
        <w:numPr>
          <w:ilvl w:val="0"/>
          <w:numId w:val="0"/>
        </w:numPr>
        <w:ind w:left="288"/>
        <w:jc w:val="left"/>
      </w:pPr>
    </w:p>
    <w:p w:rsidR="007502FA" w:rsidRDefault="007502FA" w:rsidP="007502FA"/>
    <w:p w:rsidR="007502FA" w:rsidRDefault="007502FA" w:rsidP="007502FA"/>
    <w:p w:rsidR="007502FA" w:rsidRPr="007502FA" w:rsidRDefault="007502FA" w:rsidP="007502FA"/>
    <w:tbl>
      <w:tblPr>
        <w:tblStyle w:val="TableGrid"/>
        <w:tblW w:w="10080" w:type="dxa"/>
        <w:jc w:val="center"/>
        <w:tblInd w:w="108" w:type="dxa"/>
        <w:tblLayout w:type="fixed"/>
        <w:tblLook w:val="04A0" w:firstRow="1" w:lastRow="0" w:firstColumn="1" w:lastColumn="0" w:noHBand="0" w:noVBand="1"/>
      </w:tblPr>
      <w:tblGrid>
        <w:gridCol w:w="2331"/>
        <w:gridCol w:w="360"/>
        <w:gridCol w:w="360"/>
        <w:gridCol w:w="360"/>
        <w:gridCol w:w="360"/>
        <w:gridCol w:w="360"/>
        <w:gridCol w:w="360"/>
        <w:gridCol w:w="360"/>
        <w:gridCol w:w="360"/>
        <w:gridCol w:w="360"/>
        <w:gridCol w:w="360"/>
        <w:gridCol w:w="1260"/>
        <w:gridCol w:w="1629"/>
        <w:gridCol w:w="1260"/>
      </w:tblGrid>
      <w:tr w:rsidR="00716DA2" w:rsidRPr="00574AD8" w:rsidTr="00C305A9">
        <w:trPr>
          <w:jc w:val="center"/>
        </w:trPr>
        <w:tc>
          <w:tcPr>
            <w:tcW w:w="2331" w:type="dxa"/>
            <w:vMerge w:val="restart"/>
            <w:vAlign w:val="center"/>
          </w:tcPr>
          <w:p w:rsidR="00716DA2" w:rsidRPr="00C305A9" w:rsidRDefault="00716DA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Actividades Claves de Monitoreo / Productos por Actividad</w:t>
            </w:r>
            <w:r w:rsidR="009A2589" w:rsidRPr="00C305A9">
              <w:rPr>
                <w:rFonts w:ascii="Times New Roman" w:hAnsi="Times New Roman" w:cs="Times New Roman"/>
                <w:b/>
                <w:sz w:val="19"/>
                <w:szCs w:val="19"/>
              </w:rPr>
              <w:t xml:space="preserve"> 1</w:t>
            </w:r>
          </w:p>
        </w:tc>
        <w:tc>
          <w:tcPr>
            <w:tcW w:w="720" w:type="dxa"/>
            <w:gridSpan w:val="2"/>
            <w:vAlign w:val="center"/>
          </w:tcPr>
          <w:p w:rsidR="00716DA2" w:rsidRPr="00C305A9" w:rsidRDefault="00CC0C5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2015</w:t>
            </w:r>
          </w:p>
        </w:tc>
        <w:tc>
          <w:tcPr>
            <w:tcW w:w="720" w:type="dxa"/>
            <w:gridSpan w:val="2"/>
            <w:vAlign w:val="center"/>
          </w:tcPr>
          <w:p w:rsidR="00716DA2" w:rsidRPr="00C305A9" w:rsidRDefault="00CC0C5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2016</w:t>
            </w:r>
          </w:p>
        </w:tc>
        <w:tc>
          <w:tcPr>
            <w:tcW w:w="720" w:type="dxa"/>
            <w:gridSpan w:val="2"/>
            <w:vAlign w:val="center"/>
          </w:tcPr>
          <w:p w:rsidR="00716DA2" w:rsidRPr="00C305A9" w:rsidRDefault="00CC0C5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2017</w:t>
            </w:r>
          </w:p>
        </w:tc>
        <w:tc>
          <w:tcPr>
            <w:tcW w:w="720" w:type="dxa"/>
            <w:gridSpan w:val="2"/>
            <w:vAlign w:val="center"/>
          </w:tcPr>
          <w:p w:rsidR="00716DA2" w:rsidRPr="00C305A9" w:rsidRDefault="00CC0C5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2018</w:t>
            </w:r>
          </w:p>
        </w:tc>
        <w:tc>
          <w:tcPr>
            <w:tcW w:w="720" w:type="dxa"/>
            <w:gridSpan w:val="2"/>
            <w:vAlign w:val="center"/>
          </w:tcPr>
          <w:p w:rsidR="00716DA2" w:rsidRPr="00C305A9" w:rsidRDefault="00CC0C5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2019</w:t>
            </w:r>
          </w:p>
        </w:tc>
        <w:tc>
          <w:tcPr>
            <w:tcW w:w="1260" w:type="dxa"/>
            <w:vMerge w:val="restart"/>
            <w:vAlign w:val="center"/>
          </w:tcPr>
          <w:p w:rsidR="00716DA2" w:rsidRPr="00C305A9" w:rsidRDefault="00716DA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Costo / Divisa</w:t>
            </w:r>
          </w:p>
        </w:tc>
        <w:tc>
          <w:tcPr>
            <w:tcW w:w="1629" w:type="dxa"/>
            <w:vMerge w:val="restart"/>
            <w:vAlign w:val="center"/>
          </w:tcPr>
          <w:p w:rsidR="00716DA2" w:rsidRPr="00C305A9" w:rsidRDefault="00716DA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Responsable</w:t>
            </w:r>
          </w:p>
        </w:tc>
        <w:tc>
          <w:tcPr>
            <w:tcW w:w="1260" w:type="dxa"/>
            <w:vMerge w:val="restart"/>
            <w:vAlign w:val="center"/>
          </w:tcPr>
          <w:p w:rsidR="00716DA2" w:rsidRPr="00C305A9" w:rsidRDefault="00716DA2" w:rsidP="00C305A9">
            <w:pPr>
              <w:jc w:val="center"/>
              <w:rPr>
                <w:rFonts w:ascii="Times New Roman" w:hAnsi="Times New Roman" w:cs="Times New Roman"/>
                <w:b/>
                <w:sz w:val="19"/>
                <w:szCs w:val="19"/>
              </w:rPr>
            </w:pPr>
            <w:r w:rsidRPr="00C305A9">
              <w:rPr>
                <w:rFonts w:ascii="Times New Roman" w:hAnsi="Times New Roman" w:cs="Times New Roman"/>
                <w:b/>
                <w:sz w:val="19"/>
                <w:szCs w:val="19"/>
              </w:rPr>
              <w:t>Fuente de fondeo</w:t>
            </w:r>
          </w:p>
        </w:tc>
      </w:tr>
      <w:tr w:rsidR="00C305A9" w:rsidRPr="00574AD8" w:rsidTr="00C305A9">
        <w:trPr>
          <w:jc w:val="center"/>
        </w:trPr>
        <w:tc>
          <w:tcPr>
            <w:tcW w:w="2331" w:type="dxa"/>
            <w:vMerge/>
          </w:tcPr>
          <w:p w:rsidR="00716DA2" w:rsidRPr="00574AD8" w:rsidRDefault="00716DA2" w:rsidP="00527B52">
            <w:pPr>
              <w:rPr>
                <w:rFonts w:ascii="Times New Roman" w:hAnsi="Times New Roman" w:cs="Times New Roman"/>
                <w:sz w:val="19"/>
                <w:szCs w:val="19"/>
              </w:rPr>
            </w:pP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1</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2</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1</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2</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1</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2</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1</w:t>
            </w:r>
          </w:p>
        </w:tc>
        <w:tc>
          <w:tcPr>
            <w:tcW w:w="360" w:type="dxa"/>
          </w:tcPr>
          <w:p w:rsidR="00716DA2" w:rsidRPr="00574AD8" w:rsidRDefault="00716DA2" w:rsidP="00527B52">
            <w:pPr>
              <w:rPr>
                <w:rFonts w:ascii="Times New Roman" w:hAnsi="Times New Roman" w:cs="Times New Roman"/>
                <w:sz w:val="19"/>
                <w:szCs w:val="19"/>
              </w:rPr>
            </w:pPr>
            <w:r w:rsidRPr="00574AD8">
              <w:rPr>
                <w:rFonts w:ascii="Times New Roman" w:hAnsi="Times New Roman" w:cs="Times New Roman"/>
                <w:sz w:val="19"/>
                <w:szCs w:val="19"/>
              </w:rPr>
              <w:t>2</w:t>
            </w:r>
          </w:p>
        </w:tc>
        <w:tc>
          <w:tcPr>
            <w:tcW w:w="360" w:type="dxa"/>
          </w:tcPr>
          <w:p w:rsidR="00716DA2" w:rsidRPr="00574AD8" w:rsidRDefault="00CC0C52" w:rsidP="00527B52">
            <w:pPr>
              <w:rPr>
                <w:rFonts w:ascii="Times New Roman" w:hAnsi="Times New Roman" w:cs="Times New Roman"/>
                <w:sz w:val="19"/>
                <w:szCs w:val="19"/>
              </w:rPr>
            </w:pPr>
            <w:r w:rsidRPr="00574AD8">
              <w:rPr>
                <w:rFonts w:ascii="Times New Roman" w:hAnsi="Times New Roman" w:cs="Times New Roman"/>
                <w:sz w:val="19"/>
                <w:szCs w:val="19"/>
              </w:rPr>
              <w:t>1</w:t>
            </w:r>
          </w:p>
        </w:tc>
        <w:tc>
          <w:tcPr>
            <w:tcW w:w="360" w:type="dxa"/>
          </w:tcPr>
          <w:p w:rsidR="00716DA2" w:rsidRPr="00574AD8" w:rsidRDefault="00CC0C52" w:rsidP="00527B52">
            <w:pPr>
              <w:rPr>
                <w:rFonts w:ascii="Times New Roman" w:hAnsi="Times New Roman" w:cs="Times New Roman"/>
                <w:sz w:val="19"/>
                <w:szCs w:val="19"/>
              </w:rPr>
            </w:pPr>
            <w:r w:rsidRPr="00574AD8">
              <w:rPr>
                <w:rFonts w:ascii="Times New Roman" w:hAnsi="Times New Roman" w:cs="Times New Roman"/>
                <w:sz w:val="19"/>
                <w:szCs w:val="19"/>
              </w:rPr>
              <w:t>2</w:t>
            </w:r>
          </w:p>
        </w:tc>
        <w:tc>
          <w:tcPr>
            <w:tcW w:w="1260" w:type="dxa"/>
            <w:vMerge/>
          </w:tcPr>
          <w:p w:rsidR="00716DA2" w:rsidRPr="00574AD8" w:rsidRDefault="00716DA2" w:rsidP="00527B52">
            <w:pPr>
              <w:rPr>
                <w:rFonts w:ascii="Times New Roman" w:hAnsi="Times New Roman" w:cs="Times New Roman"/>
                <w:sz w:val="19"/>
                <w:szCs w:val="19"/>
              </w:rPr>
            </w:pPr>
          </w:p>
        </w:tc>
        <w:tc>
          <w:tcPr>
            <w:tcW w:w="1629" w:type="dxa"/>
            <w:vMerge/>
          </w:tcPr>
          <w:p w:rsidR="00716DA2" w:rsidRPr="00574AD8" w:rsidRDefault="00716DA2" w:rsidP="00527B52">
            <w:pPr>
              <w:rPr>
                <w:rFonts w:ascii="Times New Roman" w:hAnsi="Times New Roman" w:cs="Times New Roman"/>
                <w:sz w:val="19"/>
                <w:szCs w:val="19"/>
              </w:rPr>
            </w:pPr>
          </w:p>
        </w:tc>
        <w:tc>
          <w:tcPr>
            <w:tcW w:w="1260" w:type="dxa"/>
            <w:vMerge/>
          </w:tcPr>
          <w:p w:rsidR="00716DA2" w:rsidRPr="00574AD8" w:rsidRDefault="00716DA2" w:rsidP="00527B52">
            <w:pPr>
              <w:rPr>
                <w:rFonts w:ascii="Times New Roman" w:hAnsi="Times New Roman" w:cs="Times New Roman"/>
                <w:sz w:val="19"/>
                <w:szCs w:val="19"/>
              </w:rPr>
            </w:pPr>
          </w:p>
        </w:tc>
      </w:tr>
      <w:tr w:rsidR="00C305A9" w:rsidRPr="00574AD8" w:rsidTr="00C305A9">
        <w:trPr>
          <w:jc w:val="center"/>
        </w:trPr>
        <w:tc>
          <w:tcPr>
            <w:tcW w:w="2331"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Línea de base de proyectos de eficiencia energética y de ahorro de agua.</w:t>
            </w: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X</w:t>
            </w: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1260" w:type="dxa"/>
          </w:tcPr>
          <w:p w:rsidR="009A2589" w:rsidRPr="00574AD8" w:rsidRDefault="00444785" w:rsidP="00444785">
            <w:pPr>
              <w:rPr>
                <w:rFonts w:ascii="Times New Roman" w:hAnsi="Times New Roman" w:cs="Times New Roman"/>
                <w:sz w:val="19"/>
                <w:szCs w:val="19"/>
              </w:rPr>
            </w:pPr>
            <w:r w:rsidRPr="00574AD8">
              <w:rPr>
                <w:rFonts w:ascii="Times New Roman" w:hAnsi="Times New Roman" w:cs="Times New Roman"/>
                <w:sz w:val="19"/>
                <w:szCs w:val="19"/>
              </w:rPr>
              <w:t>USD</w:t>
            </w:r>
            <w:r>
              <w:rPr>
                <w:rFonts w:ascii="Times New Roman" w:hAnsi="Times New Roman" w:cs="Times New Roman"/>
                <w:sz w:val="19"/>
                <w:szCs w:val="19"/>
              </w:rPr>
              <w:t>60</w:t>
            </w:r>
            <w:r w:rsidR="009A2589" w:rsidRPr="00574AD8">
              <w:rPr>
                <w:rFonts w:ascii="Times New Roman" w:hAnsi="Times New Roman" w:cs="Times New Roman"/>
                <w:sz w:val="19"/>
                <w:szCs w:val="19"/>
              </w:rPr>
              <w:t>.</w:t>
            </w:r>
            <w:r>
              <w:rPr>
                <w:rFonts w:ascii="Times New Roman" w:hAnsi="Times New Roman" w:cs="Times New Roman"/>
                <w:sz w:val="19"/>
                <w:szCs w:val="19"/>
              </w:rPr>
              <w:t>24</w:t>
            </w:r>
            <w:r w:rsidR="009A2589" w:rsidRPr="00574AD8">
              <w:rPr>
                <w:rFonts w:ascii="Times New Roman" w:hAnsi="Times New Roman" w:cs="Times New Roman"/>
                <w:sz w:val="19"/>
                <w:szCs w:val="19"/>
              </w:rPr>
              <w:t xml:space="preserve">0 </w:t>
            </w:r>
          </w:p>
        </w:tc>
        <w:tc>
          <w:tcPr>
            <w:tcW w:w="1629"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FIRA con apoyo del BID y de consultor(es)</w:t>
            </w:r>
          </w:p>
        </w:tc>
        <w:tc>
          <w:tcPr>
            <w:tcW w:w="1260" w:type="dxa"/>
          </w:tcPr>
          <w:p w:rsidR="00624169" w:rsidRPr="00574AD8" w:rsidRDefault="009A2589" w:rsidP="00624169">
            <w:pPr>
              <w:rPr>
                <w:rFonts w:ascii="Times New Roman" w:hAnsi="Times New Roman" w:cs="Times New Roman"/>
                <w:sz w:val="19"/>
                <w:szCs w:val="19"/>
              </w:rPr>
            </w:pPr>
            <w:r w:rsidRPr="00574AD8">
              <w:rPr>
                <w:rFonts w:ascii="Times New Roman" w:hAnsi="Times New Roman" w:cs="Times New Roman"/>
                <w:sz w:val="19"/>
                <w:szCs w:val="19"/>
              </w:rPr>
              <w:t xml:space="preserve">Recursos de </w:t>
            </w:r>
            <w:r w:rsidR="00624169">
              <w:rPr>
                <w:rFonts w:ascii="Times New Roman" w:hAnsi="Times New Roman" w:cs="Times New Roman"/>
                <w:sz w:val="19"/>
                <w:szCs w:val="19"/>
              </w:rPr>
              <w:t>ME-T1266</w:t>
            </w:r>
          </w:p>
        </w:tc>
      </w:tr>
      <w:tr w:rsidR="00C305A9" w:rsidRPr="00574AD8" w:rsidTr="00C305A9">
        <w:trPr>
          <w:jc w:val="center"/>
        </w:trPr>
        <w:tc>
          <w:tcPr>
            <w:tcW w:w="2331"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Reporte con resultados de proyectos de agua</w:t>
            </w: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X</w:t>
            </w: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1260" w:type="dxa"/>
          </w:tcPr>
          <w:p w:rsidR="009A2589" w:rsidRPr="00574AD8" w:rsidRDefault="00444785" w:rsidP="00444785">
            <w:pPr>
              <w:rPr>
                <w:rFonts w:ascii="Times New Roman" w:hAnsi="Times New Roman" w:cs="Times New Roman"/>
                <w:sz w:val="19"/>
                <w:szCs w:val="19"/>
              </w:rPr>
            </w:pPr>
            <w:r w:rsidRPr="00574AD8">
              <w:rPr>
                <w:rFonts w:ascii="Times New Roman" w:hAnsi="Times New Roman" w:cs="Times New Roman"/>
                <w:sz w:val="19"/>
                <w:szCs w:val="19"/>
              </w:rPr>
              <w:t>USD</w:t>
            </w:r>
            <w:r>
              <w:rPr>
                <w:rFonts w:ascii="Times New Roman" w:hAnsi="Times New Roman" w:cs="Times New Roman"/>
                <w:sz w:val="19"/>
                <w:szCs w:val="19"/>
              </w:rPr>
              <w:t>31</w:t>
            </w:r>
            <w:r w:rsidR="009A2589" w:rsidRPr="00574AD8">
              <w:rPr>
                <w:rFonts w:ascii="Times New Roman" w:hAnsi="Times New Roman" w:cs="Times New Roman"/>
                <w:sz w:val="19"/>
                <w:szCs w:val="19"/>
              </w:rPr>
              <w:t>.960</w:t>
            </w:r>
          </w:p>
        </w:tc>
        <w:tc>
          <w:tcPr>
            <w:tcW w:w="1629"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FIRA con apoyo del BID y de consultor(es)</w:t>
            </w:r>
          </w:p>
        </w:tc>
        <w:tc>
          <w:tcPr>
            <w:tcW w:w="1260" w:type="dxa"/>
          </w:tcPr>
          <w:p w:rsidR="009A2589" w:rsidRPr="00574AD8" w:rsidRDefault="009A2589" w:rsidP="00624169">
            <w:pPr>
              <w:rPr>
                <w:rFonts w:ascii="Times New Roman" w:hAnsi="Times New Roman" w:cs="Times New Roman"/>
                <w:sz w:val="19"/>
                <w:szCs w:val="19"/>
              </w:rPr>
            </w:pPr>
            <w:r w:rsidRPr="00574AD8">
              <w:rPr>
                <w:rFonts w:ascii="Times New Roman" w:hAnsi="Times New Roman" w:cs="Times New Roman"/>
                <w:sz w:val="19"/>
                <w:szCs w:val="19"/>
              </w:rPr>
              <w:t xml:space="preserve">Recursos de </w:t>
            </w:r>
            <w:r w:rsidR="00624169">
              <w:rPr>
                <w:rFonts w:ascii="Times New Roman" w:hAnsi="Times New Roman" w:cs="Times New Roman"/>
                <w:sz w:val="19"/>
                <w:szCs w:val="19"/>
              </w:rPr>
              <w:t>ME-T1266</w:t>
            </w:r>
          </w:p>
        </w:tc>
      </w:tr>
      <w:tr w:rsidR="00C305A9" w:rsidRPr="00574AD8" w:rsidTr="00C305A9">
        <w:trPr>
          <w:jc w:val="center"/>
        </w:trPr>
        <w:tc>
          <w:tcPr>
            <w:tcW w:w="2331"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Reporte con resultados de proyectos de eficiencia energética</w:t>
            </w: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rPr>
            </w:pPr>
          </w:p>
        </w:tc>
        <w:tc>
          <w:tcPr>
            <w:tcW w:w="360" w:type="dxa"/>
          </w:tcPr>
          <w:p w:rsidR="009A2589" w:rsidRPr="00574AD8" w:rsidRDefault="009A2589" w:rsidP="00527B52">
            <w:pPr>
              <w:rPr>
                <w:rFonts w:ascii="Times New Roman" w:hAnsi="Times New Roman" w:cs="Times New Roman"/>
                <w:sz w:val="19"/>
                <w:szCs w:val="19"/>
                <w:highlight w:val="yellow"/>
              </w:rPr>
            </w:pPr>
          </w:p>
        </w:tc>
        <w:tc>
          <w:tcPr>
            <w:tcW w:w="360" w:type="dxa"/>
          </w:tcPr>
          <w:p w:rsidR="009A2589" w:rsidRPr="00574AD8" w:rsidRDefault="009A2589" w:rsidP="00527B52">
            <w:pPr>
              <w:rPr>
                <w:rFonts w:ascii="Times New Roman" w:hAnsi="Times New Roman" w:cs="Times New Roman"/>
                <w:sz w:val="19"/>
                <w:szCs w:val="19"/>
                <w:highlight w:val="yellow"/>
              </w:rPr>
            </w:pPr>
            <w:r w:rsidRPr="00574AD8">
              <w:rPr>
                <w:rFonts w:ascii="Times New Roman" w:hAnsi="Times New Roman" w:cs="Times New Roman"/>
                <w:sz w:val="19"/>
                <w:szCs w:val="19"/>
              </w:rPr>
              <w:t>X</w:t>
            </w:r>
          </w:p>
        </w:tc>
        <w:tc>
          <w:tcPr>
            <w:tcW w:w="1260" w:type="dxa"/>
          </w:tcPr>
          <w:p w:rsidR="009A2589" w:rsidRPr="00574AD8" w:rsidRDefault="00444785" w:rsidP="00444785">
            <w:pPr>
              <w:rPr>
                <w:rFonts w:ascii="Times New Roman" w:hAnsi="Times New Roman" w:cs="Times New Roman"/>
                <w:sz w:val="19"/>
                <w:szCs w:val="19"/>
              </w:rPr>
            </w:pPr>
            <w:r w:rsidRPr="00574AD8">
              <w:rPr>
                <w:rFonts w:ascii="Times New Roman" w:hAnsi="Times New Roman" w:cs="Times New Roman"/>
                <w:sz w:val="19"/>
                <w:szCs w:val="19"/>
              </w:rPr>
              <w:t>USD</w:t>
            </w:r>
            <w:r>
              <w:rPr>
                <w:rFonts w:ascii="Times New Roman" w:hAnsi="Times New Roman" w:cs="Times New Roman"/>
                <w:sz w:val="19"/>
                <w:szCs w:val="19"/>
              </w:rPr>
              <w:t>27</w:t>
            </w:r>
            <w:r w:rsidR="009A2589" w:rsidRPr="00574AD8">
              <w:rPr>
                <w:rFonts w:ascii="Times New Roman" w:hAnsi="Times New Roman" w:cs="Times New Roman"/>
                <w:sz w:val="19"/>
                <w:szCs w:val="19"/>
              </w:rPr>
              <w:t>.</w:t>
            </w:r>
            <w:r>
              <w:rPr>
                <w:rFonts w:ascii="Times New Roman" w:hAnsi="Times New Roman" w:cs="Times New Roman"/>
                <w:sz w:val="19"/>
                <w:szCs w:val="19"/>
              </w:rPr>
              <w:t>80</w:t>
            </w:r>
            <w:r w:rsidR="009A2589" w:rsidRPr="00574AD8">
              <w:rPr>
                <w:rFonts w:ascii="Times New Roman" w:hAnsi="Times New Roman" w:cs="Times New Roman"/>
                <w:sz w:val="19"/>
                <w:szCs w:val="19"/>
              </w:rPr>
              <w:t>0</w:t>
            </w:r>
          </w:p>
        </w:tc>
        <w:tc>
          <w:tcPr>
            <w:tcW w:w="1629"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FIRA con apoyo del BID y de consultor(es)</w:t>
            </w:r>
          </w:p>
        </w:tc>
        <w:tc>
          <w:tcPr>
            <w:tcW w:w="1260" w:type="dxa"/>
          </w:tcPr>
          <w:p w:rsidR="009A2589" w:rsidRPr="00574AD8" w:rsidRDefault="009A2589" w:rsidP="00624169">
            <w:pPr>
              <w:rPr>
                <w:rFonts w:ascii="Times New Roman" w:hAnsi="Times New Roman" w:cs="Times New Roman"/>
                <w:sz w:val="19"/>
                <w:szCs w:val="19"/>
              </w:rPr>
            </w:pPr>
            <w:r w:rsidRPr="00574AD8">
              <w:rPr>
                <w:rFonts w:ascii="Times New Roman" w:hAnsi="Times New Roman" w:cs="Times New Roman"/>
                <w:sz w:val="19"/>
                <w:szCs w:val="19"/>
              </w:rPr>
              <w:t xml:space="preserve">Recursos de </w:t>
            </w:r>
            <w:r w:rsidR="00624169">
              <w:rPr>
                <w:rFonts w:ascii="Times New Roman" w:hAnsi="Times New Roman" w:cs="Times New Roman"/>
                <w:sz w:val="19"/>
                <w:szCs w:val="19"/>
              </w:rPr>
              <w:t>ME-T1266</w:t>
            </w:r>
          </w:p>
        </w:tc>
      </w:tr>
      <w:tr w:rsidR="009A2589" w:rsidRPr="00574AD8" w:rsidTr="00C305A9">
        <w:trPr>
          <w:jc w:val="center"/>
        </w:trPr>
        <w:tc>
          <w:tcPr>
            <w:tcW w:w="5931" w:type="dxa"/>
            <w:gridSpan w:val="11"/>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TOTAL</w:t>
            </w:r>
          </w:p>
        </w:tc>
        <w:tc>
          <w:tcPr>
            <w:tcW w:w="1260" w:type="dxa"/>
          </w:tcPr>
          <w:p w:rsidR="009A2589" w:rsidRPr="00574AD8" w:rsidRDefault="009A2589" w:rsidP="00527B52">
            <w:pPr>
              <w:rPr>
                <w:rFonts w:ascii="Times New Roman" w:hAnsi="Times New Roman" w:cs="Times New Roman"/>
                <w:sz w:val="19"/>
                <w:szCs w:val="19"/>
              </w:rPr>
            </w:pPr>
            <w:r w:rsidRPr="00574AD8">
              <w:rPr>
                <w:rFonts w:ascii="Times New Roman" w:hAnsi="Times New Roman" w:cs="Times New Roman"/>
                <w:sz w:val="19"/>
                <w:szCs w:val="19"/>
              </w:rPr>
              <w:t>US$120.000</w:t>
            </w:r>
          </w:p>
        </w:tc>
        <w:tc>
          <w:tcPr>
            <w:tcW w:w="2889" w:type="dxa"/>
            <w:gridSpan w:val="2"/>
          </w:tcPr>
          <w:p w:rsidR="009A2589" w:rsidRPr="00574AD8" w:rsidRDefault="009A2589" w:rsidP="00527B52">
            <w:pPr>
              <w:rPr>
                <w:rFonts w:ascii="Times New Roman" w:hAnsi="Times New Roman" w:cs="Times New Roman"/>
                <w:sz w:val="19"/>
                <w:szCs w:val="19"/>
              </w:rPr>
            </w:pPr>
          </w:p>
        </w:tc>
      </w:tr>
    </w:tbl>
    <w:p w:rsidR="002611E7" w:rsidRDefault="009A2589">
      <w:pPr>
        <w:rPr>
          <w:rFonts w:ascii="Times New Roman" w:hAnsi="Times New Roman" w:cs="Times New Roman"/>
          <w:sz w:val="18"/>
        </w:rPr>
      </w:pPr>
      <w:r w:rsidRPr="00574AD8">
        <w:rPr>
          <w:rFonts w:ascii="Times New Roman" w:hAnsi="Times New Roman" w:cs="Times New Roman"/>
          <w:sz w:val="18"/>
        </w:rPr>
        <w:t>Notas: 1 Para más información, ver Anexo II</w:t>
      </w:r>
      <w:r w:rsidR="002611E7">
        <w:rPr>
          <w:rFonts w:ascii="Times New Roman" w:hAnsi="Times New Roman" w:cs="Times New Roman"/>
          <w:sz w:val="18"/>
        </w:rPr>
        <w:br w:type="page"/>
      </w:r>
    </w:p>
    <w:p w:rsidR="00CD2849" w:rsidRDefault="008B695B">
      <w:pPr>
        <w:rPr>
          <w:rFonts w:ascii="Times New Roman" w:hAnsi="Times New Roman" w:cs="Times New Roman"/>
          <w:b/>
        </w:rPr>
      </w:pPr>
      <w:r>
        <w:rPr>
          <w:rFonts w:ascii="Times New Roman" w:hAnsi="Times New Roman" w:cs="Times New Roman"/>
          <w:b/>
        </w:rPr>
        <w:lastRenderedPageBreak/>
        <w:t>Anexo I</w:t>
      </w:r>
      <w:r w:rsidR="00CD2849">
        <w:rPr>
          <w:rFonts w:ascii="Times New Roman" w:hAnsi="Times New Roman" w:cs="Times New Roman"/>
          <w:b/>
        </w:rPr>
        <w:t xml:space="preserve">. Datos de identificación </w:t>
      </w:r>
    </w:p>
    <w:p w:rsidR="00CD2849" w:rsidRPr="00CD2849" w:rsidRDefault="00CD2849" w:rsidP="00CD2849">
      <w:pPr>
        <w:ind w:left="360"/>
        <w:jc w:val="both"/>
        <w:rPr>
          <w:rFonts w:ascii="Times New Roman" w:hAnsi="Times New Roman" w:cs="Times New Roman"/>
          <w:lang w:val="es-AR"/>
        </w:rPr>
      </w:pPr>
      <w:r w:rsidRPr="00CD2849">
        <w:rPr>
          <w:rFonts w:ascii="Times New Roman" w:hAnsi="Times New Roman" w:cs="Times New Roman"/>
          <w:lang w:val="es-AR"/>
        </w:rPr>
        <w:t>Para identificar a las unidades apoyadas en los Censos Económicos 2009, 2014 y 2019 es necesario que FIRA recolecte información:</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Entidad Federativa</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Municipio o delegación</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Localidad</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Área Geo</w:t>
      </w:r>
      <w:r w:rsidR="00047873">
        <w:rPr>
          <w:rFonts w:ascii="Times New Roman" w:hAnsi="Times New Roman" w:cs="Times New Roman"/>
          <w:lang w:val="es-AR"/>
        </w:rPr>
        <w:t>-</w:t>
      </w:r>
      <w:r w:rsidRPr="00CD2849">
        <w:rPr>
          <w:rFonts w:ascii="Times New Roman" w:hAnsi="Times New Roman" w:cs="Times New Roman"/>
          <w:lang w:val="es-AR"/>
        </w:rPr>
        <w:t>estadística Básica</w:t>
      </w:r>
      <w:r w:rsidRPr="00CD2849">
        <w:rPr>
          <w:rStyle w:val="FootnoteReference"/>
          <w:rFonts w:ascii="Times New Roman" w:hAnsi="Times New Roman" w:cs="Times New Roman"/>
          <w:lang w:val="es-AR"/>
        </w:rPr>
        <w:footnoteReference w:id="15"/>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Número de manzana</w:t>
      </w:r>
      <w:r w:rsidRPr="00CD2849">
        <w:rPr>
          <w:rStyle w:val="FootnoteReference"/>
          <w:rFonts w:ascii="Times New Roman" w:hAnsi="Times New Roman" w:cs="Times New Roman"/>
          <w:lang w:val="es-AR"/>
        </w:rPr>
        <w:footnoteReference w:id="16"/>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Nombre del establecimiento</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Razón social del establecimiento</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RFC</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Código de actividad SCIAN</w:t>
      </w:r>
      <w:r w:rsidRPr="00CD2849">
        <w:rPr>
          <w:rStyle w:val="FootnoteReference"/>
          <w:rFonts w:ascii="Times New Roman" w:hAnsi="Times New Roman" w:cs="Times New Roman"/>
          <w:lang w:val="es-AR"/>
        </w:rPr>
        <w:footnoteReference w:id="17"/>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Tipo de vialidad donde se ubica</w:t>
      </w:r>
      <w:r w:rsidRPr="00CD2849">
        <w:rPr>
          <w:rFonts w:ascii="Times New Roman" w:hAnsi="Times New Roman" w:cs="Times New Roman"/>
          <w:vertAlign w:val="superscript"/>
          <w:lang w:val="es-AR"/>
        </w:rPr>
        <w:t>15</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El nombre de la vialidad</w:t>
      </w:r>
      <w:r w:rsidRPr="00CD2849">
        <w:rPr>
          <w:rStyle w:val="FootnoteReference"/>
          <w:rFonts w:ascii="Times New Roman" w:hAnsi="Times New Roman" w:cs="Times New Roman"/>
          <w:lang w:val="es-AR"/>
        </w:rPr>
        <w:footnoteReference w:id="18"/>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El número exterior</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El número interior</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Código postal</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El tipo de asentamiento humano</w:t>
      </w:r>
      <w:r w:rsidRPr="00CD2849">
        <w:rPr>
          <w:rFonts w:ascii="Times New Roman" w:hAnsi="Times New Roman" w:cs="Times New Roman"/>
          <w:vertAlign w:val="superscript"/>
          <w:lang w:val="es-AR"/>
        </w:rPr>
        <w:t>16</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El nombre del asentamiento humano</w:t>
      </w:r>
      <w:r w:rsidRPr="00CD2849">
        <w:rPr>
          <w:rFonts w:ascii="Times New Roman" w:hAnsi="Times New Roman" w:cs="Times New Roman"/>
          <w:vertAlign w:val="superscript"/>
          <w:lang w:val="es-AR"/>
        </w:rPr>
        <w:t>16</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Correo electrónico</w:t>
      </w:r>
    </w:p>
    <w:p w:rsidR="00CD2849" w:rsidRPr="00CD2849" w:rsidRDefault="00CD2849" w:rsidP="003B4EFC">
      <w:pPr>
        <w:pStyle w:val="ListParagraph"/>
        <w:numPr>
          <w:ilvl w:val="0"/>
          <w:numId w:val="5"/>
        </w:numPr>
        <w:spacing w:after="0"/>
        <w:jc w:val="both"/>
        <w:rPr>
          <w:rFonts w:ascii="Times New Roman" w:hAnsi="Times New Roman" w:cs="Times New Roman"/>
          <w:lang w:val="es-AR"/>
        </w:rPr>
      </w:pPr>
      <w:r w:rsidRPr="00CD2849">
        <w:rPr>
          <w:rFonts w:ascii="Times New Roman" w:hAnsi="Times New Roman" w:cs="Times New Roman"/>
          <w:lang w:val="es-AR"/>
        </w:rPr>
        <w:t>Teléfono</w:t>
      </w:r>
    </w:p>
    <w:p w:rsidR="00CD2849" w:rsidRPr="00CD2849" w:rsidRDefault="00CD2849" w:rsidP="003B4EFC">
      <w:pPr>
        <w:spacing w:before="120" w:after="120"/>
        <w:ind w:firstLine="360"/>
        <w:jc w:val="both"/>
        <w:rPr>
          <w:rFonts w:ascii="Times New Roman" w:hAnsi="Times New Roman" w:cs="Times New Roman"/>
          <w:lang w:val="es-AR"/>
        </w:rPr>
      </w:pPr>
      <w:r w:rsidRPr="00CD2849">
        <w:rPr>
          <w:rFonts w:ascii="Times New Roman" w:hAnsi="Times New Roman" w:cs="Times New Roman"/>
          <w:lang w:val="es-AR"/>
        </w:rPr>
        <w:t>El INEGI identifica a cada unidad económica a partir de las siguientes claves:</w:t>
      </w:r>
    </w:p>
    <w:p w:rsidR="00CD2849" w:rsidRPr="00CD2849" w:rsidRDefault="00CD2849" w:rsidP="00CD2849">
      <w:pPr>
        <w:pStyle w:val="ListParagraph"/>
        <w:numPr>
          <w:ilvl w:val="0"/>
          <w:numId w:val="5"/>
        </w:numPr>
        <w:jc w:val="both"/>
        <w:rPr>
          <w:rFonts w:ascii="Times New Roman" w:hAnsi="Times New Roman" w:cs="Times New Roman"/>
          <w:lang w:val="es-AR"/>
        </w:rPr>
      </w:pPr>
      <w:r w:rsidRPr="00CD2849">
        <w:rPr>
          <w:rFonts w:ascii="Times New Roman" w:hAnsi="Times New Roman" w:cs="Times New Roman"/>
          <w:lang w:val="es-AR"/>
        </w:rPr>
        <w:t>Número de Identificación Censal (NIC). Clave alfanumérica que identifica de manera particular a la unidad económica. Está conformada por nueve caracteres; los tres primeros corresponden a la clave alfabética de la entidad federativa donde se localiza físicamente el establecimiento; los siguientes seis son números consecutivos dentro de la coordinación estatal.</w:t>
      </w:r>
    </w:p>
    <w:p w:rsidR="00CD2849" w:rsidRPr="00CD2849" w:rsidRDefault="00CD2849" w:rsidP="00CD2849">
      <w:pPr>
        <w:pStyle w:val="ListParagraph"/>
        <w:numPr>
          <w:ilvl w:val="0"/>
          <w:numId w:val="5"/>
        </w:numPr>
        <w:jc w:val="both"/>
        <w:rPr>
          <w:rFonts w:ascii="Times New Roman" w:hAnsi="Times New Roman" w:cs="Times New Roman"/>
          <w:lang w:val="es-AR"/>
        </w:rPr>
      </w:pPr>
      <w:r w:rsidRPr="00CD2849">
        <w:rPr>
          <w:rFonts w:ascii="Times New Roman" w:hAnsi="Times New Roman" w:cs="Times New Roman"/>
          <w:lang w:val="es-AR"/>
        </w:rPr>
        <w:t>Número operativo (NOP). Es una clave de control alfanumérica conformado por once caracteres, que junto con el NIC integra los datos de identificación del establecimiento.</w:t>
      </w:r>
    </w:p>
    <w:p w:rsidR="00CD2849" w:rsidRPr="00CD2849" w:rsidRDefault="00CD2849" w:rsidP="00CD2849">
      <w:pPr>
        <w:pStyle w:val="ListParagraph"/>
        <w:numPr>
          <w:ilvl w:val="0"/>
          <w:numId w:val="5"/>
        </w:numPr>
        <w:jc w:val="both"/>
        <w:rPr>
          <w:rFonts w:ascii="Times New Roman" w:hAnsi="Times New Roman" w:cs="Times New Roman"/>
          <w:lang w:val="es-AR"/>
        </w:rPr>
      </w:pPr>
      <w:r w:rsidRPr="00CD2849">
        <w:rPr>
          <w:rFonts w:ascii="Times New Roman" w:hAnsi="Times New Roman" w:cs="Times New Roman"/>
          <w:lang w:val="es-AR"/>
        </w:rPr>
        <w:t>Folio. Dato alfanumérico asignado a los establecimientos que forman parte de una empresa, con el fin de agruparlos. Se conforma por nueve caracteres. Los tres primeros identifican a la entidad donde se ubica la matriz o unidad económica controladora, los seis restantes se refieren al número consecutivo asignado por la coordinación estatal.</w:t>
      </w:r>
    </w:p>
    <w:p w:rsidR="00CD2849" w:rsidRPr="00CD2849" w:rsidRDefault="00CD2849" w:rsidP="00CD2849">
      <w:pPr>
        <w:ind w:left="360"/>
        <w:jc w:val="both"/>
        <w:rPr>
          <w:rFonts w:ascii="Times New Roman" w:hAnsi="Times New Roman" w:cs="Times New Roman"/>
          <w:lang w:val="es-AR"/>
        </w:rPr>
      </w:pPr>
      <w:r w:rsidRPr="00CD2849">
        <w:rPr>
          <w:rFonts w:ascii="Times New Roman" w:hAnsi="Times New Roman" w:cs="Times New Roman"/>
          <w:lang w:val="es-AR"/>
        </w:rPr>
        <w:t xml:space="preserve">Para </w:t>
      </w:r>
      <w:r w:rsidR="00B9384A">
        <w:rPr>
          <w:rFonts w:ascii="Times New Roman" w:hAnsi="Times New Roman" w:cs="Times New Roman"/>
          <w:lang w:val="es-AR"/>
        </w:rPr>
        <w:t xml:space="preserve">proceder con los relevamientos referidos a los ahorros de agua será necesario que </w:t>
      </w:r>
      <w:r w:rsidRPr="00CD2849">
        <w:rPr>
          <w:rFonts w:ascii="Times New Roman" w:hAnsi="Times New Roman" w:cs="Times New Roman"/>
          <w:lang w:val="es-AR"/>
        </w:rPr>
        <w:t>FIRA recolecte la siguiente información:</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lastRenderedPageBreak/>
        <w:t>Entidad Federativa</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Municipio</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Localidad</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Código Postal</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Área Geo</w:t>
      </w:r>
      <w:r w:rsidR="00DB208F">
        <w:rPr>
          <w:rFonts w:ascii="Times New Roman" w:hAnsi="Times New Roman" w:cs="Times New Roman"/>
          <w:lang w:val="es-AR"/>
        </w:rPr>
        <w:t>-</w:t>
      </w:r>
      <w:r w:rsidRPr="00CD2849">
        <w:rPr>
          <w:rFonts w:ascii="Times New Roman" w:hAnsi="Times New Roman" w:cs="Times New Roman"/>
          <w:lang w:val="es-AR"/>
        </w:rPr>
        <w:t>estadística Básica</w:t>
      </w:r>
      <w:r w:rsidRPr="00CD2849">
        <w:rPr>
          <w:rStyle w:val="FootnoteReference"/>
          <w:rFonts w:ascii="Times New Roman" w:hAnsi="Times New Roman" w:cs="Times New Roman"/>
          <w:lang w:val="es-AR"/>
        </w:rPr>
        <w:footnoteReference w:id="19"/>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El nombre de la vialidad</w:t>
      </w:r>
      <w:r w:rsidRPr="00CD2849">
        <w:rPr>
          <w:rStyle w:val="FootnoteReference"/>
          <w:rFonts w:ascii="Times New Roman" w:hAnsi="Times New Roman" w:cs="Times New Roman"/>
          <w:lang w:val="es-AR"/>
        </w:rPr>
        <w:footnoteReference w:id="20"/>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El número exterior</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El número interior</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Código postal</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El tipo de asentamiento humano</w:t>
      </w:r>
      <w:r w:rsidRPr="00CD2849">
        <w:rPr>
          <w:rFonts w:ascii="Times New Roman" w:hAnsi="Times New Roman" w:cs="Times New Roman"/>
          <w:vertAlign w:val="superscript"/>
          <w:lang w:val="es-AR"/>
        </w:rPr>
        <w:t>18</w:t>
      </w:r>
    </w:p>
    <w:p w:rsidR="00CD2849" w:rsidRPr="00CD2849"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El nombre del asentamiento humano</w:t>
      </w:r>
      <w:r w:rsidRPr="00CD2849">
        <w:rPr>
          <w:rFonts w:ascii="Times New Roman" w:hAnsi="Times New Roman" w:cs="Times New Roman"/>
          <w:vertAlign w:val="superscript"/>
          <w:lang w:val="es-AR"/>
        </w:rPr>
        <w:t>18</w:t>
      </w:r>
    </w:p>
    <w:p w:rsidR="00CD2849" w:rsidRPr="00CD2849" w:rsidRDefault="00CD2849" w:rsidP="00CD2849">
      <w:pPr>
        <w:pStyle w:val="ListParagraph"/>
        <w:numPr>
          <w:ilvl w:val="0"/>
          <w:numId w:val="6"/>
        </w:numPr>
        <w:jc w:val="both"/>
        <w:rPr>
          <w:rFonts w:ascii="Times New Roman" w:hAnsi="Times New Roman" w:cs="Times New Roman"/>
          <w:b/>
        </w:rPr>
      </w:pPr>
      <w:r w:rsidRPr="00CD2849">
        <w:rPr>
          <w:rFonts w:ascii="Times New Roman" w:hAnsi="Times New Roman" w:cs="Times New Roman"/>
          <w:lang w:val="es-AR"/>
        </w:rPr>
        <w:t>Correo electrónico</w:t>
      </w:r>
    </w:p>
    <w:p w:rsidR="000C2F7F" w:rsidRDefault="00CD2849" w:rsidP="00CD2849">
      <w:pPr>
        <w:pStyle w:val="ListParagraph"/>
        <w:numPr>
          <w:ilvl w:val="0"/>
          <w:numId w:val="6"/>
        </w:numPr>
        <w:jc w:val="both"/>
        <w:rPr>
          <w:rFonts w:ascii="Times New Roman" w:hAnsi="Times New Roman" w:cs="Times New Roman"/>
          <w:lang w:val="es-AR"/>
        </w:rPr>
      </w:pPr>
      <w:r w:rsidRPr="00CD2849">
        <w:rPr>
          <w:rFonts w:ascii="Times New Roman" w:hAnsi="Times New Roman" w:cs="Times New Roman"/>
          <w:lang w:val="es-AR"/>
        </w:rPr>
        <w:t>Teléfono</w:t>
      </w:r>
    </w:p>
    <w:p w:rsidR="000C2F7F" w:rsidRDefault="000C2F7F">
      <w:pPr>
        <w:rPr>
          <w:rFonts w:ascii="Times New Roman" w:hAnsi="Times New Roman" w:cs="Times New Roman"/>
          <w:lang w:val="es-AR"/>
        </w:rPr>
      </w:pPr>
      <w:r>
        <w:rPr>
          <w:rFonts w:ascii="Times New Roman" w:hAnsi="Times New Roman" w:cs="Times New Roman"/>
          <w:lang w:val="es-AR"/>
        </w:rPr>
        <w:br w:type="page"/>
      </w:r>
    </w:p>
    <w:p w:rsidR="000C2F7F" w:rsidRDefault="000C2F7F" w:rsidP="000C2F7F">
      <w:pPr>
        <w:jc w:val="both"/>
        <w:rPr>
          <w:rFonts w:ascii="Times New Roman" w:hAnsi="Times New Roman" w:cs="Times New Roman"/>
          <w:b/>
        </w:rPr>
      </w:pPr>
      <w:r w:rsidRPr="000C2F7F">
        <w:rPr>
          <w:rFonts w:ascii="Times New Roman" w:hAnsi="Times New Roman" w:cs="Times New Roman"/>
          <w:b/>
        </w:rPr>
        <w:lastRenderedPageBreak/>
        <w:t>Anexo</w:t>
      </w:r>
      <w:r w:rsidR="008B695B">
        <w:rPr>
          <w:rFonts w:ascii="Times New Roman" w:hAnsi="Times New Roman" w:cs="Times New Roman"/>
          <w:b/>
        </w:rPr>
        <w:t xml:space="preserve"> II</w:t>
      </w:r>
      <w:r>
        <w:rPr>
          <w:rFonts w:ascii="Times New Roman" w:hAnsi="Times New Roman" w:cs="Times New Roman"/>
          <w:b/>
        </w:rPr>
        <w:t>. Costos de la Evaluación</w:t>
      </w:r>
    </w:p>
    <w:p w:rsidR="000C2F7F" w:rsidRPr="000C2F7F" w:rsidRDefault="000C2F7F" w:rsidP="000C2F7F">
      <w:pPr>
        <w:jc w:val="both"/>
        <w:rPr>
          <w:rFonts w:ascii="Times New Roman" w:hAnsi="Times New Roman" w:cs="Times New Roman"/>
          <w:lang w:val="es-AR"/>
        </w:rPr>
      </w:pPr>
      <w:r w:rsidRPr="000C2F7F">
        <w:rPr>
          <w:rFonts w:ascii="Times New Roman" w:hAnsi="Times New Roman" w:cs="Times New Roman"/>
          <w:lang w:val="es-AR"/>
        </w:rPr>
        <w:t xml:space="preserve">Los costos para la evaluación de impacto, </w:t>
      </w:r>
      <w:r w:rsidR="00444785">
        <w:rPr>
          <w:rFonts w:ascii="Times New Roman" w:hAnsi="Times New Roman" w:cs="Times New Roman"/>
          <w:lang w:val="es-AR"/>
        </w:rPr>
        <w:t>la cual</w:t>
      </w:r>
      <w:r w:rsidRPr="000C2F7F">
        <w:rPr>
          <w:rFonts w:ascii="Times New Roman" w:hAnsi="Times New Roman" w:cs="Times New Roman"/>
          <w:lang w:val="es-AR"/>
        </w:rPr>
        <w:t xml:space="preserve"> incluye el levantamiento de información para </w:t>
      </w:r>
      <w:r w:rsidR="00444785">
        <w:rPr>
          <w:rFonts w:ascii="Times New Roman" w:hAnsi="Times New Roman" w:cs="Times New Roman"/>
          <w:lang w:val="es-AR"/>
        </w:rPr>
        <w:t xml:space="preserve">los </w:t>
      </w:r>
      <w:r w:rsidRPr="000C2F7F">
        <w:rPr>
          <w:rFonts w:ascii="Times New Roman" w:hAnsi="Times New Roman" w:cs="Times New Roman"/>
          <w:lang w:val="es-AR"/>
        </w:rPr>
        <w:t>beneficiarios de</w:t>
      </w:r>
      <w:r w:rsidR="00444785">
        <w:rPr>
          <w:rFonts w:ascii="Times New Roman" w:hAnsi="Times New Roman" w:cs="Times New Roman"/>
          <w:lang w:val="es-AR"/>
        </w:rPr>
        <w:t xml:space="preserve">l subcomponente de </w:t>
      </w:r>
      <w:r w:rsidR="00DB208F">
        <w:rPr>
          <w:rFonts w:ascii="Times New Roman" w:hAnsi="Times New Roman" w:cs="Times New Roman"/>
          <w:lang w:val="es-AR"/>
        </w:rPr>
        <w:t>tecnificación</w:t>
      </w:r>
      <w:r w:rsidR="00444785">
        <w:rPr>
          <w:rFonts w:ascii="Times New Roman" w:hAnsi="Times New Roman" w:cs="Times New Roman"/>
          <w:lang w:val="es-AR"/>
        </w:rPr>
        <w:t xml:space="preserve"> de riegos del programa,</w:t>
      </w:r>
      <w:r w:rsidRPr="000C2F7F">
        <w:rPr>
          <w:rFonts w:ascii="Times New Roman" w:hAnsi="Times New Roman" w:cs="Times New Roman"/>
          <w:lang w:val="es-AR"/>
        </w:rPr>
        <w:t xml:space="preserve"> asciende</w:t>
      </w:r>
      <w:r w:rsidR="00444785">
        <w:rPr>
          <w:rFonts w:ascii="Times New Roman" w:hAnsi="Times New Roman" w:cs="Times New Roman"/>
          <w:lang w:val="es-AR"/>
        </w:rPr>
        <w:t>n</w:t>
      </w:r>
      <w:r w:rsidRPr="000C2F7F">
        <w:rPr>
          <w:rFonts w:ascii="Times New Roman" w:hAnsi="Times New Roman" w:cs="Times New Roman"/>
          <w:lang w:val="es-AR"/>
        </w:rPr>
        <w:t xml:space="preserve"> a USD 120</w:t>
      </w:r>
      <w:r w:rsidR="00444785">
        <w:rPr>
          <w:rFonts w:ascii="Times New Roman" w:hAnsi="Times New Roman" w:cs="Times New Roman"/>
          <w:lang w:val="es-AR"/>
        </w:rPr>
        <w:t>.</w:t>
      </w:r>
      <w:r w:rsidRPr="000C2F7F">
        <w:rPr>
          <w:rFonts w:ascii="Times New Roman" w:hAnsi="Times New Roman" w:cs="Times New Roman"/>
          <w:lang w:val="es-AR"/>
        </w:rPr>
        <w:t>000. Estos costos se desglosan a continuación:</w:t>
      </w:r>
    </w:p>
    <w:tbl>
      <w:tblPr>
        <w:tblW w:w="8930" w:type="dxa"/>
        <w:tblInd w:w="70" w:type="dxa"/>
        <w:tblCellMar>
          <w:left w:w="70" w:type="dxa"/>
          <w:right w:w="70" w:type="dxa"/>
        </w:tblCellMar>
        <w:tblLook w:val="04A0" w:firstRow="1" w:lastRow="0" w:firstColumn="1" w:lastColumn="0" w:noHBand="0" w:noVBand="1"/>
      </w:tblPr>
      <w:tblGrid>
        <w:gridCol w:w="7587"/>
        <w:gridCol w:w="1343"/>
      </w:tblGrid>
      <w:tr w:rsidR="000C2F7F" w:rsidRPr="000C2F7F" w:rsidTr="000C2F7F">
        <w:trPr>
          <w:trHeight w:val="300"/>
        </w:trPr>
        <w:tc>
          <w:tcPr>
            <w:tcW w:w="7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b/>
                <w:bCs/>
                <w:color w:val="000000"/>
                <w:szCs w:val="24"/>
                <w:lang w:val="es-ES_tradnl" w:eastAsia="es-ES"/>
              </w:rPr>
            </w:pPr>
            <w:r w:rsidRPr="000C2F7F">
              <w:rPr>
                <w:rFonts w:ascii="Times New Roman" w:eastAsia="Times New Roman" w:hAnsi="Times New Roman" w:cs="Times New Roman"/>
                <w:b/>
                <w:bCs/>
                <w:color w:val="000000"/>
                <w:szCs w:val="24"/>
                <w:lang w:val="es-ES_tradnl" w:eastAsia="es-ES"/>
              </w:rPr>
              <w:t>Concepto</w:t>
            </w:r>
          </w:p>
        </w:tc>
        <w:tc>
          <w:tcPr>
            <w:tcW w:w="1343" w:type="dxa"/>
            <w:tcBorders>
              <w:top w:val="single" w:sz="4" w:space="0" w:color="auto"/>
              <w:left w:val="nil"/>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b/>
                <w:bCs/>
                <w:color w:val="000000"/>
                <w:szCs w:val="24"/>
                <w:lang w:val="es-ES_tradnl" w:eastAsia="es-ES"/>
              </w:rPr>
            </w:pPr>
            <w:r w:rsidRPr="000C2F7F">
              <w:rPr>
                <w:rFonts w:ascii="Times New Roman" w:eastAsia="Times New Roman" w:hAnsi="Times New Roman" w:cs="Times New Roman"/>
                <w:b/>
                <w:bCs/>
                <w:color w:val="000000"/>
                <w:szCs w:val="24"/>
                <w:lang w:val="es-ES_tradnl" w:eastAsia="es-ES"/>
              </w:rPr>
              <w:t>Costo aproximado (USD)</w:t>
            </w:r>
            <w:r w:rsidRPr="000C2F7F">
              <w:rPr>
                <w:rFonts w:ascii="Times New Roman" w:eastAsia="Times New Roman" w:hAnsi="Times New Roman" w:cs="Times New Roman"/>
                <w:b/>
                <w:bCs/>
                <w:color w:val="000000"/>
                <w:szCs w:val="24"/>
                <w:vertAlign w:val="superscript"/>
                <w:lang w:val="es-ES_tradnl" w:eastAsia="es-ES"/>
              </w:rPr>
              <w:t>1</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Contratación consultor independiente para el levantamiento de la línea base</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jc w:val="right"/>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15.000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CC0C52">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Contratación consultor independiente para l</w:t>
            </w:r>
            <w:r w:rsidR="00CC0C52">
              <w:rPr>
                <w:rFonts w:ascii="Times New Roman" w:eastAsia="Times New Roman" w:hAnsi="Times New Roman" w:cs="Times New Roman"/>
                <w:color w:val="000000"/>
                <w:szCs w:val="24"/>
                <w:lang w:val="es-ES_tradnl" w:eastAsia="es-ES"/>
              </w:rPr>
              <w:t>a evaluación de impacto (en 2019</w:t>
            </w:r>
            <w:r w:rsidRPr="000C2F7F">
              <w:rPr>
                <w:rFonts w:ascii="Times New Roman" w:eastAsia="Times New Roman" w:hAnsi="Times New Roman" w:cs="Times New Roman"/>
                <w:color w:val="000000"/>
                <w:szCs w:val="24"/>
                <w:lang w:val="es-ES_tradnl" w:eastAsia="es-ES"/>
              </w:rPr>
              <w:t>)</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jc w:val="right"/>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20.000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Levantamiento de información de beneficiarios y no beneficiarios</w:t>
            </w:r>
            <w:r w:rsidR="00CC0C52">
              <w:rPr>
                <w:rFonts w:ascii="Times New Roman" w:eastAsia="Times New Roman" w:hAnsi="Times New Roman" w:cs="Times New Roman"/>
                <w:color w:val="000000"/>
                <w:szCs w:val="24"/>
                <w:lang w:val="es-ES_tradnl" w:eastAsia="es-ES"/>
              </w:rPr>
              <w:t xml:space="preserve"> URA</w:t>
            </w:r>
            <w:r w:rsidRPr="000C2F7F">
              <w:rPr>
                <w:rFonts w:ascii="Times New Roman" w:eastAsia="Times New Roman" w:hAnsi="Times New Roman" w:cs="Times New Roman"/>
                <w:color w:val="000000"/>
                <w:szCs w:val="24"/>
                <w:lang w:val="es-ES_tradnl" w:eastAsia="es-ES"/>
              </w:rPr>
              <w:t xml:space="preserve"> (2015)</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444785" w:rsidP="00444785">
            <w:pPr>
              <w:spacing w:after="0" w:line="240" w:lineRule="auto"/>
              <w:jc w:val="right"/>
              <w:rPr>
                <w:rFonts w:ascii="Times New Roman" w:eastAsia="Times New Roman" w:hAnsi="Times New Roman" w:cs="Times New Roman"/>
                <w:color w:val="000000"/>
                <w:szCs w:val="24"/>
                <w:lang w:val="es-ES_tradnl" w:eastAsia="es-ES"/>
              </w:rPr>
            </w:pPr>
            <w:r>
              <w:rPr>
                <w:rFonts w:ascii="Times New Roman" w:eastAsia="Times New Roman" w:hAnsi="Times New Roman" w:cs="Times New Roman"/>
                <w:color w:val="000000"/>
                <w:szCs w:val="24"/>
                <w:lang w:val="es-ES_tradnl" w:eastAsia="es-ES"/>
              </w:rPr>
              <w:t>42</w:t>
            </w:r>
            <w:r w:rsidR="000C2F7F" w:rsidRPr="000C2F7F">
              <w:rPr>
                <w:rFonts w:ascii="Times New Roman" w:eastAsia="Times New Roman" w:hAnsi="Times New Roman" w:cs="Times New Roman"/>
                <w:color w:val="000000"/>
                <w:szCs w:val="24"/>
                <w:lang w:val="es-ES_tradnl" w:eastAsia="es-ES"/>
              </w:rPr>
              <w:t>.</w:t>
            </w:r>
            <w:r>
              <w:rPr>
                <w:rFonts w:ascii="Times New Roman" w:eastAsia="Times New Roman" w:hAnsi="Times New Roman" w:cs="Times New Roman"/>
                <w:color w:val="000000"/>
                <w:szCs w:val="24"/>
                <w:lang w:val="es-ES_tradnl" w:eastAsia="es-ES"/>
              </w:rPr>
              <w:t>240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Levantamiento de información de beneficiarios y no beneficiarios</w:t>
            </w:r>
            <w:r w:rsidR="00CC0C52">
              <w:rPr>
                <w:rFonts w:ascii="Times New Roman" w:eastAsia="Times New Roman" w:hAnsi="Times New Roman" w:cs="Times New Roman"/>
                <w:color w:val="000000"/>
                <w:szCs w:val="24"/>
                <w:lang w:val="es-ES_tradnl" w:eastAsia="es-ES"/>
              </w:rPr>
              <w:t xml:space="preserve"> URA</w:t>
            </w:r>
            <w:r w:rsidRPr="000C2F7F">
              <w:rPr>
                <w:rFonts w:ascii="Times New Roman" w:eastAsia="Times New Roman" w:hAnsi="Times New Roman" w:cs="Times New Roman"/>
                <w:color w:val="000000"/>
                <w:szCs w:val="24"/>
                <w:lang w:val="es-ES_tradnl" w:eastAsia="es-ES"/>
              </w:rPr>
              <w:t xml:space="preserve"> (2017)</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0C2F7F" w:rsidP="00444785">
            <w:pPr>
              <w:spacing w:after="0" w:line="240" w:lineRule="auto"/>
              <w:jc w:val="right"/>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2</w:t>
            </w:r>
            <w:r w:rsidR="00444785">
              <w:rPr>
                <w:rFonts w:ascii="Times New Roman" w:eastAsia="Times New Roman" w:hAnsi="Times New Roman" w:cs="Times New Roman"/>
                <w:color w:val="000000"/>
                <w:szCs w:val="24"/>
                <w:lang w:val="es-ES_tradnl" w:eastAsia="es-ES"/>
              </w:rPr>
              <w:t>8</w:t>
            </w:r>
            <w:r w:rsidRPr="000C2F7F">
              <w:rPr>
                <w:rFonts w:ascii="Times New Roman" w:eastAsia="Times New Roman" w:hAnsi="Times New Roman" w:cs="Times New Roman"/>
                <w:color w:val="000000"/>
                <w:szCs w:val="24"/>
                <w:lang w:val="es-ES_tradnl" w:eastAsia="es-ES"/>
              </w:rPr>
              <w:t>.</w:t>
            </w:r>
            <w:r w:rsidR="00444785">
              <w:rPr>
                <w:rFonts w:ascii="Times New Roman" w:eastAsia="Times New Roman" w:hAnsi="Times New Roman" w:cs="Times New Roman"/>
                <w:color w:val="000000"/>
                <w:szCs w:val="24"/>
                <w:lang w:val="es-ES_tradnl" w:eastAsia="es-ES"/>
              </w:rPr>
              <w:t>1</w:t>
            </w:r>
            <w:r w:rsidRPr="000C2F7F">
              <w:rPr>
                <w:rFonts w:ascii="Times New Roman" w:eastAsia="Times New Roman" w:hAnsi="Times New Roman" w:cs="Times New Roman"/>
                <w:color w:val="000000"/>
                <w:szCs w:val="24"/>
                <w:lang w:val="es-ES_tradnl" w:eastAsia="es-ES"/>
              </w:rPr>
              <w:t>60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Solicitud de información a INEGI (línea base)</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jc w:val="right"/>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3.000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DB208F">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Solici</w:t>
            </w:r>
            <w:r w:rsidR="00CC0C52">
              <w:rPr>
                <w:rFonts w:ascii="Times New Roman" w:eastAsia="Times New Roman" w:hAnsi="Times New Roman" w:cs="Times New Roman"/>
                <w:color w:val="000000"/>
                <w:szCs w:val="24"/>
                <w:lang w:val="es-ES_tradnl" w:eastAsia="es-ES"/>
              </w:rPr>
              <w:t>tud de información a INEGI (</w:t>
            </w:r>
            <w:r w:rsidR="00DB208F">
              <w:rPr>
                <w:rFonts w:ascii="Times New Roman" w:eastAsia="Times New Roman" w:hAnsi="Times New Roman" w:cs="Times New Roman"/>
                <w:color w:val="000000"/>
                <w:szCs w:val="24"/>
                <w:lang w:val="es-ES_tradnl" w:eastAsia="es-ES"/>
              </w:rPr>
              <w:t>2019</w:t>
            </w:r>
            <w:r w:rsidRPr="000C2F7F">
              <w:rPr>
                <w:rFonts w:ascii="Times New Roman" w:eastAsia="Times New Roman" w:hAnsi="Times New Roman" w:cs="Times New Roman"/>
                <w:color w:val="000000"/>
                <w:szCs w:val="24"/>
                <w:lang w:val="es-ES_tradnl" w:eastAsia="es-ES"/>
              </w:rPr>
              <w:t>)</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jc w:val="right"/>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4.000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tcPr>
          <w:p w:rsidR="000C2F7F" w:rsidRPr="000C2F7F" w:rsidRDefault="000C2F7F" w:rsidP="000C2F7F">
            <w:pPr>
              <w:spacing w:after="0" w:line="240" w:lineRule="auto"/>
              <w:rPr>
                <w:rFonts w:ascii="Times New Roman" w:eastAsia="Times New Roman" w:hAnsi="Times New Roman" w:cs="Times New Roman"/>
                <w:color w:val="000000"/>
                <w:szCs w:val="24"/>
                <w:lang w:val="es-ES_tradnl" w:eastAsia="es-ES"/>
              </w:rPr>
            </w:pPr>
            <w:r w:rsidRPr="000C2F7F">
              <w:rPr>
                <w:rFonts w:ascii="Times New Roman" w:eastAsia="Times New Roman" w:hAnsi="Times New Roman" w:cs="Times New Roman"/>
                <w:color w:val="000000"/>
                <w:szCs w:val="24"/>
                <w:lang w:val="es-ES_tradnl" w:eastAsia="es-ES"/>
              </w:rPr>
              <w:t xml:space="preserve">Imprevistos </w:t>
            </w:r>
          </w:p>
        </w:tc>
        <w:tc>
          <w:tcPr>
            <w:tcW w:w="1343" w:type="dxa"/>
            <w:tcBorders>
              <w:top w:val="nil"/>
              <w:left w:val="nil"/>
              <w:bottom w:val="single" w:sz="4" w:space="0" w:color="auto"/>
              <w:right w:val="single" w:sz="4" w:space="0" w:color="auto"/>
            </w:tcBorders>
            <w:shd w:val="clear" w:color="auto" w:fill="auto"/>
            <w:noWrap/>
            <w:vAlign w:val="bottom"/>
          </w:tcPr>
          <w:p w:rsidR="000C2F7F" w:rsidRPr="000C2F7F" w:rsidRDefault="00444785" w:rsidP="00444785">
            <w:pPr>
              <w:spacing w:after="0" w:line="240" w:lineRule="auto"/>
              <w:jc w:val="right"/>
              <w:rPr>
                <w:rFonts w:ascii="Times New Roman" w:eastAsia="Times New Roman" w:hAnsi="Times New Roman" w:cs="Times New Roman"/>
                <w:color w:val="000000"/>
                <w:szCs w:val="24"/>
                <w:lang w:val="es-ES_tradnl" w:eastAsia="es-ES"/>
              </w:rPr>
            </w:pPr>
            <w:r>
              <w:rPr>
                <w:rFonts w:ascii="Times New Roman" w:eastAsia="Times New Roman" w:hAnsi="Times New Roman" w:cs="Times New Roman"/>
                <w:color w:val="000000"/>
                <w:szCs w:val="24"/>
                <w:lang w:val="es-ES_tradnl" w:eastAsia="es-ES"/>
              </w:rPr>
              <w:t>7</w:t>
            </w:r>
            <w:r w:rsidR="000C2F7F" w:rsidRPr="000C2F7F">
              <w:rPr>
                <w:rFonts w:ascii="Times New Roman" w:eastAsia="Times New Roman" w:hAnsi="Times New Roman" w:cs="Times New Roman"/>
                <w:color w:val="000000"/>
                <w:szCs w:val="24"/>
                <w:lang w:val="es-ES_tradnl" w:eastAsia="es-ES"/>
              </w:rPr>
              <w:t>.</w:t>
            </w:r>
            <w:r>
              <w:rPr>
                <w:rFonts w:ascii="Times New Roman" w:eastAsia="Times New Roman" w:hAnsi="Times New Roman" w:cs="Times New Roman"/>
                <w:color w:val="000000"/>
                <w:szCs w:val="24"/>
                <w:lang w:val="es-ES_tradnl" w:eastAsia="es-ES"/>
              </w:rPr>
              <w:t>60</w:t>
            </w:r>
            <w:r w:rsidRPr="000C2F7F">
              <w:rPr>
                <w:rFonts w:ascii="Times New Roman" w:eastAsia="Times New Roman" w:hAnsi="Times New Roman" w:cs="Times New Roman"/>
                <w:color w:val="000000"/>
                <w:szCs w:val="24"/>
                <w:lang w:val="es-ES_tradnl" w:eastAsia="es-ES"/>
              </w:rPr>
              <w:t>0</w:t>
            </w:r>
          </w:p>
        </w:tc>
      </w:tr>
      <w:tr w:rsidR="000C2F7F" w:rsidRPr="000C2F7F" w:rsidTr="000C2F7F">
        <w:trPr>
          <w:trHeight w:val="300"/>
        </w:trPr>
        <w:tc>
          <w:tcPr>
            <w:tcW w:w="7587" w:type="dxa"/>
            <w:tcBorders>
              <w:top w:val="nil"/>
              <w:left w:val="single" w:sz="4" w:space="0" w:color="auto"/>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rPr>
                <w:rFonts w:ascii="Times New Roman" w:eastAsia="Times New Roman" w:hAnsi="Times New Roman" w:cs="Times New Roman"/>
                <w:b/>
                <w:color w:val="000000"/>
                <w:szCs w:val="24"/>
                <w:lang w:val="es-AR" w:eastAsia="es-ES"/>
              </w:rPr>
            </w:pPr>
            <w:r w:rsidRPr="000C2F7F">
              <w:rPr>
                <w:rFonts w:ascii="Times New Roman" w:eastAsia="Times New Roman" w:hAnsi="Times New Roman" w:cs="Times New Roman"/>
                <w:b/>
                <w:color w:val="000000"/>
                <w:szCs w:val="24"/>
                <w:lang w:val="es-ES_tradnl" w:eastAsia="es-ES"/>
              </w:rPr>
              <w:t>Total</w:t>
            </w:r>
          </w:p>
        </w:tc>
        <w:tc>
          <w:tcPr>
            <w:tcW w:w="1343" w:type="dxa"/>
            <w:tcBorders>
              <w:top w:val="nil"/>
              <w:left w:val="nil"/>
              <w:bottom w:val="single" w:sz="4" w:space="0" w:color="auto"/>
              <w:right w:val="single" w:sz="4" w:space="0" w:color="auto"/>
            </w:tcBorders>
            <w:shd w:val="clear" w:color="auto" w:fill="auto"/>
            <w:noWrap/>
            <w:vAlign w:val="bottom"/>
            <w:hideMark/>
          </w:tcPr>
          <w:p w:rsidR="000C2F7F" w:rsidRPr="000C2F7F" w:rsidRDefault="000C2F7F" w:rsidP="000C2F7F">
            <w:pPr>
              <w:spacing w:after="0" w:line="240" w:lineRule="auto"/>
              <w:jc w:val="right"/>
              <w:rPr>
                <w:rFonts w:ascii="Times New Roman" w:eastAsia="Times New Roman" w:hAnsi="Times New Roman" w:cs="Times New Roman"/>
                <w:b/>
                <w:color w:val="000000"/>
                <w:szCs w:val="24"/>
                <w:lang w:val="es-ES_tradnl" w:eastAsia="es-ES"/>
              </w:rPr>
            </w:pPr>
            <w:r w:rsidRPr="000C2F7F">
              <w:rPr>
                <w:rFonts w:ascii="Times New Roman" w:eastAsia="Times New Roman" w:hAnsi="Times New Roman" w:cs="Times New Roman"/>
                <w:b/>
                <w:color w:val="000000"/>
                <w:szCs w:val="24"/>
                <w:lang w:val="es-ES_tradnl" w:eastAsia="es-ES"/>
              </w:rPr>
              <w:t>120.000</w:t>
            </w:r>
          </w:p>
        </w:tc>
      </w:tr>
    </w:tbl>
    <w:p w:rsidR="00C71FCF" w:rsidRPr="003B4EFC" w:rsidRDefault="000C2F7F" w:rsidP="000C2F7F">
      <w:pPr>
        <w:pStyle w:val="ListParagraph"/>
        <w:numPr>
          <w:ilvl w:val="2"/>
          <w:numId w:val="2"/>
        </w:numPr>
        <w:spacing w:after="0"/>
        <w:ind w:left="360" w:hanging="270"/>
        <w:jc w:val="both"/>
        <w:rPr>
          <w:rFonts w:ascii="Times New Roman" w:hAnsi="Times New Roman" w:cs="Times New Roman"/>
          <w:sz w:val="20"/>
          <w:szCs w:val="20"/>
          <w:lang w:val="es-AR"/>
        </w:rPr>
      </w:pPr>
      <w:r w:rsidRPr="00C71FCF">
        <w:rPr>
          <w:rFonts w:ascii="Times New Roman" w:hAnsi="Times New Roman" w:cs="Times New Roman"/>
          <w:sz w:val="20"/>
          <w:szCs w:val="20"/>
          <w:lang w:val="es-AR"/>
        </w:rPr>
        <w:t>Precios corrientes. Es decir, si la encuesta se realiza en 2019 indica el costo para ese entonces. Se supuso un incremento en el nivel de precios de 5% anual.</w:t>
      </w:r>
    </w:p>
    <w:p w:rsidR="00CD2849" w:rsidRPr="000C2F7F" w:rsidRDefault="000C2F7F" w:rsidP="003B4EFC">
      <w:pPr>
        <w:spacing w:before="240" w:after="240"/>
        <w:jc w:val="both"/>
        <w:rPr>
          <w:rFonts w:ascii="Times New Roman" w:hAnsi="Times New Roman" w:cs="Times New Roman"/>
          <w:b/>
        </w:rPr>
      </w:pPr>
      <w:r w:rsidRPr="000C2F7F">
        <w:rPr>
          <w:rFonts w:ascii="Times New Roman" w:hAnsi="Times New Roman" w:cs="Times New Roman"/>
          <w:lang w:val="es-AR"/>
        </w:rPr>
        <w:t>Para obtener este estimado se supuso que se realizan 1</w:t>
      </w:r>
      <w:r w:rsidR="00444785">
        <w:rPr>
          <w:rFonts w:ascii="Times New Roman" w:hAnsi="Times New Roman" w:cs="Times New Roman"/>
          <w:lang w:val="es-AR"/>
        </w:rPr>
        <w:t>2</w:t>
      </w:r>
      <w:r w:rsidRPr="000C2F7F">
        <w:rPr>
          <w:rFonts w:ascii="Times New Roman" w:hAnsi="Times New Roman" w:cs="Times New Roman"/>
          <w:lang w:val="es-AR"/>
        </w:rPr>
        <w:t xml:space="preserve">8 encuestas de beneficiarios y </w:t>
      </w:r>
      <w:r w:rsidR="00444785" w:rsidRPr="000C2F7F">
        <w:rPr>
          <w:rFonts w:ascii="Times New Roman" w:hAnsi="Times New Roman" w:cs="Times New Roman"/>
          <w:lang w:val="es-AR"/>
        </w:rPr>
        <w:t>2</w:t>
      </w:r>
      <w:r w:rsidR="00444785">
        <w:rPr>
          <w:rFonts w:ascii="Times New Roman" w:hAnsi="Times New Roman" w:cs="Times New Roman"/>
          <w:lang w:val="es-AR"/>
        </w:rPr>
        <w:t>56</w:t>
      </w:r>
      <w:r w:rsidR="00444785" w:rsidRPr="000C2F7F">
        <w:rPr>
          <w:rFonts w:ascii="Times New Roman" w:hAnsi="Times New Roman" w:cs="Times New Roman"/>
          <w:lang w:val="es-AR"/>
        </w:rPr>
        <w:t xml:space="preserve"> </w:t>
      </w:r>
      <w:r w:rsidRPr="000C2F7F">
        <w:rPr>
          <w:rFonts w:ascii="Times New Roman" w:hAnsi="Times New Roman" w:cs="Times New Roman"/>
          <w:lang w:val="es-AR"/>
        </w:rPr>
        <w:t>encuestas de no beneficiarios en 201</w:t>
      </w:r>
      <w:r w:rsidR="008B695B">
        <w:rPr>
          <w:rFonts w:ascii="Times New Roman" w:hAnsi="Times New Roman" w:cs="Times New Roman"/>
          <w:lang w:val="es-AR"/>
        </w:rPr>
        <w:t>5</w:t>
      </w:r>
      <w:r w:rsidRPr="000C2F7F">
        <w:rPr>
          <w:rFonts w:ascii="Times New Roman" w:hAnsi="Times New Roman" w:cs="Times New Roman"/>
          <w:lang w:val="es-AR"/>
        </w:rPr>
        <w:t xml:space="preserve"> y 1</w:t>
      </w:r>
      <w:r w:rsidR="00444785">
        <w:rPr>
          <w:rFonts w:ascii="Times New Roman" w:hAnsi="Times New Roman" w:cs="Times New Roman"/>
          <w:lang w:val="es-AR"/>
        </w:rPr>
        <w:t>2</w:t>
      </w:r>
      <w:r w:rsidRPr="000C2F7F">
        <w:rPr>
          <w:rFonts w:ascii="Times New Roman" w:hAnsi="Times New Roman" w:cs="Times New Roman"/>
          <w:lang w:val="es-AR"/>
        </w:rPr>
        <w:t>8 de beneficiarios y</w:t>
      </w:r>
      <w:r w:rsidR="008B695B">
        <w:rPr>
          <w:rFonts w:ascii="Times New Roman" w:hAnsi="Times New Roman" w:cs="Times New Roman"/>
          <w:lang w:val="es-AR"/>
        </w:rPr>
        <w:t xml:space="preserve"> 1</w:t>
      </w:r>
      <w:r w:rsidR="00444785">
        <w:rPr>
          <w:rFonts w:ascii="Times New Roman" w:hAnsi="Times New Roman" w:cs="Times New Roman"/>
          <w:lang w:val="es-AR"/>
        </w:rPr>
        <w:t>2</w:t>
      </w:r>
      <w:r w:rsidR="008B695B">
        <w:rPr>
          <w:rFonts w:ascii="Times New Roman" w:hAnsi="Times New Roman" w:cs="Times New Roman"/>
          <w:lang w:val="es-AR"/>
        </w:rPr>
        <w:t>8 de no beneficiarios en 2017</w:t>
      </w:r>
      <w:r w:rsidRPr="000C2F7F">
        <w:rPr>
          <w:rFonts w:ascii="Times New Roman" w:hAnsi="Times New Roman" w:cs="Times New Roman"/>
          <w:lang w:val="es-AR"/>
        </w:rPr>
        <w:t xml:space="preserve">. Es decir, </w:t>
      </w:r>
      <w:r w:rsidR="00444785" w:rsidRPr="000C2F7F">
        <w:rPr>
          <w:rFonts w:ascii="Times New Roman" w:hAnsi="Times New Roman" w:cs="Times New Roman"/>
          <w:lang w:val="es-AR"/>
        </w:rPr>
        <w:t>3</w:t>
      </w:r>
      <w:r w:rsidR="00444785">
        <w:rPr>
          <w:rFonts w:ascii="Times New Roman" w:hAnsi="Times New Roman" w:cs="Times New Roman"/>
          <w:lang w:val="es-AR"/>
        </w:rPr>
        <w:t>84</w:t>
      </w:r>
      <w:r w:rsidR="00444785" w:rsidRPr="000C2F7F">
        <w:rPr>
          <w:rFonts w:ascii="Times New Roman" w:hAnsi="Times New Roman" w:cs="Times New Roman"/>
          <w:lang w:val="es-AR"/>
        </w:rPr>
        <w:t xml:space="preserve"> </w:t>
      </w:r>
      <w:r w:rsidRPr="000C2F7F">
        <w:rPr>
          <w:rFonts w:ascii="Times New Roman" w:hAnsi="Times New Roman" w:cs="Times New Roman"/>
          <w:lang w:val="es-AR"/>
        </w:rPr>
        <w:t xml:space="preserve">encuestas en total en la </w:t>
      </w:r>
      <w:r w:rsidR="00444785">
        <w:rPr>
          <w:rFonts w:ascii="Times New Roman" w:hAnsi="Times New Roman" w:cs="Times New Roman"/>
          <w:lang w:val="es-AR"/>
        </w:rPr>
        <w:t>P</w:t>
      </w:r>
      <w:r w:rsidRPr="000C2F7F">
        <w:rPr>
          <w:rFonts w:ascii="Times New Roman" w:hAnsi="Times New Roman" w:cs="Times New Roman"/>
          <w:lang w:val="es-AR"/>
        </w:rPr>
        <w:t xml:space="preserve">rimera </w:t>
      </w:r>
      <w:r w:rsidR="00444785">
        <w:rPr>
          <w:rFonts w:ascii="Times New Roman" w:hAnsi="Times New Roman" w:cs="Times New Roman"/>
          <w:lang w:val="es-AR"/>
        </w:rPr>
        <w:t>Ronda</w:t>
      </w:r>
      <w:r w:rsidR="00444785" w:rsidRPr="000C2F7F">
        <w:rPr>
          <w:rFonts w:ascii="Times New Roman" w:hAnsi="Times New Roman" w:cs="Times New Roman"/>
          <w:lang w:val="es-AR"/>
        </w:rPr>
        <w:t xml:space="preserve"> </w:t>
      </w:r>
      <w:r w:rsidRPr="000C2F7F">
        <w:rPr>
          <w:rFonts w:ascii="Times New Roman" w:hAnsi="Times New Roman" w:cs="Times New Roman"/>
          <w:lang w:val="es-AR"/>
        </w:rPr>
        <w:t xml:space="preserve">y </w:t>
      </w:r>
      <w:r w:rsidR="00444785" w:rsidRPr="000C2F7F">
        <w:rPr>
          <w:rFonts w:ascii="Times New Roman" w:hAnsi="Times New Roman" w:cs="Times New Roman"/>
          <w:lang w:val="es-AR"/>
        </w:rPr>
        <w:t>2</w:t>
      </w:r>
      <w:r w:rsidR="00444785">
        <w:rPr>
          <w:rFonts w:ascii="Times New Roman" w:hAnsi="Times New Roman" w:cs="Times New Roman"/>
          <w:lang w:val="es-AR"/>
        </w:rPr>
        <w:t>56</w:t>
      </w:r>
      <w:r w:rsidR="00444785" w:rsidRPr="000C2F7F">
        <w:rPr>
          <w:rFonts w:ascii="Times New Roman" w:hAnsi="Times New Roman" w:cs="Times New Roman"/>
          <w:lang w:val="es-AR"/>
        </w:rPr>
        <w:t xml:space="preserve"> </w:t>
      </w:r>
      <w:r w:rsidRPr="000C2F7F">
        <w:rPr>
          <w:rFonts w:ascii="Times New Roman" w:hAnsi="Times New Roman" w:cs="Times New Roman"/>
          <w:lang w:val="es-AR"/>
        </w:rPr>
        <w:t xml:space="preserve">en la </w:t>
      </w:r>
      <w:r w:rsidR="00444785">
        <w:rPr>
          <w:rFonts w:ascii="Times New Roman" w:hAnsi="Times New Roman" w:cs="Times New Roman"/>
          <w:lang w:val="es-AR"/>
        </w:rPr>
        <w:t>Segunda Ronda</w:t>
      </w:r>
      <w:r w:rsidRPr="000C2F7F">
        <w:rPr>
          <w:rFonts w:ascii="Times New Roman" w:hAnsi="Times New Roman" w:cs="Times New Roman"/>
          <w:lang w:val="es-AR"/>
        </w:rPr>
        <w:t xml:space="preserve">, para un total de </w:t>
      </w:r>
      <w:r w:rsidR="00444785">
        <w:rPr>
          <w:rFonts w:ascii="Times New Roman" w:hAnsi="Times New Roman" w:cs="Times New Roman"/>
          <w:lang w:val="es-AR"/>
        </w:rPr>
        <w:t>640</w:t>
      </w:r>
      <w:r w:rsidR="00444785" w:rsidRPr="000C2F7F">
        <w:rPr>
          <w:rFonts w:ascii="Times New Roman" w:hAnsi="Times New Roman" w:cs="Times New Roman"/>
          <w:lang w:val="es-AR"/>
        </w:rPr>
        <w:t xml:space="preserve"> </w:t>
      </w:r>
      <w:r w:rsidR="00444785">
        <w:rPr>
          <w:rFonts w:ascii="Times New Roman" w:hAnsi="Times New Roman" w:cs="Times New Roman"/>
          <w:lang w:val="es-AR"/>
        </w:rPr>
        <w:t xml:space="preserve">encuestas </w:t>
      </w:r>
      <w:r w:rsidRPr="000C2F7F">
        <w:rPr>
          <w:rFonts w:ascii="Times New Roman" w:hAnsi="Times New Roman" w:cs="Times New Roman"/>
          <w:lang w:val="es-AR"/>
        </w:rPr>
        <w:t xml:space="preserve">para todos los levantamientos. Este número se obtuvo a partir del número de encuestas requerido (98 por cada grupo bajo la hipótesis de asignación aleatoria) y estableciendo un sobre-muestreo de 20% para ambos grupos más un sobre muestreo de 100% para el segundo. Adicionalmente, se supuso que cada encuesta tiene un costo de alrededor de USD110, el cual está basado en una visita a campo que realizó </w:t>
      </w:r>
      <w:r w:rsidR="008B695B">
        <w:rPr>
          <w:rFonts w:ascii="Times New Roman" w:hAnsi="Times New Roman" w:cs="Times New Roman"/>
          <w:lang w:val="es-AR"/>
        </w:rPr>
        <w:t>un</w:t>
      </w:r>
      <w:r w:rsidRPr="000C2F7F">
        <w:rPr>
          <w:rFonts w:ascii="Times New Roman" w:hAnsi="Times New Roman" w:cs="Times New Roman"/>
          <w:lang w:val="es-AR"/>
        </w:rPr>
        <w:t xml:space="preserve"> consultor en 2013 a nivel ejidal. El costo del consultor independiente está basado en un costo aproximado de USD 400 por día trabajado por un total de 38 días efectivos. Para la solicitud de información a INEGI se considera que este Instituto sólo cobra por los gastos generados al hacer consultas específicas. Cabe señalar que este costo es un aproximado basado en experiencias previas </w:t>
      </w:r>
      <w:r w:rsidR="008B695B">
        <w:rPr>
          <w:rFonts w:ascii="Times New Roman" w:hAnsi="Times New Roman" w:cs="Times New Roman"/>
          <w:lang w:val="es-AR"/>
        </w:rPr>
        <w:t>de</w:t>
      </w:r>
      <w:r w:rsidRPr="000C2F7F">
        <w:rPr>
          <w:rFonts w:ascii="Times New Roman" w:hAnsi="Times New Roman" w:cs="Times New Roman"/>
          <w:lang w:val="es-AR"/>
        </w:rPr>
        <w:t xml:space="preserve"> consultor</w:t>
      </w:r>
      <w:r w:rsidR="008B695B">
        <w:rPr>
          <w:rFonts w:ascii="Times New Roman" w:hAnsi="Times New Roman" w:cs="Times New Roman"/>
          <w:lang w:val="es-AR"/>
        </w:rPr>
        <w:t>es</w:t>
      </w:r>
      <w:r w:rsidRPr="000C2F7F">
        <w:rPr>
          <w:rFonts w:ascii="Times New Roman" w:hAnsi="Times New Roman" w:cs="Times New Roman"/>
          <w:lang w:val="es-AR"/>
        </w:rPr>
        <w:t xml:space="preserve"> para este tipo de solicitudes. </w:t>
      </w:r>
      <w:r w:rsidR="00CD2849" w:rsidRPr="000C2F7F">
        <w:rPr>
          <w:rFonts w:ascii="Times New Roman" w:hAnsi="Times New Roman" w:cs="Times New Roman"/>
          <w:b/>
        </w:rPr>
        <w:br w:type="page"/>
      </w:r>
    </w:p>
    <w:p w:rsidR="008F4542" w:rsidRPr="00ED3C5A" w:rsidRDefault="008F4542">
      <w:pPr>
        <w:rPr>
          <w:rFonts w:ascii="Times New Roman" w:hAnsi="Times New Roman" w:cs="Times New Roman"/>
          <w:b/>
        </w:rPr>
      </w:pPr>
      <w:r w:rsidRPr="00ED3C5A">
        <w:rPr>
          <w:rFonts w:ascii="Times New Roman" w:hAnsi="Times New Roman" w:cs="Times New Roman"/>
          <w:b/>
        </w:rPr>
        <w:lastRenderedPageBreak/>
        <w:t>Glosario</w:t>
      </w:r>
    </w:p>
    <w:p w:rsidR="008F4542" w:rsidRDefault="008F4542" w:rsidP="008F4542">
      <w:pPr>
        <w:jc w:val="both"/>
        <w:rPr>
          <w:rFonts w:ascii="Times New Roman" w:hAnsi="Times New Roman" w:cs="Times New Roman"/>
        </w:rPr>
      </w:pPr>
      <w:r w:rsidRPr="008F4542">
        <w:rPr>
          <w:rFonts w:ascii="Times New Roman" w:hAnsi="Times New Roman" w:cs="Times New Roman"/>
          <w:b/>
        </w:rPr>
        <w:t>Eficiencia de aplicación</w:t>
      </w:r>
      <w:r>
        <w:rPr>
          <w:rFonts w:ascii="Times New Roman" w:hAnsi="Times New Roman" w:cs="Times New Roman"/>
        </w:rPr>
        <w:t xml:space="preserve"> – Es la cantidad de agua de riego que se aplica a nivel de parcela y que llega directamente a la planta. Se mide como un porcentaje.</w:t>
      </w:r>
    </w:p>
    <w:p w:rsidR="008F4542" w:rsidRPr="008F4542" w:rsidRDefault="008F4542" w:rsidP="008F4542">
      <w:pPr>
        <w:jc w:val="both"/>
        <w:rPr>
          <w:rFonts w:ascii="Times New Roman" w:hAnsi="Times New Roman" w:cs="Times New Roman"/>
        </w:rPr>
      </w:pPr>
      <w:r>
        <w:rPr>
          <w:rFonts w:ascii="Times New Roman" w:hAnsi="Times New Roman" w:cs="Times New Roman"/>
          <w:b/>
          <w:i/>
        </w:rPr>
        <w:t>Propensity Score Matching</w:t>
      </w:r>
      <w:r>
        <w:rPr>
          <w:rFonts w:ascii="Times New Roman" w:hAnsi="Times New Roman" w:cs="Times New Roman"/>
          <w:b/>
        </w:rPr>
        <w:t xml:space="preserve"> – </w:t>
      </w:r>
      <w:r w:rsidRPr="008F4542">
        <w:rPr>
          <w:rFonts w:ascii="Times New Roman" w:hAnsi="Times New Roman" w:cs="Times New Roman"/>
        </w:rPr>
        <w:t>Método</w:t>
      </w:r>
      <w:r>
        <w:rPr>
          <w:rFonts w:ascii="Times New Roman" w:hAnsi="Times New Roman" w:cs="Times New Roman"/>
          <w:b/>
        </w:rPr>
        <w:t xml:space="preserve"> </w:t>
      </w:r>
      <w:r w:rsidRPr="008F4542">
        <w:rPr>
          <w:rFonts w:ascii="Times New Roman" w:hAnsi="Times New Roman" w:cs="Times New Roman"/>
        </w:rPr>
        <w:t>de apare</w:t>
      </w:r>
      <w:r>
        <w:rPr>
          <w:rFonts w:ascii="Times New Roman" w:hAnsi="Times New Roman" w:cs="Times New Roman"/>
        </w:rPr>
        <w:t>a</w:t>
      </w:r>
      <w:r w:rsidRPr="008F4542">
        <w:rPr>
          <w:rFonts w:ascii="Times New Roman" w:hAnsi="Times New Roman" w:cs="Times New Roman"/>
        </w:rPr>
        <w:t>miento estadístico</w:t>
      </w:r>
      <w:r>
        <w:rPr>
          <w:rFonts w:ascii="Times New Roman" w:hAnsi="Times New Roman" w:cs="Times New Roman"/>
        </w:rPr>
        <w:t xml:space="preserve"> en el que se tiene un conjunto de unidades de observación, las cuales unas recibieron un determinado tratamiento y otras no, y en el que se estima la probabilidad de haber recibido dicho tratamiento a partir de características de la unidad de observación. Hay varias formas de formar parejas</w:t>
      </w:r>
      <w:r w:rsidR="00ED3C5A">
        <w:rPr>
          <w:rFonts w:ascii="Times New Roman" w:hAnsi="Times New Roman" w:cs="Times New Roman"/>
        </w:rPr>
        <w:t>, la más sencilla es emparejar a un individuo del grupo de tratamiento con el individuo del grupo no tratado que tenga la probabilidad más cercana al primero; otros métodos pueden consultarse en Wooldridge (2010).</w:t>
      </w:r>
    </w:p>
    <w:p w:rsidR="008F4542" w:rsidRDefault="008F4542">
      <w:pPr>
        <w:rPr>
          <w:rFonts w:ascii="Times New Roman" w:hAnsi="Times New Roman" w:cs="Times New Roman"/>
        </w:rPr>
      </w:pPr>
      <w:r>
        <w:rPr>
          <w:rFonts w:ascii="Times New Roman" w:hAnsi="Times New Roman" w:cs="Times New Roman"/>
        </w:rPr>
        <w:br w:type="page"/>
      </w:r>
    </w:p>
    <w:p w:rsidR="00FF70F6" w:rsidRPr="003E405F" w:rsidRDefault="00FF70F6" w:rsidP="00FF70F6">
      <w:pPr>
        <w:jc w:val="both"/>
        <w:rPr>
          <w:rFonts w:ascii="Times New Roman" w:hAnsi="Times New Roman" w:cs="Times New Roman"/>
          <w:b/>
        </w:rPr>
      </w:pPr>
      <w:r w:rsidRPr="003E405F">
        <w:rPr>
          <w:rFonts w:ascii="Times New Roman" w:hAnsi="Times New Roman" w:cs="Times New Roman"/>
          <w:b/>
        </w:rPr>
        <w:lastRenderedPageBreak/>
        <w:t>Referencias</w:t>
      </w:r>
    </w:p>
    <w:p w:rsidR="00082B27" w:rsidRPr="00082B27" w:rsidRDefault="00082B27" w:rsidP="003355A2">
      <w:pPr>
        <w:ind w:left="709" w:hanging="709"/>
        <w:jc w:val="both"/>
        <w:rPr>
          <w:rFonts w:ascii="Times New Roman" w:hAnsi="Times New Roman" w:cs="Times New Roman"/>
        </w:rPr>
      </w:pPr>
      <w:r>
        <w:rPr>
          <w:rFonts w:ascii="Times New Roman" w:hAnsi="Times New Roman" w:cs="Times New Roman"/>
        </w:rPr>
        <w:t xml:space="preserve">CFE (varios años) </w:t>
      </w:r>
      <w:r>
        <w:rPr>
          <w:rFonts w:ascii="Times New Roman" w:hAnsi="Times New Roman" w:cs="Times New Roman"/>
          <w:i/>
        </w:rPr>
        <w:t>Balance Nacional de Energía</w:t>
      </w:r>
      <w:r>
        <w:rPr>
          <w:rFonts w:ascii="Times New Roman" w:hAnsi="Times New Roman" w:cs="Times New Roman"/>
        </w:rPr>
        <w:t>, México, CFE.</w:t>
      </w:r>
    </w:p>
    <w:p w:rsidR="005A284E" w:rsidRPr="005A284E" w:rsidRDefault="005A284E" w:rsidP="005A284E">
      <w:pPr>
        <w:ind w:left="709" w:hanging="709"/>
        <w:jc w:val="both"/>
        <w:rPr>
          <w:rFonts w:ascii="Times New Roman" w:hAnsi="Times New Roman" w:cs="Times New Roman"/>
          <w:lang w:val="es-ES_tradnl"/>
        </w:rPr>
      </w:pPr>
      <w:r w:rsidRPr="005A284E">
        <w:rPr>
          <w:rFonts w:ascii="Times New Roman" w:hAnsi="Times New Roman" w:cs="Times New Roman"/>
          <w:lang w:val="es-ES_tradnl"/>
        </w:rPr>
        <w:t xml:space="preserve">CONAGUA (2011). </w:t>
      </w:r>
      <w:r w:rsidRPr="005A284E">
        <w:rPr>
          <w:rFonts w:ascii="Times New Roman" w:hAnsi="Times New Roman" w:cs="Times New Roman"/>
          <w:i/>
          <w:lang w:val="es-ES_tradnl"/>
        </w:rPr>
        <w:t>Estadísticas del agua en México, edición 2011</w:t>
      </w:r>
      <w:r w:rsidRPr="005A284E">
        <w:rPr>
          <w:rFonts w:ascii="Times New Roman" w:hAnsi="Times New Roman" w:cs="Times New Roman"/>
          <w:lang w:val="es-ES_tradnl"/>
        </w:rPr>
        <w:t>, CONAGUA, México.</w:t>
      </w:r>
    </w:p>
    <w:p w:rsidR="005A284E" w:rsidRPr="005A284E" w:rsidRDefault="005A284E" w:rsidP="005A284E">
      <w:pPr>
        <w:ind w:left="709" w:hanging="709"/>
        <w:jc w:val="both"/>
        <w:rPr>
          <w:rFonts w:ascii="Times New Roman" w:hAnsi="Times New Roman" w:cs="Times New Roman"/>
          <w:lang w:val="es-ES_tradnl"/>
        </w:rPr>
      </w:pPr>
      <w:r w:rsidRPr="005A284E">
        <w:rPr>
          <w:rFonts w:ascii="Times New Roman" w:hAnsi="Times New Roman" w:cs="Times New Roman"/>
          <w:lang w:val="es-ES_tradnl"/>
        </w:rPr>
        <w:t xml:space="preserve">El Economista (21 de enero de 2014). “Inversión, financiamiento y rentabilidad en las áreas de riego en México II”, </w:t>
      </w:r>
      <w:r w:rsidRPr="005A284E">
        <w:rPr>
          <w:rFonts w:ascii="Times New Roman" w:hAnsi="Times New Roman" w:cs="Times New Roman"/>
          <w:i/>
          <w:lang w:val="es-ES_tradnl"/>
        </w:rPr>
        <w:t xml:space="preserve">El Economista, </w:t>
      </w:r>
      <w:r w:rsidRPr="005A284E">
        <w:rPr>
          <w:rFonts w:ascii="Times New Roman" w:hAnsi="Times New Roman" w:cs="Times New Roman"/>
          <w:lang w:val="es-ES_tradnl"/>
        </w:rPr>
        <w:t>21 de enero de 2014).</w:t>
      </w:r>
    </w:p>
    <w:p w:rsidR="00B44C94" w:rsidRDefault="00B44C94" w:rsidP="005A284E">
      <w:pPr>
        <w:ind w:left="709" w:hanging="709"/>
        <w:jc w:val="both"/>
        <w:rPr>
          <w:rFonts w:ascii="Times New Roman" w:hAnsi="Times New Roman" w:cs="Times New Roman"/>
          <w:lang w:val="es-ES_tradnl"/>
        </w:rPr>
      </w:pPr>
      <w:r>
        <w:rPr>
          <w:rFonts w:ascii="Times New Roman" w:hAnsi="Times New Roman" w:cs="Times New Roman"/>
          <w:lang w:val="es-ES_tradnl"/>
        </w:rPr>
        <w:t xml:space="preserve">FIDE (2005a). </w:t>
      </w:r>
      <w:r>
        <w:rPr>
          <w:rFonts w:ascii="Times New Roman" w:hAnsi="Times New Roman" w:cs="Times New Roman"/>
          <w:i/>
          <w:lang w:val="es-ES_tradnl"/>
        </w:rPr>
        <w:t>Caso I-DV-279 Natural de Alimentos S.A. de C.V.</w:t>
      </w:r>
      <w:r>
        <w:rPr>
          <w:rFonts w:ascii="Times New Roman" w:hAnsi="Times New Roman" w:cs="Times New Roman"/>
          <w:lang w:val="es-ES_tradnl"/>
        </w:rPr>
        <w:t>, FIDE, México.</w:t>
      </w:r>
      <w:r w:rsidR="00942209">
        <w:rPr>
          <w:rFonts w:ascii="Times New Roman" w:hAnsi="Times New Roman" w:cs="Times New Roman"/>
          <w:lang w:val="es-ES_tradnl"/>
        </w:rPr>
        <w:t xml:space="preserve"> Disponible en </w:t>
      </w:r>
      <w:r w:rsidR="00942209" w:rsidRPr="00942209">
        <w:rPr>
          <w:rFonts w:ascii="Times New Roman" w:hAnsi="Times New Roman" w:cs="Times New Roman"/>
          <w:lang w:val="es-ES_tradnl"/>
        </w:rPr>
        <w:t>http://www.fide.org.mx/biblio/sources/flash/biblio11.swf</w:t>
      </w:r>
    </w:p>
    <w:p w:rsidR="00B44C94" w:rsidRPr="00B44C94" w:rsidRDefault="00B44C94" w:rsidP="00B44C94">
      <w:pPr>
        <w:ind w:left="709" w:hanging="709"/>
        <w:jc w:val="both"/>
        <w:rPr>
          <w:rFonts w:ascii="Times New Roman" w:hAnsi="Times New Roman" w:cs="Times New Roman"/>
          <w:lang w:val="es-ES_tradnl"/>
        </w:rPr>
      </w:pPr>
      <w:r>
        <w:rPr>
          <w:rFonts w:ascii="Times New Roman" w:hAnsi="Times New Roman" w:cs="Times New Roman"/>
          <w:lang w:val="es-ES_tradnl"/>
        </w:rPr>
        <w:t xml:space="preserve">FIDE (2005b). </w:t>
      </w:r>
      <w:r>
        <w:rPr>
          <w:rFonts w:ascii="Times New Roman" w:hAnsi="Times New Roman" w:cs="Times New Roman"/>
          <w:i/>
          <w:lang w:val="es-ES_tradnl"/>
        </w:rPr>
        <w:t>Caso I-DV-288 FOL-MEX S.A. de C.V.</w:t>
      </w:r>
      <w:r>
        <w:rPr>
          <w:rFonts w:ascii="Times New Roman" w:hAnsi="Times New Roman" w:cs="Times New Roman"/>
          <w:lang w:val="es-ES_tradnl"/>
        </w:rPr>
        <w:t>, FIDE, México.</w:t>
      </w:r>
      <w:r w:rsidR="00942209">
        <w:rPr>
          <w:rFonts w:ascii="Times New Roman" w:hAnsi="Times New Roman" w:cs="Times New Roman"/>
          <w:lang w:val="es-ES_tradnl"/>
        </w:rPr>
        <w:t xml:space="preserve"> Disponible en </w:t>
      </w:r>
      <w:r w:rsidR="00942209" w:rsidRPr="00942209">
        <w:rPr>
          <w:rFonts w:ascii="Times New Roman" w:hAnsi="Times New Roman" w:cs="Times New Roman"/>
          <w:lang w:val="es-ES_tradnl"/>
        </w:rPr>
        <w:t>http://www.fide.org.mx/biblio/sources/flash/biblio11.swf</w:t>
      </w:r>
    </w:p>
    <w:p w:rsidR="00B44C94" w:rsidRPr="00B44C94" w:rsidRDefault="00B44C94" w:rsidP="005A284E">
      <w:pPr>
        <w:ind w:left="709" w:hanging="709"/>
        <w:jc w:val="both"/>
        <w:rPr>
          <w:rFonts w:ascii="Times New Roman" w:hAnsi="Times New Roman" w:cs="Times New Roman"/>
          <w:lang w:val="es-ES_tradnl"/>
        </w:rPr>
      </w:pPr>
      <w:r>
        <w:rPr>
          <w:rFonts w:ascii="Times New Roman" w:hAnsi="Times New Roman" w:cs="Times New Roman"/>
          <w:lang w:val="es-ES_tradnl"/>
        </w:rPr>
        <w:t xml:space="preserve">FIDE (2012). </w:t>
      </w:r>
      <w:r>
        <w:rPr>
          <w:rFonts w:ascii="Times New Roman" w:hAnsi="Times New Roman" w:cs="Times New Roman"/>
          <w:i/>
          <w:lang w:val="es-ES_tradnl"/>
        </w:rPr>
        <w:t>Congeladora Bonfil</w:t>
      </w:r>
      <w:r>
        <w:rPr>
          <w:rFonts w:ascii="Times New Roman" w:hAnsi="Times New Roman" w:cs="Times New Roman"/>
          <w:lang w:val="es-ES_tradnl"/>
        </w:rPr>
        <w:t>, FIDE, México.</w:t>
      </w:r>
      <w:r w:rsidR="00942209">
        <w:rPr>
          <w:rFonts w:ascii="Times New Roman" w:hAnsi="Times New Roman" w:cs="Times New Roman"/>
          <w:lang w:val="es-ES_tradnl"/>
        </w:rPr>
        <w:t xml:space="preserve"> Disponible en </w:t>
      </w:r>
      <w:r w:rsidR="00942209" w:rsidRPr="00942209">
        <w:rPr>
          <w:rFonts w:ascii="Times New Roman" w:hAnsi="Times New Roman" w:cs="Times New Roman"/>
          <w:lang w:val="es-ES_tradnl"/>
        </w:rPr>
        <w:t>http://www.fide.org.mx/biblio/sources/flash/biblio11.swf</w:t>
      </w:r>
    </w:p>
    <w:p w:rsidR="005A284E" w:rsidRPr="005A284E" w:rsidRDefault="005A284E" w:rsidP="005A284E">
      <w:pPr>
        <w:ind w:left="709" w:hanging="709"/>
        <w:jc w:val="both"/>
        <w:rPr>
          <w:rFonts w:ascii="Times New Roman" w:hAnsi="Times New Roman" w:cs="Times New Roman"/>
        </w:rPr>
      </w:pPr>
      <w:r w:rsidRPr="005A284E">
        <w:rPr>
          <w:rFonts w:ascii="Times New Roman" w:hAnsi="Times New Roman" w:cs="Times New Roman"/>
          <w:lang w:val="es-ES_tradnl"/>
        </w:rPr>
        <w:t xml:space="preserve">FIRA-BID (2013). </w:t>
      </w:r>
      <w:r w:rsidRPr="005A284E">
        <w:rPr>
          <w:rFonts w:ascii="Times New Roman" w:hAnsi="Times New Roman" w:cs="Times New Roman"/>
          <w:i/>
          <w:lang w:val="es-ES_tradnl"/>
        </w:rPr>
        <w:t>Estudio de Mercado y Diseño de una Estrategia y Mecanismos Financieros para Financiar Proyectos de Eficiencia Energética y Uso Racional del Agua en el Campo en México</w:t>
      </w:r>
      <w:r w:rsidRPr="005A284E">
        <w:rPr>
          <w:rFonts w:ascii="Times New Roman" w:hAnsi="Times New Roman" w:cs="Times New Roman"/>
          <w:lang w:val="es-ES_tradnl"/>
        </w:rPr>
        <w:t>. FIRA-BID, México.</w:t>
      </w:r>
    </w:p>
    <w:p w:rsidR="00FF70F6" w:rsidRDefault="00FF70F6" w:rsidP="003355A2">
      <w:pPr>
        <w:ind w:left="709" w:hanging="709"/>
        <w:jc w:val="both"/>
        <w:rPr>
          <w:rFonts w:ascii="Times New Roman" w:hAnsi="Times New Roman" w:cs="Times New Roman"/>
        </w:rPr>
      </w:pPr>
      <w:r>
        <w:rPr>
          <w:rFonts w:ascii="Times New Roman" w:hAnsi="Times New Roman" w:cs="Times New Roman"/>
        </w:rPr>
        <w:t xml:space="preserve">FIRA (2009). </w:t>
      </w:r>
      <w:r>
        <w:rPr>
          <w:rFonts w:ascii="Times New Roman" w:hAnsi="Times New Roman" w:cs="Times New Roman"/>
          <w:i/>
        </w:rPr>
        <w:t>Evaluación de los Programas FIRA que Canalizan Apoyos 2009</w:t>
      </w:r>
      <w:r>
        <w:rPr>
          <w:rFonts w:ascii="Times New Roman" w:hAnsi="Times New Roman" w:cs="Times New Roman"/>
        </w:rPr>
        <w:t>, México, FIRA.</w:t>
      </w:r>
    </w:p>
    <w:p w:rsidR="00783DC5" w:rsidRDefault="00783DC5" w:rsidP="003355A2">
      <w:pPr>
        <w:ind w:left="709" w:hanging="709"/>
        <w:jc w:val="both"/>
        <w:rPr>
          <w:rFonts w:ascii="Times New Roman" w:hAnsi="Times New Roman" w:cs="Times New Roman"/>
        </w:rPr>
      </w:pPr>
      <w:r>
        <w:rPr>
          <w:rFonts w:ascii="Times New Roman" w:hAnsi="Times New Roman" w:cs="Times New Roman"/>
        </w:rPr>
        <w:t xml:space="preserve">FIRA (2013). </w:t>
      </w:r>
      <w:r>
        <w:rPr>
          <w:rFonts w:ascii="Times New Roman" w:hAnsi="Times New Roman" w:cs="Times New Roman"/>
          <w:i/>
        </w:rPr>
        <w:t>Diseño de un Programa Integral para Financiar Proyectos de Eficiencia Energética y Uso Racional del Agua en el Campo en México,</w:t>
      </w:r>
      <w:r>
        <w:rPr>
          <w:rFonts w:ascii="Times New Roman" w:hAnsi="Times New Roman" w:cs="Times New Roman"/>
        </w:rPr>
        <w:t xml:space="preserve"> Basel, Suiza, BASE.</w:t>
      </w:r>
    </w:p>
    <w:p w:rsidR="003A5709" w:rsidRDefault="003A5709" w:rsidP="003355A2">
      <w:pPr>
        <w:ind w:left="709" w:hanging="709"/>
        <w:jc w:val="both"/>
        <w:rPr>
          <w:rFonts w:ascii="Times New Roman" w:hAnsi="Times New Roman" w:cs="Times New Roman"/>
          <w:lang w:val="es-ES_tradnl"/>
        </w:rPr>
      </w:pPr>
      <w:r w:rsidRPr="003A5709">
        <w:rPr>
          <w:rFonts w:ascii="Times New Roman" w:hAnsi="Times New Roman" w:cs="Times New Roman"/>
          <w:lang w:val="es-ES_tradnl"/>
        </w:rPr>
        <w:t xml:space="preserve">IFC (2012). </w:t>
      </w:r>
      <w:r w:rsidRPr="003A5709">
        <w:rPr>
          <w:rFonts w:ascii="Times New Roman" w:hAnsi="Times New Roman" w:cs="Times New Roman"/>
          <w:i/>
          <w:lang w:val="es-ES_tradnl"/>
        </w:rPr>
        <w:t>Estudio de Mercado del Financiamiento de Energías Sostenibles en México, Reporte Final</w:t>
      </w:r>
      <w:r w:rsidRPr="003A5709">
        <w:rPr>
          <w:rFonts w:ascii="Times New Roman" w:hAnsi="Times New Roman" w:cs="Times New Roman"/>
          <w:lang w:val="es-ES_tradnl"/>
        </w:rPr>
        <w:t>, IFC, México.</w:t>
      </w:r>
    </w:p>
    <w:p w:rsidR="000F50C1" w:rsidRPr="000F50C1" w:rsidRDefault="000F50C1" w:rsidP="003355A2">
      <w:pPr>
        <w:ind w:left="709" w:hanging="709"/>
        <w:jc w:val="both"/>
        <w:rPr>
          <w:rFonts w:ascii="Times New Roman" w:hAnsi="Times New Roman" w:cs="Times New Roman"/>
          <w:lang w:val="es-ES_tradnl"/>
        </w:rPr>
      </w:pPr>
      <w:r>
        <w:rPr>
          <w:rFonts w:ascii="Times New Roman" w:hAnsi="Times New Roman" w:cs="Times New Roman"/>
          <w:lang w:val="es-ES_tradnl"/>
        </w:rPr>
        <w:t xml:space="preserve">SAGARPA-FIRCO-IMTA (2010). </w:t>
      </w:r>
      <w:r>
        <w:rPr>
          <w:rFonts w:ascii="Times New Roman" w:hAnsi="Times New Roman" w:cs="Times New Roman"/>
          <w:i/>
          <w:lang w:val="es-ES_tradnl"/>
        </w:rPr>
        <w:t>Seguimiento y Evaluación del Proyecto Estratégico de Tecnificación del Riego</w:t>
      </w:r>
      <w:r>
        <w:rPr>
          <w:rFonts w:ascii="Times New Roman" w:hAnsi="Times New Roman" w:cs="Times New Roman"/>
          <w:lang w:val="es-ES_tradnl"/>
        </w:rPr>
        <w:t>, SAGARPA-FIRCO-IMTA, México.</w:t>
      </w:r>
    </w:p>
    <w:p w:rsidR="005A284E" w:rsidRDefault="005A284E" w:rsidP="003355A2">
      <w:pPr>
        <w:ind w:left="709" w:hanging="709"/>
        <w:jc w:val="both"/>
        <w:rPr>
          <w:rFonts w:ascii="Times New Roman" w:hAnsi="Times New Roman" w:cs="Times New Roman"/>
          <w:lang w:val="es-ES_tradnl"/>
        </w:rPr>
      </w:pPr>
      <w:r w:rsidRPr="005A284E">
        <w:rPr>
          <w:rFonts w:ascii="Times New Roman" w:hAnsi="Times New Roman" w:cs="Times New Roman"/>
          <w:lang w:val="es-ES_tradnl"/>
        </w:rPr>
        <w:t>SENER (2011)</w:t>
      </w:r>
      <w:r w:rsidR="000F50C1">
        <w:rPr>
          <w:rFonts w:ascii="Times New Roman" w:hAnsi="Times New Roman" w:cs="Times New Roman"/>
          <w:lang w:val="es-ES_tradnl"/>
        </w:rPr>
        <w:t>.</w:t>
      </w:r>
      <w:r w:rsidRPr="005A284E">
        <w:rPr>
          <w:rFonts w:ascii="Times New Roman" w:hAnsi="Times New Roman" w:cs="Times New Roman"/>
          <w:lang w:val="es-ES_tradnl"/>
        </w:rPr>
        <w:t xml:space="preserve"> </w:t>
      </w:r>
      <w:r w:rsidRPr="005A284E">
        <w:rPr>
          <w:rFonts w:ascii="Times New Roman" w:hAnsi="Times New Roman" w:cs="Times New Roman"/>
          <w:i/>
          <w:lang w:val="es-ES_tradnl"/>
        </w:rPr>
        <w:t>Balance Nacional de Energía</w:t>
      </w:r>
      <w:r w:rsidRPr="005A284E">
        <w:rPr>
          <w:rFonts w:ascii="Times New Roman" w:hAnsi="Times New Roman" w:cs="Times New Roman"/>
          <w:lang w:val="es-ES_tradnl"/>
        </w:rPr>
        <w:t>, SENER, México</w:t>
      </w:r>
      <w:r>
        <w:rPr>
          <w:rFonts w:ascii="Times New Roman" w:hAnsi="Times New Roman" w:cs="Times New Roman"/>
          <w:lang w:val="es-ES_tradnl"/>
        </w:rPr>
        <w:t>.</w:t>
      </w:r>
    </w:p>
    <w:p w:rsidR="000F50C1" w:rsidRPr="000F50C1" w:rsidRDefault="000F50C1" w:rsidP="003355A2">
      <w:pPr>
        <w:ind w:left="709" w:hanging="709"/>
        <w:jc w:val="both"/>
        <w:rPr>
          <w:rFonts w:ascii="Times New Roman" w:hAnsi="Times New Roman" w:cs="Times New Roman"/>
          <w:lang w:val="es-ES_tradnl"/>
        </w:rPr>
      </w:pPr>
      <w:r>
        <w:rPr>
          <w:rFonts w:ascii="Times New Roman" w:hAnsi="Times New Roman" w:cs="Times New Roman"/>
          <w:lang w:val="es-ES_tradnl"/>
        </w:rPr>
        <w:t xml:space="preserve">SENER (2012). </w:t>
      </w:r>
      <w:r>
        <w:rPr>
          <w:rFonts w:ascii="Times New Roman" w:hAnsi="Times New Roman" w:cs="Times New Roman"/>
          <w:i/>
          <w:lang w:val="es-ES_tradnl"/>
        </w:rPr>
        <w:t>Estrategia Nacional para la Transición Energética y el Aprovechamiento Sustentable de la Energía</w:t>
      </w:r>
      <w:r>
        <w:rPr>
          <w:rFonts w:ascii="Times New Roman" w:hAnsi="Times New Roman" w:cs="Times New Roman"/>
          <w:lang w:val="es-ES_tradnl"/>
        </w:rPr>
        <w:t>, SENER, México.</w:t>
      </w:r>
    </w:p>
    <w:p w:rsidR="005A284E" w:rsidRPr="0044456E" w:rsidRDefault="005A284E" w:rsidP="003355A2">
      <w:pPr>
        <w:ind w:left="709" w:hanging="709"/>
        <w:jc w:val="both"/>
        <w:rPr>
          <w:rFonts w:ascii="Times New Roman" w:hAnsi="Times New Roman" w:cs="Times New Roman"/>
          <w:lang w:val="en-US"/>
        </w:rPr>
      </w:pPr>
      <w:r w:rsidRPr="005A284E">
        <w:rPr>
          <w:rFonts w:ascii="Times New Roman" w:hAnsi="Times New Roman" w:cs="Times New Roman"/>
          <w:lang w:val="es-ES_tradnl"/>
        </w:rPr>
        <w:t xml:space="preserve">UNAM-CONAGUA (2010). </w:t>
      </w:r>
      <w:r w:rsidRPr="005A284E">
        <w:rPr>
          <w:rFonts w:ascii="Times New Roman" w:hAnsi="Times New Roman" w:cs="Times New Roman"/>
          <w:i/>
          <w:lang w:val="es-ES_tradnl"/>
        </w:rPr>
        <w:t xml:space="preserve">El Agua en México: cauces y encauces. </w:t>
      </w:r>
      <w:r w:rsidRPr="0044456E">
        <w:rPr>
          <w:rFonts w:ascii="Times New Roman" w:hAnsi="Times New Roman" w:cs="Times New Roman"/>
          <w:lang w:val="en-US"/>
        </w:rPr>
        <w:t>UNAM-CONAGUA, México.</w:t>
      </w:r>
    </w:p>
    <w:p w:rsidR="00ED3C5A" w:rsidRPr="00ED3C5A" w:rsidRDefault="00ED3C5A" w:rsidP="003355A2">
      <w:pPr>
        <w:ind w:left="709" w:hanging="709"/>
        <w:jc w:val="both"/>
        <w:rPr>
          <w:rFonts w:ascii="Times New Roman" w:hAnsi="Times New Roman" w:cs="Times New Roman"/>
          <w:lang w:val="en-US"/>
        </w:rPr>
      </w:pPr>
      <w:r w:rsidRPr="00ED3C5A">
        <w:rPr>
          <w:rFonts w:ascii="Times New Roman" w:hAnsi="Times New Roman" w:cs="Times New Roman"/>
          <w:lang w:val="en-US"/>
        </w:rPr>
        <w:t xml:space="preserve">Wooldridge, J.M. (2010). </w:t>
      </w:r>
      <w:r w:rsidRPr="00ED3C5A">
        <w:rPr>
          <w:rFonts w:ascii="Times New Roman" w:hAnsi="Times New Roman" w:cs="Times New Roman"/>
          <w:i/>
          <w:lang w:val="en-US"/>
        </w:rPr>
        <w:t xml:space="preserve">Econometric Analysis of </w:t>
      </w:r>
      <w:r>
        <w:rPr>
          <w:rFonts w:ascii="Times New Roman" w:hAnsi="Times New Roman" w:cs="Times New Roman"/>
          <w:i/>
          <w:lang w:val="en-US"/>
        </w:rPr>
        <w:t>Cross Section and Panel Data</w:t>
      </w:r>
      <w:r>
        <w:rPr>
          <w:rFonts w:ascii="Times New Roman" w:hAnsi="Times New Roman" w:cs="Times New Roman"/>
          <w:lang w:val="en-US"/>
        </w:rPr>
        <w:t>, The MIT Press, Michigan, EUA.</w:t>
      </w:r>
    </w:p>
    <w:sectPr w:rsidR="00ED3C5A" w:rsidRPr="00ED3C5A" w:rsidSect="00527B52">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D27" w:rsidRDefault="002F3D27" w:rsidP="007C57F1">
      <w:pPr>
        <w:spacing w:after="0" w:line="240" w:lineRule="auto"/>
      </w:pPr>
      <w:r>
        <w:separator/>
      </w:r>
    </w:p>
  </w:endnote>
  <w:endnote w:type="continuationSeparator" w:id="0">
    <w:p w:rsidR="002F3D27" w:rsidRDefault="002F3D27" w:rsidP="007C5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D27" w:rsidRDefault="002F3D27" w:rsidP="007C57F1">
      <w:pPr>
        <w:spacing w:after="0" w:line="240" w:lineRule="auto"/>
      </w:pPr>
      <w:r>
        <w:separator/>
      </w:r>
    </w:p>
  </w:footnote>
  <w:footnote w:type="continuationSeparator" w:id="0">
    <w:p w:rsidR="002F3D27" w:rsidRDefault="002F3D27" w:rsidP="007C57F1">
      <w:pPr>
        <w:spacing w:after="0" w:line="240" w:lineRule="auto"/>
      </w:pPr>
      <w:r>
        <w:continuationSeparator/>
      </w:r>
    </w:p>
  </w:footnote>
  <w:footnote w:id="1">
    <w:p w:rsidR="002F3D27" w:rsidRPr="00CD74DE" w:rsidRDefault="002F3D27" w:rsidP="00CD74DE">
      <w:pPr>
        <w:pStyle w:val="FootnoteText"/>
        <w:ind w:left="180" w:hanging="180"/>
        <w:rPr>
          <w:sz w:val="18"/>
          <w:szCs w:val="18"/>
          <w:lang w:val="es-ES_tradnl"/>
        </w:rPr>
      </w:pPr>
      <w:r>
        <w:rPr>
          <w:rStyle w:val="FootnoteReference"/>
        </w:rPr>
        <w:footnoteRef/>
      </w:r>
      <w:r w:rsidRPr="00DE5510">
        <w:rPr>
          <w:lang w:val="es-ES_tradnl"/>
        </w:rPr>
        <w:t xml:space="preserve"> </w:t>
      </w:r>
      <w:r w:rsidRPr="00CD74DE">
        <w:rPr>
          <w:sz w:val="18"/>
          <w:szCs w:val="18"/>
          <w:lang w:val="es-ES_tradnl"/>
        </w:rPr>
        <w:t xml:space="preserve">Para el caso de proyectos de inversión en Cogeneración se permitirá el financiamiento con recursos del Banco </w:t>
      </w:r>
      <w:r>
        <w:rPr>
          <w:sz w:val="18"/>
          <w:szCs w:val="18"/>
          <w:lang w:val="es-ES_tradnl"/>
        </w:rPr>
        <w:t xml:space="preserve">de proyectos por </w:t>
      </w:r>
      <w:r w:rsidRPr="00CD74DE">
        <w:rPr>
          <w:sz w:val="18"/>
          <w:szCs w:val="18"/>
          <w:lang w:val="es-ES_tradnl"/>
        </w:rPr>
        <w:t>hasta US $1.000.000.</w:t>
      </w:r>
    </w:p>
  </w:footnote>
  <w:footnote w:id="2">
    <w:p w:rsidR="002F3D27" w:rsidRPr="00831B90" w:rsidRDefault="002F3D27" w:rsidP="002A16EF">
      <w:pPr>
        <w:pStyle w:val="FootnoteText"/>
        <w:ind w:left="180" w:hanging="180"/>
        <w:rPr>
          <w:lang w:val="es-ES_tradnl"/>
        </w:rPr>
      </w:pPr>
      <w:r w:rsidRPr="00831B90">
        <w:rPr>
          <w:rStyle w:val="FootnoteReference"/>
        </w:rPr>
        <w:footnoteRef/>
      </w:r>
      <w:r w:rsidRPr="00831B90">
        <w:rPr>
          <w:lang w:val="es-ES_tradnl"/>
        </w:rPr>
        <w:t xml:space="preserve"> </w:t>
      </w:r>
      <w:r w:rsidRPr="00831B90">
        <w:rPr>
          <w:lang w:val="es-ES_tradnl"/>
        </w:rPr>
        <w:tab/>
        <w:t>Las empresas beneficiarias del programa recibirán también apoyos de asistencia técnica complementarios brindados a través de proveedores de servicios de energía y de tecnología de EE, con el apoyo de la TC ME-T1266, para estructurar sus proyectos de inversión en EE. Ver párrafo 1.39 del POD.</w:t>
      </w:r>
    </w:p>
  </w:footnote>
  <w:footnote w:id="3">
    <w:p w:rsidR="002F3D27" w:rsidRPr="00831B90" w:rsidRDefault="002F3D27" w:rsidP="002A16EF">
      <w:pPr>
        <w:pStyle w:val="FootnoteText"/>
        <w:ind w:left="180" w:hanging="180"/>
        <w:rPr>
          <w:lang w:val="es-ES_tradnl"/>
        </w:rPr>
      </w:pPr>
      <w:r w:rsidRPr="00831B90">
        <w:rPr>
          <w:rStyle w:val="FootnoteReference"/>
        </w:rPr>
        <w:footnoteRef/>
      </w:r>
      <w:r w:rsidRPr="00831B90">
        <w:rPr>
          <w:lang w:val="es-ES_tradnl"/>
        </w:rPr>
        <w:t xml:space="preserve"> </w:t>
      </w:r>
      <w:r w:rsidRPr="00831B90">
        <w:rPr>
          <w:lang w:val="es-ES_tradnl"/>
        </w:rPr>
        <w:tab/>
        <w:t>Los emprendimientos beneficiarios del programa recibirán también apoyos de asistencia técnica complementarios brindados a través del Programa de Tecnificación de Riegos de FIRA para estructurar sus proyectos de inversión en UEA. Ver párrafo 1.38 del POD.</w:t>
      </w:r>
    </w:p>
  </w:footnote>
  <w:footnote w:id="4">
    <w:p w:rsidR="002F3D27" w:rsidRPr="008D5B28" w:rsidRDefault="002F3D27" w:rsidP="008D5B28">
      <w:pPr>
        <w:spacing w:after="0"/>
        <w:jc w:val="both"/>
        <w:rPr>
          <w:rFonts w:ascii="Times New Roman" w:eastAsia="Times New Roman" w:hAnsi="Times New Roman" w:cs="Times New Roman"/>
          <w:sz w:val="18"/>
          <w:szCs w:val="18"/>
          <w:lang w:val="es-ES_tradnl" w:eastAsia="es-ES"/>
        </w:rPr>
      </w:pPr>
      <w:r w:rsidRPr="008D5B28">
        <w:rPr>
          <w:rStyle w:val="FootnoteReference"/>
          <w:rFonts w:ascii="Times New Roman" w:hAnsi="Times New Roman" w:cs="Times New Roman"/>
          <w:sz w:val="18"/>
          <w:szCs w:val="18"/>
        </w:rPr>
        <w:footnoteRef/>
      </w:r>
      <w:r w:rsidRPr="008D5B28">
        <w:rPr>
          <w:rFonts w:ascii="Times New Roman" w:hAnsi="Times New Roman" w:cs="Times New Roman"/>
          <w:sz w:val="18"/>
          <w:szCs w:val="18"/>
          <w:lang w:val="es-AR"/>
        </w:rPr>
        <w:t xml:space="preserve"> </w:t>
      </w:r>
      <w:r w:rsidRPr="008D5B28">
        <w:rPr>
          <w:rFonts w:ascii="Times New Roman" w:hAnsi="Times New Roman" w:cs="Times New Roman"/>
          <w:sz w:val="18"/>
          <w:szCs w:val="18"/>
          <w:lang w:val="es-ES_tradnl"/>
        </w:rPr>
        <w:t xml:space="preserve">Juan Manuel Ángeles, Especialista en Hidráulica del IMTA </w:t>
      </w:r>
      <w:r w:rsidRPr="008D5B28">
        <w:rPr>
          <w:rFonts w:ascii="Times New Roman" w:eastAsia="Times New Roman" w:hAnsi="Times New Roman" w:cs="Times New Roman"/>
          <w:color w:val="555555"/>
          <w:sz w:val="18"/>
          <w:szCs w:val="18"/>
          <w:shd w:val="clear" w:color="auto" w:fill="FFFFFF"/>
          <w:lang w:val="es-ES_tradnl" w:eastAsia="es-ES"/>
        </w:rPr>
        <w:t>jangeles@tlaloc.imta.mx</w:t>
      </w:r>
    </w:p>
  </w:footnote>
  <w:footnote w:id="5">
    <w:p w:rsidR="002F3D27" w:rsidRPr="00D33926" w:rsidRDefault="002F3D27" w:rsidP="008D5B28">
      <w:pPr>
        <w:pStyle w:val="FootnoteText"/>
        <w:spacing w:after="0"/>
        <w:ind w:left="90" w:hanging="90"/>
        <w:rPr>
          <w:lang w:val="es-ES_tradnl"/>
        </w:rPr>
      </w:pPr>
      <w:r w:rsidRPr="008D5B28">
        <w:rPr>
          <w:rStyle w:val="FootnoteReference"/>
          <w:sz w:val="18"/>
          <w:szCs w:val="18"/>
        </w:rPr>
        <w:footnoteRef/>
      </w:r>
      <w:r w:rsidRPr="008D5B28">
        <w:rPr>
          <w:sz w:val="18"/>
          <w:szCs w:val="18"/>
        </w:rPr>
        <w:t xml:space="preserve"> </w:t>
      </w:r>
      <w:r w:rsidRPr="008D5B28">
        <w:rPr>
          <w:sz w:val="18"/>
          <w:szCs w:val="18"/>
          <w:lang w:val="es-ES_tradnl"/>
        </w:rPr>
        <w:t>En SAGARPA-FIRCO-IMTA (2010) se reporta un consumo de 1,034 millones de metros cúbicos (Mm</w:t>
      </w:r>
      <w:r w:rsidRPr="008D5B28">
        <w:rPr>
          <w:sz w:val="18"/>
          <w:szCs w:val="18"/>
          <w:vertAlign w:val="superscript"/>
          <w:lang w:val="es-ES_tradnl"/>
        </w:rPr>
        <w:t>3</w:t>
      </w:r>
      <w:r w:rsidRPr="008D5B28">
        <w:rPr>
          <w:sz w:val="18"/>
          <w:szCs w:val="18"/>
          <w:lang w:val="es-ES_tradnl"/>
        </w:rPr>
        <w:t>) en el escenario sin tecnificar, de 837 Mm</w:t>
      </w:r>
      <w:r w:rsidRPr="008D5B28">
        <w:rPr>
          <w:sz w:val="18"/>
          <w:szCs w:val="18"/>
          <w:vertAlign w:val="superscript"/>
          <w:lang w:val="es-ES_tradnl"/>
        </w:rPr>
        <w:t>3</w:t>
      </w:r>
      <w:r w:rsidRPr="008D5B28">
        <w:rPr>
          <w:sz w:val="18"/>
          <w:szCs w:val="18"/>
          <w:lang w:val="es-ES_tradnl"/>
        </w:rPr>
        <w:t xml:space="preserve"> con tecnificación y de 703 Mm</w:t>
      </w:r>
      <w:r w:rsidRPr="008D5B28">
        <w:rPr>
          <w:sz w:val="18"/>
          <w:szCs w:val="18"/>
          <w:vertAlign w:val="superscript"/>
          <w:lang w:val="es-ES_tradnl"/>
        </w:rPr>
        <w:t>3</w:t>
      </w:r>
      <w:r w:rsidRPr="008D5B28">
        <w:rPr>
          <w:sz w:val="18"/>
          <w:szCs w:val="18"/>
          <w:lang w:val="es-ES_tradnl"/>
        </w:rPr>
        <w:t xml:space="preserve"> en el caso en que se realicen labores de capacitación. Los porcentajes referidos se obtuvieron con base en estas cifras.</w:t>
      </w:r>
    </w:p>
  </w:footnote>
  <w:footnote w:id="6">
    <w:p w:rsidR="002F3D27" w:rsidRPr="0003205A" w:rsidRDefault="002F3D27" w:rsidP="007502FA">
      <w:pPr>
        <w:pStyle w:val="FootnoteText"/>
        <w:spacing w:after="0"/>
        <w:ind w:left="86" w:hanging="86"/>
      </w:pPr>
      <w:r>
        <w:rPr>
          <w:rStyle w:val="FootnoteReference"/>
        </w:rPr>
        <w:footnoteRef/>
      </w:r>
      <w:r>
        <w:t xml:space="preserve"> </w:t>
      </w:r>
      <w:r w:rsidRPr="0003205A">
        <w:t xml:space="preserve">Este indicador no tiene la misma naturaleza que </w:t>
      </w:r>
      <w:r>
        <w:t>el anterior</w:t>
      </w:r>
      <w:r w:rsidRPr="0003205A">
        <w:t xml:space="preserve"> ya que mide reducciones en emisiones de CO2 de las empresas beneficiarias a los efectos de cumplir con requerimientos del </w:t>
      </w:r>
      <w:r w:rsidRPr="0003205A">
        <w:rPr>
          <w:i/>
        </w:rPr>
        <w:t>Clean Technology Fund</w:t>
      </w:r>
    </w:p>
  </w:footnote>
  <w:footnote w:id="7">
    <w:p w:rsidR="002F3D27" w:rsidRPr="007502FA" w:rsidRDefault="002F3D27" w:rsidP="007502FA">
      <w:pPr>
        <w:pStyle w:val="FootnoteText"/>
        <w:spacing w:after="0"/>
        <w:ind w:left="86" w:hanging="86"/>
        <w:rPr>
          <w:lang w:val="es-ES_tradnl"/>
        </w:rPr>
      </w:pPr>
      <w:r w:rsidRPr="00306388">
        <w:rPr>
          <w:rStyle w:val="FootnoteReference"/>
          <w:sz w:val="18"/>
        </w:rPr>
        <w:footnoteRef/>
      </w:r>
      <w:r w:rsidRPr="0003205A">
        <w:rPr>
          <w:sz w:val="18"/>
          <w:lang w:val="es-ES_tradnl"/>
        </w:rPr>
        <w:t xml:space="preserve"> </w:t>
      </w:r>
      <w:r w:rsidRPr="007502FA">
        <w:rPr>
          <w:lang w:val="es-ES_tradnl"/>
        </w:rPr>
        <w:t xml:space="preserve">El consultor contratado para apoyar la ejecución del programa se asegurará que esta información se recabe y almacene en el sistema de información del programa en FIRA. </w:t>
      </w:r>
    </w:p>
  </w:footnote>
  <w:footnote w:id="8">
    <w:p w:rsidR="002F3D27" w:rsidRPr="008D5B28" w:rsidRDefault="002F3D27" w:rsidP="008D5B28">
      <w:pPr>
        <w:pStyle w:val="FootnoteText"/>
        <w:spacing w:after="0"/>
        <w:ind w:left="90" w:hanging="90"/>
        <w:rPr>
          <w:sz w:val="18"/>
          <w:lang w:val="es-AR"/>
        </w:rPr>
      </w:pPr>
      <w:r w:rsidRPr="008D5B28">
        <w:rPr>
          <w:rStyle w:val="FootnoteReference"/>
          <w:sz w:val="18"/>
        </w:rPr>
        <w:footnoteRef/>
      </w:r>
      <w:r w:rsidRPr="008D5B28">
        <w:rPr>
          <w:sz w:val="18"/>
          <w:lang w:val="es-AR"/>
        </w:rPr>
        <w:t xml:space="preserve"> El supuesto de independencia condicional implica que la distribución de observaciones entre grupos de control y tratamiento es estadísticamente independiente (u ortogonal) a características observables. El supuesto de soporte común requiere que exista suficiente superposición de características observables en el grupo de control y grupo de tratamiento para encontrar observaciones similares.</w:t>
      </w:r>
    </w:p>
  </w:footnote>
  <w:footnote w:id="9">
    <w:p w:rsidR="002F3D27" w:rsidRPr="0000089A" w:rsidRDefault="002F3D27" w:rsidP="00E135CD">
      <w:pPr>
        <w:pStyle w:val="FootnoteText"/>
        <w:spacing w:after="0"/>
        <w:ind w:left="90" w:hanging="90"/>
        <w:rPr>
          <w:lang w:val="es-AR"/>
        </w:rPr>
      </w:pPr>
      <w:r w:rsidRPr="008D5B28">
        <w:rPr>
          <w:rStyle w:val="FootnoteReference"/>
          <w:sz w:val="18"/>
        </w:rPr>
        <w:footnoteRef/>
      </w:r>
      <w:r>
        <w:rPr>
          <w:sz w:val="18"/>
          <w:lang w:val="es-AR"/>
        </w:rPr>
        <w:t xml:space="preserve"> </w:t>
      </w:r>
      <w:r w:rsidRPr="008D5B28">
        <w:rPr>
          <w:sz w:val="18"/>
          <w:lang w:val="es-AR"/>
        </w:rPr>
        <w:t>Existen criterios de apareamiento alternativos. En general el “criterio de vecino más cercano” produce buenos resultados desde el punto de vista estadístico. Otro métodos factibles son “radius matching” y métodos de “kernel” que asignan ponderaciones variables.</w:t>
      </w:r>
    </w:p>
  </w:footnote>
  <w:footnote w:id="10">
    <w:p w:rsidR="002F3D27" w:rsidRPr="007208F4" w:rsidRDefault="002F3D27" w:rsidP="0003205A">
      <w:pPr>
        <w:pStyle w:val="FootnoteText"/>
        <w:ind w:left="90" w:hanging="90"/>
      </w:pPr>
      <w:r>
        <w:rPr>
          <w:rStyle w:val="FootnoteReference"/>
        </w:rPr>
        <w:footnoteRef/>
      </w:r>
      <w:r>
        <w:t xml:space="preserve"> Nuevamente se aclara que la inclusión de datos del censo 2009 se realiza para poder realizar una argumentación respecto de las tendencias entre los grupos que se definan. Adicionalmente, la información del censo 2014 recopila información correspondiente a 2013 que se considera aceptablemente cercana al inicio del programa para mantener la validez como fuente de información para la línea de base.</w:t>
      </w:r>
    </w:p>
  </w:footnote>
  <w:footnote w:id="11">
    <w:p w:rsidR="002F3D27" w:rsidRPr="0090558B" w:rsidRDefault="002F3D27">
      <w:pPr>
        <w:pStyle w:val="FootnoteText"/>
        <w:rPr>
          <w:lang w:val="es-ES_tradnl"/>
        </w:rPr>
      </w:pPr>
      <w:r>
        <w:rPr>
          <w:rStyle w:val="FootnoteReference"/>
        </w:rPr>
        <w:footnoteRef/>
      </w:r>
      <w:r>
        <w:t xml:space="preserve"> Para llegar a este valor, se aproximaron los valores eliminando de la muestra</w:t>
      </w:r>
      <w:r w:rsidR="00325905">
        <w:t xml:space="preserve"> las observaciones por debajo del percentil 25 para tomar una dimensión de lo que serían las características con autoselección. Con los valores resultantes se encontraron los tamaños de muestra referidos usando el comando sampsi de Stata: </w:t>
      </w:r>
      <w:r w:rsidR="00325905" w:rsidRPr="00325905">
        <w:t>0.238373   0.1801, sd1(0.178074) sd2(0.195674) alpha(0.05) n1(315) n2(103)  onesided</w:t>
      </w:r>
      <w:r w:rsidR="00325905">
        <w:t>.</w:t>
      </w:r>
    </w:p>
  </w:footnote>
  <w:footnote w:id="12">
    <w:p w:rsidR="002F3D27" w:rsidRPr="00CE5D32" w:rsidRDefault="002F3D27" w:rsidP="007502FA">
      <w:pPr>
        <w:pStyle w:val="FootnoteText"/>
        <w:spacing w:after="0"/>
        <w:ind w:left="180" w:hanging="180"/>
      </w:pPr>
      <w:r>
        <w:rPr>
          <w:rStyle w:val="FootnoteReference"/>
        </w:rPr>
        <w:footnoteRef/>
      </w:r>
      <w:r>
        <w:t xml:space="preserve"> En base a información de </w:t>
      </w:r>
      <w:r w:rsidRPr="00CE5D32">
        <w:t>SAGARPA-FIRCO-IMTA (2010),</w:t>
      </w:r>
      <w:r>
        <w:t xml:space="preserve"> se computó el tamaño de muestra suponiendo alpha =   0.0500  (a una cola por ser el efecto esperado una reducción), p(0.8), m1(24.775), m2(28.98), y sd1=sd2=13.3329 (supuesto de igualdad por falta de información más detallada). Se incrementó el número resultante en 10% para dar cuenta de problemas de implementación llevando entonces el tamaño a 128 resultando en los números descriptos en el párrafo.</w:t>
      </w:r>
    </w:p>
  </w:footnote>
  <w:footnote w:id="13">
    <w:p w:rsidR="002F3D27" w:rsidRPr="00875EAD" w:rsidRDefault="002F3D27" w:rsidP="007502FA">
      <w:pPr>
        <w:pStyle w:val="FootnoteText"/>
        <w:spacing w:after="0"/>
        <w:ind w:left="180" w:hanging="180"/>
      </w:pPr>
      <w:r>
        <w:rPr>
          <w:rStyle w:val="FootnoteReference"/>
        </w:rPr>
        <w:footnoteRef/>
      </w:r>
      <w:r>
        <w:t xml:space="preserve"> Dada la naturaleza de los prestatarios, es posible recuperar esta información en forma ex post (necesariamente han de contar con registros contables-administrativos que permitan verificar dichas cantidades). Cabe aclarar que no se está buscando establecer como línea de base la situación inicial luego de recibir el préstamo.</w:t>
      </w:r>
    </w:p>
  </w:footnote>
  <w:footnote w:id="14">
    <w:p w:rsidR="002F3D27" w:rsidRPr="00FF1649" w:rsidRDefault="002F3D27" w:rsidP="007502FA">
      <w:pPr>
        <w:pStyle w:val="FootnoteText"/>
        <w:spacing w:after="0"/>
      </w:pPr>
      <w:r>
        <w:rPr>
          <w:rStyle w:val="FootnoteReference"/>
        </w:rPr>
        <w:footnoteRef/>
      </w:r>
      <w:r>
        <w:t xml:space="preserve"> Debe quedar claro que las encuestas serán realizadas en forma privada.</w:t>
      </w:r>
    </w:p>
  </w:footnote>
  <w:footnote w:id="15">
    <w:p w:rsidR="002F3D27" w:rsidRPr="0091557F" w:rsidRDefault="002F3D27" w:rsidP="003B4EFC">
      <w:pPr>
        <w:pStyle w:val="FootnoteText"/>
        <w:spacing w:after="0"/>
        <w:rPr>
          <w:lang w:val="es-ES_tradnl"/>
        </w:rPr>
      </w:pPr>
      <w:r>
        <w:rPr>
          <w:rStyle w:val="FootnoteReference"/>
        </w:rPr>
        <w:footnoteRef/>
      </w:r>
      <w:r w:rsidRPr="006D6954">
        <w:rPr>
          <w:lang w:val="es-AR"/>
        </w:rPr>
        <w:t xml:space="preserve"> http://www.inegi.org.mx/geo/contenidos/geoestadistica/m_geoestadistico.aspx</w:t>
      </w:r>
    </w:p>
  </w:footnote>
  <w:footnote w:id="16">
    <w:p w:rsidR="002F3D27" w:rsidRPr="003352C3" w:rsidRDefault="002F3D27" w:rsidP="003B4EFC">
      <w:pPr>
        <w:pStyle w:val="FootnoteText"/>
        <w:spacing w:after="0"/>
        <w:rPr>
          <w:lang w:val="es-ES_tradnl"/>
        </w:rPr>
      </w:pPr>
      <w:r>
        <w:rPr>
          <w:rStyle w:val="FootnoteReference"/>
        </w:rPr>
        <w:footnoteRef/>
      </w:r>
      <w:r w:rsidRPr="006D6954">
        <w:rPr>
          <w:lang w:val="es-ES_tradnl"/>
        </w:rPr>
        <w:t xml:space="preserve"> http://www.inegi.org.mx/geo/contenidos/urbana/localidadescarto.aspx</w:t>
      </w:r>
    </w:p>
  </w:footnote>
  <w:footnote w:id="17">
    <w:p w:rsidR="002F3D27" w:rsidRPr="0086120C" w:rsidRDefault="002F3D27" w:rsidP="003B4EFC">
      <w:pPr>
        <w:pStyle w:val="FootnoteText"/>
        <w:spacing w:after="0"/>
        <w:rPr>
          <w:lang w:val="es-ES_tradnl"/>
        </w:rPr>
      </w:pPr>
      <w:r>
        <w:rPr>
          <w:rStyle w:val="FootnoteReference"/>
        </w:rPr>
        <w:footnoteRef/>
      </w:r>
      <w:r w:rsidRPr="006D6954">
        <w:rPr>
          <w:lang w:val="es-ES_tradnl"/>
        </w:rPr>
        <w:t xml:space="preserve"> http://www.inegi.org.mx/est/contenidos/espanol/metodologias/censos/CE09_Metodologia.pdf</w:t>
      </w:r>
    </w:p>
  </w:footnote>
  <w:footnote w:id="18">
    <w:p w:rsidR="002F3D27" w:rsidRPr="0086120C" w:rsidRDefault="002F3D27" w:rsidP="003B4EFC">
      <w:pPr>
        <w:pStyle w:val="FootnoteText"/>
        <w:spacing w:after="0"/>
        <w:rPr>
          <w:lang w:val="es-ES_tradnl"/>
        </w:rPr>
      </w:pPr>
      <w:r>
        <w:rPr>
          <w:rStyle w:val="FootnoteReference"/>
        </w:rPr>
        <w:footnoteRef/>
      </w:r>
      <w:r w:rsidRPr="006D6954">
        <w:rPr>
          <w:lang w:val="es-ES_tradnl"/>
        </w:rPr>
        <w:t xml:space="preserve"> http://www.inegi.org.mx/geo/contenidos/normastecnicas/dom_geo.aspx</w:t>
      </w:r>
    </w:p>
  </w:footnote>
  <w:footnote w:id="19">
    <w:p w:rsidR="002F3D27" w:rsidRPr="0091557F" w:rsidRDefault="002F3D27" w:rsidP="003B4EFC">
      <w:pPr>
        <w:pStyle w:val="FootnoteText"/>
        <w:spacing w:after="0"/>
        <w:rPr>
          <w:lang w:val="es-ES_tradnl"/>
        </w:rPr>
      </w:pPr>
      <w:r>
        <w:rPr>
          <w:rStyle w:val="FootnoteReference"/>
        </w:rPr>
        <w:footnoteRef/>
      </w:r>
      <w:r w:rsidRPr="006D6954">
        <w:rPr>
          <w:lang w:val="es-ES_tradnl"/>
        </w:rPr>
        <w:t xml:space="preserve"> http://www.inegi.org.mx/geo/contenidos/geoestadistica/m_geoestadistico.aspx</w:t>
      </w:r>
    </w:p>
  </w:footnote>
  <w:footnote w:id="20">
    <w:p w:rsidR="002F3D27" w:rsidRPr="0086120C" w:rsidRDefault="002F3D27" w:rsidP="003B4EFC">
      <w:pPr>
        <w:pStyle w:val="FootnoteText"/>
        <w:spacing w:after="0"/>
        <w:rPr>
          <w:lang w:val="es-ES_tradnl"/>
        </w:rPr>
      </w:pPr>
      <w:r>
        <w:rPr>
          <w:rStyle w:val="FootnoteReference"/>
        </w:rPr>
        <w:footnoteRef/>
      </w:r>
      <w:r w:rsidRPr="006D6954">
        <w:rPr>
          <w:lang w:val="es-ES_tradnl"/>
        </w:rPr>
        <w:t xml:space="preserve"> http://www.inegi.org.mx/geo/contenidos/normastecnicas/dom_geo.aspx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33C8"/>
    <w:multiLevelType w:val="multilevel"/>
    <w:tmpl w:val="01404E5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nsid w:val="0D145B80"/>
    <w:multiLevelType w:val="multilevel"/>
    <w:tmpl w:val="5F34AA04"/>
    <w:lvl w:ilvl="0">
      <w:start w:val="5"/>
      <w:numFmt w:val="low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E32435"/>
    <w:multiLevelType w:val="multilevel"/>
    <w:tmpl w:val="08144E0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14332FA"/>
    <w:multiLevelType w:val="multilevel"/>
    <w:tmpl w:val="8FAE9F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0CF204C"/>
    <w:multiLevelType w:val="multilevel"/>
    <w:tmpl w:val="7882891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32BA45E3"/>
    <w:multiLevelType w:val="multilevel"/>
    <w:tmpl w:val="6414B0C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39F231BF"/>
    <w:multiLevelType w:val="multilevel"/>
    <w:tmpl w:val="2FBEDC0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0496E7B"/>
    <w:multiLevelType w:val="hybridMultilevel"/>
    <w:tmpl w:val="4FAE33AC"/>
    <w:lvl w:ilvl="0" w:tplc="AF1A0B5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19D58E8"/>
    <w:multiLevelType w:val="multilevel"/>
    <w:tmpl w:val="F54AC70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4ECA666E"/>
    <w:multiLevelType w:val="multilevel"/>
    <w:tmpl w:val="80C81FD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FE14200"/>
    <w:multiLevelType w:val="hybridMultilevel"/>
    <w:tmpl w:val="54EC371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540A4747"/>
    <w:multiLevelType w:val="hybridMultilevel"/>
    <w:tmpl w:val="5F34AA04"/>
    <w:lvl w:ilvl="0" w:tplc="195A124A">
      <w:start w:val="5"/>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1D71C21"/>
    <w:multiLevelType w:val="hybridMultilevel"/>
    <w:tmpl w:val="AE9406DC"/>
    <w:lvl w:ilvl="0" w:tplc="080A000F">
      <w:start w:val="1"/>
      <w:numFmt w:val="decimal"/>
      <w:lvlText w:val="%1."/>
      <w:lvlJc w:val="left"/>
      <w:pPr>
        <w:ind w:left="720" w:hanging="72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nsid w:val="720F6E5D"/>
    <w:multiLevelType w:val="hybridMultilevel"/>
    <w:tmpl w:val="AC329B7E"/>
    <w:lvl w:ilvl="0" w:tplc="0BDA0C8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9A9AB210">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2B55C2A"/>
    <w:multiLevelType w:val="multilevel"/>
    <w:tmpl w:val="A910770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74275CD0"/>
    <w:multiLevelType w:val="hybridMultilevel"/>
    <w:tmpl w:val="BAA4B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5A75901"/>
    <w:multiLevelType w:val="multilevel"/>
    <w:tmpl w:val="AE9406DC"/>
    <w:lvl w:ilvl="0">
      <w:start w:val="1"/>
      <w:numFmt w:val="decimal"/>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786E5409"/>
    <w:multiLevelType w:val="hybridMultilevel"/>
    <w:tmpl w:val="5F34AA04"/>
    <w:lvl w:ilvl="0" w:tplc="195A124A">
      <w:start w:val="5"/>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9226BB7"/>
    <w:multiLevelType w:val="hybridMultilevel"/>
    <w:tmpl w:val="2ED89270"/>
    <w:lvl w:ilvl="0" w:tplc="080A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1435C6"/>
    <w:multiLevelType w:val="hybridMultilevel"/>
    <w:tmpl w:val="340063C8"/>
    <w:lvl w:ilvl="0" w:tplc="FA16C71C">
      <w:start w:val="7"/>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A3343B4"/>
    <w:multiLevelType w:val="hybridMultilevel"/>
    <w:tmpl w:val="381E3962"/>
    <w:lvl w:ilvl="0" w:tplc="080A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D50D07"/>
    <w:multiLevelType w:val="hybridMultilevel"/>
    <w:tmpl w:val="78EA2B26"/>
    <w:lvl w:ilvl="0" w:tplc="2F5AD7A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E9617A0"/>
    <w:multiLevelType w:val="hybridMultilevel"/>
    <w:tmpl w:val="11B476DA"/>
    <w:lvl w:ilvl="0" w:tplc="DAC43F12">
      <w:start w:val="6"/>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EDD4B29"/>
    <w:multiLevelType w:val="hybridMultilevel"/>
    <w:tmpl w:val="4C7EE79E"/>
    <w:lvl w:ilvl="0" w:tplc="080A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EA7BA7"/>
    <w:multiLevelType w:val="multilevel"/>
    <w:tmpl w:val="AE9406DC"/>
    <w:lvl w:ilvl="0">
      <w:start w:val="1"/>
      <w:numFmt w:val="decimal"/>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13"/>
  </w:num>
  <w:num w:numId="3">
    <w:abstractNumId w:val="12"/>
  </w:num>
  <w:num w:numId="4">
    <w:abstractNumId w:val="21"/>
  </w:num>
  <w:num w:numId="5">
    <w:abstractNumId w:val="10"/>
  </w:num>
  <w:num w:numId="6">
    <w:abstractNumId w:val="15"/>
  </w:num>
  <w:num w:numId="7">
    <w:abstractNumId w:val="16"/>
  </w:num>
  <w:num w:numId="8">
    <w:abstractNumId w:val="11"/>
  </w:num>
  <w:num w:numId="9">
    <w:abstractNumId w:val="17"/>
  </w:num>
  <w:num w:numId="10">
    <w:abstractNumId w:val="1"/>
  </w:num>
  <w:num w:numId="11">
    <w:abstractNumId w:val="22"/>
  </w:num>
  <w:num w:numId="12">
    <w:abstractNumId w:val="24"/>
  </w:num>
  <w:num w:numId="13">
    <w:abstractNumId w:val="19"/>
  </w:num>
  <w:num w:numId="14">
    <w:abstractNumId w:val="20"/>
  </w:num>
  <w:num w:numId="15">
    <w:abstractNumId w:val="23"/>
  </w:num>
  <w:num w:numId="16">
    <w:abstractNumId w:val="18"/>
  </w:num>
  <w:num w:numId="17">
    <w:abstractNumId w:val="8"/>
  </w:num>
  <w:num w:numId="18">
    <w:abstractNumId w:val="4"/>
  </w:num>
  <w:num w:numId="19">
    <w:abstractNumId w:val="9"/>
  </w:num>
  <w:num w:numId="20">
    <w:abstractNumId w:val="6"/>
  </w:num>
  <w:num w:numId="21">
    <w:abstractNumId w:val="3"/>
  </w:num>
  <w:num w:numId="22">
    <w:abstractNumId w:val="14"/>
  </w:num>
  <w:num w:numId="23">
    <w:abstractNumId w:val="5"/>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7B"/>
    <w:rsid w:val="0000089A"/>
    <w:rsid w:val="000031FD"/>
    <w:rsid w:val="00014430"/>
    <w:rsid w:val="000159BA"/>
    <w:rsid w:val="00030D5B"/>
    <w:rsid w:val="0003205A"/>
    <w:rsid w:val="00047873"/>
    <w:rsid w:val="000515FC"/>
    <w:rsid w:val="00067B00"/>
    <w:rsid w:val="00082B27"/>
    <w:rsid w:val="000C2F7F"/>
    <w:rsid w:val="000D08A1"/>
    <w:rsid w:val="000F50C1"/>
    <w:rsid w:val="00102F6F"/>
    <w:rsid w:val="0010544C"/>
    <w:rsid w:val="00111374"/>
    <w:rsid w:val="0011321E"/>
    <w:rsid w:val="00157AF3"/>
    <w:rsid w:val="001663A6"/>
    <w:rsid w:val="001843F0"/>
    <w:rsid w:val="001875DE"/>
    <w:rsid w:val="001A0FFD"/>
    <w:rsid w:val="001A37B9"/>
    <w:rsid w:val="001A6EF8"/>
    <w:rsid w:val="001B5FEF"/>
    <w:rsid w:val="0020003C"/>
    <w:rsid w:val="00216819"/>
    <w:rsid w:val="002173EF"/>
    <w:rsid w:val="00240EDC"/>
    <w:rsid w:val="002611E7"/>
    <w:rsid w:val="002842A7"/>
    <w:rsid w:val="002A16EF"/>
    <w:rsid w:val="002A383E"/>
    <w:rsid w:val="002A3A54"/>
    <w:rsid w:val="002B1D5B"/>
    <w:rsid w:val="002B2756"/>
    <w:rsid w:val="002B58EC"/>
    <w:rsid w:val="002B768E"/>
    <w:rsid w:val="002C77F1"/>
    <w:rsid w:val="002D332B"/>
    <w:rsid w:val="002D3DAD"/>
    <w:rsid w:val="002F2079"/>
    <w:rsid w:val="002F3D27"/>
    <w:rsid w:val="00300509"/>
    <w:rsid w:val="0030060D"/>
    <w:rsid w:val="003008BF"/>
    <w:rsid w:val="00306388"/>
    <w:rsid w:val="003130B1"/>
    <w:rsid w:val="003220CD"/>
    <w:rsid w:val="00325905"/>
    <w:rsid w:val="003272CD"/>
    <w:rsid w:val="003355A2"/>
    <w:rsid w:val="00336461"/>
    <w:rsid w:val="00353F2A"/>
    <w:rsid w:val="00355A57"/>
    <w:rsid w:val="0036282E"/>
    <w:rsid w:val="00373920"/>
    <w:rsid w:val="0037499F"/>
    <w:rsid w:val="003A5709"/>
    <w:rsid w:val="003A7099"/>
    <w:rsid w:val="003B4EFC"/>
    <w:rsid w:val="003E405F"/>
    <w:rsid w:val="00432220"/>
    <w:rsid w:val="0044456E"/>
    <w:rsid w:val="00444785"/>
    <w:rsid w:val="00451EFD"/>
    <w:rsid w:val="004921AD"/>
    <w:rsid w:val="00493F03"/>
    <w:rsid w:val="00497AEA"/>
    <w:rsid w:val="00505CF5"/>
    <w:rsid w:val="00515080"/>
    <w:rsid w:val="00527B52"/>
    <w:rsid w:val="005439BE"/>
    <w:rsid w:val="00543AD8"/>
    <w:rsid w:val="00574AD8"/>
    <w:rsid w:val="00582E9C"/>
    <w:rsid w:val="005A284E"/>
    <w:rsid w:val="005A5FB2"/>
    <w:rsid w:val="005B563E"/>
    <w:rsid w:val="005B7233"/>
    <w:rsid w:val="005D14BD"/>
    <w:rsid w:val="00603AA8"/>
    <w:rsid w:val="006057AD"/>
    <w:rsid w:val="00605EFE"/>
    <w:rsid w:val="00617FAE"/>
    <w:rsid w:val="00621CDF"/>
    <w:rsid w:val="00624169"/>
    <w:rsid w:val="00630129"/>
    <w:rsid w:val="00632CDD"/>
    <w:rsid w:val="0066470D"/>
    <w:rsid w:val="00665DFD"/>
    <w:rsid w:val="0066652C"/>
    <w:rsid w:val="0069740D"/>
    <w:rsid w:val="006A02D0"/>
    <w:rsid w:val="006C089C"/>
    <w:rsid w:val="006C1BE3"/>
    <w:rsid w:val="006D4833"/>
    <w:rsid w:val="00710F9F"/>
    <w:rsid w:val="00716DA2"/>
    <w:rsid w:val="007208F4"/>
    <w:rsid w:val="00744727"/>
    <w:rsid w:val="007502FA"/>
    <w:rsid w:val="0075086E"/>
    <w:rsid w:val="00762AAF"/>
    <w:rsid w:val="00781AFC"/>
    <w:rsid w:val="00783DC5"/>
    <w:rsid w:val="00787DBC"/>
    <w:rsid w:val="00796B01"/>
    <w:rsid w:val="007B59C5"/>
    <w:rsid w:val="007B6820"/>
    <w:rsid w:val="007C2E62"/>
    <w:rsid w:val="007C57F1"/>
    <w:rsid w:val="007E32AC"/>
    <w:rsid w:val="00846535"/>
    <w:rsid w:val="00857D12"/>
    <w:rsid w:val="00875EAD"/>
    <w:rsid w:val="0088514D"/>
    <w:rsid w:val="00885641"/>
    <w:rsid w:val="00886D40"/>
    <w:rsid w:val="008B695B"/>
    <w:rsid w:val="008C4DFA"/>
    <w:rsid w:val="008C5579"/>
    <w:rsid w:val="008D28BA"/>
    <w:rsid w:val="008D3E7D"/>
    <w:rsid w:val="008D5B28"/>
    <w:rsid w:val="008F307A"/>
    <w:rsid w:val="008F4542"/>
    <w:rsid w:val="0090558B"/>
    <w:rsid w:val="00925B18"/>
    <w:rsid w:val="00942209"/>
    <w:rsid w:val="00946B11"/>
    <w:rsid w:val="00946C3B"/>
    <w:rsid w:val="009543DE"/>
    <w:rsid w:val="00956E5A"/>
    <w:rsid w:val="00962018"/>
    <w:rsid w:val="009A2589"/>
    <w:rsid w:val="009D6A8F"/>
    <w:rsid w:val="009E6C69"/>
    <w:rsid w:val="00A07A5D"/>
    <w:rsid w:val="00A10E9F"/>
    <w:rsid w:val="00A2580B"/>
    <w:rsid w:val="00A30B54"/>
    <w:rsid w:val="00A359CC"/>
    <w:rsid w:val="00A36186"/>
    <w:rsid w:val="00A92240"/>
    <w:rsid w:val="00AB2073"/>
    <w:rsid w:val="00AB3892"/>
    <w:rsid w:val="00AB6B44"/>
    <w:rsid w:val="00AB7485"/>
    <w:rsid w:val="00AD30DD"/>
    <w:rsid w:val="00B06C79"/>
    <w:rsid w:val="00B156C6"/>
    <w:rsid w:val="00B37A30"/>
    <w:rsid w:val="00B44C94"/>
    <w:rsid w:val="00B54877"/>
    <w:rsid w:val="00B61201"/>
    <w:rsid w:val="00B63F87"/>
    <w:rsid w:val="00B63F8C"/>
    <w:rsid w:val="00B9384A"/>
    <w:rsid w:val="00BA170A"/>
    <w:rsid w:val="00BC05C8"/>
    <w:rsid w:val="00BC3DA9"/>
    <w:rsid w:val="00BC439F"/>
    <w:rsid w:val="00BE34EA"/>
    <w:rsid w:val="00BE40A1"/>
    <w:rsid w:val="00BE42CF"/>
    <w:rsid w:val="00C135C7"/>
    <w:rsid w:val="00C17997"/>
    <w:rsid w:val="00C305A9"/>
    <w:rsid w:val="00C337A3"/>
    <w:rsid w:val="00C66E3F"/>
    <w:rsid w:val="00C71FCF"/>
    <w:rsid w:val="00C75E71"/>
    <w:rsid w:val="00C76D6A"/>
    <w:rsid w:val="00C77F34"/>
    <w:rsid w:val="00C9186B"/>
    <w:rsid w:val="00CA66C7"/>
    <w:rsid w:val="00CC0C52"/>
    <w:rsid w:val="00CC1316"/>
    <w:rsid w:val="00CD2849"/>
    <w:rsid w:val="00CD3DBB"/>
    <w:rsid w:val="00CD416D"/>
    <w:rsid w:val="00CD74DE"/>
    <w:rsid w:val="00CE5D32"/>
    <w:rsid w:val="00D14C87"/>
    <w:rsid w:val="00D23E34"/>
    <w:rsid w:val="00D3041F"/>
    <w:rsid w:val="00D319FC"/>
    <w:rsid w:val="00D33926"/>
    <w:rsid w:val="00D36BCF"/>
    <w:rsid w:val="00D45C57"/>
    <w:rsid w:val="00D46652"/>
    <w:rsid w:val="00D658BA"/>
    <w:rsid w:val="00D876E3"/>
    <w:rsid w:val="00DA6601"/>
    <w:rsid w:val="00DB0BDB"/>
    <w:rsid w:val="00DB208F"/>
    <w:rsid w:val="00DC2989"/>
    <w:rsid w:val="00DC4D35"/>
    <w:rsid w:val="00DE63A0"/>
    <w:rsid w:val="00DF3307"/>
    <w:rsid w:val="00DF43E9"/>
    <w:rsid w:val="00DF4444"/>
    <w:rsid w:val="00E1287B"/>
    <w:rsid w:val="00E135CD"/>
    <w:rsid w:val="00E249DC"/>
    <w:rsid w:val="00E31BF7"/>
    <w:rsid w:val="00E34343"/>
    <w:rsid w:val="00E467FC"/>
    <w:rsid w:val="00E56908"/>
    <w:rsid w:val="00E61F1D"/>
    <w:rsid w:val="00E76875"/>
    <w:rsid w:val="00E87241"/>
    <w:rsid w:val="00ED3C5A"/>
    <w:rsid w:val="00EF7D37"/>
    <w:rsid w:val="00F26B87"/>
    <w:rsid w:val="00F518BE"/>
    <w:rsid w:val="00F64279"/>
    <w:rsid w:val="00F870C0"/>
    <w:rsid w:val="00F90A0A"/>
    <w:rsid w:val="00FB5ACB"/>
    <w:rsid w:val="00FE6B44"/>
    <w:rsid w:val="00FF06D5"/>
    <w:rsid w:val="00FF1649"/>
    <w:rsid w:val="00FF5266"/>
    <w:rsid w:val="00FF5665"/>
    <w:rsid w:val="00FF70F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3A6"/>
  </w:style>
  <w:style w:type="paragraph" w:styleId="Heading2">
    <w:name w:val="heading 2"/>
    <w:basedOn w:val="Normal"/>
    <w:next w:val="Normal"/>
    <w:link w:val="Heading2Char"/>
    <w:uiPriority w:val="9"/>
    <w:semiHidden/>
    <w:unhideWhenUsed/>
    <w:qFormat/>
    <w:rsid w:val="00744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4472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4472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44727"/>
    <w:pPr>
      <w:keepNext/>
      <w:keepLines/>
      <w:numPr>
        <w:ilvl w:val="4"/>
        <w:numId w:val="2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44727"/>
    <w:pPr>
      <w:keepNext/>
      <w:keepLines/>
      <w:numPr>
        <w:ilvl w:val="5"/>
        <w:numId w:val="2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44727"/>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44727"/>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44727"/>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87B"/>
    <w:pPr>
      <w:ind w:left="720"/>
      <w:contextualSpacing/>
    </w:pPr>
  </w:style>
  <w:style w:type="table" w:styleId="TableGrid">
    <w:name w:val="Table Grid"/>
    <w:basedOn w:val="TableNormal"/>
    <w:uiPriority w:val="59"/>
    <w:rsid w:val="00E12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C57F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rsid w:val="007C57F1"/>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7C57F1"/>
    <w:rPr>
      <w:vertAlign w:val="superscript"/>
    </w:rPr>
  </w:style>
  <w:style w:type="paragraph" w:styleId="BalloonText">
    <w:name w:val="Balloon Text"/>
    <w:basedOn w:val="Normal"/>
    <w:link w:val="BalloonTextChar"/>
    <w:uiPriority w:val="99"/>
    <w:semiHidden/>
    <w:unhideWhenUsed/>
    <w:rsid w:val="001B5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FEF"/>
    <w:rPr>
      <w:rFonts w:ascii="Tahoma" w:hAnsi="Tahoma" w:cs="Tahoma"/>
      <w:sz w:val="16"/>
      <w:szCs w:val="16"/>
    </w:rPr>
  </w:style>
  <w:style w:type="character" w:styleId="CommentReference">
    <w:name w:val="annotation reference"/>
    <w:basedOn w:val="DefaultParagraphFont"/>
    <w:uiPriority w:val="99"/>
    <w:semiHidden/>
    <w:unhideWhenUsed/>
    <w:rsid w:val="00451EFD"/>
    <w:rPr>
      <w:sz w:val="16"/>
      <w:szCs w:val="16"/>
    </w:rPr>
  </w:style>
  <w:style w:type="paragraph" w:styleId="CommentText">
    <w:name w:val="annotation text"/>
    <w:basedOn w:val="Normal"/>
    <w:link w:val="CommentTextChar"/>
    <w:uiPriority w:val="99"/>
    <w:semiHidden/>
    <w:unhideWhenUsed/>
    <w:rsid w:val="00451EFD"/>
    <w:pPr>
      <w:spacing w:line="240" w:lineRule="auto"/>
    </w:pPr>
    <w:rPr>
      <w:sz w:val="20"/>
      <w:szCs w:val="20"/>
    </w:rPr>
  </w:style>
  <w:style w:type="character" w:customStyle="1" w:styleId="CommentTextChar">
    <w:name w:val="Comment Text Char"/>
    <w:basedOn w:val="DefaultParagraphFont"/>
    <w:link w:val="CommentText"/>
    <w:uiPriority w:val="99"/>
    <w:semiHidden/>
    <w:rsid w:val="00451EFD"/>
    <w:rPr>
      <w:sz w:val="20"/>
      <w:szCs w:val="20"/>
    </w:rPr>
  </w:style>
  <w:style w:type="paragraph" w:styleId="CommentSubject">
    <w:name w:val="annotation subject"/>
    <w:basedOn w:val="CommentText"/>
    <w:next w:val="CommentText"/>
    <w:link w:val="CommentSubjectChar"/>
    <w:uiPriority w:val="99"/>
    <w:semiHidden/>
    <w:unhideWhenUsed/>
    <w:rsid w:val="00451EFD"/>
    <w:rPr>
      <w:b/>
      <w:bCs/>
    </w:rPr>
  </w:style>
  <w:style w:type="character" w:customStyle="1" w:styleId="CommentSubjectChar">
    <w:name w:val="Comment Subject Char"/>
    <w:basedOn w:val="CommentTextChar"/>
    <w:link w:val="CommentSubject"/>
    <w:uiPriority w:val="99"/>
    <w:semiHidden/>
    <w:rsid w:val="00451EFD"/>
    <w:rPr>
      <w:b/>
      <w:bCs/>
      <w:sz w:val="20"/>
      <w:szCs w:val="20"/>
    </w:rPr>
  </w:style>
  <w:style w:type="paragraph" w:customStyle="1" w:styleId="Chapter">
    <w:name w:val="Chapter"/>
    <w:basedOn w:val="Normal"/>
    <w:next w:val="Normal"/>
    <w:link w:val="ChapterChar"/>
    <w:rsid w:val="00744727"/>
    <w:pPr>
      <w:keepNext/>
      <w:numPr>
        <w:numId w:val="17"/>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744727"/>
    <w:rPr>
      <w:rFonts w:ascii="Times New Roman" w:hAnsi="Times New Roman" w:cs="Times New Roman"/>
      <w:b/>
      <w:smallCaps/>
      <w:sz w:val="24"/>
    </w:rPr>
  </w:style>
  <w:style w:type="paragraph" w:customStyle="1" w:styleId="FirstHeading">
    <w:name w:val="FirstHeading"/>
    <w:basedOn w:val="Normal"/>
    <w:next w:val="Normal"/>
    <w:link w:val="FirstHeadingChar"/>
    <w:rsid w:val="00744727"/>
    <w:pPr>
      <w:keepNext/>
      <w:numPr>
        <w:numId w:val="25"/>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744727"/>
    <w:rPr>
      <w:rFonts w:ascii="Times New Roman" w:hAnsi="Times New Roman" w:cs="Times New Roman"/>
      <w:b/>
      <w:sz w:val="24"/>
    </w:rPr>
  </w:style>
  <w:style w:type="paragraph" w:customStyle="1" w:styleId="SecHeading">
    <w:name w:val="SecHeading"/>
    <w:basedOn w:val="Normal"/>
    <w:next w:val="Paragraph"/>
    <w:link w:val="SecHeadingChar"/>
    <w:rsid w:val="00744727"/>
    <w:pPr>
      <w:keepNext/>
      <w:numPr>
        <w:ilvl w:val="1"/>
        <w:numId w:val="25"/>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744727"/>
    <w:rPr>
      <w:rFonts w:ascii="Times New Roman" w:hAnsi="Times New Roman" w:cs="Times New Roman"/>
      <w:b/>
      <w:sz w:val="24"/>
    </w:rPr>
  </w:style>
  <w:style w:type="paragraph" w:customStyle="1" w:styleId="SubHeading1">
    <w:name w:val="SubHeading1"/>
    <w:basedOn w:val="SecHeading"/>
    <w:link w:val="SubHeading1Char"/>
    <w:rsid w:val="00744727"/>
    <w:pPr>
      <w:numPr>
        <w:ilvl w:val="2"/>
      </w:numPr>
      <w:tabs>
        <w:tab w:val="clear" w:pos="5976"/>
        <w:tab w:val="num" w:pos="1872"/>
      </w:tabs>
      <w:ind w:left="1872"/>
    </w:pPr>
  </w:style>
  <w:style w:type="character" w:customStyle="1" w:styleId="SubHeading1Char">
    <w:name w:val="SubHeading1 Char"/>
    <w:basedOn w:val="DefaultParagraphFont"/>
    <w:link w:val="SubHeading1"/>
    <w:rsid w:val="00744727"/>
    <w:rPr>
      <w:rFonts w:ascii="Times New Roman" w:hAnsi="Times New Roman" w:cs="Times New Roman"/>
      <w:b/>
      <w:sz w:val="24"/>
    </w:rPr>
  </w:style>
  <w:style w:type="paragraph" w:customStyle="1" w:styleId="Subheading2">
    <w:name w:val="Subheading2"/>
    <w:basedOn w:val="SecHeading"/>
    <w:link w:val="Subheading2Char"/>
    <w:rsid w:val="00744727"/>
    <w:pPr>
      <w:numPr>
        <w:ilvl w:val="3"/>
      </w:numPr>
      <w:tabs>
        <w:tab w:val="clear" w:pos="6480"/>
        <w:tab w:val="num" w:pos="2376"/>
      </w:tabs>
      <w:ind w:left="2376"/>
    </w:pPr>
  </w:style>
  <w:style w:type="character" w:customStyle="1" w:styleId="Subheading2Char">
    <w:name w:val="Subheading2 Char"/>
    <w:basedOn w:val="DefaultParagraphFont"/>
    <w:link w:val="Subheading2"/>
    <w:rsid w:val="00744727"/>
    <w:rPr>
      <w:rFonts w:ascii="Times New Roman" w:hAnsi="Times New Roman" w:cs="Times New Roman"/>
      <w:b/>
      <w:sz w:val="24"/>
    </w:rPr>
  </w:style>
  <w:style w:type="paragraph" w:customStyle="1" w:styleId="Paragraph">
    <w:name w:val="Paragraph"/>
    <w:basedOn w:val="BodyTextIndent"/>
    <w:link w:val="ParagraphChar"/>
    <w:rsid w:val="00744727"/>
    <w:pPr>
      <w:numPr>
        <w:ilvl w:val="1"/>
        <w:numId w:val="17"/>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744727"/>
    <w:rPr>
      <w:rFonts w:ascii="Times New Roman" w:hAnsi="Times New Roman" w:cs="Times New Roman"/>
      <w:sz w:val="24"/>
    </w:rPr>
  </w:style>
  <w:style w:type="paragraph" w:customStyle="1" w:styleId="subpar">
    <w:name w:val="subpar"/>
    <w:basedOn w:val="BodyTextIndent3"/>
    <w:link w:val="subparChar"/>
    <w:rsid w:val="00744727"/>
    <w:pPr>
      <w:numPr>
        <w:ilvl w:val="2"/>
        <w:numId w:val="17"/>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744727"/>
    <w:rPr>
      <w:rFonts w:ascii="Times New Roman" w:hAnsi="Times New Roman" w:cs="Times New Roman"/>
      <w:sz w:val="24"/>
      <w:szCs w:val="16"/>
    </w:rPr>
  </w:style>
  <w:style w:type="paragraph" w:customStyle="1" w:styleId="SubSubPar">
    <w:name w:val="SubSubPar"/>
    <w:basedOn w:val="subpar"/>
    <w:link w:val="SubSubParChar"/>
    <w:rsid w:val="00744727"/>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744727"/>
    <w:rPr>
      <w:rFonts w:ascii="Times New Roman" w:hAnsi="Times New Roman" w:cs="Times New Roman"/>
      <w:sz w:val="24"/>
      <w:szCs w:val="16"/>
    </w:rPr>
  </w:style>
  <w:style w:type="paragraph" w:customStyle="1" w:styleId="Regtable">
    <w:name w:val="Regtable"/>
    <w:basedOn w:val="Normal"/>
    <w:link w:val="RegtableChar"/>
    <w:rsid w:val="00744727"/>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744727"/>
    <w:rPr>
      <w:rFonts w:ascii="Times New Roman" w:hAnsi="Times New Roman" w:cs="Times New Roman"/>
      <w:sz w:val="20"/>
    </w:rPr>
  </w:style>
  <w:style w:type="paragraph" w:customStyle="1" w:styleId="TableTitle">
    <w:name w:val="TableTitle"/>
    <w:basedOn w:val="Normal"/>
    <w:link w:val="TableTitleChar"/>
    <w:rsid w:val="00744727"/>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44727"/>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527B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27B5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7B5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4472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472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47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472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44727"/>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527B5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527B5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527B5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527B52"/>
    <w:rPr>
      <w:rFonts w:ascii="Times New Roman" w:hAnsi="Times New Roman" w:cs="Times New Roman"/>
      <w:sz w:val="24"/>
      <w:szCs w:val="16"/>
    </w:rPr>
  </w:style>
  <w:style w:type="character" w:styleId="BookTitle">
    <w:name w:val="Book Title"/>
    <w:basedOn w:val="DefaultParagraphFont"/>
    <w:uiPriority w:val="33"/>
    <w:qFormat/>
    <w:rsid w:val="00527B52"/>
    <w:rPr>
      <w:b/>
      <w:bCs/>
      <w:smallCaps/>
      <w:spacing w:val="5"/>
    </w:rPr>
  </w:style>
  <w:style w:type="paragraph" w:styleId="TOC1">
    <w:name w:val="toc 1"/>
    <w:basedOn w:val="Normal"/>
    <w:next w:val="Normal"/>
    <w:autoRedefine/>
    <w:uiPriority w:val="39"/>
    <w:unhideWhenUsed/>
    <w:rsid w:val="00632CDD"/>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632CDD"/>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632CDD"/>
    <w:pPr>
      <w:tabs>
        <w:tab w:val="left" w:pos="1728"/>
        <w:tab w:val="right" w:leader="dot" w:pos="8741"/>
      </w:tabs>
      <w:spacing w:after="0" w:line="240" w:lineRule="auto"/>
      <w:ind w:left="1714" w:hanging="562"/>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3A6"/>
  </w:style>
  <w:style w:type="paragraph" w:styleId="Heading2">
    <w:name w:val="heading 2"/>
    <w:basedOn w:val="Normal"/>
    <w:next w:val="Normal"/>
    <w:link w:val="Heading2Char"/>
    <w:uiPriority w:val="9"/>
    <w:semiHidden/>
    <w:unhideWhenUsed/>
    <w:qFormat/>
    <w:rsid w:val="00744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4472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4472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44727"/>
    <w:pPr>
      <w:keepNext/>
      <w:keepLines/>
      <w:numPr>
        <w:ilvl w:val="4"/>
        <w:numId w:val="2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44727"/>
    <w:pPr>
      <w:keepNext/>
      <w:keepLines/>
      <w:numPr>
        <w:ilvl w:val="5"/>
        <w:numId w:val="2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44727"/>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44727"/>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44727"/>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87B"/>
    <w:pPr>
      <w:ind w:left="720"/>
      <w:contextualSpacing/>
    </w:pPr>
  </w:style>
  <w:style w:type="table" w:styleId="TableGrid">
    <w:name w:val="Table Grid"/>
    <w:basedOn w:val="TableNormal"/>
    <w:uiPriority w:val="59"/>
    <w:rsid w:val="00E12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C57F1"/>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basedOn w:val="DefaultParagraphFont"/>
    <w:link w:val="FootnoteText"/>
    <w:uiPriority w:val="99"/>
    <w:rsid w:val="007C57F1"/>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7C57F1"/>
    <w:rPr>
      <w:vertAlign w:val="superscript"/>
    </w:rPr>
  </w:style>
  <w:style w:type="paragraph" w:styleId="BalloonText">
    <w:name w:val="Balloon Text"/>
    <w:basedOn w:val="Normal"/>
    <w:link w:val="BalloonTextChar"/>
    <w:uiPriority w:val="99"/>
    <w:semiHidden/>
    <w:unhideWhenUsed/>
    <w:rsid w:val="001B5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FEF"/>
    <w:rPr>
      <w:rFonts w:ascii="Tahoma" w:hAnsi="Tahoma" w:cs="Tahoma"/>
      <w:sz w:val="16"/>
      <w:szCs w:val="16"/>
    </w:rPr>
  </w:style>
  <w:style w:type="character" w:styleId="CommentReference">
    <w:name w:val="annotation reference"/>
    <w:basedOn w:val="DefaultParagraphFont"/>
    <w:uiPriority w:val="99"/>
    <w:semiHidden/>
    <w:unhideWhenUsed/>
    <w:rsid w:val="00451EFD"/>
    <w:rPr>
      <w:sz w:val="16"/>
      <w:szCs w:val="16"/>
    </w:rPr>
  </w:style>
  <w:style w:type="paragraph" w:styleId="CommentText">
    <w:name w:val="annotation text"/>
    <w:basedOn w:val="Normal"/>
    <w:link w:val="CommentTextChar"/>
    <w:uiPriority w:val="99"/>
    <w:semiHidden/>
    <w:unhideWhenUsed/>
    <w:rsid w:val="00451EFD"/>
    <w:pPr>
      <w:spacing w:line="240" w:lineRule="auto"/>
    </w:pPr>
    <w:rPr>
      <w:sz w:val="20"/>
      <w:szCs w:val="20"/>
    </w:rPr>
  </w:style>
  <w:style w:type="character" w:customStyle="1" w:styleId="CommentTextChar">
    <w:name w:val="Comment Text Char"/>
    <w:basedOn w:val="DefaultParagraphFont"/>
    <w:link w:val="CommentText"/>
    <w:uiPriority w:val="99"/>
    <w:semiHidden/>
    <w:rsid w:val="00451EFD"/>
    <w:rPr>
      <w:sz w:val="20"/>
      <w:szCs w:val="20"/>
    </w:rPr>
  </w:style>
  <w:style w:type="paragraph" w:styleId="CommentSubject">
    <w:name w:val="annotation subject"/>
    <w:basedOn w:val="CommentText"/>
    <w:next w:val="CommentText"/>
    <w:link w:val="CommentSubjectChar"/>
    <w:uiPriority w:val="99"/>
    <w:semiHidden/>
    <w:unhideWhenUsed/>
    <w:rsid w:val="00451EFD"/>
    <w:rPr>
      <w:b/>
      <w:bCs/>
    </w:rPr>
  </w:style>
  <w:style w:type="character" w:customStyle="1" w:styleId="CommentSubjectChar">
    <w:name w:val="Comment Subject Char"/>
    <w:basedOn w:val="CommentTextChar"/>
    <w:link w:val="CommentSubject"/>
    <w:uiPriority w:val="99"/>
    <w:semiHidden/>
    <w:rsid w:val="00451EFD"/>
    <w:rPr>
      <w:b/>
      <w:bCs/>
      <w:sz w:val="20"/>
      <w:szCs w:val="20"/>
    </w:rPr>
  </w:style>
  <w:style w:type="paragraph" w:customStyle="1" w:styleId="Chapter">
    <w:name w:val="Chapter"/>
    <w:basedOn w:val="Normal"/>
    <w:next w:val="Normal"/>
    <w:link w:val="ChapterChar"/>
    <w:rsid w:val="00744727"/>
    <w:pPr>
      <w:keepNext/>
      <w:numPr>
        <w:numId w:val="17"/>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744727"/>
    <w:rPr>
      <w:rFonts w:ascii="Times New Roman" w:hAnsi="Times New Roman" w:cs="Times New Roman"/>
      <w:b/>
      <w:smallCaps/>
      <w:sz w:val="24"/>
    </w:rPr>
  </w:style>
  <w:style w:type="paragraph" w:customStyle="1" w:styleId="FirstHeading">
    <w:name w:val="FirstHeading"/>
    <w:basedOn w:val="Normal"/>
    <w:next w:val="Normal"/>
    <w:link w:val="FirstHeadingChar"/>
    <w:rsid w:val="00744727"/>
    <w:pPr>
      <w:keepNext/>
      <w:numPr>
        <w:numId w:val="25"/>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744727"/>
    <w:rPr>
      <w:rFonts w:ascii="Times New Roman" w:hAnsi="Times New Roman" w:cs="Times New Roman"/>
      <w:b/>
      <w:sz w:val="24"/>
    </w:rPr>
  </w:style>
  <w:style w:type="paragraph" w:customStyle="1" w:styleId="SecHeading">
    <w:name w:val="SecHeading"/>
    <w:basedOn w:val="Normal"/>
    <w:next w:val="Paragraph"/>
    <w:link w:val="SecHeadingChar"/>
    <w:rsid w:val="00744727"/>
    <w:pPr>
      <w:keepNext/>
      <w:numPr>
        <w:ilvl w:val="1"/>
        <w:numId w:val="25"/>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744727"/>
    <w:rPr>
      <w:rFonts w:ascii="Times New Roman" w:hAnsi="Times New Roman" w:cs="Times New Roman"/>
      <w:b/>
      <w:sz w:val="24"/>
    </w:rPr>
  </w:style>
  <w:style w:type="paragraph" w:customStyle="1" w:styleId="SubHeading1">
    <w:name w:val="SubHeading1"/>
    <w:basedOn w:val="SecHeading"/>
    <w:link w:val="SubHeading1Char"/>
    <w:rsid w:val="00744727"/>
    <w:pPr>
      <w:numPr>
        <w:ilvl w:val="2"/>
      </w:numPr>
      <w:tabs>
        <w:tab w:val="clear" w:pos="5976"/>
        <w:tab w:val="num" w:pos="1872"/>
      </w:tabs>
      <w:ind w:left="1872"/>
    </w:pPr>
  </w:style>
  <w:style w:type="character" w:customStyle="1" w:styleId="SubHeading1Char">
    <w:name w:val="SubHeading1 Char"/>
    <w:basedOn w:val="DefaultParagraphFont"/>
    <w:link w:val="SubHeading1"/>
    <w:rsid w:val="00744727"/>
    <w:rPr>
      <w:rFonts w:ascii="Times New Roman" w:hAnsi="Times New Roman" w:cs="Times New Roman"/>
      <w:b/>
      <w:sz w:val="24"/>
    </w:rPr>
  </w:style>
  <w:style w:type="paragraph" w:customStyle="1" w:styleId="Subheading2">
    <w:name w:val="Subheading2"/>
    <w:basedOn w:val="SecHeading"/>
    <w:link w:val="Subheading2Char"/>
    <w:rsid w:val="00744727"/>
    <w:pPr>
      <w:numPr>
        <w:ilvl w:val="3"/>
      </w:numPr>
      <w:tabs>
        <w:tab w:val="clear" w:pos="6480"/>
        <w:tab w:val="num" w:pos="2376"/>
      </w:tabs>
      <w:ind w:left="2376"/>
    </w:pPr>
  </w:style>
  <w:style w:type="character" w:customStyle="1" w:styleId="Subheading2Char">
    <w:name w:val="Subheading2 Char"/>
    <w:basedOn w:val="DefaultParagraphFont"/>
    <w:link w:val="Subheading2"/>
    <w:rsid w:val="00744727"/>
    <w:rPr>
      <w:rFonts w:ascii="Times New Roman" w:hAnsi="Times New Roman" w:cs="Times New Roman"/>
      <w:b/>
      <w:sz w:val="24"/>
    </w:rPr>
  </w:style>
  <w:style w:type="paragraph" w:customStyle="1" w:styleId="Paragraph">
    <w:name w:val="Paragraph"/>
    <w:basedOn w:val="BodyTextIndent"/>
    <w:link w:val="ParagraphChar"/>
    <w:rsid w:val="00744727"/>
    <w:pPr>
      <w:numPr>
        <w:ilvl w:val="1"/>
        <w:numId w:val="17"/>
      </w:numPr>
      <w:tabs>
        <w:tab w:val="clear" w:pos="2448"/>
        <w:tab w:val="num" w:pos="720"/>
      </w:tabs>
      <w:spacing w:before="120"/>
      <w:ind w:left="720" w:hanging="720"/>
      <w:jc w:val="both"/>
      <w:outlineLvl w:val="1"/>
    </w:pPr>
  </w:style>
  <w:style w:type="character" w:customStyle="1" w:styleId="ParagraphChar">
    <w:name w:val="Paragraph Char"/>
    <w:basedOn w:val="DefaultParagraphFont"/>
    <w:link w:val="Paragraph"/>
    <w:rsid w:val="00744727"/>
    <w:rPr>
      <w:rFonts w:ascii="Times New Roman" w:hAnsi="Times New Roman" w:cs="Times New Roman"/>
      <w:sz w:val="24"/>
    </w:rPr>
  </w:style>
  <w:style w:type="paragraph" w:customStyle="1" w:styleId="subpar">
    <w:name w:val="subpar"/>
    <w:basedOn w:val="BodyTextIndent3"/>
    <w:link w:val="subparChar"/>
    <w:rsid w:val="00744727"/>
    <w:pPr>
      <w:numPr>
        <w:ilvl w:val="2"/>
        <w:numId w:val="17"/>
      </w:numPr>
      <w:tabs>
        <w:tab w:val="clear" w:pos="2304"/>
        <w:tab w:val="num" w:pos="1152"/>
      </w:tabs>
      <w:spacing w:before="120"/>
      <w:ind w:left="1152"/>
      <w:jc w:val="both"/>
      <w:outlineLvl w:val="2"/>
    </w:pPr>
  </w:style>
  <w:style w:type="character" w:customStyle="1" w:styleId="subparChar">
    <w:name w:val="subpar Char"/>
    <w:basedOn w:val="DefaultParagraphFont"/>
    <w:link w:val="subpar"/>
    <w:rsid w:val="00744727"/>
    <w:rPr>
      <w:rFonts w:ascii="Times New Roman" w:hAnsi="Times New Roman" w:cs="Times New Roman"/>
      <w:sz w:val="24"/>
      <w:szCs w:val="16"/>
    </w:rPr>
  </w:style>
  <w:style w:type="paragraph" w:customStyle="1" w:styleId="SubSubPar">
    <w:name w:val="SubSubPar"/>
    <w:basedOn w:val="subpar"/>
    <w:link w:val="SubSubParChar"/>
    <w:rsid w:val="00744727"/>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744727"/>
    <w:rPr>
      <w:rFonts w:ascii="Times New Roman" w:hAnsi="Times New Roman" w:cs="Times New Roman"/>
      <w:sz w:val="24"/>
      <w:szCs w:val="16"/>
    </w:rPr>
  </w:style>
  <w:style w:type="paragraph" w:customStyle="1" w:styleId="Regtable">
    <w:name w:val="Regtable"/>
    <w:basedOn w:val="Normal"/>
    <w:link w:val="RegtableChar"/>
    <w:rsid w:val="00744727"/>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744727"/>
    <w:rPr>
      <w:rFonts w:ascii="Times New Roman" w:hAnsi="Times New Roman" w:cs="Times New Roman"/>
      <w:sz w:val="20"/>
    </w:rPr>
  </w:style>
  <w:style w:type="paragraph" w:customStyle="1" w:styleId="TableTitle">
    <w:name w:val="TableTitle"/>
    <w:basedOn w:val="Normal"/>
    <w:link w:val="TableTitleChar"/>
    <w:rsid w:val="00744727"/>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744727"/>
    <w:rPr>
      <w:rFonts w:ascii="Times New Roman Bold" w:hAnsi="Times New Roman Bold"/>
      <w:b/>
      <w:spacing w:val="-3"/>
      <w:sz w:val="20"/>
    </w:rPr>
  </w:style>
  <w:style w:type="character" w:customStyle="1" w:styleId="Heading2Char">
    <w:name w:val="Heading 2 Char"/>
    <w:basedOn w:val="DefaultParagraphFont"/>
    <w:link w:val="Heading2"/>
    <w:uiPriority w:val="9"/>
    <w:semiHidden/>
    <w:rsid w:val="00527B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27B5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7B5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4472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472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47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472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44727"/>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527B5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527B5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527B5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527B52"/>
    <w:rPr>
      <w:rFonts w:ascii="Times New Roman" w:hAnsi="Times New Roman" w:cs="Times New Roman"/>
      <w:sz w:val="24"/>
      <w:szCs w:val="16"/>
    </w:rPr>
  </w:style>
  <w:style w:type="character" w:styleId="BookTitle">
    <w:name w:val="Book Title"/>
    <w:basedOn w:val="DefaultParagraphFont"/>
    <w:uiPriority w:val="33"/>
    <w:qFormat/>
    <w:rsid w:val="00527B52"/>
    <w:rPr>
      <w:b/>
      <w:bCs/>
      <w:smallCaps/>
      <w:spacing w:val="5"/>
    </w:rPr>
  </w:style>
  <w:style w:type="paragraph" w:styleId="TOC1">
    <w:name w:val="toc 1"/>
    <w:basedOn w:val="Normal"/>
    <w:next w:val="Normal"/>
    <w:autoRedefine/>
    <w:uiPriority w:val="39"/>
    <w:unhideWhenUsed/>
    <w:rsid w:val="00632CDD"/>
    <w:pPr>
      <w:tabs>
        <w:tab w:val="right" w:leader="dot" w:pos="8741"/>
      </w:tabs>
      <w:spacing w:before="240" w:after="240" w:line="240" w:lineRule="auto"/>
      <w:ind w:left="547" w:hanging="547"/>
    </w:pPr>
    <w:rPr>
      <w:rFonts w:ascii="Times New Roman" w:hAnsi="Times New Roman" w:cs="Times New Roman"/>
      <w:smallCaps/>
      <w:sz w:val="24"/>
    </w:rPr>
  </w:style>
  <w:style w:type="paragraph" w:styleId="TOC2">
    <w:name w:val="toc 2"/>
    <w:basedOn w:val="Normal"/>
    <w:next w:val="Normal"/>
    <w:autoRedefine/>
    <w:uiPriority w:val="39"/>
    <w:unhideWhenUsed/>
    <w:rsid w:val="00632CDD"/>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632CDD"/>
    <w:pPr>
      <w:tabs>
        <w:tab w:val="left" w:pos="1728"/>
        <w:tab w:val="right" w:leader="dot" w:pos="8741"/>
      </w:tabs>
      <w:spacing w:after="0" w:line="240" w:lineRule="auto"/>
      <w:ind w:left="1714" w:hanging="562"/>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5029">
      <w:bodyDiv w:val="1"/>
      <w:marLeft w:val="0"/>
      <w:marRight w:val="0"/>
      <w:marTop w:val="0"/>
      <w:marBottom w:val="0"/>
      <w:divBdr>
        <w:top w:val="none" w:sz="0" w:space="0" w:color="auto"/>
        <w:left w:val="none" w:sz="0" w:space="0" w:color="auto"/>
        <w:bottom w:val="none" w:sz="0" w:space="0" w:color="auto"/>
        <w:right w:val="none" w:sz="0" w:space="0" w:color="auto"/>
      </w:divBdr>
      <w:divsChild>
        <w:div w:id="814302367">
          <w:marLeft w:val="0"/>
          <w:marRight w:val="0"/>
          <w:marTop w:val="0"/>
          <w:marBottom w:val="0"/>
          <w:divBdr>
            <w:top w:val="none" w:sz="0" w:space="0" w:color="auto"/>
            <w:left w:val="none" w:sz="0" w:space="0" w:color="auto"/>
            <w:bottom w:val="none" w:sz="0" w:space="0" w:color="auto"/>
            <w:right w:val="none" w:sz="0" w:space="0" w:color="auto"/>
          </w:divBdr>
        </w:div>
        <w:div w:id="518783789">
          <w:marLeft w:val="0"/>
          <w:marRight w:val="0"/>
          <w:marTop w:val="0"/>
          <w:marBottom w:val="0"/>
          <w:divBdr>
            <w:top w:val="none" w:sz="0" w:space="0" w:color="auto"/>
            <w:left w:val="none" w:sz="0" w:space="0" w:color="auto"/>
            <w:bottom w:val="none" w:sz="0" w:space="0" w:color="auto"/>
            <w:right w:val="none" w:sz="0" w:space="0" w:color="auto"/>
          </w:divBdr>
        </w:div>
        <w:div w:id="1285237240">
          <w:marLeft w:val="0"/>
          <w:marRight w:val="0"/>
          <w:marTop w:val="0"/>
          <w:marBottom w:val="0"/>
          <w:divBdr>
            <w:top w:val="none" w:sz="0" w:space="0" w:color="auto"/>
            <w:left w:val="none" w:sz="0" w:space="0" w:color="auto"/>
            <w:bottom w:val="none" w:sz="0" w:space="0" w:color="auto"/>
            <w:right w:val="none" w:sz="0" w:space="0" w:color="auto"/>
          </w:divBdr>
        </w:div>
        <w:div w:id="778526131">
          <w:marLeft w:val="0"/>
          <w:marRight w:val="0"/>
          <w:marTop w:val="0"/>
          <w:marBottom w:val="0"/>
          <w:divBdr>
            <w:top w:val="none" w:sz="0" w:space="0" w:color="auto"/>
            <w:left w:val="none" w:sz="0" w:space="0" w:color="auto"/>
            <w:bottom w:val="none" w:sz="0" w:space="0" w:color="auto"/>
            <w:right w:val="none" w:sz="0" w:space="0" w:color="auto"/>
          </w:divBdr>
        </w:div>
        <w:div w:id="980577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59AD4C91A745E4892AA683EBF5F243B" ma:contentTypeVersion="0" ma:contentTypeDescription="A content type to manage public (operations) IDB documents" ma:contentTypeScope="" ma:versionID="4440a073f3317dc9ec20be6f8ca9dcfd">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38886962</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ME-L1145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BD4E860-941A-403E-9969-99543CA7A24D}"/>
</file>

<file path=customXml/itemProps2.xml><?xml version="1.0" encoding="utf-8"?>
<ds:datastoreItem xmlns:ds="http://schemas.openxmlformats.org/officeDocument/2006/customXml" ds:itemID="{FBFDA542-1135-4DC5-8826-0B9417AA027D}"/>
</file>

<file path=customXml/itemProps3.xml><?xml version="1.0" encoding="utf-8"?>
<ds:datastoreItem xmlns:ds="http://schemas.openxmlformats.org/officeDocument/2006/customXml" ds:itemID="{33595BA7-42F1-4645-B3B5-67472336B374}"/>
</file>

<file path=customXml/itemProps4.xml><?xml version="1.0" encoding="utf-8"?>
<ds:datastoreItem xmlns:ds="http://schemas.openxmlformats.org/officeDocument/2006/customXml" ds:itemID="{3BD856B1-858C-4CEF-8BE8-A8FEB3FE79D1}"/>
</file>

<file path=customXml/itemProps5.xml><?xml version="1.0" encoding="utf-8"?>
<ds:datastoreItem xmlns:ds="http://schemas.openxmlformats.org/officeDocument/2006/customXml" ds:itemID="{C6C08621-6C4B-48DF-A1D9-4E69349D4255}"/>
</file>

<file path=customXml/itemProps6.xml><?xml version="1.0" encoding="utf-8"?>
<ds:datastoreItem xmlns:ds="http://schemas.openxmlformats.org/officeDocument/2006/customXml" ds:itemID="{4DDE0F77-ECAF-496A-8C96-FB526D49F8D4}"/>
</file>

<file path=docProps/app.xml><?xml version="1.0" encoding="utf-8"?>
<Properties xmlns="http://schemas.openxmlformats.org/officeDocument/2006/extended-properties" xmlns:vt="http://schemas.openxmlformats.org/officeDocument/2006/docPropsVTypes">
  <Template>Normal.dotm</Template>
  <TotalTime>187</TotalTime>
  <Pages>24</Pages>
  <Words>7187</Words>
  <Characters>40969</Characters>
  <Application>Microsoft Office Word</Application>
  <DocSecurity>0</DocSecurity>
  <Lines>341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dc:title>
  <dc:creator>Lara Pulido José Alberto</dc:creator>
  <cp:lastModifiedBy>Annabella Gaggero</cp:lastModifiedBy>
  <cp:revision>13</cp:revision>
  <cp:lastPrinted>2014-08-15T14:06:00Z</cp:lastPrinted>
  <dcterms:created xsi:type="dcterms:W3CDTF">2014-09-23T13:40:00Z</dcterms:created>
  <dcterms:modified xsi:type="dcterms:W3CDTF">2014-10-30T13:32:00Z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0x01010046CF21643EE8D14686A648AA6DAD089200C59AD4C91A745E4892AA683EBF5F243B</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